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21FA7" w14:textId="77777777" w:rsidR="001C31BD" w:rsidRDefault="001C31BD" w:rsidP="001C31BD">
      <w:pPr>
        <w:rPr>
          <w:sz w:val="24"/>
        </w:rPr>
      </w:pPr>
      <w:bookmarkStart w:id="0" w:name="_Hlk30579696"/>
      <w:r>
        <w:rPr>
          <w:noProof/>
          <w:lang w:eastAsia="en-AU"/>
        </w:rPr>
        <w:drawing>
          <wp:anchor distT="0" distB="0" distL="114300" distR="114300" simplePos="0" relativeHeight="251659264" behindDoc="1" locked="0" layoutInCell="1" allowOverlap="1" wp14:anchorId="57566E06" wp14:editId="29C7B918">
            <wp:simplePos x="0" y="0"/>
            <wp:positionH relativeFrom="column">
              <wp:posOffset>1515110</wp:posOffset>
            </wp:positionH>
            <wp:positionV relativeFrom="paragraph">
              <wp:posOffset>514985</wp:posOffset>
            </wp:positionV>
            <wp:extent cx="3066415" cy="1638300"/>
            <wp:effectExtent l="0" t="0" r="635" b="0"/>
            <wp:wrapThrough wrapText="bothSides">
              <wp:wrapPolygon edited="0">
                <wp:start x="0" y="0"/>
                <wp:lineTo x="0" y="21349"/>
                <wp:lineTo x="21470" y="21349"/>
                <wp:lineTo x="2147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66415" cy="1638300"/>
                    </a:xfrm>
                    <a:prstGeom prst="rect">
                      <a:avLst/>
                    </a:prstGeom>
                    <a:noFill/>
                  </pic:spPr>
                </pic:pic>
              </a:graphicData>
            </a:graphic>
            <wp14:sizeRelH relativeFrom="page">
              <wp14:pctWidth>0</wp14:pctWidth>
            </wp14:sizeRelH>
            <wp14:sizeRelV relativeFrom="page">
              <wp14:pctHeight>0</wp14:pctHeight>
            </wp14:sizeRelV>
          </wp:anchor>
        </w:drawing>
      </w:r>
    </w:p>
    <w:p w14:paraId="65550575" w14:textId="77777777" w:rsidR="001C31BD" w:rsidRDefault="001C31BD" w:rsidP="001C31BD">
      <w:pPr>
        <w:jc w:val="center"/>
        <w:rPr>
          <w:sz w:val="28"/>
        </w:rPr>
      </w:pPr>
    </w:p>
    <w:p w14:paraId="09BF57C3" w14:textId="77777777" w:rsidR="001C31BD" w:rsidRDefault="001C31BD" w:rsidP="001C31BD">
      <w:pPr>
        <w:jc w:val="center"/>
        <w:rPr>
          <w:sz w:val="28"/>
        </w:rPr>
      </w:pPr>
    </w:p>
    <w:p w14:paraId="0C9689CB" w14:textId="77777777" w:rsidR="001C31BD" w:rsidRDefault="001C31BD" w:rsidP="001C31BD">
      <w:pPr>
        <w:jc w:val="center"/>
        <w:rPr>
          <w:sz w:val="28"/>
        </w:rPr>
      </w:pPr>
    </w:p>
    <w:p w14:paraId="0630DBD5" w14:textId="77777777" w:rsidR="001C31BD" w:rsidRDefault="001C31BD" w:rsidP="001C31BD">
      <w:pPr>
        <w:jc w:val="center"/>
        <w:rPr>
          <w:sz w:val="28"/>
        </w:rPr>
      </w:pPr>
    </w:p>
    <w:p w14:paraId="1B6E3EDE" w14:textId="77777777" w:rsidR="001C31BD" w:rsidRDefault="001C31BD" w:rsidP="001C31BD">
      <w:pPr>
        <w:jc w:val="center"/>
        <w:rPr>
          <w:sz w:val="28"/>
        </w:rPr>
      </w:pPr>
    </w:p>
    <w:p w14:paraId="6F6E7EDF" w14:textId="77777777" w:rsidR="001C31BD" w:rsidRDefault="001C31BD" w:rsidP="001C31BD">
      <w:pPr>
        <w:jc w:val="center"/>
        <w:rPr>
          <w:sz w:val="28"/>
        </w:rPr>
      </w:pPr>
    </w:p>
    <w:p w14:paraId="7D062200" w14:textId="77777777" w:rsidR="001C31BD" w:rsidRDefault="001C31BD" w:rsidP="001C31BD">
      <w:pPr>
        <w:jc w:val="center"/>
        <w:rPr>
          <w:sz w:val="28"/>
        </w:rPr>
      </w:pPr>
    </w:p>
    <w:p w14:paraId="6F5356E7" w14:textId="77777777" w:rsidR="001C31BD" w:rsidRDefault="001C31BD" w:rsidP="001C31BD">
      <w:pPr>
        <w:jc w:val="center"/>
        <w:rPr>
          <w:sz w:val="28"/>
        </w:rPr>
      </w:pPr>
    </w:p>
    <w:p w14:paraId="6B39D453" w14:textId="77777777" w:rsidR="001C31BD" w:rsidRDefault="001C31BD" w:rsidP="001C31BD">
      <w:pPr>
        <w:jc w:val="center"/>
        <w:rPr>
          <w:sz w:val="28"/>
        </w:rPr>
      </w:pPr>
    </w:p>
    <w:p w14:paraId="24937076" w14:textId="77777777" w:rsidR="001C31BD" w:rsidRDefault="001C31BD" w:rsidP="001C31BD">
      <w:pPr>
        <w:jc w:val="center"/>
        <w:rPr>
          <w:sz w:val="28"/>
        </w:rPr>
      </w:pPr>
    </w:p>
    <w:p w14:paraId="1DA9375D" w14:textId="0102F89B" w:rsidR="001C31BD" w:rsidRDefault="001C31BD" w:rsidP="001C31BD">
      <w:pPr>
        <w:jc w:val="center"/>
        <w:rPr>
          <w:sz w:val="28"/>
        </w:rPr>
      </w:pPr>
    </w:p>
    <w:p w14:paraId="6A07F84C" w14:textId="735BCFF3" w:rsidR="00F56290" w:rsidRDefault="00F56290" w:rsidP="001C31BD">
      <w:pPr>
        <w:jc w:val="center"/>
        <w:rPr>
          <w:sz w:val="28"/>
        </w:rPr>
      </w:pPr>
    </w:p>
    <w:p w14:paraId="24458488" w14:textId="19FA1493" w:rsidR="00F56290" w:rsidRDefault="00F56290" w:rsidP="001C31BD">
      <w:pPr>
        <w:jc w:val="center"/>
        <w:rPr>
          <w:sz w:val="28"/>
        </w:rPr>
      </w:pPr>
    </w:p>
    <w:p w14:paraId="29F4039A" w14:textId="77777777" w:rsidR="00F56290" w:rsidRDefault="00F56290" w:rsidP="001C31BD">
      <w:pPr>
        <w:jc w:val="center"/>
        <w:rPr>
          <w:sz w:val="28"/>
        </w:rPr>
      </w:pPr>
    </w:p>
    <w:p w14:paraId="36DB13D6" w14:textId="77777777" w:rsidR="00F56290" w:rsidRDefault="00F56290" w:rsidP="001C31BD">
      <w:pPr>
        <w:jc w:val="center"/>
        <w:rPr>
          <w:sz w:val="28"/>
        </w:rPr>
      </w:pPr>
    </w:p>
    <w:p w14:paraId="2BEE19AA" w14:textId="77777777" w:rsidR="001C31BD" w:rsidRDefault="001C31BD" w:rsidP="001C31BD">
      <w:pPr>
        <w:jc w:val="center"/>
        <w:rPr>
          <w:sz w:val="28"/>
        </w:rPr>
      </w:pPr>
    </w:p>
    <w:p w14:paraId="474E1F88" w14:textId="0D94C83F" w:rsidR="001C31BD" w:rsidRDefault="001C31BD" w:rsidP="001C31BD">
      <w:pPr>
        <w:jc w:val="center"/>
        <w:rPr>
          <w:sz w:val="28"/>
        </w:rPr>
      </w:pPr>
      <w:r>
        <w:rPr>
          <w:sz w:val="28"/>
        </w:rPr>
        <w:t>nfaw.org</w:t>
      </w:r>
    </w:p>
    <w:p w14:paraId="1FD2C1A6" w14:textId="77777777" w:rsidR="00F56290" w:rsidRDefault="00F56290" w:rsidP="001C31BD">
      <w:pPr>
        <w:jc w:val="center"/>
      </w:pPr>
    </w:p>
    <w:p w14:paraId="1B1C74E2" w14:textId="77777777" w:rsidR="001C31BD" w:rsidRDefault="001C31BD" w:rsidP="001C31BD"/>
    <w:p w14:paraId="3EB97F67" w14:textId="6BB10468" w:rsidR="001C31BD" w:rsidRPr="00F56290" w:rsidRDefault="00DA3F1D" w:rsidP="001C31BD">
      <w:pPr>
        <w:jc w:val="center"/>
        <w:rPr>
          <w:rFonts w:asciiTheme="majorHAnsi" w:hAnsiTheme="majorHAnsi" w:cstheme="majorHAnsi"/>
          <w:b/>
          <w:bCs/>
          <w:sz w:val="32"/>
          <w:szCs w:val="32"/>
        </w:rPr>
      </w:pPr>
      <w:r w:rsidRPr="00F56290">
        <w:rPr>
          <w:rFonts w:asciiTheme="majorHAnsi" w:hAnsiTheme="majorHAnsi" w:cstheme="majorHAnsi"/>
          <w:b/>
          <w:bCs/>
          <w:sz w:val="32"/>
          <w:szCs w:val="32"/>
        </w:rPr>
        <w:t xml:space="preserve">Pre-Budget Submission for the 2021-22 Budget </w:t>
      </w:r>
    </w:p>
    <w:p w14:paraId="6354B9A8" w14:textId="77777777" w:rsidR="001C31BD" w:rsidRPr="008C7C1E" w:rsidRDefault="001C31BD" w:rsidP="001C31BD">
      <w:pPr>
        <w:jc w:val="center"/>
        <w:rPr>
          <w:rFonts w:asciiTheme="majorHAnsi" w:hAnsiTheme="majorHAnsi" w:cstheme="majorHAnsi"/>
          <w:b/>
          <w:bCs/>
          <w:sz w:val="28"/>
          <w:szCs w:val="28"/>
        </w:rPr>
      </w:pPr>
      <w:r w:rsidRPr="008C7C1E">
        <w:rPr>
          <w:rFonts w:asciiTheme="majorHAnsi" w:hAnsiTheme="majorHAnsi" w:cstheme="majorHAnsi"/>
          <w:b/>
          <w:bCs/>
          <w:sz w:val="28"/>
        </w:rPr>
        <w:br/>
      </w:r>
    </w:p>
    <w:p w14:paraId="32E1F34C" w14:textId="77777777" w:rsidR="001C31BD" w:rsidRPr="008C7C1E" w:rsidRDefault="001C31BD" w:rsidP="001C31BD">
      <w:pPr>
        <w:jc w:val="center"/>
        <w:rPr>
          <w:rFonts w:asciiTheme="majorHAnsi" w:hAnsiTheme="majorHAnsi" w:cstheme="majorHAnsi"/>
          <w:b/>
          <w:bCs/>
          <w:sz w:val="28"/>
          <w:szCs w:val="28"/>
        </w:rPr>
      </w:pPr>
    </w:p>
    <w:p w14:paraId="05127A9F" w14:textId="30F6DCE9" w:rsidR="001C31BD" w:rsidRDefault="001C31BD" w:rsidP="001C31BD">
      <w:pPr>
        <w:jc w:val="center"/>
        <w:rPr>
          <w:rFonts w:ascii="Times New Roman" w:hAnsi="Times New Roman" w:cs="Times New Roman"/>
          <w:b/>
          <w:bCs/>
          <w:sz w:val="28"/>
          <w:szCs w:val="28"/>
        </w:rPr>
      </w:pPr>
    </w:p>
    <w:p w14:paraId="0985A480" w14:textId="67046B69" w:rsidR="001C31BD" w:rsidRDefault="001C31BD" w:rsidP="001C31BD">
      <w:pPr>
        <w:jc w:val="center"/>
        <w:rPr>
          <w:rFonts w:ascii="Times New Roman" w:hAnsi="Times New Roman" w:cs="Times New Roman"/>
          <w:b/>
          <w:bCs/>
          <w:sz w:val="28"/>
          <w:szCs w:val="28"/>
        </w:rPr>
      </w:pPr>
    </w:p>
    <w:p w14:paraId="2F997BBA" w14:textId="77777777" w:rsidR="001C31BD" w:rsidRPr="0027688C" w:rsidRDefault="001C31BD" w:rsidP="0027688C">
      <w:pPr>
        <w:pStyle w:val="Default"/>
        <w:spacing w:after="160"/>
        <w:rPr>
          <w:rFonts w:ascii="Calibri" w:hAnsi="Calibri" w:cs="Calibri"/>
          <w:b/>
          <w:bCs/>
          <w:sz w:val="26"/>
          <w:szCs w:val="26"/>
        </w:rPr>
      </w:pPr>
    </w:p>
    <w:p w14:paraId="4CEBDFE3" w14:textId="77777777" w:rsidR="0027688C" w:rsidRDefault="0027688C" w:rsidP="0027688C">
      <w:pPr>
        <w:pStyle w:val="Default"/>
        <w:spacing w:after="160"/>
        <w:contextualSpacing/>
        <w:rPr>
          <w:rFonts w:ascii="Calibri" w:hAnsi="Calibri" w:cs="Calibri"/>
          <w:b/>
          <w:bCs/>
          <w:sz w:val="22"/>
          <w:szCs w:val="22"/>
        </w:rPr>
      </w:pPr>
    </w:p>
    <w:p w14:paraId="5A8937C4" w14:textId="77777777" w:rsidR="0027688C" w:rsidRDefault="0027688C" w:rsidP="0027688C">
      <w:pPr>
        <w:pStyle w:val="Default"/>
        <w:spacing w:after="160"/>
        <w:contextualSpacing/>
        <w:rPr>
          <w:rFonts w:ascii="Calibri" w:hAnsi="Calibri" w:cs="Calibri"/>
          <w:b/>
          <w:bCs/>
          <w:sz w:val="22"/>
          <w:szCs w:val="22"/>
        </w:rPr>
      </w:pPr>
    </w:p>
    <w:p w14:paraId="2A0A1D7B" w14:textId="77777777" w:rsidR="0027688C" w:rsidRDefault="0027688C" w:rsidP="0027688C">
      <w:pPr>
        <w:pStyle w:val="Default"/>
        <w:spacing w:after="160"/>
        <w:contextualSpacing/>
        <w:rPr>
          <w:rFonts w:ascii="Calibri" w:hAnsi="Calibri" w:cs="Calibri"/>
          <w:b/>
          <w:bCs/>
          <w:sz w:val="22"/>
          <w:szCs w:val="22"/>
        </w:rPr>
      </w:pPr>
    </w:p>
    <w:p w14:paraId="7E49AF28" w14:textId="77777777" w:rsidR="001C31BD" w:rsidRDefault="001C31BD" w:rsidP="001C31BD">
      <w:pPr>
        <w:pStyle w:val="Default"/>
        <w:spacing w:after="160"/>
        <w:rPr>
          <w:rFonts w:ascii="Calibri" w:hAnsi="Calibri" w:cs="Calibri"/>
          <w:b/>
          <w:bCs/>
          <w:sz w:val="26"/>
          <w:szCs w:val="26"/>
        </w:rPr>
      </w:pPr>
    </w:p>
    <w:p w14:paraId="27534EB6" w14:textId="146B9542" w:rsidR="001C31BD" w:rsidRPr="00340CD3" w:rsidRDefault="001C31BD" w:rsidP="001C31BD">
      <w:pPr>
        <w:pStyle w:val="Default"/>
        <w:spacing w:after="160"/>
        <w:rPr>
          <w:rFonts w:ascii="Calibri" w:hAnsi="Calibri" w:cs="Calibri"/>
          <w:sz w:val="26"/>
          <w:szCs w:val="26"/>
        </w:rPr>
      </w:pPr>
      <w:r w:rsidRPr="00340CD3">
        <w:rPr>
          <w:rFonts w:ascii="Calibri" w:hAnsi="Calibri" w:cs="Calibri"/>
          <w:b/>
          <w:bCs/>
          <w:sz w:val="26"/>
          <w:szCs w:val="26"/>
        </w:rPr>
        <w:t xml:space="preserve">Authorisation </w:t>
      </w:r>
    </w:p>
    <w:p w14:paraId="41FF69D1" w14:textId="77777777" w:rsidR="001C31BD" w:rsidRPr="00340CD3" w:rsidRDefault="001C31BD" w:rsidP="001C31BD">
      <w:pPr>
        <w:pStyle w:val="Default"/>
        <w:spacing w:after="160"/>
        <w:rPr>
          <w:rFonts w:ascii="Calibri" w:hAnsi="Calibri" w:cs="Calibri"/>
          <w:sz w:val="22"/>
          <w:szCs w:val="22"/>
        </w:rPr>
      </w:pPr>
      <w:r w:rsidRPr="00340CD3">
        <w:rPr>
          <w:rFonts w:ascii="Calibri" w:hAnsi="Calibri" w:cs="Calibri"/>
          <w:sz w:val="22"/>
          <w:szCs w:val="22"/>
        </w:rPr>
        <w:t xml:space="preserve">This submission has been authorised by the NFAW Board </w:t>
      </w:r>
    </w:p>
    <w:p w14:paraId="7E8B5E9F" w14:textId="77777777" w:rsidR="001C31BD" w:rsidRDefault="001C31BD" w:rsidP="001C31BD">
      <w:pPr>
        <w:pStyle w:val="Default"/>
        <w:spacing w:after="120"/>
        <w:contextualSpacing/>
        <w:rPr>
          <w:rFonts w:ascii="Calibri" w:hAnsi="Calibri" w:cs="Calibri"/>
          <w:sz w:val="22"/>
          <w:szCs w:val="22"/>
        </w:rPr>
      </w:pPr>
      <w:r>
        <w:rPr>
          <w:rFonts w:ascii="Calibri" w:hAnsi="Calibri" w:cs="Calibri"/>
          <w:sz w:val="22"/>
          <w:szCs w:val="22"/>
        </w:rPr>
        <w:t>Professor Helen Hodgson</w:t>
      </w:r>
    </w:p>
    <w:p w14:paraId="43BA08F3" w14:textId="77777777" w:rsidR="001C31BD" w:rsidRPr="00340CD3" w:rsidRDefault="001C31BD" w:rsidP="001C31BD">
      <w:pPr>
        <w:pStyle w:val="Default"/>
        <w:spacing w:after="120"/>
        <w:contextualSpacing/>
        <w:rPr>
          <w:rFonts w:ascii="Calibri" w:hAnsi="Calibri" w:cs="Calibri"/>
          <w:sz w:val="22"/>
          <w:szCs w:val="22"/>
        </w:rPr>
      </w:pPr>
      <w:r w:rsidRPr="00340CD3">
        <w:rPr>
          <w:rFonts w:ascii="Calibri" w:hAnsi="Calibri" w:cs="Calibri"/>
          <w:sz w:val="22"/>
          <w:szCs w:val="22"/>
        </w:rPr>
        <w:t xml:space="preserve">Chair, Social Policy Committee, </w:t>
      </w:r>
    </w:p>
    <w:p w14:paraId="52F6309C" w14:textId="77777777" w:rsidR="001C31BD" w:rsidRDefault="001C31BD" w:rsidP="001C31BD">
      <w:pPr>
        <w:pStyle w:val="Default"/>
        <w:spacing w:after="120"/>
        <w:contextualSpacing/>
        <w:rPr>
          <w:rFonts w:ascii="Calibri" w:hAnsi="Calibri" w:cs="Calibri"/>
          <w:sz w:val="22"/>
          <w:szCs w:val="22"/>
        </w:rPr>
      </w:pPr>
      <w:r w:rsidRPr="00340CD3">
        <w:rPr>
          <w:rFonts w:ascii="Calibri" w:hAnsi="Calibri" w:cs="Calibri"/>
          <w:sz w:val="22"/>
          <w:szCs w:val="22"/>
        </w:rPr>
        <w:t xml:space="preserve">National Foundation for Australian Women </w:t>
      </w:r>
    </w:p>
    <w:p w14:paraId="49B3C4CF" w14:textId="77777777" w:rsidR="001C31BD" w:rsidRDefault="001C31BD" w:rsidP="001C31BD">
      <w:pPr>
        <w:pStyle w:val="Default"/>
        <w:spacing w:after="120"/>
        <w:contextualSpacing/>
        <w:rPr>
          <w:rFonts w:ascii="Calibri" w:hAnsi="Calibri" w:cs="Calibri"/>
          <w:sz w:val="22"/>
          <w:szCs w:val="22"/>
        </w:rPr>
      </w:pPr>
    </w:p>
    <w:p w14:paraId="109227DF" w14:textId="77777777" w:rsidR="001C31BD" w:rsidRPr="00340CD3" w:rsidRDefault="001C31BD" w:rsidP="001C31BD">
      <w:pPr>
        <w:pStyle w:val="Default"/>
        <w:spacing w:after="120"/>
        <w:contextualSpacing/>
        <w:rPr>
          <w:rFonts w:ascii="Calibri" w:hAnsi="Calibri" w:cs="Calibri"/>
          <w:sz w:val="22"/>
          <w:szCs w:val="22"/>
        </w:rPr>
      </w:pPr>
      <w:r w:rsidRPr="00340CD3">
        <w:rPr>
          <w:rFonts w:ascii="Calibri" w:hAnsi="Calibri" w:cs="Calibri"/>
          <w:sz w:val="22"/>
          <w:szCs w:val="22"/>
        </w:rPr>
        <w:t xml:space="preserve">Marie Coleman AO PSM </w:t>
      </w:r>
    </w:p>
    <w:p w14:paraId="5210545A" w14:textId="77777777" w:rsidR="001C31BD" w:rsidRPr="00340CD3" w:rsidRDefault="001C31BD" w:rsidP="001C31BD">
      <w:pPr>
        <w:pStyle w:val="Default"/>
        <w:spacing w:after="120"/>
        <w:contextualSpacing/>
        <w:rPr>
          <w:rFonts w:ascii="Calibri" w:hAnsi="Calibri" w:cs="Calibri"/>
          <w:sz w:val="22"/>
          <w:szCs w:val="22"/>
        </w:rPr>
      </w:pPr>
      <w:r>
        <w:rPr>
          <w:rFonts w:ascii="Calibri" w:hAnsi="Calibri" w:cs="Calibri"/>
          <w:sz w:val="22"/>
          <w:szCs w:val="22"/>
        </w:rPr>
        <w:t>Advisor, Social Policy Committee</w:t>
      </w:r>
    </w:p>
    <w:p w14:paraId="5780DF54" w14:textId="77777777" w:rsidR="001C31BD" w:rsidRPr="00651189" w:rsidRDefault="001C31BD" w:rsidP="001C31BD">
      <w:pPr>
        <w:spacing w:before="100" w:beforeAutospacing="1" w:after="100" w:afterAutospacing="1"/>
        <w:rPr>
          <w:lang w:eastAsia="en-AU"/>
        </w:rPr>
      </w:pPr>
      <w:r w:rsidRPr="00340CD3">
        <w:rPr>
          <w:rFonts w:cs="Calibri"/>
        </w:rPr>
        <w:t xml:space="preserve">Inquiries about this submission should be directed to </w:t>
      </w:r>
      <w:r>
        <w:rPr>
          <w:rFonts w:cs="Calibri"/>
        </w:rPr>
        <w:t>Helen Hodgson</w:t>
      </w:r>
      <w:r w:rsidRPr="00340CD3">
        <w:rPr>
          <w:rFonts w:cs="Calibri"/>
        </w:rPr>
        <w:t xml:space="preserve"> at</w:t>
      </w:r>
      <w:r>
        <w:rPr>
          <w:rFonts w:cs="Calibri"/>
        </w:rPr>
        <w:t xml:space="preserve"> </w:t>
      </w:r>
      <w:hyperlink r:id="rId15" w:tgtFrame="_blank" w:history="1">
        <w:r>
          <w:rPr>
            <w:rStyle w:val="Hyperlink"/>
          </w:rPr>
          <w:t>h.hodgson@tpg.com.au</w:t>
        </w:r>
      </w:hyperlink>
    </w:p>
    <w:bookmarkEnd w:id="0"/>
    <w:p w14:paraId="12849E6A" w14:textId="77777777" w:rsidR="00F56290" w:rsidRPr="00F56290" w:rsidRDefault="001C31BD" w:rsidP="00F56290">
      <w:pPr>
        <w:jc w:val="center"/>
        <w:rPr>
          <w:rFonts w:asciiTheme="majorHAnsi" w:hAnsiTheme="majorHAnsi" w:cstheme="majorHAnsi"/>
          <w:b/>
          <w:bCs/>
          <w:sz w:val="32"/>
          <w:szCs w:val="32"/>
        </w:rPr>
      </w:pPr>
      <w:r>
        <w:rPr>
          <w:rFonts w:ascii="Times New Roman" w:hAnsi="Times New Roman" w:cs="Times New Roman"/>
          <w:b/>
          <w:bCs/>
          <w:sz w:val="28"/>
          <w:szCs w:val="28"/>
        </w:rPr>
        <w:br w:type="column"/>
      </w:r>
      <w:r w:rsidR="00F56290" w:rsidRPr="00F56290">
        <w:rPr>
          <w:rFonts w:asciiTheme="majorHAnsi" w:hAnsiTheme="majorHAnsi" w:cstheme="majorHAnsi"/>
          <w:b/>
          <w:bCs/>
          <w:sz w:val="32"/>
          <w:szCs w:val="32"/>
        </w:rPr>
        <w:lastRenderedPageBreak/>
        <w:t xml:space="preserve">Pre-Budget Submission for the 2021-22 Budget </w:t>
      </w:r>
    </w:p>
    <w:p w14:paraId="425A838D" w14:textId="77777777" w:rsidR="00D46A11" w:rsidRPr="00891091" w:rsidRDefault="00D46A11">
      <w:pPr>
        <w:rPr>
          <w:rFonts w:ascii="Times New Roman" w:hAnsi="Times New Roman" w:cs="Times New Roman"/>
          <w:b/>
          <w:bCs/>
          <w:sz w:val="28"/>
          <w:szCs w:val="28"/>
        </w:rPr>
      </w:pPr>
    </w:p>
    <w:p w14:paraId="257586C0" w14:textId="77777777" w:rsidR="00D61963" w:rsidRPr="00505583" w:rsidRDefault="00D61963" w:rsidP="00505583">
      <w:pPr>
        <w:contextualSpacing/>
        <w:rPr>
          <w:sz w:val="24"/>
          <w:szCs w:val="24"/>
        </w:rPr>
      </w:pPr>
      <w:r w:rsidRPr="00505583">
        <w:rPr>
          <w:sz w:val="24"/>
          <w:szCs w:val="24"/>
        </w:rPr>
        <w:t>This submission is being made by The National Foundation for Australian Women (NFAW).</w:t>
      </w:r>
    </w:p>
    <w:p w14:paraId="28BF3504" w14:textId="77777777" w:rsidR="00D61963" w:rsidRPr="00505583" w:rsidRDefault="00D61963" w:rsidP="00505583">
      <w:pPr>
        <w:contextualSpacing/>
        <w:rPr>
          <w:sz w:val="24"/>
          <w:szCs w:val="24"/>
        </w:rPr>
      </w:pPr>
    </w:p>
    <w:p w14:paraId="4A6195F2" w14:textId="415D20DE" w:rsidR="00A0179C" w:rsidRPr="00505583" w:rsidRDefault="00D61963" w:rsidP="00505583">
      <w:pPr>
        <w:contextualSpacing/>
        <w:rPr>
          <w:sz w:val="24"/>
          <w:szCs w:val="24"/>
        </w:rPr>
      </w:pPr>
      <w:r w:rsidRPr="00505583">
        <w:rPr>
          <w:sz w:val="24"/>
          <w:szCs w:val="24"/>
        </w:rPr>
        <w:t>NFAW is dedicated to promoting and protecting the interests of Australian women, including intellectual, cultural, political, social, economic, legal, industrial and domestic spheres, and ensuring that the aims and ideals of the women’s movement and its collective wisdom are handed on to new generations of women.  NFAW is a feminist organisation, independent of party politics and working in partnership with other women’s organisations</w:t>
      </w:r>
      <w:r w:rsidR="00AF0716" w:rsidRPr="00505583">
        <w:rPr>
          <w:sz w:val="24"/>
          <w:szCs w:val="24"/>
        </w:rPr>
        <w:t>.</w:t>
      </w:r>
    </w:p>
    <w:p w14:paraId="1CC2474C" w14:textId="77777777" w:rsidR="00AF0716" w:rsidRPr="00505583" w:rsidRDefault="00AF0716" w:rsidP="00505583">
      <w:pPr>
        <w:contextualSpacing/>
        <w:rPr>
          <w:sz w:val="24"/>
          <w:szCs w:val="24"/>
        </w:rPr>
      </w:pPr>
    </w:p>
    <w:p w14:paraId="51F87742" w14:textId="77777777" w:rsidR="005B4457" w:rsidRDefault="00D124ED" w:rsidP="00505583">
      <w:pPr>
        <w:contextualSpacing/>
        <w:rPr>
          <w:sz w:val="24"/>
          <w:szCs w:val="24"/>
        </w:rPr>
      </w:pPr>
      <w:r w:rsidRPr="00505583">
        <w:rPr>
          <w:sz w:val="24"/>
          <w:szCs w:val="24"/>
        </w:rPr>
        <w:t>Gender-based analysis defines the ways in which public policies affect women and men differently. It does so through the systematic use of data to better tailor the development of government programs.</w:t>
      </w:r>
      <w:r w:rsidR="0028486F" w:rsidRPr="00505583">
        <w:rPr>
          <w:sz w:val="24"/>
          <w:szCs w:val="24"/>
        </w:rPr>
        <w:t xml:space="preserve"> The Commonwealth government stopped production of its Women’s Budget Statement, part of the official Budget papers in 2014, after 40 years of production. </w:t>
      </w:r>
    </w:p>
    <w:p w14:paraId="66A124C7" w14:textId="77777777" w:rsidR="005B4457" w:rsidRDefault="005B4457" w:rsidP="00505583">
      <w:pPr>
        <w:contextualSpacing/>
        <w:rPr>
          <w:sz w:val="24"/>
          <w:szCs w:val="24"/>
        </w:rPr>
      </w:pPr>
    </w:p>
    <w:p w14:paraId="19B10683" w14:textId="4403F37F" w:rsidR="00505583" w:rsidRDefault="00505583" w:rsidP="00505583">
      <w:pPr>
        <w:contextualSpacing/>
        <w:rPr>
          <w:sz w:val="24"/>
          <w:szCs w:val="24"/>
        </w:rPr>
      </w:pPr>
      <w:r w:rsidRPr="00505583">
        <w:rPr>
          <w:sz w:val="24"/>
          <w:szCs w:val="24"/>
        </w:rPr>
        <w:t xml:space="preserve">Unsurprisingly, </w:t>
      </w:r>
      <w:r w:rsidR="001A40F1" w:rsidRPr="00505583">
        <w:rPr>
          <w:sz w:val="24"/>
          <w:szCs w:val="24"/>
        </w:rPr>
        <w:t>NFAW and a number of other commentators noted the co</w:t>
      </w:r>
      <w:r w:rsidRPr="00505583">
        <w:rPr>
          <w:sz w:val="24"/>
          <w:szCs w:val="24"/>
        </w:rPr>
        <w:t>n</w:t>
      </w:r>
      <w:r w:rsidR="001A40F1" w:rsidRPr="00505583">
        <w:rPr>
          <w:sz w:val="24"/>
          <w:szCs w:val="24"/>
        </w:rPr>
        <w:t xml:space="preserve">spicuous absence of gender-based budgeting in </w:t>
      </w:r>
      <w:r w:rsidR="00E31B43">
        <w:rPr>
          <w:sz w:val="24"/>
          <w:szCs w:val="24"/>
        </w:rPr>
        <w:t>the August</w:t>
      </w:r>
      <w:r w:rsidR="001A40F1" w:rsidRPr="00505583">
        <w:rPr>
          <w:sz w:val="24"/>
          <w:szCs w:val="24"/>
        </w:rPr>
        <w:t xml:space="preserve"> B</w:t>
      </w:r>
      <w:r>
        <w:rPr>
          <w:sz w:val="24"/>
          <w:szCs w:val="24"/>
        </w:rPr>
        <w:t>u</w:t>
      </w:r>
      <w:r w:rsidR="001A40F1" w:rsidRPr="00505583">
        <w:rPr>
          <w:sz w:val="24"/>
          <w:szCs w:val="24"/>
        </w:rPr>
        <w:t xml:space="preserve">dget.  </w:t>
      </w:r>
      <w:r w:rsidR="00E31B43" w:rsidRPr="00E31B43">
        <w:rPr>
          <w:sz w:val="24"/>
          <w:szCs w:val="24"/>
        </w:rPr>
        <w:t xml:space="preserve">The areas targeted in the </w:t>
      </w:r>
      <w:r w:rsidR="00E31B43">
        <w:rPr>
          <w:sz w:val="24"/>
          <w:szCs w:val="24"/>
        </w:rPr>
        <w:t>B</w:t>
      </w:r>
      <w:r w:rsidR="00E31B43" w:rsidRPr="00E31B43">
        <w:rPr>
          <w:sz w:val="24"/>
          <w:szCs w:val="24"/>
        </w:rPr>
        <w:t>udget--construction, energy, transport and manufacturing--</w:t>
      </w:r>
      <w:r w:rsidR="00E31B43">
        <w:rPr>
          <w:sz w:val="24"/>
          <w:szCs w:val="24"/>
        </w:rPr>
        <w:t>wer</w:t>
      </w:r>
      <w:r w:rsidR="00E31B43" w:rsidRPr="00E31B43">
        <w:rPr>
          <w:sz w:val="24"/>
          <w:szCs w:val="24"/>
        </w:rPr>
        <w:t>e all male dominated. They received a combined $27billion. However, prior to COVID-19 it was the service sectors that dominated employment growth rather than those traditional male sectors.</w:t>
      </w:r>
    </w:p>
    <w:p w14:paraId="7BB92906" w14:textId="77777777" w:rsidR="00505583" w:rsidRPr="00505583" w:rsidRDefault="00505583" w:rsidP="00505583">
      <w:pPr>
        <w:contextualSpacing/>
        <w:rPr>
          <w:sz w:val="24"/>
          <w:szCs w:val="24"/>
        </w:rPr>
      </w:pPr>
    </w:p>
    <w:p w14:paraId="7EE56556" w14:textId="29BDEBD8" w:rsidR="00505583" w:rsidRDefault="001A40F1" w:rsidP="00505583">
      <w:pPr>
        <w:contextualSpacing/>
        <w:rPr>
          <w:sz w:val="24"/>
          <w:szCs w:val="24"/>
        </w:rPr>
      </w:pPr>
      <w:r w:rsidRPr="00505583">
        <w:rPr>
          <w:sz w:val="24"/>
          <w:szCs w:val="24"/>
        </w:rPr>
        <w:t>We</w:t>
      </w:r>
      <w:r w:rsidR="006967CD" w:rsidRPr="00505583">
        <w:rPr>
          <w:sz w:val="24"/>
          <w:szCs w:val="24"/>
        </w:rPr>
        <w:t xml:space="preserve"> believe the </w:t>
      </w:r>
      <w:r w:rsidRPr="00505583">
        <w:rPr>
          <w:sz w:val="24"/>
          <w:szCs w:val="24"/>
        </w:rPr>
        <w:t xml:space="preserve">2020 </w:t>
      </w:r>
      <w:r w:rsidR="00E31B43">
        <w:rPr>
          <w:sz w:val="24"/>
          <w:szCs w:val="24"/>
        </w:rPr>
        <w:t>B</w:t>
      </w:r>
      <w:r w:rsidR="006967CD" w:rsidRPr="00505583">
        <w:rPr>
          <w:sz w:val="24"/>
          <w:szCs w:val="24"/>
        </w:rPr>
        <w:t xml:space="preserve">udget </w:t>
      </w:r>
      <w:r w:rsidRPr="00505583">
        <w:rPr>
          <w:sz w:val="24"/>
          <w:szCs w:val="24"/>
        </w:rPr>
        <w:t>was</w:t>
      </w:r>
      <w:r w:rsidR="006967CD" w:rsidRPr="00505583">
        <w:rPr>
          <w:sz w:val="24"/>
          <w:szCs w:val="24"/>
        </w:rPr>
        <w:t xml:space="preserve"> a lost opportunity to maximise employment growth, to invest in social infrastructure with the greatest multiplier effects and to address the structural problems in female dominated areas that COVID-19 has exposed.</w:t>
      </w:r>
      <w:r w:rsidR="00505583" w:rsidRPr="00505583">
        <w:rPr>
          <w:sz w:val="24"/>
          <w:szCs w:val="24"/>
        </w:rPr>
        <w:t xml:space="preserve"> </w:t>
      </w:r>
    </w:p>
    <w:p w14:paraId="58F7926C" w14:textId="77777777" w:rsidR="00505583" w:rsidRPr="00505583" w:rsidRDefault="00505583" w:rsidP="00505583">
      <w:pPr>
        <w:contextualSpacing/>
        <w:rPr>
          <w:sz w:val="24"/>
          <w:szCs w:val="24"/>
        </w:rPr>
      </w:pPr>
    </w:p>
    <w:p w14:paraId="0D0A68E8" w14:textId="7224758A" w:rsidR="00505583" w:rsidRDefault="00505583" w:rsidP="005B4457">
      <w:pPr>
        <w:contextualSpacing/>
        <w:rPr>
          <w:sz w:val="24"/>
          <w:szCs w:val="24"/>
        </w:rPr>
      </w:pPr>
      <w:r w:rsidRPr="00505583">
        <w:rPr>
          <w:sz w:val="24"/>
          <w:szCs w:val="24"/>
        </w:rPr>
        <w:t xml:space="preserve">The 2021 </w:t>
      </w:r>
      <w:r w:rsidR="00E31B43">
        <w:rPr>
          <w:sz w:val="24"/>
          <w:szCs w:val="24"/>
        </w:rPr>
        <w:t>B</w:t>
      </w:r>
      <w:r w:rsidRPr="00505583">
        <w:rPr>
          <w:sz w:val="24"/>
          <w:szCs w:val="24"/>
        </w:rPr>
        <w:t xml:space="preserve">udget </w:t>
      </w:r>
      <w:r w:rsidR="00E31B43">
        <w:rPr>
          <w:sz w:val="24"/>
          <w:szCs w:val="24"/>
        </w:rPr>
        <w:t xml:space="preserve">offers </w:t>
      </w:r>
      <w:r w:rsidRPr="00505583">
        <w:rPr>
          <w:sz w:val="24"/>
          <w:szCs w:val="24"/>
        </w:rPr>
        <w:t xml:space="preserve">scope to </w:t>
      </w:r>
      <w:r w:rsidR="00E31B43">
        <w:rPr>
          <w:sz w:val="24"/>
          <w:szCs w:val="24"/>
        </w:rPr>
        <w:t>address the deficiencies of the 2020 Budget</w:t>
      </w:r>
      <w:r w:rsidRPr="00505583">
        <w:rPr>
          <w:sz w:val="24"/>
          <w:szCs w:val="24"/>
        </w:rPr>
        <w:t xml:space="preserve">. NFAW </w:t>
      </w:r>
      <w:r w:rsidR="00E31B43">
        <w:rPr>
          <w:sz w:val="24"/>
          <w:szCs w:val="24"/>
        </w:rPr>
        <w:t xml:space="preserve">has commissioned independent modelling to assess </w:t>
      </w:r>
      <w:r w:rsidR="00E31B43" w:rsidRPr="00505583">
        <w:rPr>
          <w:sz w:val="24"/>
          <w:szCs w:val="24"/>
        </w:rPr>
        <w:t xml:space="preserve">the impacts on GDP that would flow from an increase in government-funded provision of services in the child care, residential aged care and residential disabled care and other social assistance over four years from 2021-22 onwards. </w:t>
      </w:r>
    </w:p>
    <w:p w14:paraId="7BBE10E9" w14:textId="459BBC7F" w:rsidR="00E31B43" w:rsidRDefault="00E31B43" w:rsidP="005B4457">
      <w:pPr>
        <w:contextualSpacing/>
        <w:rPr>
          <w:sz w:val="24"/>
          <w:szCs w:val="24"/>
        </w:rPr>
      </w:pPr>
    </w:p>
    <w:p w14:paraId="15036FB9" w14:textId="79A3D9D1" w:rsidR="00E31B43" w:rsidRPr="000C028B" w:rsidRDefault="00E31B43" w:rsidP="005B4457">
      <w:pPr>
        <w:spacing w:after="120"/>
        <w:rPr>
          <w:sz w:val="24"/>
          <w:szCs w:val="24"/>
        </w:rPr>
      </w:pPr>
      <w:r w:rsidRPr="000C028B">
        <w:rPr>
          <w:sz w:val="24"/>
          <w:szCs w:val="24"/>
        </w:rPr>
        <w:t xml:space="preserve">Under </w:t>
      </w:r>
      <w:r w:rsidR="00252A37">
        <w:rPr>
          <w:sz w:val="24"/>
          <w:szCs w:val="24"/>
        </w:rPr>
        <w:t>our</w:t>
      </w:r>
      <w:r w:rsidRPr="000C028B">
        <w:rPr>
          <w:sz w:val="24"/>
          <w:szCs w:val="24"/>
        </w:rPr>
        <w:t xml:space="preserve"> hypothesised scenario, an increase in government-funded service delivery in the child care, aged care and disability care sectors</w:t>
      </w:r>
      <w:r>
        <w:rPr>
          <w:sz w:val="24"/>
          <w:szCs w:val="24"/>
        </w:rPr>
        <w:t xml:space="preserve"> beginning in 2021</w:t>
      </w:r>
      <w:r w:rsidRPr="000C028B">
        <w:rPr>
          <w:sz w:val="24"/>
          <w:szCs w:val="24"/>
        </w:rPr>
        <w:t xml:space="preserve"> would generate </w:t>
      </w:r>
      <w:r>
        <w:rPr>
          <w:sz w:val="24"/>
          <w:szCs w:val="24"/>
        </w:rPr>
        <w:t xml:space="preserve">an </w:t>
      </w:r>
      <w:r w:rsidRPr="000C028B">
        <w:rPr>
          <w:sz w:val="24"/>
          <w:szCs w:val="24"/>
        </w:rPr>
        <w:t xml:space="preserve">increase GDP </w:t>
      </w:r>
      <w:r>
        <w:rPr>
          <w:sz w:val="24"/>
          <w:szCs w:val="24"/>
        </w:rPr>
        <w:t>as soon as it was introduced</w:t>
      </w:r>
      <w:r w:rsidRPr="000C028B">
        <w:rPr>
          <w:sz w:val="24"/>
          <w:szCs w:val="24"/>
        </w:rPr>
        <w:t xml:space="preserve">. By 2030, GDP is estimated to be 1.64 per cent higher than it would be in the absence of this investment. </w:t>
      </w:r>
    </w:p>
    <w:p w14:paraId="6BA97F69" w14:textId="77777777" w:rsidR="00F56290" w:rsidRDefault="00F56290" w:rsidP="00F56290"/>
    <w:p w14:paraId="59B4F54D" w14:textId="77777777" w:rsidR="00C463EB" w:rsidRDefault="00C463EB" w:rsidP="006967CD">
      <w:pPr>
        <w:rPr>
          <w:rFonts w:asciiTheme="majorHAnsi" w:hAnsiTheme="majorHAnsi" w:cstheme="majorHAnsi"/>
          <w:b/>
          <w:bCs/>
          <w:sz w:val="28"/>
          <w:szCs w:val="28"/>
        </w:rPr>
      </w:pPr>
      <w:r>
        <w:rPr>
          <w:rFonts w:asciiTheme="majorHAnsi" w:hAnsiTheme="majorHAnsi" w:cstheme="majorHAnsi"/>
          <w:b/>
          <w:bCs/>
          <w:sz w:val="28"/>
          <w:szCs w:val="28"/>
        </w:rPr>
        <w:br w:type="page"/>
      </w:r>
    </w:p>
    <w:p w14:paraId="427F9773" w14:textId="7AEFB9B9" w:rsidR="006967CD" w:rsidRPr="006967CD" w:rsidRDefault="006967CD" w:rsidP="006967CD">
      <w:pPr>
        <w:rPr>
          <w:rFonts w:asciiTheme="majorHAnsi" w:hAnsiTheme="majorHAnsi" w:cstheme="majorHAnsi"/>
          <w:b/>
          <w:bCs/>
          <w:sz w:val="28"/>
          <w:szCs w:val="28"/>
        </w:rPr>
      </w:pPr>
      <w:r w:rsidRPr="006967CD">
        <w:rPr>
          <w:rFonts w:asciiTheme="majorHAnsi" w:hAnsiTheme="majorHAnsi" w:cstheme="majorHAnsi"/>
          <w:b/>
          <w:bCs/>
          <w:sz w:val="28"/>
          <w:szCs w:val="28"/>
        </w:rPr>
        <w:lastRenderedPageBreak/>
        <w:t xml:space="preserve">Key statistics and findings </w:t>
      </w:r>
    </w:p>
    <w:p w14:paraId="2A592B50" w14:textId="77777777" w:rsidR="00D124ED" w:rsidRDefault="00D124ED" w:rsidP="00D124ED">
      <w:pPr>
        <w:jc w:val="both"/>
        <w:rPr>
          <w:rFonts w:cstheme="minorHAnsi"/>
          <w:sz w:val="24"/>
          <w:szCs w:val="24"/>
        </w:rPr>
      </w:pPr>
    </w:p>
    <w:tbl>
      <w:tblPr>
        <w:tblStyle w:val="TableGrid"/>
        <w:tblW w:w="0" w:type="auto"/>
        <w:tblBorders>
          <w:top w:val="double" w:sz="4" w:space="0" w:color="auto"/>
          <w:bottom w:val="double" w:sz="4" w:space="0" w:color="auto"/>
          <w:insideH w:val="none" w:sz="0" w:space="0" w:color="auto"/>
          <w:insideV w:val="none" w:sz="0" w:space="0" w:color="auto"/>
        </w:tblBorders>
        <w:tblLook w:val="04A0" w:firstRow="1" w:lastRow="0" w:firstColumn="1" w:lastColumn="0" w:noHBand="0" w:noVBand="1"/>
      </w:tblPr>
      <w:tblGrid>
        <w:gridCol w:w="9016"/>
      </w:tblGrid>
      <w:tr w:rsidR="00D124ED" w14:paraId="251BDC92" w14:textId="77777777" w:rsidTr="005B4457">
        <w:tc>
          <w:tcPr>
            <w:tcW w:w="9016" w:type="dxa"/>
            <w:tcBorders>
              <w:top w:val="double" w:sz="4" w:space="0" w:color="ED7D31" w:themeColor="accent2"/>
              <w:left w:val="nil"/>
              <w:bottom w:val="double" w:sz="4" w:space="0" w:color="ED7D31" w:themeColor="accent2"/>
              <w:right w:val="nil"/>
            </w:tcBorders>
          </w:tcPr>
          <w:p w14:paraId="39DF6D5C" w14:textId="77777777" w:rsidR="00D124ED" w:rsidRDefault="00D124ED" w:rsidP="005B4457"/>
          <w:p w14:paraId="1F5182B6" w14:textId="5ED940D3" w:rsidR="00D124ED" w:rsidRDefault="00D124ED" w:rsidP="0028486F">
            <w:pPr>
              <w:pStyle w:val="Heading1"/>
              <w:spacing w:before="0" w:after="120"/>
              <w:jc w:val="center"/>
              <w:outlineLvl w:val="0"/>
            </w:pPr>
            <w:r w:rsidRPr="00D213E0">
              <w:rPr>
                <w:color w:val="auto"/>
              </w:rPr>
              <w:t>A Care-led Recovery from Coron</w:t>
            </w:r>
            <w:r>
              <w:rPr>
                <w:color w:val="auto"/>
              </w:rPr>
              <w:t>a</w:t>
            </w:r>
            <w:r w:rsidRPr="00D213E0">
              <w:rPr>
                <w:color w:val="auto"/>
              </w:rPr>
              <w:t>virus</w:t>
            </w:r>
          </w:p>
          <w:p w14:paraId="6E4EAD70" w14:textId="76F0ED7E" w:rsidR="00252A37" w:rsidRPr="00252A37" w:rsidRDefault="00D124ED" w:rsidP="005B4457">
            <w:pPr>
              <w:pStyle w:val="ListParagraph"/>
              <w:numPr>
                <w:ilvl w:val="0"/>
                <w:numId w:val="19"/>
              </w:numPr>
              <w:spacing w:after="120"/>
              <w:ind w:left="323" w:hanging="321"/>
              <w:contextualSpacing w:val="0"/>
              <w:jc w:val="both"/>
              <w:rPr>
                <w:sz w:val="24"/>
                <w:szCs w:val="24"/>
              </w:rPr>
            </w:pPr>
            <w:r w:rsidRPr="00252A37">
              <w:rPr>
                <w:sz w:val="24"/>
                <w:szCs w:val="24"/>
              </w:rPr>
              <w:t xml:space="preserve">More than 900 000 people with unpaid caring responsibilities caring for young children, the elderly, or people with disabilities would like to work more hours in paid employment. Over two thirds are women. </w:t>
            </w:r>
          </w:p>
          <w:p w14:paraId="25BC532A" w14:textId="1EABC653" w:rsidR="00252A37" w:rsidRPr="00252A37" w:rsidRDefault="00D124ED" w:rsidP="00252A37">
            <w:pPr>
              <w:pStyle w:val="ListParagraph"/>
              <w:numPr>
                <w:ilvl w:val="0"/>
                <w:numId w:val="19"/>
              </w:numPr>
              <w:spacing w:after="120"/>
              <w:ind w:left="323" w:hanging="321"/>
              <w:contextualSpacing w:val="0"/>
              <w:jc w:val="both"/>
              <w:rPr>
                <w:sz w:val="24"/>
                <w:szCs w:val="24"/>
              </w:rPr>
            </w:pPr>
            <w:r w:rsidRPr="006B4866">
              <w:rPr>
                <w:sz w:val="24"/>
                <w:szCs w:val="24"/>
              </w:rPr>
              <w:t>Government investment in the care sector would help address women’s disadvantage in the labour market, reduce the gender pay gap, improve service delivery and contribute to an increase in national labour force participation.</w:t>
            </w:r>
          </w:p>
          <w:p w14:paraId="1849F487" w14:textId="77777777" w:rsidR="00D124ED" w:rsidRPr="006B4866" w:rsidRDefault="00D124ED" w:rsidP="00252A37">
            <w:pPr>
              <w:pStyle w:val="ListParagraph"/>
              <w:numPr>
                <w:ilvl w:val="0"/>
                <w:numId w:val="19"/>
              </w:numPr>
              <w:spacing w:after="120"/>
              <w:ind w:left="323" w:hanging="321"/>
              <w:contextualSpacing w:val="0"/>
              <w:jc w:val="both"/>
              <w:rPr>
                <w:sz w:val="24"/>
                <w:szCs w:val="24"/>
              </w:rPr>
            </w:pPr>
            <w:r w:rsidRPr="006B4866">
              <w:rPr>
                <w:sz w:val="24"/>
                <w:szCs w:val="24"/>
              </w:rPr>
              <w:t>Greater provision of government funded care services would increase labour supply by an estimated increase of just over 2 percent.</w:t>
            </w:r>
          </w:p>
          <w:p w14:paraId="6836AA32" w14:textId="67051801" w:rsidR="00D124ED" w:rsidRPr="006B4866" w:rsidRDefault="00D124ED" w:rsidP="00252A37">
            <w:pPr>
              <w:pStyle w:val="ListParagraph"/>
              <w:numPr>
                <w:ilvl w:val="0"/>
                <w:numId w:val="19"/>
              </w:numPr>
              <w:spacing w:after="120"/>
              <w:ind w:left="323" w:hanging="321"/>
              <w:contextualSpacing w:val="0"/>
              <w:jc w:val="both"/>
              <w:rPr>
                <w:sz w:val="24"/>
                <w:szCs w:val="24"/>
              </w:rPr>
            </w:pPr>
            <w:r w:rsidRPr="006B4866">
              <w:rPr>
                <w:sz w:val="24"/>
                <w:szCs w:val="24"/>
              </w:rPr>
              <w:t>Additional service delivery and higher wages would increase GDP by an estimated 1.64 percentage points</w:t>
            </w:r>
            <w:r w:rsidR="00252A37">
              <w:rPr>
                <w:sz w:val="24"/>
                <w:szCs w:val="24"/>
              </w:rPr>
              <w:t xml:space="preserve"> </w:t>
            </w:r>
            <w:r w:rsidRPr="006B4866">
              <w:rPr>
                <w:sz w:val="24"/>
                <w:szCs w:val="24"/>
              </w:rPr>
              <w:t>relative to what it otherwise would have been in 2030. The investment would add more than an estimated $30 billion per year to the economy in 2018-19 prices.</w:t>
            </w:r>
          </w:p>
          <w:p w14:paraId="142C2120" w14:textId="77777777" w:rsidR="00D124ED" w:rsidRPr="006B4866" w:rsidRDefault="00D124ED" w:rsidP="00252A37">
            <w:pPr>
              <w:pStyle w:val="ListParagraph"/>
              <w:numPr>
                <w:ilvl w:val="0"/>
                <w:numId w:val="19"/>
              </w:numPr>
              <w:spacing w:after="120"/>
              <w:ind w:left="323" w:hanging="321"/>
              <w:contextualSpacing w:val="0"/>
              <w:jc w:val="both"/>
              <w:rPr>
                <w:sz w:val="24"/>
                <w:szCs w:val="24"/>
              </w:rPr>
            </w:pPr>
            <w:r w:rsidRPr="006B4866">
              <w:rPr>
                <w:sz w:val="24"/>
                <w:szCs w:val="24"/>
              </w:rPr>
              <w:t>Costs would be partially recouped in increased income and consumption tax revenue, offsetting the estimated $19 billion costs in 2030 with a net impact on the deficit of less than $3 billion.</w:t>
            </w:r>
          </w:p>
          <w:p w14:paraId="7BFF7DBF" w14:textId="77777777" w:rsidR="00D124ED" w:rsidRDefault="00D124ED" w:rsidP="005B4457">
            <w:pPr>
              <w:jc w:val="both"/>
              <w:rPr>
                <w:sz w:val="20"/>
                <w:szCs w:val="20"/>
              </w:rPr>
            </w:pPr>
          </w:p>
          <w:p w14:paraId="13880046" w14:textId="77777777" w:rsidR="00D124ED" w:rsidRPr="00D213E0" w:rsidRDefault="00D124ED" w:rsidP="005B4457">
            <w:pPr>
              <w:jc w:val="both"/>
              <w:rPr>
                <w:sz w:val="20"/>
                <w:szCs w:val="20"/>
              </w:rPr>
            </w:pPr>
            <w:r w:rsidRPr="00D213E0">
              <w:rPr>
                <w:sz w:val="20"/>
                <w:szCs w:val="20"/>
              </w:rPr>
              <w:t xml:space="preserve">(See </w:t>
            </w:r>
            <w:r w:rsidRPr="00D213E0">
              <w:rPr>
                <w:b/>
                <w:bCs/>
                <w:sz w:val="20"/>
                <w:szCs w:val="20"/>
              </w:rPr>
              <w:t>Appendix A: Simulations of increased government expenditure in the care sectors</w:t>
            </w:r>
            <w:r w:rsidRPr="00D213E0">
              <w:rPr>
                <w:sz w:val="20"/>
                <w:szCs w:val="20"/>
              </w:rPr>
              <w:t xml:space="preserve">, by Janine Dixon, Centre of Public Studies, Victoria University) </w:t>
            </w:r>
          </w:p>
          <w:p w14:paraId="637F48E1" w14:textId="77777777" w:rsidR="00D124ED" w:rsidRDefault="00D124ED" w:rsidP="005B4457"/>
        </w:tc>
      </w:tr>
    </w:tbl>
    <w:p w14:paraId="0B1C3C81" w14:textId="77777777" w:rsidR="00F56290" w:rsidRDefault="00F56290" w:rsidP="00F56290"/>
    <w:p w14:paraId="05B69F34" w14:textId="35B63E5C" w:rsidR="00672444" w:rsidRDefault="00672444" w:rsidP="00252A37">
      <w:pPr>
        <w:rPr>
          <w:rFonts w:asciiTheme="majorHAnsi" w:hAnsiTheme="majorHAnsi" w:cstheme="majorHAnsi"/>
          <w:b/>
          <w:bCs/>
          <w:sz w:val="28"/>
          <w:szCs w:val="28"/>
        </w:rPr>
      </w:pPr>
      <w:r w:rsidRPr="00506F01">
        <w:rPr>
          <w:rFonts w:asciiTheme="majorHAnsi" w:hAnsiTheme="majorHAnsi" w:cstheme="majorHAnsi"/>
          <w:b/>
          <w:bCs/>
          <w:sz w:val="28"/>
          <w:szCs w:val="28"/>
        </w:rPr>
        <w:t xml:space="preserve">Recommendations </w:t>
      </w:r>
    </w:p>
    <w:p w14:paraId="2B831B67" w14:textId="77777777" w:rsidR="0028486F" w:rsidRDefault="0028486F" w:rsidP="00252A37">
      <w:pPr>
        <w:rPr>
          <w:rFonts w:asciiTheme="majorHAnsi" w:hAnsiTheme="majorHAnsi" w:cstheme="majorHAnsi"/>
          <w:b/>
          <w:bCs/>
          <w:sz w:val="28"/>
          <w:szCs w:val="28"/>
        </w:rPr>
      </w:pPr>
    </w:p>
    <w:p w14:paraId="0CAACC6D" w14:textId="19F17319" w:rsidR="001A40F1" w:rsidRPr="001A40F1" w:rsidRDefault="0028486F" w:rsidP="00252A37">
      <w:pPr>
        <w:pStyle w:val="PBS16BulletList"/>
        <w:numPr>
          <w:ilvl w:val="0"/>
          <w:numId w:val="0"/>
        </w:numPr>
        <w:spacing w:before="0" w:after="0" w:line="240" w:lineRule="auto"/>
        <w:jc w:val="left"/>
        <w:rPr>
          <w:rFonts w:asciiTheme="majorHAnsi" w:hAnsiTheme="majorHAnsi" w:cstheme="majorHAnsi"/>
          <w:b/>
          <w:bCs/>
          <w:sz w:val="28"/>
          <w:szCs w:val="28"/>
        </w:rPr>
      </w:pPr>
      <w:r>
        <w:rPr>
          <w:rFonts w:asciiTheme="minorHAnsi" w:eastAsiaTheme="minorEastAsia" w:hAnsiTheme="minorHAnsi" w:cstheme="minorBidi"/>
          <w:sz w:val="24"/>
          <w:szCs w:val="24"/>
          <w:lang w:val="en-US" w:eastAsia="ja-JP"/>
        </w:rPr>
        <w:t>NFAW recommends t</w:t>
      </w:r>
      <w:r w:rsidR="001A40F1" w:rsidRPr="001A40F1">
        <w:rPr>
          <w:rFonts w:asciiTheme="minorHAnsi" w:eastAsiaTheme="minorEastAsia" w:hAnsiTheme="minorHAnsi" w:cstheme="minorBidi"/>
          <w:sz w:val="24"/>
          <w:szCs w:val="24"/>
          <w:lang w:val="en-US" w:eastAsia="ja-JP"/>
        </w:rPr>
        <w:t xml:space="preserve">hat Government provide additional stimulus funding in the 2021 </w:t>
      </w:r>
      <w:r>
        <w:rPr>
          <w:rFonts w:asciiTheme="minorHAnsi" w:eastAsiaTheme="minorEastAsia" w:hAnsiTheme="minorHAnsi" w:cstheme="minorBidi"/>
          <w:sz w:val="24"/>
          <w:szCs w:val="24"/>
          <w:lang w:val="en-US" w:eastAsia="ja-JP"/>
        </w:rPr>
        <w:t>B</w:t>
      </w:r>
      <w:r w:rsidR="001A40F1" w:rsidRPr="001A40F1">
        <w:rPr>
          <w:rFonts w:asciiTheme="minorHAnsi" w:eastAsiaTheme="minorEastAsia" w:hAnsiTheme="minorHAnsi" w:cstheme="minorBidi"/>
          <w:sz w:val="24"/>
          <w:szCs w:val="24"/>
          <w:lang w:val="en-US" w:eastAsia="ja-JP"/>
        </w:rPr>
        <w:t xml:space="preserve">udget targeting social infrastructure to provide accessible, quality care, to encourage employment and to enable employers to provide ongoing, professionalised jobs. </w:t>
      </w:r>
    </w:p>
    <w:p w14:paraId="4803DE8E" w14:textId="77777777" w:rsidR="00506F01" w:rsidRDefault="00506F01" w:rsidP="00252A37">
      <w:pPr>
        <w:rPr>
          <w:rFonts w:asciiTheme="majorHAnsi" w:hAnsiTheme="majorHAnsi" w:cstheme="majorHAnsi"/>
          <w:b/>
          <w:bCs/>
          <w:sz w:val="28"/>
          <w:szCs w:val="28"/>
        </w:rPr>
      </w:pPr>
    </w:p>
    <w:p w14:paraId="1F447718" w14:textId="251C415A" w:rsidR="00F85F0E" w:rsidRPr="00506F01" w:rsidRDefault="00247B17" w:rsidP="00252A37">
      <w:pPr>
        <w:rPr>
          <w:rFonts w:asciiTheme="majorHAnsi" w:hAnsiTheme="majorHAnsi" w:cstheme="majorHAnsi"/>
          <w:b/>
          <w:bCs/>
          <w:sz w:val="28"/>
          <w:szCs w:val="28"/>
        </w:rPr>
      </w:pPr>
      <w:bookmarkStart w:id="1" w:name="_Hlk30579847"/>
      <w:r w:rsidRPr="00506F01">
        <w:rPr>
          <w:rFonts w:asciiTheme="majorHAnsi" w:hAnsiTheme="majorHAnsi" w:cstheme="majorHAnsi"/>
          <w:b/>
          <w:bCs/>
          <w:sz w:val="28"/>
          <w:szCs w:val="28"/>
        </w:rPr>
        <w:t>Discussion</w:t>
      </w:r>
    </w:p>
    <w:p w14:paraId="000B33D0" w14:textId="48CF575A" w:rsidR="00247B17" w:rsidRDefault="00247B17" w:rsidP="00252A37">
      <w:pPr>
        <w:rPr>
          <w:b/>
          <w:bCs/>
          <w:iCs/>
        </w:rPr>
      </w:pPr>
    </w:p>
    <w:bookmarkEnd w:id="1"/>
    <w:p w14:paraId="1C19A1F7" w14:textId="2C544B94" w:rsidR="006967CD" w:rsidRPr="00ED2C62" w:rsidRDefault="006967CD" w:rsidP="00252A37">
      <w:pPr>
        <w:spacing w:after="120"/>
        <w:rPr>
          <w:sz w:val="24"/>
          <w:szCs w:val="24"/>
        </w:rPr>
      </w:pPr>
      <w:r w:rsidRPr="00ED2C62">
        <w:rPr>
          <w:sz w:val="24"/>
          <w:szCs w:val="24"/>
        </w:rPr>
        <w:t>The infrastructure and tax cut measures</w:t>
      </w:r>
      <w:r w:rsidR="00252A37" w:rsidRPr="00ED2C62">
        <w:rPr>
          <w:sz w:val="24"/>
          <w:szCs w:val="24"/>
        </w:rPr>
        <w:t xml:space="preserve"> introduced in the 2020 Budget</w:t>
      </w:r>
      <w:r w:rsidRPr="00ED2C62">
        <w:rPr>
          <w:sz w:val="24"/>
          <w:szCs w:val="24"/>
        </w:rPr>
        <w:t xml:space="preserve"> reflect</w:t>
      </w:r>
      <w:r w:rsidR="00252A37" w:rsidRPr="00ED2C62">
        <w:rPr>
          <w:sz w:val="24"/>
          <w:szCs w:val="24"/>
        </w:rPr>
        <w:t>ed</w:t>
      </w:r>
      <w:r w:rsidRPr="00ED2C62">
        <w:rPr>
          <w:sz w:val="24"/>
          <w:szCs w:val="24"/>
        </w:rPr>
        <w:t xml:space="preserve"> the government’s long-standing commitment to traditional, historical responses to economic downturns that have overlooked the pandemic’s very different impacts.</w:t>
      </w:r>
    </w:p>
    <w:p w14:paraId="1E6733C2" w14:textId="4E57E1A8" w:rsidR="006967CD" w:rsidRPr="00ED2C62" w:rsidRDefault="005B4457" w:rsidP="00252A37">
      <w:pPr>
        <w:spacing w:after="120"/>
        <w:rPr>
          <w:sz w:val="24"/>
          <w:szCs w:val="24"/>
        </w:rPr>
      </w:pPr>
      <w:r w:rsidRPr="00ED2C62">
        <w:rPr>
          <w:sz w:val="24"/>
          <w:szCs w:val="24"/>
        </w:rPr>
        <w:t>During 2020 t</w:t>
      </w:r>
      <w:r w:rsidR="006967CD" w:rsidRPr="00ED2C62">
        <w:rPr>
          <w:sz w:val="24"/>
          <w:szCs w:val="24"/>
        </w:rPr>
        <w:t>he phrases “pink-collar recession” and “she-session” entered the lexicon.  Economists, welfare groups and businesses agree</w:t>
      </w:r>
      <w:r w:rsidRPr="00ED2C62">
        <w:rPr>
          <w:sz w:val="24"/>
          <w:szCs w:val="24"/>
        </w:rPr>
        <w:t>d</w:t>
      </w:r>
      <w:r w:rsidR="006967CD" w:rsidRPr="00ED2C62">
        <w:rPr>
          <w:sz w:val="24"/>
          <w:szCs w:val="24"/>
        </w:rPr>
        <w:t xml:space="preserve"> about the negative impact </w:t>
      </w:r>
      <w:r w:rsidRPr="00ED2C62">
        <w:rPr>
          <w:sz w:val="24"/>
          <w:szCs w:val="24"/>
        </w:rPr>
        <w:t xml:space="preserve">of the pandemic </w:t>
      </w:r>
      <w:r w:rsidR="006967CD" w:rsidRPr="00ED2C62">
        <w:rPr>
          <w:sz w:val="24"/>
          <w:szCs w:val="24"/>
        </w:rPr>
        <w:t xml:space="preserve">on women. Prior to the budget many had pressed the government to use stimulus spending </w:t>
      </w:r>
      <w:r w:rsidRPr="00ED2C62">
        <w:rPr>
          <w:sz w:val="24"/>
          <w:szCs w:val="24"/>
        </w:rPr>
        <w:t>to</w:t>
      </w:r>
      <w:r w:rsidR="006967CD" w:rsidRPr="00ED2C62">
        <w:rPr>
          <w:sz w:val="24"/>
          <w:szCs w:val="24"/>
        </w:rPr>
        <w:t xml:space="preserve"> particularly address investment in social housing, support for the caring professions, child care, aged care and disability care, as well as those female-dominated sectors also hard hit in the wake of COVID-19. This </w:t>
      </w:r>
      <w:r w:rsidRPr="00ED2C62">
        <w:rPr>
          <w:sz w:val="24"/>
          <w:szCs w:val="24"/>
        </w:rPr>
        <w:t>was</w:t>
      </w:r>
      <w:r w:rsidR="006967CD" w:rsidRPr="00ED2C62">
        <w:rPr>
          <w:sz w:val="24"/>
          <w:szCs w:val="24"/>
        </w:rPr>
        <w:t xml:space="preserve"> not just because of the loss of employment but also because COVID-19 exposed the opportunity to reform a number of systemic issues and would likely provide the relatively greater increase in employment.</w:t>
      </w:r>
    </w:p>
    <w:p w14:paraId="783967B3" w14:textId="03C3F1A1" w:rsidR="006967CD" w:rsidRPr="00ED2C62" w:rsidRDefault="00252A37" w:rsidP="00252A37">
      <w:pPr>
        <w:spacing w:after="120"/>
        <w:rPr>
          <w:sz w:val="24"/>
          <w:szCs w:val="24"/>
        </w:rPr>
      </w:pPr>
      <w:r w:rsidRPr="00ED2C62">
        <w:rPr>
          <w:sz w:val="24"/>
          <w:szCs w:val="24"/>
        </w:rPr>
        <w:t>In practice the 2020 Budget was</w:t>
      </w:r>
      <w:r w:rsidR="006967CD" w:rsidRPr="00ED2C62">
        <w:rPr>
          <w:sz w:val="24"/>
          <w:szCs w:val="24"/>
        </w:rPr>
        <w:t xml:space="preserve"> based on business assistance, skills development, tax cuts and infrastructure investments to “rebuild the economy and to create jobs” (Treasurers speech, 6 October, 2020 p.17). The areas targeted in the budget--construction, energy, transport and manufacturing--</w:t>
      </w:r>
      <w:r w:rsidR="005B4457" w:rsidRPr="00ED2C62">
        <w:rPr>
          <w:sz w:val="24"/>
          <w:szCs w:val="24"/>
        </w:rPr>
        <w:t>were</w:t>
      </w:r>
      <w:r w:rsidR="006967CD" w:rsidRPr="00ED2C62">
        <w:rPr>
          <w:sz w:val="24"/>
          <w:szCs w:val="24"/>
        </w:rPr>
        <w:t xml:space="preserve"> all male dominated. They received a combined $27billion. However, prior to COVID-19 it was the service sectors that dominated employment growth rather than those traditional male sectors. This is reflected in the recent record of the growth in female participation. </w:t>
      </w:r>
      <w:r w:rsidR="005B4457" w:rsidRPr="00ED2C62">
        <w:rPr>
          <w:sz w:val="24"/>
          <w:szCs w:val="24"/>
        </w:rPr>
        <w:t>Last year’s</w:t>
      </w:r>
      <w:r w:rsidR="006967CD" w:rsidRPr="00ED2C62">
        <w:rPr>
          <w:sz w:val="24"/>
          <w:szCs w:val="24"/>
        </w:rPr>
        <w:t xml:space="preserve"> June National Accounts showed GDP decreased by 7 per cent for the quarter, while the fall in spending on services was 17.6 per cent.</w:t>
      </w:r>
    </w:p>
    <w:p w14:paraId="4D4C3025" w14:textId="77777777" w:rsidR="006967CD" w:rsidRPr="00ED2C62" w:rsidRDefault="006967CD" w:rsidP="00252A37">
      <w:pPr>
        <w:spacing w:after="120"/>
        <w:rPr>
          <w:sz w:val="24"/>
          <w:szCs w:val="24"/>
        </w:rPr>
      </w:pPr>
      <w:r w:rsidRPr="00ED2C62">
        <w:rPr>
          <w:sz w:val="24"/>
          <w:szCs w:val="24"/>
        </w:rPr>
        <w:t>During COVID-19, the majority of job losses were for women and more women than men left the labour force. The issue of withdrawal from the labour force is critical if the reason is structural rather than cyclical. This is key because increased female participation in the labour force has been vital to economic growth in recent decades. Not all those women who left the labour force have returned in the last few months.</w:t>
      </w:r>
    </w:p>
    <w:p w14:paraId="0E48A240" w14:textId="749DAE5A" w:rsidR="006967CD" w:rsidRPr="00ED2C62" w:rsidRDefault="005B4457" w:rsidP="00252A37">
      <w:pPr>
        <w:spacing w:after="120"/>
        <w:rPr>
          <w:sz w:val="24"/>
          <w:szCs w:val="24"/>
        </w:rPr>
      </w:pPr>
      <w:r w:rsidRPr="00ED2C62">
        <w:rPr>
          <w:sz w:val="24"/>
          <w:szCs w:val="24"/>
        </w:rPr>
        <w:t xml:space="preserve">Further, </w:t>
      </w:r>
      <w:r w:rsidR="006967CD" w:rsidRPr="00ED2C62">
        <w:rPr>
          <w:sz w:val="24"/>
          <w:szCs w:val="24"/>
        </w:rPr>
        <w:t>COVID-19 exposed the effect of marketisation/privatisation on the provision of human services such as in aged care, childcare and disability. Profit has too often won out over quality of services.</w:t>
      </w:r>
    </w:p>
    <w:p w14:paraId="13852AB9" w14:textId="04B2CD22" w:rsidR="006967CD" w:rsidRPr="00ED2C62" w:rsidRDefault="006967CD" w:rsidP="00252A37">
      <w:pPr>
        <w:spacing w:after="120"/>
        <w:rPr>
          <w:sz w:val="24"/>
          <w:szCs w:val="24"/>
        </w:rPr>
      </w:pPr>
      <w:r w:rsidRPr="00ED2C62">
        <w:rPr>
          <w:sz w:val="24"/>
          <w:szCs w:val="24"/>
        </w:rPr>
        <w:t xml:space="preserve">Our independent modelling (Appendix A), provided by Janine Dixson of the Centre of Public Studies at Victoria University, provides an alternative scenario whereby government investment in the care sector could lead to an expansionary effect on overall demand and reset the economy at higher levels of activity. </w:t>
      </w:r>
    </w:p>
    <w:p w14:paraId="5A743C22" w14:textId="3833D9B1" w:rsidR="005B4457" w:rsidRDefault="005B4457" w:rsidP="00252A37">
      <w:pPr>
        <w:spacing w:after="120"/>
      </w:pPr>
    </w:p>
    <w:p w14:paraId="38332003" w14:textId="77777777" w:rsidR="005B4457" w:rsidRDefault="005B4457" w:rsidP="00252A37">
      <w:pPr>
        <w:spacing w:after="120"/>
      </w:pPr>
    </w:p>
    <w:p w14:paraId="0E98CDD4" w14:textId="77777777" w:rsidR="0028486F" w:rsidRDefault="0028486F" w:rsidP="00252A37">
      <w:pPr>
        <w:pStyle w:val="Heading1"/>
      </w:pPr>
      <w:r>
        <w:t>Modelling results: Investing in care sectors would lift GDP further</w:t>
      </w:r>
    </w:p>
    <w:p w14:paraId="3ABD2149" w14:textId="77777777" w:rsidR="005B4457" w:rsidRDefault="005B4457" w:rsidP="00252A37">
      <w:pPr>
        <w:rPr>
          <w:sz w:val="24"/>
          <w:szCs w:val="24"/>
        </w:rPr>
      </w:pPr>
    </w:p>
    <w:p w14:paraId="171CF4CB" w14:textId="4F0CD7BC" w:rsidR="0028486F" w:rsidRDefault="0028486F" w:rsidP="00252A37">
      <w:pPr>
        <w:rPr>
          <w:sz w:val="24"/>
          <w:szCs w:val="24"/>
        </w:rPr>
      </w:pPr>
      <w:r w:rsidRPr="000C028B">
        <w:rPr>
          <w:sz w:val="24"/>
          <w:szCs w:val="24"/>
        </w:rPr>
        <w:t xml:space="preserve">Independent modelling commissioned by the NFAW analysed the impacts on GDP that would flow from an increase in government-funded provision of services in the child care, residential aged care and residential disabled care and other social assistance over four years from 2021-22 onwards. </w:t>
      </w:r>
    </w:p>
    <w:p w14:paraId="2EA4E5DA" w14:textId="77777777" w:rsidR="005B4457" w:rsidRPr="000C028B" w:rsidRDefault="005B4457" w:rsidP="00252A37">
      <w:pPr>
        <w:rPr>
          <w:sz w:val="24"/>
          <w:szCs w:val="24"/>
        </w:rPr>
      </w:pPr>
    </w:p>
    <w:p w14:paraId="4CE7BAC1" w14:textId="0712B5F7" w:rsidR="0028486F" w:rsidRDefault="0028486F" w:rsidP="00252A37">
      <w:pPr>
        <w:rPr>
          <w:sz w:val="24"/>
          <w:szCs w:val="24"/>
        </w:rPr>
      </w:pPr>
      <w:r w:rsidRPr="000C028B">
        <w:rPr>
          <w:sz w:val="24"/>
          <w:szCs w:val="24"/>
        </w:rPr>
        <w:t>The size of this investment is based on identifying how many people with unpaid caring responsibilities would work more if more care services were available. The available data indicates that for around 923,000 people, caring responsibilities act as a barrier to workforce participation. The model assumes that government-funded care services would be expanded to meet this need.</w:t>
      </w:r>
    </w:p>
    <w:p w14:paraId="73DB6911" w14:textId="77777777" w:rsidR="005B4457" w:rsidRPr="000C028B" w:rsidRDefault="005B4457" w:rsidP="00252A37">
      <w:pPr>
        <w:rPr>
          <w:sz w:val="24"/>
          <w:szCs w:val="24"/>
        </w:rPr>
      </w:pPr>
    </w:p>
    <w:p w14:paraId="70F461FD" w14:textId="435AB50D" w:rsidR="0028486F" w:rsidRDefault="0028486F" w:rsidP="00252A37">
      <w:pPr>
        <w:rPr>
          <w:sz w:val="24"/>
          <w:szCs w:val="24"/>
        </w:rPr>
      </w:pPr>
      <w:r w:rsidRPr="000C028B">
        <w:rPr>
          <w:sz w:val="24"/>
          <w:szCs w:val="24"/>
        </w:rPr>
        <w:t>To support this expansion in service delivery, it is assumed that the wages of workers in these care sectors will rise, the capital stock of the sector will grow, and labour supply (measured by hours of work) would also expand to deliver these services, particularly generating more jobs for women given the female-dominated nature of these workforces.</w:t>
      </w:r>
    </w:p>
    <w:p w14:paraId="09E08194" w14:textId="77777777" w:rsidR="005B4457" w:rsidRPr="000C028B" w:rsidRDefault="005B4457" w:rsidP="00252A37">
      <w:pPr>
        <w:rPr>
          <w:sz w:val="24"/>
          <w:szCs w:val="24"/>
        </w:rPr>
      </w:pPr>
    </w:p>
    <w:p w14:paraId="6A602BFB" w14:textId="77777777" w:rsidR="0028486F" w:rsidRPr="000C028B" w:rsidRDefault="0028486F" w:rsidP="00252A37">
      <w:pPr>
        <w:spacing w:after="120"/>
        <w:rPr>
          <w:sz w:val="24"/>
          <w:szCs w:val="24"/>
        </w:rPr>
      </w:pPr>
      <w:r w:rsidRPr="000C028B">
        <w:rPr>
          <w:sz w:val="24"/>
          <w:szCs w:val="24"/>
        </w:rPr>
        <w:t>Under this hypothesised scenario, an increase in government-funded service delivery in the child care, aged care and disability care sectors</w:t>
      </w:r>
      <w:r>
        <w:rPr>
          <w:sz w:val="24"/>
          <w:szCs w:val="24"/>
        </w:rPr>
        <w:t xml:space="preserve"> beginning in 2021</w:t>
      </w:r>
      <w:r w:rsidRPr="000C028B">
        <w:rPr>
          <w:sz w:val="24"/>
          <w:szCs w:val="24"/>
        </w:rPr>
        <w:t xml:space="preserve"> would generate </w:t>
      </w:r>
      <w:r>
        <w:rPr>
          <w:sz w:val="24"/>
          <w:szCs w:val="24"/>
        </w:rPr>
        <w:t xml:space="preserve">an </w:t>
      </w:r>
      <w:r w:rsidRPr="000C028B">
        <w:rPr>
          <w:sz w:val="24"/>
          <w:szCs w:val="24"/>
        </w:rPr>
        <w:t xml:space="preserve">increase GDP </w:t>
      </w:r>
      <w:r>
        <w:rPr>
          <w:sz w:val="24"/>
          <w:szCs w:val="24"/>
        </w:rPr>
        <w:t>as soon as it was introduced</w:t>
      </w:r>
      <w:r w:rsidRPr="000C028B">
        <w:rPr>
          <w:sz w:val="24"/>
          <w:szCs w:val="24"/>
        </w:rPr>
        <w:t xml:space="preserve">. By 2030, GDP is estimated to be 1.64 per cent higher than it would be in the absence of this investment. </w:t>
      </w:r>
    </w:p>
    <w:p w14:paraId="06842CCE" w14:textId="77777777" w:rsidR="0028486F" w:rsidRPr="000C028B" w:rsidRDefault="0028486F" w:rsidP="00252A37">
      <w:pPr>
        <w:spacing w:after="120"/>
        <w:rPr>
          <w:sz w:val="24"/>
          <w:szCs w:val="24"/>
        </w:rPr>
      </w:pPr>
      <w:r w:rsidRPr="000C028B">
        <w:rPr>
          <w:sz w:val="24"/>
          <w:szCs w:val="24"/>
        </w:rPr>
        <w:t>Higher GDP is achieved not only via higher public expenditure, but also through higher household consumption and business investment and a strengthening of the currency. This effect is achieved via several channels:</w:t>
      </w:r>
    </w:p>
    <w:p w14:paraId="17B78E8A" w14:textId="77777777" w:rsidR="0028486F" w:rsidRPr="000C028B" w:rsidRDefault="0028486F" w:rsidP="00252A37">
      <w:pPr>
        <w:pStyle w:val="ListParagraph"/>
        <w:numPr>
          <w:ilvl w:val="0"/>
          <w:numId w:val="21"/>
        </w:numPr>
        <w:spacing w:after="160" w:line="276" w:lineRule="auto"/>
        <w:rPr>
          <w:sz w:val="24"/>
          <w:szCs w:val="24"/>
        </w:rPr>
      </w:pPr>
      <w:r w:rsidRPr="000C028B">
        <w:rPr>
          <w:sz w:val="24"/>
          <w:szCs w:val="24"/>
        </w:rPr>
        <w:t>people with caring responsibilities would be relieved of these responsibilities, allowing them to allocate more time towards paid work and earn more paid income</w:t>
      </w:r>
    </w:p>
    <w:p w14:paraId="77E40458" w14:textId="77777777" w:rsidR="0028486F" w:rsidRPr="000C028B" w:rsidRDefault="0028486F" w:rsidP="00252A37">
      <w:pPr>
        <w:pStyle w:val="ListParagraph"/>
        <w:numPr>
          <w:ilvl w:val="0"/>
          <w:numId w:val="21"/>
        </w:numPr>
        <w:spacing w:after="160" w:line="276" w:lineRule="auto"/>
        <w:rPr>
          <w:sz w:val="24"/>
          <w:szCs w:val="24"/>
        </w:rPr>
      </w:pPr>
      <w:r w:rsidRPr="000C028B">
        <w:rPr>
          <w:sz w:val="24"/>
          <w:szCs w:val="24"/>
        </w:rPr>
        <w:t>the higher workforce involvement of these carers would have the effect of expanding the pool of available workers that employers can draw from</w:t>
      </w:r>
    </w:p>
    <w:p w14:paraId="0187975D" w14:textId="77777777" w:rsidR="0028486F" w:rsidRPr="000C028B" w:rsidRDefault="0028486F" w:rsidP="00252A37">
      <w:pPr>
        <w:pStyle w:val="ListParagraph"/>
        <w:numPr>
          <w:ilvl w:val="0"/>
          <w:numId w:val="21"/>
        </w:numPr>
        <w:spacing w:after="160" w:line="276" w:lineRule="auto"/>
        <w:rPr>
          <w:sz w:val="24"/>
          <w:szCs w:val="24"/>
        </w:rPr>
      </w:pPr>
      <w:r w:rsidRPr="000C028B">
        <w:rPr>
          <w:sz w:val="24"/>
          <w:szCs w:val="24"/>
        </w:rPr>
        <w:t>the government would receive more revenue via income taxes, GST and payroll taxes</w:t>
      </w:r>
    </w:p>
    <w:p w14:paraId="49C673C5" w14:textId="04D7B3AE" w:rsidR="0028486F" w:rsidRDefault="0028486F" w:rsidP="00252A37">
      <w:pPr>
        <w:rPr>
          <w:sz w:val="24"/>
          <w:szCs w:val="24"/>
        </w:rPr>
      </w:pPr>
      <w:r w:rsidRPr="000C028B">
        <w:rPr>
          <w:sz w:val="24"/>
          <w:szCs w:val="24"/>
        </w:rPr>
        <w:t xml:space="preserve">This increase in GDP is calculated on the assumption that the higher government expenditure on the caring sectors is deficit-financed, and that no explicit policy measures </w:t>
      </w:r>
      <w:r>
        <w:rPr>
          <w:sz w:val="24"/>
          <w:szCs w:val="24"/>
        </w:rPr>
        <w:t>are</w:t>
      </w:r>
      <w:r w:rsidRPr="000C028B">
        <w:rPr>
          <w:sz w:val="24"/>
          <w:szCs w:val="24"/>
        </w:rPr>
        <w:t xml:space="preserve"> taken to recover the deficit. </w:t>
      </w:r>
      <w:r>
        <w:rPr>
          <w:sz w:val="24"/>
          <w:szCs w:val="24"/>
        </w:rPr>
        <w:t>W</w:t>
      </w:r>
      <w:r w:rsidRPr="000C028B">
        <w:rPr>
          <w:sz w:val="24"/>
          <w:szCs w:val="24"/>
        </w:rPr>
        <w:t>ithout raising tax</w:t>
      </w:r>
      <w:r>
        <w:rPr>
          <w:sz w:val="24"/>
          <w:szCs w:val="24"/>
        </w:rPr>
        <w:t xml:space="preserve"> rates</w:t>
      </w:r>
      <w:r w:rsidRPr="000C028B">
        <w:rPr>
          <w:sz w:val="24"/>
          <w:szCs w:val="24"/>
        </w:rPr>
        <w:t xml:space="preserve"> or redirecting government funding away from other sectors of the economy</w:t>
      </w:r>
      <w:r>
        <w:rPr>
          <w:sz w:val="24"/>
          <w:szCs w:val="24"/>
        </w:rPr>
        <w:t>, the cost to government is mostly, but not completely, offset by increased revenue from income taxes, GST and payroll taxes. By 2030, the annual cost of the additional service delivery would be $19 billion but the net cost to government less than $3 billion.</w:t>
      </w:r>
    </w:p>
    <w:p w14:paraId="6214D46E" w14:textId="77777777" w:rsidR="005B4457" w:rsidRPr="000C028B" w:rsidRDefault="005B4457" w:rsidP="00252A37">
      <w:pPr>
        <w:rPr>
          <w:sz w:val="24"/>
          <w:szCs w:val="24"/>
        </w:rPr>
      </w:pPr>
    </w:p>
    <w:p w14:paraId="5D54341E" w14:textId="54265EF8" w:rsidR="0028486F" w:rsidRDefault="0028486F" w:rsidP="00252A37">
      <w:pPr>
        <w:rPr>
          <w:sz w:val="24"/>
          <w:szCs w:val="24"/>
        </w:rPr>
      </w:pPr>
      <w:r w:rsidRPr="000C028B">
        <w:rPr>
          <w:sz w:val="24"/>
          <w:szCs w:val="24"/>
        </w:rPr>
        <w:t>The channel through which this investment generates a positive impact on economy output would be manifested through an improvement in the nation’s aggregate workforce participation rate</w:t>
      </w:r>
      <w:r>
        <w:rPr>
          <w:sz w:val="24"/>
          <w:szCs w:val="24"/>
        </w:rPr>
        <w:t xml:space="preserve">, one of the “3 Ps” that are key to achieving </w:t>
      </w:r>
      <w:r w:rsidRPr="000C028B">
        <w:rPr>
          <w:sz w:val="24"/>
          <w:szCs w:val="24"/>
        </w:rPr>
        <w:t>economic prosperity</w:t>
      </w:r>
      <w:r>
        <w:rPr>
          <w:sz w:val="24"/>
          <w:szCs w:val="24"/>
        </w:rPr>
        <w:t xml:space="preserve">. </w:t>
      </w:r>
      <w:r w:rsidRPr="000C028B">
        <w:rPr>
          <w:sz w:val="24"/>
          <w:szCs w:val="24"/>
        </w:rPr>
        <w:t xml:space="preserve"> </w:t>
      </w:r>
      <w:r>
        <w:rPr>
          <w:sz w:val="24"/>
          <w:szCs w:val="24"/>
        </w:rPr>
        <w:t xml:space="preserve">The investment also increases </w:t>
      </w:r>
      <w:r w:rsidRPr="000C028B">
        <w:rPr>
          <w:sz w:val="24"/>
          <w:szCs w:val="24"/>
        </w:rPr>
        <w:t xml:space="preserve">women’s financial security. </w:t>
      </w:r>
    </w:p>
    <w:p w14:paraId="5F163638" w14:textId="77777777" w:rsidR="005B4457" w:rsidRPr="000C028B" w:rsidRDefault="005B4457" w:rsidP="00252A37">
      <w:pPr>
        <w:rPr>
          <w:sz w:val="24"/>
          <w:szCs w:val="24"/>
        </w:rPr>
      </w:pPr>
    </w:p>
    <w:p w14:paraId="633F2698" w14:textId="77777777" w:rsidR="005B4457" w:rsidRDefault="0028486F" w:rsidP="00252A37">
      <w:pPr>
        <w:rPr>
          <w:sz w:val="24"/>
          <w:szCs w:val="24"/>
        </w:rPr>
      </w:pPr>
      <w:r w:rsidRPr="000C028B">
        <w:rPr>
          <w:sz w:val="24"/>
          <w:szCs w:val="24"/>
        </w:rPr>
        <w:t>The model predicts that the workforce would absorb the expansion in labour supply through a slowdown in the rate of wage growth across the rest of the economy, compared to what would occur otherwise. Because the model assumes an explicit wage increase for care workers as part of this service expansion, this investment in care service would result in a narrowing the gender pay gap</w:t>
      </w:r>
      <w:r>
        <w:rPr>
          <w:sz w:val="24"/>
          <w:szCs w:val="24"/>
        </w:rPr>
        <w:t xml:space="preserve">, </w:t>
      </w:r>
      <w:r w:rsidRPr="000C028B">
        <w:rPr>
          <w:sz w:val="24"/>
          <w:szCs w:val="24"/>
        </w:rPr>
        <w:t>given that care sector workers are predominately female and the rate of pay in the sector is below the workforce average</w:t>
      </w:r>
      <w:r w:rsidR="005B4457">
        <w:rPr>
          <w:sz w:val="24"/>
          <w:szCs w:val="24"/>
        </w:rPr>
        <w:t>.</w:t>
      </w:r>
    </w:p>
    <w:p w14:paraId="02604941" w14:textId="749DC298" w:rsidR="0028486F" w:rsidRPr="000C028B" w:rsidRDefault="0028486F" w:rsidP="00252A37">
      <w:pPr>
        <w:rPr>
          <w:sz w:val="24"/>
          <w:szCs w:val="24"/>
        </w:rPr>
      </w:pPr>
      <w:r w:rsidRPr="000C028B">
        <w:rPr>
          <w:sz w:val="24"/>
          <w:szCs w:val="24"/>
        </w:rPr>
        <w:t xml:space="preserve"> </w:t>
      </w:r>
    </w:p>
    <w:p w14:paraId="42E6FABC" w14:textId="77777777" w:rsidR="0028486F" w:rsidRPr="000C028B" w:rsidRDefault="0028486F" w:rsidP="00252A37">
      <w:pPr>
        <w:rPr>
          <w:sz w:val="24"/>
          <w:szCs w:val="24"/>
        </w:rPr>
      </w:pPr>
      <w:r w:rsidRPr="000C028B">
        <w:rPr>
          <w:sz w:val="24"/>
          <w:szCs w:val="24"/>
        </w:rPr>
        <w:t>The modelling was undertaken using Computable General Equilibrium (CGE) methods. The simulations were run using VUEF-G, which is a variant of the Victoria University Employment Forecasting (VUEF) model of the Australian economy that incorporates a detailed representation of the labour market and gender profile of the economy. Further details are provided in Appendix A.</w:t>
      </w:r>
    </w:p>
    <w:p w14:paraId="7541BF79" w14:textId="32299746" w:rsidR="005B4457" w:rsidRDefault="005B4457">
      <w:r>
        <w:br w:type="page"/>
      </w:r>
    </w:p>
    <w:p w14:paraId="2503C7C4" w14:textId="77777777" w:rsidR="005B4457" w:rsidRDefault="005B4457" w:rsidP="005B4457">
      <w:pPr>
        <w:pStyle w:val="Title"/>
      </w:pPr>
      <w:r>
        <w:t>Appendix A: Simulations of increased government expenditure in the care sectors</w:t>
      </w:r>
    </w:p>
    <w:p w14:paraId="1D135EE2" w14:textId="77777777" w:rsidR="005B4457" w:rsidRDefault="005B4457" w:rsidP="005B4457">
      <w:r>
        <w:t>Janine Dixon</w:t>
      </w:r>
    </w:p>
    <w:p w14:paraId="0B2BB752" w14:textId="77777777" w:rsidR="005B4457" w:rsidRDefault="005B4457" w:rsidP="005B4457">
      <w:r>
        <w:t>October 15, 2020</w:t>
      </w:r>
    </w:p>
    <w:p w14:paraId="27246AE4" w14:textId="77777777" w:rsidR="005B4457" w:rsidRDefault="005B4457" w:rsidP="005B4457"/>
    <w:p w14:paraId="3B258176" w14:textId="77777777" w:rsidR="005B4457" w:rsidRDefault="005B4457" w:rsidP="005B4457"/>
    <w:p w14:paraId="28E458C8" w14:textId="77777777" w:rsidR="005B4457" w:rsidRDefault="005B4457" w:rsidP="005B4457"/>
    <w:p w14:paraId="5B2EC8C5" w14:textId="77777777" w:rsidR="005B4457" w:rsidRPr="00947E94" w:rsidRDefault="005B4457" w:rsidP="005B4457">
      <w:pPr>
        <w:rPr>
          <w:b/>
          <w:u w:val="single"/>
        </w:rPr>
      </w:pPr>
      <w:r w:rsidRPr="00947E94">
        <w:rPr>
          <w:b/>
          <w:u w:val="single"/>
        </w:rPr>
        <w:t xml:space="preserve">Key statistics and findings </w:t>
      </w:r>
    </w:p>
    <w:p w14:paraId="2CD91EC9" w14:textId="77777777" w:rsidR="005B4457" w:rsidRDefault="005B4457" w:rsidP="005B4457">
      <w:pPr>
        <w:pStyle w:val="ListParagraph"/>
        <w:numPr>
          <w:ilvl w:val="0"/>
          <w:numId w:val="18"/>
        </w:numPr>
        <w:spacing w:after="160" w:line="259" w:lineRule="auto"/>
      </w:pPr>
      <w:r>
        <w:t>More than 900 thousand Australians who have unpaid caring responsibilities for young children, the elderly, or people with disabilities would like to work more hours in paid employment. If this could be facilitated by greater provision of government-funded care services, labour supply would increase by over 2 per cent.</w:t>
      </w:r>
    </w:p>
    <w:p w14:paraId="207ECA1B" w14:textId="77777777" w:rsidR="005B4457" w:rsidRDefault="005B4457" w:rsidP="005B4457">
      <w:pPr>
        <w:pStyle w:val="ListParagraph"/>
        <w:numPr>
          <w:ilvl w:val="0"/>
          <w:numId w:val="18"/>
        </w:numPr>
        <w:spacing w:after="160" w:line="259" w:lineRule="auto"/>
      </w:pPr>
      <w:r>
        <w:t>More than 70 per cent of this additional labour input would be supplied by women, alleviating some of the disadvantage experienced by women in the labour market.</w:t>
      </w:r>
    </w:p>
    <w:p w14:paraId="3B1C336B" w14:textId="77777777" w:rsidR="005B4457" w:rsidRDefault="005B4457" w:rsidP="005B4457">
      <w:pPr>
        <w:pStyle w:val="ListParagraph"/>
        <w:numPr>
          <w:ilvl w:val="0"/>
          <w:numId w:val="18"/>
        </w:numPr>
        <w:spacing w:after="160" w:line="259" w:lineRule="auto"/>
      </w:pPr>
      <w:r>
        <w:t>Supporting carers with additional government-funded service delivery and higher wage growth in the child care, aged care and disabled care sectors underpins additional economic growth such that GDP in 2030 would be 1.64 per cent higher than it otherwise would have been. This is equivalent to an average of $1266 per person per year in 2018-19 prices, or more than $30 billion per year in aggregate.</w:t>
      </w:r>
    </w:p>
    <w:p w14:paraId="43ED5FE5" w14:textId="77777777" w:rsidR="005B4457" w:rsidRDefault="005B4457" w:rsidP="005B4457">
      <w:pPr>
        <w:pStyle w:val="ListParagraph"/>
        <w:numPr>
          <w:ilvl w:val="0"/>
          <w:numId w:val="18"/>
        </w:numPr>
        <w:spacing w:after="160" w:line="259" w:lineRule="auto"/>
      </w:pPr>
      <w:r>
        <w:t>Additional employment and higher wages in the care sector also directly supports women’s employment and incomes, as these sectors account for a high proportion of women’s employment.</w:t>
      </w:r>
    </w:p>
    <w:p w14:paraId="0484ADBC" w14:textId="77777777" w:rsidR="005B4457" w:rsidRDefault="005B4457" w:rsidP="005B4457">
      <w:pPr>
        <w:pStyle w:val="ListParagraph"/>
        <w:numPr>
          <w:ilvl w:val="0"/>
          <w:numId w:val="18"/>
        </w:numPr>
        <w:spacing w:after="160" w:line="259" w:lineRule="auto"/>
      </w:pPr>
      <w:r>
        <w:t>This economic growth dividend underpins increased revenue from taxes on income and consumption, offsetting much of the cost to government of increased service delivery (including higher wages) in the care sector. In 2030, we estimate the cost of the additional service delivery to be $19 billion, yet the additional impact on the government deficit is less than $3 billion.</w:t>
      </w:r>
    </w:p>
    <w:p w14:paraId="7109BB18" w14:textId="77777777" w:rsidR="005B4457" w:rsidRDefault="005B4457" w:rsidP="005B4457">
      <w:pPr>
        <w:pStyle w:val="ListParagraph"/>
      </w:pPr>
    </w:p>
    <w:p w14:paraId="1D5B7198" w14:textId="77777777" w:rsidR="005B4457" w:rsidRDefault="005B4457" w:rsidP="005B4457"/>
    <w:p w14:paraId="5821A105" w14:textId="77777777" w:rsidR="005B4457" w:rsidRDefault="005B4457" w:rsidP="005B4457"/>
    <w:p w14:paraId="1D2B1DA0" w14:textId="77777777" w:rsidR="005B4457" w:rsidRDefault="005B4457" w:rsidP="005B4457"/>
    <w:p w14:paraId="1A1C50AE" w14:textId="77777777" w:rsidR="005B4457" w:rsidRDefault="005B4457" w:rsidP="005B4457"/>
    <w:p w14:paraId="4B4FD69D" w14:textId="77777777" w:rsidR="005B4457" w:rsidRDefault="005B4457" w:rsidP="005B4457">
      <w:pPr>
        <w:rPr>
          <w:rFonts w:asciiTheme="majorHAnsi" w:eastAsiaTheme="majorEastAsia" w:hAnsiTheme="majorHAnsi" w:cstheme="majorBidi"/>
          <w:color w:val="2F5496" w:themeColor="accent1" w:themeShade="BF"/>
          <w:sz w:val="32"/>
          <w:szCs w:val="32"/>
        </w:rPr>
      </w:pPr>
      <w:r>
        <w:br w:type="page"/>
      </w:r>
    </w:p>
    <w:p w14:paraId="50E90FBD" w14:textId="77777777" w:rsidR="005B4457" w:rsidRDefault="005B4457" w:rsidP="005B4457">
      <w:pPr>
        <w:pStyle w:val="Heading1"/>
      </w:pPr>
      <w:r>
        <w:t>Introduction and background</w:t>
      </w:r>
    </w:p>
    <w:p w14:paraId="180DA32C" w14:textId="77777777" w:rsidR="005B4457" w:rsidRDefault="005B4457" w:rsidP="005B4457">
      <w:r>
        <w:t>This note describes two simulations of the Australian economy over the next decade in which government expenditure in the care sectors is increased significantly.</w:t>
      </w:r>
    </w:p>
    <w:p w14:paraId="0B28B30A" w14:textId="77777777" w:rsidR="005B4457" w:rsidRDefault="005B4457" w:rsidP="005B4457"/>
    <w:p w14:paraId="33693F48" w14:textId="77777777" w:rsidR="005B4457" w:rsidRDefault="005B4457" w:rsidP="005B4457">
      <w:pPr>
        <w:pStyle w:val="Heading1"/>
      </w:pPr>
      <w:r>
        <w:t xml:space="preserve">Methodology and model inputs </w:t>
      </w:r>
    </w:p>
    <w:p w14:paraId="67AD6CEB" w14:textId="77777777" w:rsidR="005B4457" w:rsidRDefault="005B4457" w:rsidP="005B4457">
      <w:pPr>
        <w:pStyle w:val="Heading2"/>
      </w:pPr>
      <w:r>
        <w:t>Methodology</w:t>
      </w:r>
    </w:p>
    <w:p w14:paraId="03386351" w14:textId="77777777" w:rsidR="005B4457" w:rsidRDefault="005B4457" w:rsidP="005B4457">
      <w:r>
        <w:t>The simulations are run using VUEF-G, a variant of the Victoria University Employment Forecasting (VUEF) model, a Computable General Equilibrium model of the Australian economy with a detailed representation of the labour market and gender. The model is described in the Appendix.</w:t>
      </w:r>
    </w:p>
    <w:p w14:paraId="2546DC24" w14:textId="1C5FDC39" w:rsidR="005B4457" w:rsidRDefault="005B4457" w:rsidP="005B4457">
      <w:r>
        <w:t>A key feature of VUEF-G is the modelling of time use by cohort. Cohorts are defined by highest level and field of educational attainment and gender (e.g. “Certificate III-IV, Society and Culture, Female”). Time use for each cohort is divided into paid employment, leisure, and unpaid employment (such as caring for children or elderly relatives or maintaining a household). Cohorts allocate time according to preferences (as revealed in existing time use data derived from the Census), and change their allocation through time according to changes in wages and the cost (or availability) of care services that can replace unpaid employment. By this mechanism, an increase in wages provides an incentive to forgo some leisure time and supply more labour. Similarly, an increase in the user cost of care services creates an incentive for people to forgo paid employment and provide care services themselves, for example, a parent may forgo an additional day per week of paid employment if child care costs increase.</w:t>
      </w:r>
    </w:p>
    <w:p w14:paraId="249034F9" w14:textId="77777777" w:rsidR="005B4457" w:rsidRDefault="005B4457" w:rsidP="005B4457"/>
    <w:p w14:paraId="2A781006" w14:textId="4B4D0C1F" w:rsidR="005B4457" w:rsidRDefault="005B4457" w:rsidP="005B4457">
      <w:r>
        <w:t xml:space="preserve">For cohorts with significant time allocated to unpaid employment, the scope to increase employment by greater provision of government-funded care services is large. Across all levels of educational attainment, women allocate more time than men to unpaid employment, and both men and women with lower levels of educational attainment allocate more time to unpaid employment. The time-use theory in VUEF-G uses this information to estimate the labour supply response to provision of additional care services for every cohort. The aggregate impacts for men and women are calibrated to the shocks described in Section </w:t>
      </w:r>
      <w:r>
        <w:fldChar w:fldCharType="begin"/>
      </w:r>
      <w:r>
        <w:instrText xml:space="preserve"> REF _Ref53688530 \r \h </w:instrText>
      </w:r>
      <w:r>
        <w:fldChar w:fldCharType="separate"/>
      </w:r>
      <w:r>
        <w:t>2.2.2</w:t>
      </w:r>
      <w:r>
        <w:fldChar w:fldCharType="end"/>
      </w:r>
      <w:r>
        <w:t>.</w:t>
      </w:r>
    </w:p>
    <w:p w14:paraId="65D6EF08" w14:textId="77777777" w:rsidR="005B4457" w:rsidRDefault="005B4457" w:rsidP="005B4457"/>
    <w:p w14:paraId="5B0B7079" w14:textId="019CE3B8" w:rsidR="005B4457" w:rsidRDefault="005B4457" w:rsidP="005B4457">
      <w:r>
        <w:t>Model results are generally expressed as percentage deviations from a business-as-usual base case.  The base case does not take into account the Covid-19 pandemic.</w:t>
      </w:r>
    </w:p>
    <w:p w14:paraId="7AD8CD33" w14:textId="77777777" w:rsidR="005B4457" w:rsidRDefault="005B4457" w:rsidP="005B4457"/>
    <w:p w14:paraId="60E6B7EF" w14:textId="77777777" w:rsidR="005B4457" w:rsidRDefault="005B4457" w:rsidP="005B4457">
      <w:pPr>
        <w:pStyle w:val="Heading2"/>
      </w:pPr>
      <w:r>
        <w:t>Model inputs</w:t>
      </w:r>
    </w:p>
    <w:p w14:paraId="0E2B2DD5" w14:textId="77777777" w:rsidR="005B4457" w:rsidRDefault="005B4457" w:rsidP="005B4457">
      <w:pPr>
        <w:pStyle w:val="Heading3"/>
      </w:pPr>
      <w:r>
        <w:t>Expenditure</w:t>
      </w:r>
    </w:p>
    <w:p w14:paraId="298A0E56" w14:textId="77777777" w:rsidR="005B4457" w:rsidRDefault="005B4457" w:rsidP="005B4457">
      <w:r>
        <w:t>The key economic shocks are increases in expenditure on the care sectors.</w:t>
      </w:r>
    </w:p>
    <w:p w14:paraId="3054B76F" w14:textId="6A45290B" w:rsidR="005B4457" w:rsidRDefault="005B4457" w:rsidP="005B4457">
      <w:r>
        <w:t xml:space="preserve">In VUEF, the care sectors are Child Care, Residential Aged Care, Residential Disabled Care and Other Social Assistance (Disabled). Shocks to the quantity of output for each sector are introduced over four years (2021-22 to 2024-25) as set out in </w:t>
      </w:r>
      <w:r>
        <w:fldChar w:fldCharType="begin"/>
      </w:r>
      <w:r>
        <w:instrText xml:space="preserve"> REF _Ref53522616 \h </w:instrText>
      </w:r>
      <w:r>
        <w:fldChar w:fldCharType="separate"/>
      </w:r>
      <w:r>
        <w:t xml:space="preserve">Table </w:t>
      </w:r>
      <w:r>
        <w:rPr>
          <w:noProof/>
        </w:rPr>
        <w:t>1</w:t>
      </w:r>
      <w:r>
        <w:fldChar w:fldCharType="end"/>
      </w:r>
      <w:r>
        <w:t xml:space="preserve">.  Over the same time interval, wage increases are applied to two occupations, Child Carers and Personal Carers and Assistants, as set out in </w:t>
      </w:r>
      <w:r>
        <w:fldChar w:fldCharType="begin"/>
      </w:r>
      <w:r>
        <w:instrText xml:space="preserve"> REF _Ref53522616 \h </w:instrText>
      </w:r>
      <w:r>
        <w:fldChar w:fldCharType="separate"/>
      </w:r>
      <w:r>
        <w:t xml:space="preserve">Table </w:t>
      </w:r>
      <w:r>
        <w:rPr>
          <w:noProof/>
        </w:rPr>
        <w:t>1</w:t>
      </w:r>
      <w:r>
        <w:fldChar w:fldCharType="end"/>
      </w:r>
      <w:r>
        <w:t>.</w:t>
      </w:r>
    </w:p>
    <w:p w14:paraId="7A44789D" w14:textId="77777777" w:rsidR="005B4457" w:rsidRDefault="005B4457" w:rsidP="005B4457"/>
    <w:p w14:paraId="3D0DEE06" w14:textId="2FD41546" w:rsidR="005B4457" w:rsidRDefault="005B4457" w:rsidP="005B4457">
      <w:r>
        <w:t xml:space="preserve">To facilitate the rapid increase in output in the care sector, shocks are applied to investment from 2020-21, one year in advance of the shocks to output. This ensures that sufficient capital stocks are in place to support the expansion. </w:t>
      </w:r>
    </w:p>
    <w:p w14:paraId="7640EA2E" w14:textId="3364D90D" w:rsidR="005B4457" w:rsidRDefault="005B4457" w:rsidP="005B4457"/>
    <w:p w14:paraId="3EE7A8C1" w14:textId="2D39F6E1" w:rsidR="005B4457" w:rsidRDefault="005B4457" w:rsidP="005B4457"/>
    <w:p w14:paraId="23C0E8B0" w14:textId="77777777" w:rsidR="005B4457" w:rsidRDefault="005B4457" w:rsidP="005B4457"/>
    <w:p w14:paraId="5A7127B5" w14:textId="77777777" w:rsidR="005B4457" w:rsidRPr="00C218C4" w:rsidRDefault="005B4457" w:rsidP="005B4457">
      <w:pPr>
        <w:pStyle w:val="Caption"/>
        <w:keepNext/>
        <w:rPr>
          <w:sz w:val="24"/>
          <w:szCs w:val="24"/>
        </w:rPr>
      </w:pPr>
      <w:bookmarkStart w:id="2" w:name="_Ref53522616"/>
      <w:r w:rsidRPr="00C218C4">
        <w:rPr>
          <w:sz w:val="24"/>
          <w:szCs w:val="24"/>
        </w:rPr>
        <w:t xml:space="preserve">Table </w:t>
      </w:r>
      <w:r w:rsidRPr="00C218C4">
        <w:rPr>
          <w:sz w:val="24"/>
          <w:szCs w:val="24"/>
        </w:rPr>
        <w:fldChar w:fldCharType="begin"/>
      </w:r>
      <w:r w:rsidRPr="00C218C4">
        <w:rPr>
          <w:sz w:val="24"/>
          <w:szCs w:val="24"/>
        </w:rPr>
        <w:instrText xml:space="preserve"> SEQ Table \* ARABIC </w:instrText>
      </w:r>
      <w:r w:rsidRPr="00C218C4">
        <w:rPr>
          <w:sz w:val="24"/>
          <w:szCs w:val="24"/>
        </w:rPr>
        <w:fldChar w:fldCharType="separate"/>
      </w:r>
      <w:r w:rsidRPr="00C218C4">
        <w:rPr>
          <w:noProof/>
          <w:sz w:val="24"/>
          <w:szCs w:val="24"/>
        </w:rPr>
        <w:t>1</w:t>
      </w:r>
      <w:r w:rsidRPr="00C218C4">
        <w:rPr>
          <w:noProof/>
          <w:sz w:val="24"/>
          <w:szCs w:val="24"/>
        </w:rPr>
        <w:fldChar w:fldCharType="end"/>
      </w:r>
      <w:bookmarkEnd w:id="2"/>
      <w:r w:rsidRPr="00C218C4">
        <w:rPr>
          <w:sz w:val="24"/>
          <w:szCs w:val="24"/>
        </w:rPr>
        <w:t>: Expenditure shocks applied by industry and occupation (%)</w:t>
      </w:r>
    </w:p>
    <w:tbl>
      <w:tblPr>
        <w:tblStyle w:val="GridTable1Light"/>
        <w:tblW w:w="0" w:type="auto"/>
        <w:tblLook w:val="0420" w:firstRow="1" w:lastRow="0" w:firstColumn="0" w:lastColumn="0" w:noHBand="0" w:noVBand="1"/>
      </w:tblPr>
      <w:tblGrid>
        <w:gridCol w:w="3681"/>
        <w:gridCol w:w="2835"/>
        <w:gridCol w:w="2500"/>
      </w:tblGrid>
      <w:tr w:rsidR="005B4457" w14:paraId="4C9CBC4D" w14:textId="77777777" w:rsidTr="005B4457">
        <w:trPr>
          <w:cnfStyle w:val="100000000000" w:firstRow="1" w:lastRow="0" w:firstColumn="0" w:lastColumn="0" w:oddVBand="0" w:evenVBand="0" w:oddHBand="0" w:evenHBand="0" w:firstRowFirstColumn="0" w:firstRowLastColumn="0" w:lastRowFirstColumn="0" w:lastRowLastColumn="0"/>
        </w:trPr>
        <w:tc>
          <w:tcPr>
            <w:tcW w:w="3681" w:type="dxa"/>
          </w:tcPr>
          <w:p w14:paraId="420D2831" w14:textId="77777777" w:rsidR="005B4457" w:rsidRDefault="005B4457" w:rsidP="005B4457"/>
        </w:tc>
        <w:tc>
          <w:tcPr>
            <w:tcW w:w="2835" w:type="dxa"/>
          </w:tcPr>
          <w:p w14:paraId="0DCBA6B0" w14:textId="77777777" w:rsidR="005B4457" w:rsidRDefault="005B4457" w:rsidP="005B4457">
            <w:pPr>
              <w:jc w:val="right"/>
            </w:pPr>
            <w:r>
              <w:t>Total increase (over 4 years)</w:t>
            </w:r>
          </w:p>
        </w:tc>
        <w:tc>
          <w:tcPr>
            <w:tcW w:w="2500" w:type="dxa"/>
          </w:tcPr>
          <w:p w14:paraId="58C65AF8" w14:textId="77777777" w:rsidR="005B4457" w:rsidRDefault="005B4457" w:rsidP="005B4457">
            <w:pPr>
              <w:jc w:val="right"/>
            </w:pPr>
            <w:r>
              <w:t>Annual increase</w:t>
            </w:r>
          </w:p>
        </w:tc>
      </w:tr>
      <w:tr w:rsidR="005B4457" w14:paraId="0A3F8230" w14:textId="77777777" w:rsidTr="005B4457">
        <w:tc>
          <w:tcPr>
            <w:tcW w:w="3681" w:type="dxa"/>
          </w:tcPr>
          <w:p w14:paraId="33F0B881" w14:textId="77777777" w:rsidR="005B4457" w:rsidRPr="00B50204" w:rsidRDefault="005B4457" w:rsidP="005B4457">
            <w:pPr>
              <w:rPr>
                <w:u w:val="single"/>
              </w:rPr>
            </w:pPr>
            <w:r w:rsidRPr="00B50204">
              <w:rPr>
                <w:u w:val="single"/>
              </w:rPr>
              <w:t>Service delivery by industry</w:t>
            </w:r>
          </w:p>
        </w:tc>
        <w:tc>
          <w:tcPr>
            <w:tcW w:w="2835" w:type="dxa"/>
          </w:tcPr>
          <w:p w14:paraId="34E3013C" w14:textId="77777777" w:rsidR="005B4457" w:rsidRDefault="005B4457" w:rsidP="005B4457"/>
        </w:tc>
        <w:tc>
          <w:tcPr>
            <w:tcW w:w="2500" w:type="dxa"/>
          </w:tcPr>
          <w:p w14:paraId="03B32282" w14:textId="77777777" w:rsidR="005B4457" w:rsidRDefault="005B4457" w:rsidP="005B4457"/>
        </w:tc>
      </w:tr>
      <w:tr w:rsidR="005B4457" w14:paraId="1E0A248D" w14:textId="77777777" w:rsidTr="005B4457">
        <w:tc>
          <w:tcPr>
            <w:tcW w:w="3681" w:type="dxa"/>
          </w:tcPr>
          <w:p w14:paraId="41721E50" w14:textId="77777777" w:rsidR="005B4457" w:rsidRDefault="005B4457" w:rsidP="005B4457">
            <w:r>
              <w:t xml:space="preserve">  Child Care</w:t>
            </w:r>
          </w:p>
        </w:tc>
        <w:tc>
          <w:tcPr>
            <w:tcW w:w="2835" w:type="dxa"/>
          </w:tcPr>
          <w:p w14:paraId="5201C9B7" w14:textId="77777777" w:rsidR="005B4457" w:rsidRDefault="005B4457" w:rsidP="005B4457">
            <w:pPr>
              <w:jc w:val="right"/>
            </w:pPr>
            <w:r>
              <w:t>35.0</w:t>
            </w:r>
          </w:p>
        </w:tc>
        <w:tc>
          <w:tcPr>
            <w:tcW w:w="2500" w:type="dxa"/>
          </w:tcPr>
          <w:p w14:paraId="29A4457A" w14:textId="77777777" w:rsidR="005B4457" w:rsidRDefault="005B4457" w:rsidP="005B4457">
            <w:pPr>
              <w:jc w:val="right"/>
            </w:pPr>
            <w:r>
              <w:t>7.79</w:t>
            </w:r>
          </w:p>
        </w:tc>
      </w:tr>
      <w:tr w:rsidR="005B4457" w14:paraId="0659854C" w14:textId="77777777" w:rsidTr="005B4457">
        <w:tc>
          <w:tcPr>
            <w:tcW w:w="3681" w:type="dxa"/>
          </w:tcPr>
          <w:p w14:paraId="0628F6CA" w14:textId="77777777" w:rsidR="005B4457" w:rsidRDefault="005B4457" w:rsidP="005B4457">
            <w:r>
              <w:t xml:space="preserve">  Residential Aged Care</w:t>
            </w:r>
          </w:p>
        </w:tc>
        <w:tc>
          <w:tcPr>
            <w:tcW w:w="2835" w:type="dxa"/>
          </w:tcPr>
          <w:p w14:paraId="6C905462" w14:textId="77777777" w:rsidR="005B4457" w:rsidRDefault="005B4457" w:rsidP="005B4457">
            <w:pPr>
              <w:jc w:val="right"/>
            </w:pPr>
            <w:r>
              <w:t>8.3</w:t>
            </w:r>
          </w:p>
        </w:tc>
        <w:tc>
          <w:tcPr>
            <w:tcW w:w="2500" w:type="dxa"/>
          </w:tcPr>
          <w:p w14:paraId="78022BDC" w14:textId="77777777" w:rsidR="005B4457" w:rsidRDefault="005B4457" w:rsidP="005B4457">
            <w:pPr>
              <w:jc w:val="right"/>
            </w:pPr>
            <w:r>
              <w:t>2.02</w:t>
            </w:r>
          </w:p>
        </w:tc>
      </w:tr>
      <w:tr w:rsidR="005B4457" w14:paraId="290AA635" w14:textId="77777777" w:rsidTr="005B4457">
        <w:tc>
          <w:tcPr>
            <w:tcW w:w="3681" w:type="dxa"/>
          </w:tcPr>
          <w:p w14:paraId="335B5727" w14:textId="77777777" w:rsidR="005B4457" w:rsidRDefault="005B4457" w:rsidP="005B4457">
            <w:r>
              <w:t xml:space="preserve">  Residential Disabled Care</w:t>
            </w:r>
          </w:p>
        </w:tc>
        <w:tc>
          <w:tcPr>
            <w:tcW w:w="2835" w:type="dxa"/>
          </w:tcPr>
          <w:p w14:paraId="522B42E4" w14:textId="77777777" w:rsidR="005B4457" w:rsidRDefault="005B4457" w:rsidP="005B4457">
            <w:pPr>
              <w:jc w:val="right"/>
            </w:pPr>
            <w:r>
              <w:t>8.3</w:t>
            </w:r>
          </w:p>
        </w:tc>
        <w:tc>
          <w:tcPr>
            <w:tcW w:w="2500" w:type="dxa"/>
          </w:tcPr>
          <w:p w14:paraId="60B208DB" w14:textId="77777777" w:rsidR="005B4457" w:rsidRDefault="005B4457" w:rsidP="005B4457">
            <w:pPr>
              <w:jc w:val="right"/>
            </w:pPr>
            <w:r>
              <w:t>2.02</w:t>
            </w:r>
          </w:p>
        </w:tc>
      </w:tr>
      <w:tr w:rsidR="005B4457" w14:paraId="12B7D8AB" w14:textId="77777777" w:rsidTr="005B4457">
        <w:tc>
          <w:tcPr>
            <w:tcW w:w="3681" w:type="dxa"/>
          </w:tcPr>
          <w:p w14:paraId="18970145" w14:textId="77777777" w:rsidR="005B4457" w:rsidRDefault="005B4457" w:rsidP="005B4457">
            <w:r>
              <w:t xml:space="preserve">  Other Social Assistance (Disabled)</w:t>
            </w:r>
          </w:p>
        </w:tc>
        <w:tc>
          <w:tcPr>
            <w:tcW w:w="2835" w:type="dxa"/>
          </w:tcPr>
          <w:p w14:paraId="74186883" w14:textId="77777777" w:rsidR="005B4457" w:rsidRDefault="005B4457" w:rsidP="005B4457">
            <w:pPr>
              <w:jc w:val="right"/>
            </w:pPr>
            <w:r>
              <w:t>8.3</w:t>
            </w:r>
          </w:p>
        </w:tc>
        <w:tc>
          <w:tcPr>
            <w:tcW w:w="2500" w:type="dxa"/>
          </w:tcPr>
          <w:p w14:paraId="676E6F7C" w14:textId="77777777" w:rsidR="005B4457" w:rsidRDefault="005B4457" w:rsidP="005B4457">
            <w:pPr>
              <w:jc w:val="right"/>
            </w:pPr>
            <w:r>
              <w:t>2.02</w:t>
            </w:r>
          </w:p>
        </w:tc>
      </w:tr>
      <w:tr w:rsidR="005B4457" w14:paraId="2C3BAE33" w14:textId="77777777" w:rsidTr="005B4457">
        <w:tc>
          <w:tcPr>
            <w:tcW w:w="3681" w:type="dxa"/>
          </w:tcPr>
          <w:p w14:paraId="31FFCBD3" w14:textId="77777777" w:rsidR="005B4457" w:rsidRPr="00A32896" w:rsidRDefault="005B4457" w:rsidP="005B4457">
            <w:pPr>
              <w:rPr>
                <w:u w:val="single"/>
              </w:rPr>
            </w:pPr>
            <w:r w:rsidRPr="00A32896">
              <w:rPr>
                <w:u w:val="single"/>
              </w:rPr>
              <w:t>Wage increase by occupation</w:t>
            </w:r>
          </w:p>
        </w:tc>
        <w:tc>
          <w:tcPr>
            <w:tcW w:w="2835" w:type="dxa"/>
          </w:tcPr>
          <w:p w14:paraId="3D3B1DDE" w14:textId="77777777" w:rsidR="005B4457" w:rsidRDefault="005B4457" w:rsidP="005B4457">
            <w:pPr>
              <w:jc w:val="right"/>
            </w:pPr>
          </w:p>
        </w:tc>
        <w:tc>
          <w:tcPr>
            <w:tcW w:w="2500" w:type="dxa"/>
          </w:tcPr>
          <w:p w14:paraId="1FF59AAD" w14:textId="77777777" w:rsidR="005B4457" w:rsidRDefault="005B4457" w:rsidP="005B4457">
            <w:pPr>
              <w:jc w:val="right"/>
            </w:pPr>
          </w:p>
        </w:tc>
      </w:tr>
      <w:tr w:rsidR="005B4457" w14:paraId="126F1EBB" w14:textId="77777777" w:rsidTr="005B4457">
        <w:tc>
          <w:tcPr>
            <w:tcW w:w="3681" w:type="dxa"/>
          </w:tcPr>
          <w:p w14:paraId="08969BB8" w14:textId="77777777" w:rsidR="005B4457" w:rsidRDefault="005B4457" w:rsidP="005B4457">
            <w:r>
              <w:t xml:space="preserve">  Child Carers</w:t>
            </w:r>
          </w:p>
        </w:tc>
        <w:tc>
          <w:tcPr>
            <w:tcW w:w="2835" w:type="dxa"/>
          </w:tcPr>
          <w:p w14:paraId="14E0965F" w14:textId="77777777" w:rsidR="005B4457" w:rsidRDefault="005B4457" w:rsidP="005B4457">
            <w:pPr>
              <w:jc w:val="right"/>
            </w:pPr>
            <w:r>
              <w:t>21.6</w:t>
            </w:r>
          </w:p>
        </w:tc>
        <w:tc>
          <w:tcPr>
            <w:tcW w:w="2500" w:type="dxa"/>
          </w:tcPr>
          <w:p w14:paraId="06F57AA7" w14:textId="77777777" w:rsidR="005B4457" w:rsidRDefault="005B4457" w:rsidP="005B4457">
            <w:pPr>
              <w:jc w:val="right"/>
            </w:pPr>
            <w:r>
              <w:t>5.0</w:t>
            </w:r>
          </w:p>
        </w:tc>
      </w:tr>
      <w:tr w:rsidR="005B4457" w14:paraId="55D0BF6A" w14:textId="77777777" w:rsidTr="005B4457">
        <w:tc>
          <w:tcPr>
            <w:tcW w:w="3681" w:type="dxa"/>
          </w:tcPr>
          <w:p w14:paraId="4BFA990A" w14:textId="77777777" w:rsidR="005B4457" w:rsidRDefault="005B4457" w:rsidP="005B4457">
            <w:r>
              <w:t xml:space="preserve">  Personal Carers and Assistants</w:t>
            </w:r>
          </w:p>
        </w:tc>
        <w:tc>
          <w:tcPr>
            <w:tcW w:w="2835" w:type="dxa"/>
          </w:tcPr>
          <w:p w14:paraId="67CDFBCF" w14:textId="77777777" w:rsidR="005B4457" w:rsidRDefault="005B4457" w:rsidP="005B4457">
            <w:pPr>
              <w:jc w:val="right"/>
            </w:pPr>
            <w:r>
              <w:t>21.6</w:t>
            </w:r>
          </w:p>
        </w:tc>
        <w:tc>
          <w:tcPr>
            <w:tcW w:w="2500" w:type="dxa"/>
          </w:tcPr>
          <w:p w14:paraId="6442129B" w14:textId="77777777" w:rsidR="005B4457" w:rsidRDefault="005B4457" w:rsidP="005B4457">
            <w:pPr>
              <w:jc w:val="right"/>
            </w:pPr>
            <w:r>
              <w:t>5.0</w:t>
            </w:r>
          </w:p>
        </w:tc>
      </w:tr>
    </w:tbl>
    <w:p w14:paraId="444C300E" w14:textId="77777777" w:rsidR="005B4457" w:rsidRDefault="005B4457" w:rsidP="005B4457"/>
    <w:p w14:paraId="39DC6E2A" w14:textId="77777777" w:rsidR="005B4457" w:rsidRDefault="005B4457" w:rsidP="005B4457">
      <w:r>
        <w:t>The expansion in output and increase in wage costs are absorbed by an increase in government expenditure. Higher wage costs increase the price of care, which has a negative impact on household (private) consumption of care services. Therefore the expansion in government expenditure covers not only the net expansion of the care sectors, but also replaces some private expenditure.</w:t>
      </w:r>
    </w:p>
    <w:p w14:paraId="587B1C5F" w14:textId="77777777" w:rsidR="005B4457" w:rsidRDefault="005B4457" w:rsidP="005B4457"/>
    <w:p w14:paraId="05FC3D8F" w14:textId="77777777" w:rsidR="005B4457" w:rsidRDefault="005B4457" w:rsidP="005B4457">
      <w:pPr>
        <w:pStyle w:val="Heading3"/>
      </w:pPr>
      <w:bookmarkStart w:id="3" w:name="_Ref53688530"/>
      <w:r>
        <w:t>Labour supply</w:t>
      </w:r>
      <w:bookmarkEnd w:id="3"/>
    </w:p>
    <w:p w14:paraId="38D250A5" w14:textId="77777777" w:rsidR="005B4457" w:rsidRDefault="005B4457" w:rsidP="005B4457">
      <w:r>
        <w:t>The increase in the care economy is assumed to be government-funded and large enough to remove all impediments to labour market participation experienced by carers in the informal sector.  This drives a significant increase in labour supply.  The calculation of the shock to labour supply involves determining the number of people for which caring responsibilities act as a barrier to labour force participation, determining a suitable increase in average hours worked if formal care was made available, and converting this into a percentage increase in labour supply.</w:t>
      </w:r>
    </w:p>
    <w:p w14:paraId="776C9E88" w14:textId="1588B6B6" w:rsidR="005B4457" w:rsidRDefault="005B4457" w:rsidP="005B4457">
      <w:r>
        <w:t>Shocks to labour supply are calculated using data from the ABS (ABS Cat. No. 6239.0, 2020), in which 923,000 people with caring responsibilities reported that they wanted to work more hours (</w:t>
      </w:r>
      <w:r>
        <w:fldChar w:fldCharType="begin"/>
      </w:r>
      <w:r>
        <w:instrText xml:space="preserve"> REF _Ref53525641 \h </w:instrText>
      </w:r>
      <w:r>
        <w:fldChar w:fldCharType="separate"/>
      </w:r>
      <w:r>
        <w:t xml:space="preserve">Table </w:t>
      </w:r>
      <w:r>
        <w:rPr>
          <w:noProof/>
        </w:rPr>
        <w:t>2</w:t>
      </w:r>
      <w:r>
        <w:fldChar w:fldCharType="end"/>
      </w:r>
      <w:r>
        <w:t>). Approximately two-thirds of these are women, and approximately half cared for children under the age of 5.</w:t>
      </w:r>
    </w:p>
    <w:p w14:paraId="38D617F8" w14:textId="77777777" w:rsidR="00C218C4" w:rsidRDefault="00C218C4" w:rsidP="005B4457"/>
    <w:p w14:paraId="1D0ACA62" w14:textId="77777777" w:rsidR="005B4457" w:rsidRDefault="005B4457" w:rsidP="005B4457">
      <w:r>
        <w:t>Informal primary carers for aged and disabled people provide and average of 35.2 hours of care per week (152 hours per month), while non-primary carers provide an average of 10 hours per week (43 hours per month) (Deloitte, 2020). We assume that the increase in supply of formal care relieves primary and non-primary carers of some of their responsibilities and enables them to enter the labour force or increase their hours of formal work. We assume that primary carers increase formal employment by an average of 100 hours per month, and informal carers by 10 hours per month.  Around one-third of aged and disabled carers are classified as primary carers (Deloitte, 2020).</w:t>
      </w:r>
    </w:p>
    <w:p w14:paraId="4202D88F" w14:textId="0862533F" w:rsidR="005B4457" w:rsidRDefault="005B4457" w:rsidP="005B4457">
      <w:r>
        <w:t>We assume that people who care for children could increase their employment by 40 hours per month if sufficient child care was available.</w:t>
      </w:r>
    </w:p>
    <w:p w14:paraId="3F205CAC" w14:textId="77777777" w:rsidR="00C218C4" w:rsidRDefault="00C218C4" w:rsidP="005B4457"/>
    <w:p w14:paraId="023AC051" w14:textId="57900295" w:rsidR="005B4457" w:rsidRDefault="005B4457" w:rsidP="005B4457">
      <w:r>
        <w:t>Based on these assumptions, an additional 37 million hours of labour would be supplied per month, of which 27 million would be supplied by women. This is equivalent to an increase in overall labour supply of 2.06 per cent. Labour supply increases for both men and women: Men’s labour supply increases by 0.93 per cent and women’s by 3.74 per cent.</w:t>
      </w:r>
    </w:p>
    <w:p w14:paraId="4ABFEEA3" w14:textId="77777777" w:rsidR="00C218C4" w:rsidRDefault="00C218C4" w:rsidP="005B4457"/>
    <w:p w14:paraId="22F09927" w14:textId="77777777" w:rsidR="005B4457" w:rsidRDefault="005B4457" w:rsidP="005B4457">
      <w:r>
        <w:t>The increases in labour supply are treated as shocks to the VUEF-G model, and introduced over four years (2021-22 to 2024-25) alongside the increases in expenditure on the care sectors.</w:t>
      </w:r>
    </w:p>
    <w:p w14:paraId="033029B7" w14:textId="77777777" w:rsidR="005B4457" w:rsidRDefault="005B4457" w:rsidP="005B4457"/>
    <w:p w14:paraId="69BD12F7" w14:textId="77777777" w:rsidR="005B4457" w:rsidRDefault="005B4457" w:rsidP="005B4457"/>
    <w:p w14:paraId="158D847F" w14:textId="77777777" w:rsidR="005B4457" w:rsidRPr="00C218C4" w:rsidRDefault="005B4457" w:rsidP="00C218C4">
      <w:pPr>
        <w:pStyle w:val="Caption"/>
        <w:keepNext/>
        <w:rPr>
          <w:sz w:val="24"/>
          <w:szCs w:val="24"/>
        </w:rPr>
      </w:pPr>
      <w:bookmarkStart w:id="4" w:name="_Ref53525641"/>
      <w:r w:rsidRPr="00C218C4">
        <w:rPr>
          <w:sz w:val="24"/>
          <w:szCs w:val="24"/>
        </w:rPr>
        <w:t xml:space="preserve">Table </w:t>
      </w:r>
      <w:r w:rsidRPr="00C218C4">
        <w:rPr>
          <w:sz w:val="24"/>
          <w:szCs w:val="24"/>
        </w:rPr>
        <w:fldChar w:fldCharType="begin"/>
      </w:r>
      <w:r w:rsidRPr="00C218C4">
        <w:rPr>
          <w:sz w:val="24"/>
          <w:szCs w:val="24"/>
        </w:rPr>
        <w:instrText xml:space="preserve"> SEQ Table \* ARABIC </w:instrText>
      </w:r>
      <w:r w:rsidRPr="00C218C4">
        <w:rPr>
          <w:sz w:val="24"/>
          <w:szCs w:val="24"/>
        </w:rPr>
        <w:fldChar w:fldCharType="separate"/>
      </w:r>
      <w:r w:rsidRPr="00C218C4">
        <w:rPr>
          <w:noProof/>
          <w:sz w:val="24"/>
          <w:szCs w:val="24"/>
        </w:rPr>
        <w:t>2</w:t>
      </w:r>
      <w:r w:rsidRPr="00C218C4">
        <w:rPr>
          <w:noProof/>
          <w:sz w:val="24"/>
          <w:szCs w:val="24"/>
        </w:rPr>
        <w:fldChar w:fldCharType="end"/>
      </w:r>
      <w:bookmarkEnd w:id="4"/>
      <w:r w:rsidRPr="00C218C4">
        <w:rPr>
          <w:sz w:val="24"/>
          <w:szCs w:val="24"/>
        </w:rPr>
        <w:t>: Labour supply impacts</w:t>
      </w:r>
    </w:p>
    <w:tbl>
      <w:tblPr>
        <w:tblStyle w:val="GridTable1Light"/>
        <w:tblW w:w="5000" w:type="pct"/>
        <w:tblLook w:val="0420" w:firstRow="1" w:lastRow="0" w:firstColumn="0" w:lastColumn="0" w:noHBand="0" w:noVBand="1"/>
      </w:tblPr>
      <w:tblGrid>
        <w:gridCol w:w="6001"/>
        <w:gridCol w:w="955"/>
        <w:gridCol w:w="975"/>
        <w:gridCol w:w="1085"/>
      </w:tblGrid>
      <w:tr w:rsidR="005B4457" w:rsidRPr="00F0263F" w14:paraId="1A300B1F" w14:textId="77777777" w:rsidTr="005B4457">
        <w:trPr>
          <w:cnfStyle w:val="100000000000" w:firstRow="1" w:lastRow="0" w:firstColumn="0" w:lastColumn="0" w:oddVBand="0" w:evenVBand="0" w:oddHBand="0" w:evenHBand="0" w:firstRowFirstColumn="0" w:firstRowLastColumn="0" w:lastRowFirstColumn="0" w:lastRowLastColumn="0"/>
          <w:trHeight w:val="285"/>
        </w:trPr>
        <w:tc>
          <w:tcPr>
            <w:tcW w:w="3328" w:type="pct"/>
            <w:noWrap/>
            <w:hideMark/>
          </w:tcPr>
          <w:p w14:paraId="7120C2CB" w14:textId="77777777" w:rsidR="005B4457" w:rsidRPr="00F0263F" w:rsidRDefault="005B4457" w:rsidP="00C218C4">
            <w:pPr>
              <w:keepNext/>
              <w:rPr>
                <w:rFonts w:ascii="Times New Roman" w:eastAsia="Times New Roman" w:hAnsi="Times New Roman" w:cs="Times New Roman"/>
                <w:sz w:val="24"/>
                <w:szCs w:val="24"/>
                <w:lang w:eastAsia="en-AU"/>
              </w:rPr>
            </w:pPr>
          </w:p>
        </w:tc>
        <w:tc>
          <w:tcPr>
            <w:tcW w:w="530" w:type="pct"/>
            <w:noWrap/>
            <w:hideMark/>
          </w:tcPr>
          <w:p w14:paraId="10DDCA9A" w14:textId="77777777" w:rsidR="005B4457" w:rsidRPr="00F0263F" w:rsidRDefault="005B4457" w:rsidP="00C218C4">
            <w:pPr>
              <w:keepNext/>
              <w:rPr>
                <w:rFonts w:ascii="Arial" w:eastAsia="Times New Roman" w:hAnsi="Arial" w:cs="Arial"/>
                <w:color w:val="000000"/>
                <w:lang w:eastAsia="en-AU"/>
              </w:rPr>
            </w:pPr>
            <w:r w:rsidRPr="00F0263F">
              <w:rPr>
                <w:rFonts w:ascii="Arial" w:eastAsia="Times New Roman" w:hAnsi="Arial" w:cs="Arial"/>
                <w:color w:val="000000"/>
                <w:lang w:eastAsia="en-AU"/>
              </w:rPr>
              <w:t>Male</w:t>
            </w:r>
          </w:p>
        </w:tc>
        <w:tc>
          <w:tcPr>
            <w:tcW w:w="541" w:type="pct"/>
            <w:noWrap/>
            <w:hideMark/>
          </w:tcPr>
          <w:p w14:paraId="27B23C4E" w14:textId="77777777" w:rsidR="005B4457" w:rsidRPr="00F0263F" w:rsidRDefault="005B4457" w:rsidP="00C218C4">
            <w:pPr>
              <w:keepNext/>
              <w:rPr>
                <w:rFonts w:ascii="Arial" w:eastAsia="Times New Roman" w:hAnsi="Arial" w:cs="Arial"/>
                <w:color w:val="000000"/>
                <w:lang w:eastAsia="en-AU"/>
              </w:rPr>
            </w:pPr>
            <w:r w:rsidRPr="00F0263F">
              <w:rPr>
                <w:rFonts w:ascii="Arial" w:eastAsia="Times New Roman" w:hAnsi="Arial" w:cs="Arial"/>
                <w:color w:val="000000"/>
                <w:lang w:eastAsia="en-AU"/>
              </w:rPr>
              <w:t>Female</w:t>
            </w:r>
          </w:p>
        </w:tc>
        <w:tc>
          <w:tcPr>
            <w:tcW w:w="602" w:type="pct"/>
            <w:noWrap/>
            <w:hideMark/>
          </w:tcPr>
          <w:p w14:paraId="7BC04550" w14:textId="77777777" w:rsidR="005B4457" w:rsidRPr="00F0263F" w:rsidRDefault="005B4457" w:rsidP="00C218C4">
            <w:pPr>
              <w:keepNext/>
              <w:rPr>
                <w:rFonts w:ascii="Arial" w:eastAsia="Times New Roman" w:hAnsi="Arial" w:cs="Arial"/>
                <w:color w:val="000000"/>
                <w:lang w:eastAsia="en-AU"/>
              </w:rPr>
            </w:pPr>
            <w:r w:rsidRPr="00F0263F">
              <w:rPr>
                <w:rFonts w:ascii="Arial" w:eastAsia="Times New Roman" w:hAnsi="Arial" w:cs="Arial"/>
                <w:color w:val="000000"/>
                <w:lang w:eastAsia="en-AU"/>
              </w:rPr>
              <w:t>Persons</w:t>
            </w:r>
          </w:p>
        </w:tc>
      </w:tr>
      <w:tr w:rsidR="005B4457" w:rsidRPr="00F0263F" w14:paraId="414974BA" w14:textId="77777777" w:rsidTr="005B4457">
        <w:trPr>
          <w:trHeight w:val="285"/>
        </w:trPr>
        <w:tc>
          <w:tcPr>
            <w:tcW w:w="5000" w:type="pct"/>
            <w:gridSpan w:val="4"/>
            <w:noWrap/>
            <w:hideMark/>
          </w:tcPr>
          <w:p w14:paraId="40275DE2" w14:textId="77777777" w:rsidR="005B4457" w:rsidRPr="00F0263F" w:rsidRDefault="005B4457" w:rsidP="00C218C4">
            <w:pPr>
              <w:keepNext/>
              <w:rPr>
                <w:rFonts w:ascii="Arial" w:eastAsia="Times New Roman" w:hAnsi="Arial" w:cs="Arial"/>
                <w:color w:val="000000"/>
                <w:u w:val="single"/>
                <w:lang w:eastAsia="en-AU"/>
              </w:rPr>
            </w:pPr>
            <w:r w:rsidRPr="00F0263F">
              <w:rPr>
                <w:rFonts w:ascii="Arial" w:eastAsia="Times New Roman" w:hAnsi="Arial" w:cs="Arial"/>
                <w:color w:val="000000"/>
                <w:u w:val="single"/>
                <w:lang w:eastAsia="en-AU"/>
              </w:rPr>
              <w:t>People who want to work more hours ('000 persons)</w:t>
            </w:r>
          </w:p>
        </w:tc>
      </w:tr>
      <w:tr w:rsidR="005B4457" w:rsidRPr="00F0263F" w14:paraId="04CAB660" w14:textId="77777777" w:rsidTr="005B4457">
        <w:trPr>
          <w:trHeight w:val="285"/>
        </w:trPr>
        <w:tc>
          <w:tcPr>
            <w:tcW w:w="3328" w:type="pct"/>
            <w:noWrap/>
            <w:hideMark/>
          </w:tcPr>
          <w:p w14:paraId="3A0FE44E" w14:textId="77777777" w:rsidR="005B4457" w:rsidRPr="00F0263F" w:rsidRDefault="005B4457" w:rsidP="00C218C4">
            <w:pPr>
              <w:keepNext/>
              <w:rPr>
                <w:rFonts w:ascii="Arial" w:eastAsia="Times New Roman" w:hAnsi="Arial" w:cs="Arial"/>
                <w:color w:val="000000"/>
                <w:lang w:eastAsia="en-AU"/>
              </w:rPr>
            </w:pPr>
            <w:r w:rsidRPr="00F0263F">
              <w:rPr>
                <w:rFonts w:ascii="Arial" w:eastAsia="Times New Roman" w:hAnsi="Arial" w:cs="Arial"/>
                <w:color w:val="000000"/>
                <w:lang w:eastAsia="en-AU"/>
              </w:rPr>
              <w:t>Cared for someone with a long-term illness or disability</w:t>
            </w:r>
          </w:p>
        </w:tc>
        <w:tc>
          <w:tcPr>
            <w:tcW w:w="530" w:type="pct"/>
            <w:noWrap/>
            <w:hideMark/>
          </w:tcPr>
          <w:p w14:paraId="0EB64AEC" w14:textId="77777777" w:rsidR="005B4457" w:rsidRPr="00F0263F" w:rsidRDefault="005B4457" w:rsidP="00C218C4">
            <w:pPr>
              <w:keepNext/>
              <w:jc w:val="right"/>
              <w:rPr>
                <w:rFonts w:ascii="Arial" w:eastAsia="Times New Roman" w:hAnsi="Arial" w:cs="Arial"/>
                <w:color w:val="000000"/>
                <w:lang w:eastAsia="en-AU"/>
              </w:rPr>
            </w:pPr>
            <w:r w:rsidRPr="00F0263F">
              <w:rPr>
                <w:rFonts w:ascii="Arial" w:eastAsia="Times New Roman" w:hAnsi="Arial" w:cs="Arial"/>
                <w:color w:val="000000"/>
                <w:lang w:eastAsia="en-AU"/>
              </w:rPr>
              <w:t>106</w:t>
            </w:r>
          </w:p>
        </w:tc>
        <w:tc>
          <w:tcPr>
            <w:tcW w:w="541" w:type="pct"/>
            <w:noWrap/>
            <w:hideMark/>
          </w:tcPr>
          <w:p w14:paraId="0264F743" w14:textId="77777777" w:rsidR="005B4457" w:rsidRPr="00F0263F" w:rsidRDefault="005B4457" w:rsidP="00C218C4">
            <w:pPr>
              <w:keepNext/>
              <w:jc w:val="right"/>
              <w:rPr>
                <w:rFonts w:ascii="Arial" w:eastAsia="Times New Roman" w:hAnsi="Arial" w:cs="Arial"/>
                <w:color w:val="000000"/>
                <w:lang w:eastAsia="en-AU"/>
              </w:rPr>
            </w:pPr>
            <w:r w:rsidRPr="00F0263F">
              <w:rPr>
                <w:rFonts w:ascii="Arial" w:eastAsia="Times New Roman" w:hAnsi="Arial" w:cs="Arial"/>
                <w:color w:val="000000"/>
                <w:lang w:eastAsia="en-AU"/>
              </w:rPr>
              <w:t>152</w:t>
            </w:r>
          </w:p>
        </w:tc>
        <w:tc>
          <w:tcPr>
            <w:tcW w:w="602" w:type="pct"/>
            <w:noWrap/>
            <w:hideMark/>
          </w:tcPr>
          <w:p w14:paraId="766E694D" w14:textId="77777777" w:rsidR="005B4457" w:rsidRPr="00F0263F" w:rsidRDefault="005B4457" w:rsidP="00C218C4">
            <w:pPr>
              <w:keepNext/>
              <w:jc w:val="right"/>
              <w:rPr>
                <w:rFonts w:ascii="Arial" w:eastAsia="Times New Roman" w:hAnsi="Arial" w:cs="Arial"/>
                <w:color w:val="000000"/>
                <w:lang w:eastAsia="en-AU"/>
              </w:rPr>
            </w:pPr>
            <w:r w:rsidRPr="00F0263F">
              <w:rPr>
                <w:rFonts w:ascii="Arial" w:eastAsia="Times New Roman" w:hAnsi="Arial" w:cs="Arial"/>
                <w:color w:val="000000"/>
                <w:lang w:eastAsia="en-AU"/>
              </w:rPr>
              <w:t>258</w:t>
            </w:r>
          </w:p>
        </w:tc>
      </w:tr>
      <w:tr w:rsidR="005B4457" w:rsidRPr="00F0263F" w14:paraId="3C768AF7" w14:textId="77777777" w:rsidTr="005B4457">
        <w:trPr>
          <w:trHeight w:val="285"/>
        </w:trPr>
        <w:tc>
          <w:tcPr>
            <w:tcW w:w="3328" w:type="pct"/>
            <w:noWrap/>
            <w:hideMark/>
          </w:tcPr>
          <w:p w14:paraId="6FC32D9B" w14:textId="77777777" w:rsidR="005B4457" w:rsidRPr="00F0263F" w:rsidRDefault="005B4457" w:rsidP="00C218C4">
            <w:pPr>
              <w:keepNext/>
              <w:rPr>
                <w:rFonts w:ascii="Arial" w:eastAsia="Times New Roman" w:hAnsi="Arial" w:cs="Arial"/>
                <w:color w:val="000000"/>
                <w:lang w:eastAsia="en-AU"/>
              </w:rPr>
            </w:pPr>
            <w:r w:rsidRPr="00F0263F">
              <w:rPr>
                <w:rFonts w:ascii="Arial" w:eastAsia="Times New Roman" w:hAnsi="Arial" w:cs="Arial"/>
                <w:color w:val="000000"/>
                <w:lang w:eastAsia="en-AU"/>
              </w:rPr>
              <w:t>Cared for an elderly person</w:t>
            </w:r>
          </w:p>
        </w:tc>
        <w:tc>
          <w:tcPr>
            <w:tcW w:w="530" w:type="pct"/>
            <w:noWrap/>
            <w:hideMark/>
          </w:tcPr>
          <w:p w14:paraId="2DB97E02" w14:textId="77777777" w:rsidR="005B4457" w:rsidRPr="00F0263F" w:rsidRDefault="005B4457" w:rsidP="00C218C4">
            <w:pPr>
              <w:keepNext/>
              <w:jc w:val="right"/>
              <w:rPr>
                <w:rFonts w:ascii="Arial" w:eastAsia="Times New Roman" w:hAnsi="Arial" w:cs="Arial"/>
                <w:color w:val="000000"/>
                <w:lang w:eastAsia="en-AU"/>
              </w:rPr>
            </w:pPr>
            <w:r w:rsidRPr="00F0263F">
              <w:rPr>
                <w:rFonts w:ascii="Arial" w:eastAsia="Times New Roman" w:hAnsi="Arial" w:cs="Arial"/>
                <w:color w:val="000000"/>
                <w:lang w:eastAsia="en-AU"/>
              </w:rPr>
              <w:t>78</w:t>
            </w:r>
          </w:p>
        </w:tc>
        <w:tc>
          <w:tcPr>
            <w:tcW w:w="541" w:type="pct"/>
            <w:noWrap/>
            <w:hideMark/>
          </w:tcPr>
          <w:p w14:paraId="4023DF61" w14:textId="77777777" w:rsidR="005B4457" w:rsidRPr="00F0263F" w:rsidRDefault="005B4457" w:rsidP="00C218C4">
            <w:pPr>
              <w:keepNext/>
              <w:jc w:val="right"/>
              <w:rPr>
                <w:rFonts w:ascii="Arial" w:eastAsia="Times New Roman" w:hAnsi="Arial" w:cs="Arial"/>
                <w:color w:val="000000"/>
                <w:lang w:eastAsia="en-AU"/>
              </w:rPr>
            </w:pPr>
            <w:r w:rsidRPr="00F0263F">
              <w:rPr>
                <w:rFonts w:ascii="Arial" w:eastAsia="Times New Roman" w:hAnsi="Arial" w:cs="Arial"/>
                <w:color w:val="000000"/>
                <w:lang w:eastAsia="en-AU"/>
              </w:rPr>
              <w:t>142</w:t>
            </w:r>
          </w:p>
        </w:tc>
        <w:tc>
          <w:tcPr>
            <w:tcW w:w="602" w:type="pct"/>
            <w:noWrap/>
            <w:hideMark/>
          </w:tcPr>
          <w:p w14:paraId="3B3D5F1C" w14:textId="77777777" w:rsidR="005B4457" w:rsidRPr="00F0263F" w:rsidRDefault="005B4457" w:rsidP="00C218C4">
            <w:pPr>
              <w:keepNext/>
              <w:jc w:val="right"/>
              <w:rPr>
                <w:rFonts w:ascii="Arial" w:eastAsia="Times New Roman" w:hAnsi="Arial" w:cs="Arial"/>
                <w:color w:val="000000"/>
                <w:lang w:eastAsia="en-AU"/>
              </w:rPr>
            </w:pPr>
            <w:r w:rsidRPr="00F0263F">
              <w:rPr>
                <w:rFonts w:ascii="Arial" w:eastAsia="Times New Roman" w:hAnsi="Arial" w:cs="Arial"/>
                <w:color w:val="000000"/>
                <w:lang w:eastAsia="en-AU"/>
              </w:rPr>
              <w:t>219</w:t>
            </w:r>
          </w:p>
        </w:tc>
      </w:tr>
      <w:tr w:rsidR="005B4457" w:rsidRPr="00F0263F" w14:paraId="199C71E9" w14:textId="77777777" w:rsidTr="005B4457">
        <w:trPr>
          <w:trHeight w:val="285"/>
        </w:trPr>
        <w:tc>
          <w:tcPr>
            <w:tcW w:w="3328" w:type="pct"/>
            <w:noWrap/>
            <w:hideMark/>
          </w:tcPr>
          <w:p w14:paraId="2ABDFEBF" w14:textId="77777777" w:rsidR="005B4457" w:rsidRPr="00F0263F" w:rsidRDefault="005B4457" w:rsidP="005B4457">
            <w:pPr>
              <w:rPr>
                <w:rFonts w:ascii="Arial" w:eastAsia="Times New Roman" w:hAnsi="Arial" w:cs="Arial"/>
                <w:color w:val="000000"/>
                <w:lang w:eastAsia="en-AU"/>
              </w:rPr>
            </w:pPr>
            <w:r w:rsidRPr="00F0263F">
              <w:rPr>
                <w:rFonts w:ascii="Arial" w:eastAsia="Times New Roman" w:hAnsi="Arial" w:cs="Arial"/>
                <w:color w:val="000000"/>
                <w:lang w:eastAsia="en-AU"/>
              </w:rPr>
              <w:t>Youngest child aged under 5</w:t>
            </w:r>
          </w:p>
        </w:tc>
        <w:tc>
          <w:tcPr>
            <w:tcW w:w="530" w:type="pct"/>
            <w:noWrap/>
            <w:hideMark/>
          </w:tcPr>
          <w:p w14:paraId="55E2B722" w14:textId="77777777" w:rsidR="005B4457" w:rsidRPr="00F0263F" w:rsidRDefault="005B4457" w:rsidP="005B4457">
            <w:pPr>
              <w:jc w:val="right"/>
              <w:rPr>
                <w:rFonts w:ascii="Arial" w:eastAsia="Times New Roman" w:hAnsi="Arial" w:cs="Arial"/>
                <w:color w:val="000000"/>
                <w:lang w:eastAsia="en-AU"/>
              </w:rPr>
            </w:pPr>
            <w:r w:rsidRPr="00F0263F">
              <w:rPr>
                <w:rFonts w:ascii="Arial" w:eastAsia="Times New Roman" w:hAnsi="Arial" w:cs="Arial"/>
                <w:color w:val="000000"/>
                <w:lang w:eastAsia="en-AU"/>
              </w:rPr>
              <w:t>108</w:t>
            </w:r>
          </w:p>
        </w:tc>
        <w:tc>
          <w:tcPr>
            <w:tcW w:w="541" w:type="pct"/>
            <w:noWrap/>
            <w:hideMark/>
          </w:tcPr>
          <w:p w14:paraId="759873B5" w14:textId="77777777" w:rsidR="005B4457" w:rsidRPr="00F0263F" w:rsidRDefault="005B4457" w:rsidP="005B4457">
            <w:pPr>
              <w:jc w:val="right"/>
              <w:rPr>
                <w:rFonts w:ascii="Arial" w:eastAsia="Times New Roman" w:hAnsi="Arial" w:cs="Arial"/>
                <w:color w:val="000000"/>
                <w:lang w:eastAsia="en-AU"/>
              </w:rPr>
            </w:pPr>
            <w:r w:rsidRPr="00F0263F">
              <w:rPr>
                <w:rFonts w:ascii="Arial" w:eastAsia="Times New Roman" w:hAnsi="Arial" w:cs="Arial"/>
                <w:color w:val="000000"/>
                <w:lang w:eastAsia="en-AU"/>
              </w:rPr>
              <w:t>337</w:t>
            </w:r>
          </w:p>
        </w:tc>
        <w:tc>
          <w:tcPr>
            <w:tcW w:w="602" w:type="pct"/>
            <w:noWrap/>
            <w:hideMark/>
          </w:tcPr>
          <w:p w14:paraId="749BD738" w14:textId="77777777" w:rsidR="005B4457" w:rsidRPr="00F0263F" w:rsidRDefault="005B4457" w:rsidP="005B4457">
            <w:pPr>
              <w:jc w:val="right"/>
              <w:rPr>
                <w:rFonts w:ascii="Arial" w:eastAsia="Times New Roman" w:hAnsi="Arial" w:cs="Arial"/>
                <w:color w:val="000000"/>
                <w:lang w:eastAsia="en-AU"/>
              </w:rPr>
            </w:pPr>
            <w:r w:rsidRPr="00F0263F">
              <w:rPr>
                <w:rFonts w:ascii="Arial" w:eastAsia="Times New Roman" w:hAnsi="Arial" w:cs="Arial"/>
                <w:color w:val="000000"/>
                <w:lang w:eastAsia="en-AU"/>
              </w:rPr>
              <w:t>446</w:t>
            </w:r>
          </w:p>
        </w:tc>
      </w:tr>
      <w:tr w:rsidR="005B4457" w:rsidRPr="00F0263F" w14:paraId="4C00FFE2" w14:textId="77777777" w:rsidTr="005B4457">
        <w:trPr>
          <w:trHeight w:val="285"/>
        </w:trPr>
        <w:tc>
          <w:tcPr>
            <w:tcW w:w="3328" w:type="pct"/>
            <w:noWrap/>
            <w:hideMark/>
          </w:tcPr>
          <w:p w14:paraId="21CAC725" w14:textId="77777777" w:rsidR="005B4457" w:rsidRPr="00F0263F" w:rsidRDefault="005B4457" w:rsidP="005B4457">
            <w:pPr>
              <w:rPr>
                <w:rFonts w:ascii="Arial" w:eastAsia="Times New Roman" w:hAnsi="Arial" w:cs="Arial"/>
                <w:color w:val="000000"/>
                <w:lang w:eastAsia="en-AU"/>
              </w:rPr>
            </w:pPr>
            <w:r>
              <w:rPr>
                <w:rFonts w:ascii="Arial" w:eastAsia="Times New Roman" w:hAnsi="Arial" w:cs="Arial"/>
                <w:color w:val="000000"/>
                <w:lang w:eastAsia="en-AU"/>
              </w:rPr>
              <w:t>Total</w:t>
            </w:r>
          </w:p>
        </w:tc>
        <w:tc>
          <w:tcPr>
            <w:tcW w:w="530" w:type="pct"/>
            <w:noWrap/>
            <w:hideMark/>
          </w:tcPr>
          <w:p w14:paraId="7B46A590" w14:textId="77777777" w:rsidR="005B4457" w:rsidRPr="00F0263F" w:rsidRDefault="005B4457" w:rsidP="005B4457">
            <w:pPr>
              <w:jc w:val="right"/>
              <w:rPr>
                <w:rFonts w:ascii="Arial" w:eastAsia="Times New Roman" w:hAnsi="Arial" w:cs="Arial"/>
                <w:color w:val="000000"/>
                <w:lang w:eastAsia="en-AU"/>
              </w:rPr>
            </w:pPr>
            <w:r w:rsidRPr="00F0263F">
              <w:rPr>
                <w:rFonts w:ascii="Arial" w:eastAsia="Times New Roman" w:hAnsi="Arial" w:cs="Arial"/>
                <w:color w:val="000000"/>
                <w:lang w:eastAsia="en-AU"/>
              </w:rPr>
              <w:t>292</w:t>
            </w:r>
          </w:p>
        </w:tc>
        <w:tc>
          <w:tcPr>
            <w:tcW w:w="541" w:type="pct"/>
            <w:noWrap/>
            <w:hideMark/>
          </w:tcPr>
          <w:p w14:paraId="604A7E52" w14:textId="77777777" w:rsidR="005B4457" w:rsidRPr="00F0263F" w:rsidRDefault="005B4457" w:rsidP="005B4457">
            <w:pPr>
              <w:jc w:val="right"/>
              <w:rPr>
                <w:rFonts w:ascii="Arial" w:eastAsia="Times New Roman" w:hAnsi="Arial" w:cs="Arial"/>
                <w:color w:val="000000"/>
                <w:lang w:eastAsia="en-AU"/>
              </w:rPr>
            </w:pPr>
            <w:r w:rsidRPr="00F0263F">
              <w:rPr>
                <w:rFonts w:ascii="Arial" w:eastAsia="Times New Roman" w:hAnsi="Arial" w:cs="Arial"/>
                <w:color w:val="000000"/>
                <w:lang w:eastAsia="en-AU"/>
              </w:rPr>
              <w:t>631</w:t>
            </w:r>
          </w:p>
        </w:tc>
        <w:tc>
          <w:tcPr>
            <w:tcW w:w="602" w:type="pct"/>
            <w:noWrap/>
            <w:hideMark/>
          </w:tcPr>
          <w:p w14:paraId="24DCF71E" w14:textId="77777777" w:rsidR="005B4457" w:rsidRPr="00F0263F" w:rsidRDefault="005B4457" w:rsidP="005B4457">
            <w:pPr>
              <w:jc w:val="right"/>
              <w:rPr>
                <w:rFonts w:ascii="Arial" w:eastAsia="Times New Roman" w:hAnsi="Arial" w:cs="Arial"/>
                <w:color w:val="000000"/>
                <w:lang w:eastAsia="en-AU"/>
              </w:rPr>
            </w:pPr>
            <w:r w:rsidRPr="00F0263F">
              <w:rPr>
                <w:rFonts w:ascii="Arial" w:eastAsia="Times New Roman" w:hAnsi="Arial" w:cs="Arial"/>
                <w:color w:val="000000"/>
                <w:lang w:eastAsia="en-AU"/>
              </w:rPr>
              <w:t>923</w:t>
            </w:r>
          </w:p>
        </w:tc>
      </w:tr>
      <w:tr w:rsidR="005B4457" w:rsidRPr="00F0263F" w14:paraId="7A74C4C4" w14:textId="77777777" w:rsidTr="005B4457">
        <w:trPr>
          <w:trHeight w:val="285"/>
        </w:trPr>
        <w:tc>
          <w:tcPr>
            <w:tcW w:w="3328" w:type="pct"/>
            <w:noWrap/>
            <w:hideMark/>
          </w:tcPr>
          <w:p w14:paraId="5D654D9A" w14:textId="77777777" w:rsidR="005B4457" w:rsidRPr="00F0263F" w:rsidRDefault="005B4457" w:rsidP="005B4457">
            <w:pPr>
              <w:jc w:val="right"/>
              <w:rPr>
                <w:rFonts w:ascii="Arial" w:eastAsia="Times New Roman" w:hAnsi="Arial" w:cs="Arial"/>
                <w:color w:val="000000"/>
                <w:lang w:eastAsia="en-AU"/>
              </w:rPr>
            </w:pPr>
          </w:p>
        </w:tc>
        <w:tc>
          <w:tcPr>
            <w:tcW w:w="530" w:type="pct"/>
            <w:noWrap/>
            <w:hideMark/>
          </w:tcPr>
          <w:p w14:paraId="125EF83F" w14:textId="77777777" w:rsidR="005B4457" w:rsidRPr="00F0263F" w:rsidRDefault="005B4457" w:rsidP="005B4457">
            <w:pPr>
              <w:rPr>
                <w:rFonts w:ascii="Times New Roman" w:eastAsia="Times New Roman" w:hAnsi="Times New Roman" w:cs="Times New Roman"/>
                <w:sz w:val="20"/>
                <w:szCs w:val="20"/>
                <w:lang w:eastAsia="en-AU"/>
              </w:rPr>
            </w:pPr>
          </w:p>
        </w:tc>
        <w:tc>
          <w:tcPr>
            <w:tcW w:w="541" w:type="pct"/>
            <w:noWrap/>
            <w:hideMark/>
          </w:tcPr>
          <w:p w14:paraId="6066408F" w14:textId="77777777" w:rsidR="005B4457" w:rsidRPr="00F0263F" w:rsidRDefault="005B4457" w:rsidP="005B4457">
            <w:pPr>
              <w:rPr>
                <w:rFonts w:ascii="Times New Roman" w:eastAsia="Times New Roman" w:hAnsi="Times New Roman" w:cs="Times New Roman"/>
                <w:sz w:val="20"/>
                <w:szCs w:val="20"/>
                <w:lang w:eastAsia="en-AU"/>
              </w:rPr>
            </w:pPr>
          </w:p>
        </w:tc>
        <w:tc>
          <w:tcPr>
            <w:tcW w:w="602" w:type="pct"/>
            <w:noWrap/>
            <w:hideMark/>
          </w:tcPr>
          <w:p w14:paraId="4DC78637" w14:textId="77777777" w:rsidR="005B4457" w:rsidRPr="00F0263F" w:rsidRDefault="005B4457" w:rsidP="005B4457">
            <w:pPr>
              <w:rPr>
                <w:rFonts w:ascii="Times New Roman" w:eastAsia="Times New Roman" w:hAnsi="Times New Roman" w:cs="Times New Roman"/>
                <w:sz w:val="20"/>
                <w:szCs w:val="20"/>
                <w:lang w:eastAsia="en-AU"/>
              </w:rPr>
            </w:pPr>
          </w:p>
        </w:tc>
      </w:tr>
      <w:tr w:rsidR="005B4457" w:rsidRPr="00F0263F" w14:paraId="5B641E49" w14:textId="77777777" w:rsidTr="005B4457">
        <w:trPr>
          <w:trHeight w:val="285"/>
        </w:trPr>
        <w:tc>
          <w:tcPr>
            <w:tcW w:w="5000" w:type="pct"/>
            <w:gridSpan w:val="4"/>
            <w:noWrap/>
            <w:hideMark/>
          </w:tcPr>
          <w:p w14:paraId="6CAD9CC5" w14:textId="77777777" w:rsidR="005B4457" w:rsidRPr="00F0263F" w:rsidRDefault="005B4457" w:rsidP="005B4457">
            <w:pPr>
              <w:rPr>
                <w:rFonts w:ascii="Arial" w:eastAsia="Times New Roman" w:hAnsi="Arial" w:cs="Arial"/>
                <w:color w:val="000000"/>
                <w:u w:val="single"/>
                <w:lang w:eastAsia="en-AU"/>
              </w:rPr>
            </w:pPr>
            <w:r w:rsidRPr="00F0263F">
              <w:rPr>
                <w:rFonts w:ascii="Arial" w:eastAsia="Times New Roman" w:hAnsi="Arial" w:cs="Arial"/>
                <w:color w:val="000000"/>
                <w:u w:val="single"/>
                <w:lang w:eastAsia="en-AU"/>
              </w:rPr>
              <w:t>Additional hours supplied per person per month</w:t>
            </w:r>
            <w:r>
              <w:rPr>
                <w:rFonts w:ascii="Arial" w:eastAsia="Times New Roman" w:hAnsi="Arial" w:cs="Arial"/>
                <w:color w:val="000000"/>
                <w:u w:val="single"/>
                <w:lang w:eastAsia="en-AU"/>
              </w:rPr>
              <w:t xml:space="preserve"> if sufficient care available (assumed)</w:t>
            </w:r>
          </w:p>
        </w:tc>
      </w:tr>
      <w:tr w:rsidR="005B4457" w:rsidRPr="00F0263F" w14:paraId="65559813" w14:textId="77777777" w:rsidTr="005B4457">
        <w:trPr>
          <w:trHeight w:val="285"/>
        </w:trPr>
        <w:tc>
          <w:tcPr>
            <w:tcW w:w="3328" w:type="pct"/>
            <w:noWrap/>
            <w:hideMark/>
          </w:tcPr>
          <w:p w14:paraId="2AEAC5F1" w14:textId="77777777" w:rsidR="005B4457" w:rsidRPr="00F0263F" w:rsidRDefault="005B4457" w:rsidP="005B4457">
            <w:pPr>
              <w:rPr>
                <w:rFonts w:ascii="Arial" w:eastAsia="Times New Roman" w:hAnsi="Arial" w:cs="Arial"/>
                <w:color w:val="000000"/>
                <w:lang w:eastAsia="en-AU"/>
              </w:rPr>
            </w:pPr>
            <w:r w:rsidRPr="00F0263F">
              <w:rPr>
                <w:rFonts w:ascii="Arial" w:eastAsia="Times New Roman" w:hAnsi="Arial" w:cs="Arial"/>
                <w:color w:val="000000"/>
                <w:lang w:eastAsia="en-AU"/>
              </w:rPr>
              <w:t>Aged/disabled primary carer</w:t>
            </w:r>
          </w:p>
        </w:tc>
        <w:tc>
          <w:tcPr>
            <w:tcW w:w="530" w:type="pct"/>
            <w:noWrap/>
            <w:hideMark/>
          </w:tcPr>
          <w:p w14:paraId="0BB865DA" w14:textId="77777777" w:rsidR="005B4457" w:rsidRPr="00F0263F" w:rsidRDefault="005B4457" w:rsidP="005B4457">
            <w:pPr>
              <w:jc w:val="right"/>
              <w:rPr>
                <w:rFonts w:ascii="Arial" w:eastAsia="Times New Roman" w:hAnsi="Arial" w:cs="Arial"/>
                <w:color w:val="000000"/>
                <w:lang w:eastAsia="en-AU"/>
              </w:rPr>
            </w:pPr>
            <w:r w:rsidRPr="00F0263F">
              <w:rPr>
                <w:rFonts w:ascii="Arial" w:eastAsia="Times New Roman" w:hAnsi="Arial" w:cs="Arial"/>
                <w:color w:val="000000"/>
                <w:lang w:eastAsia="en-AU"/>
              </w:rPr>
              <w:t>100</w:t>
            </w:r>
          </w:p>
        </w:tc>
        <w:tc>
          <w:tcPr>
            <w:tcW w:w="541" w:type="pct"/>
            <w:noWrap/>
            <w:hideMark/>
          </w:tcPr>
          <w:p w14:paraId="3C28119F" w14:textId="77777777" w:rsidR="005B4457" w:rsidRPr="00F0263F" w:rsidRDefault="005B4457" w:rsidP="005B4457">
            <w:pPr>
              <w:jc w:val="right"/>
              <w:rPr>
                <w:rFonts w:ascii="Arial" w:eastAsia="Times New Roman" w:hAnsi="Arial" w:cs="Arial"/>
                <w:color w:val="000000"/>
                <w:lang w:eastAsia="en-AU"/>
              </w:rPr>
            </w:pPr>
            <w:r w:rsidRPr="00F0263F">
              <w:rPr>
                <w:rFonts w:ascii="Arial" w:eastAsia="Times New Roman" w:hAnsi="Arial" w:cs="Arial"/>
                <w:color w:val="000000"/>
                <w:lang w:eastAsia="en-AU"/>
              </w:rPr>
              <w:t>100</w:t>
            </w:r>
          </w:p>
        </w:tc>
        <w:tc>
          <w:tcPr>
            <w:tcW w:w="602" w:type="pct"/>
            <w:noWrap/>
            <w:hideMark/>
          </w:tcPr>
          <w:p w14:paraId="6838C7CB" w14:textId="77777777" w:rsidR="005B4457" w:rsidRPr="00F0263F" w:rsidRDefault="005B4457" w:rsidP="005B4457">
            <w:pPr>
              <w:jc w:val="right"/>
              <w:rPr>
                <w:rFonts w:ascii="Arial" w:eastAsia="Times New Roman" w:hAnsi="Arial" w:cs="Arial"/>
                <w:color w:val="000000"/>
                <w:lang w:eastAsia="en-AU"/>
              </w:rPr>
            </w:pPr>
            <w:r w:rsidRPr="00F0263F">
              <w:rPr>
                <w:rFonts w:ascii="Arial" w:eastAsia="Times New Roman" w:hAnsi="Arial" w:cs="Arial"/>
                <w:color w:val="000000"/>
                <w:lang w:eastAsia="en-AU"/>
              </w:rPr>
              <w:t>100</w:t>
            </w:r>
          </w:p>
        </w:tc>
      </w:tr>
      <w:tr w:rsidR="005B4457" w:rsidRPr="00F0263F" w14:paraId="27A71A85" w14:textId="77777777" w:rsidTr="005B4457">
        <w:trPr>
          <w:trHeight w:val="285"/>
        </w:trPr>
        <w:tc>
          <w:tcPr>
            <w:tcW w:w="3328" w:type="pct"/>
            <w:noWrap/>
            <w:hideMark/>
          </w:tcPr>
          <w:p w14:paraId="1FB80F3C" w14:textId="77777777" w:rsidR="005B4457" w:rsidRPr="00F0263F" w:rsidRDefault="005B4457" w:rsidP="005B4457">
            <w:pPr>
              <w:rPr>
                <w:rFonts w:ascii="Arial" w:eastAsia="Times New Roman" w:hAnsi="Arial" w:cs="Arial"/>
                <w:color w:val="000000"/>
                <w:lang w:eastAsia="en-AU"/>
              </w:rPr>
            </w:pPr>
            <w:r w:rsidRPr="00F0263F">
              <w:rPr>
                <w:rFonts w:ascii="Arial" w:eastAsia="Times New Roman" w:hAnsi="Arial" w:cs="Arial"/>
                <w:color w:val="000000"/>
                <w:lang w:eastAsia="en-AU"/>
              </w:rPr>
              <w:t>Aged/disabled non-primary carer</w:t>
            </w:r>
          </w:p>
        </w:tc>
        <w:tc>
          <w:tcPr>
            <w:tcW w:w="530" w:type="pct"/>
            <w:noWrap/>
            <w:hideMark/>
          </w:tcPr>
          <w:p w14:paraId="732D2DB6" w14:textId="77777777" w:rsidR="005B4457" w:rsidRPr="00F0263F" w:rsidRDefault="005B4457" w:rsidP="005B4457">
            <w:pPr>
              <w:jc w:val="right"/>
              <w:rPr>
                <w:rFonts w:ascii="Arial" w:eastAsia="Times New Roman" w:hAnsi="Arial" w:cs="Arial"/>
                <w:color w:val="000000"/>
                <w:lang w:eastAsia="en-AU"/>
              </w:rPr>
            </w:pPr>
            <w:r w:rsidRPr="00F0263F">
              <w:rPr>
                <w:rFonts w:ascii="Arial" w:eastAsia="Times New Roman" w:hAnsi="Arial" w:cs="Arial"/>
                <w:color w:val="000000"/>
                <w:lang w:eastAsia="en-AU"/>
              </w:rPr>
              <w:t>10</w:t>
            </w:r>
          </w:p>
        </w:tc>
        <w:tc>
          <w:tcPr>
            <w:tcW w:w="541" w:type="pct"/>
            <w:noWrap/>
            <w:hideMark/>
          </w:tcPr>
          <w:p w14:paraId="273F92CF" w14:textId="77777777" w:rsidR="005B4457" w:rsidRPr="00F0263F" w:rsidRDefault="005B4457" w:rsidP="005B4457">
            <w:pPr>
              <w:jc w:val="right"/>
              <w:rPr>
                <w:rFonts w:ascii="Arial" w:eastAsia="Times New Roman" w:hAnsi="Arial" w:cs="Arial"/>
                <w:color w:val="000000"/>
                <w:lang w:eastAsia="en-AU"/>
              </w:rPr>
            </w:pPr>
            <w:r w:rsidRPr="00F0263F">
              <w:rPr>
                <w:rFonts w:ascii="Arial" w:eastAsia="Times New Roman" w:hAnsi="Arial" w:cs="Arial"/>
                <w:color w:val="000000"/>
                <w:lang w:eastAsia="en-AU"/>
              </w:rPr>
              <w:t>10</w:t>
            </w:r>
          </w:p>
        </w:tc>
        <w:tc>
          <w:tcPr>
            <w:tcW w:w="602" w:type="pct"/>
            <w:noWrap/>
            <w:hideMark/>
          </w:tcPr>
          <w:p w14:paraId="4CEFD40F" w14:textId="77777777" w:rsidR="005B4457" w:rsidRPr="00F0263F" w:rsidRDefault="005B4457" w:rsidP="005B4457">
            <w:pPr>
              <w:jc w:val="right"/>
              <w:rPr>
                <w:rFonts w:ascii="Arial" w:eastAsia="Times New Roman" w:hAnsi="Arial" w:cs="Arial"/>
                <w:color w:val="000000"/>
                <w:lang w:eastAsia="en-AU"/>
              </w:rPr>
            </w:pPr>
            <w:r w:rsidRPr="00F0263F">
              <w:rPr>
                <w:rFonts w:ascii="Arial" w:eastAsia="Times New Roman" w:hAnsi="Arial" w:cs="Arial"/>
                <w:color w:val="000000"/>
                <w:lang w:eastAsia="en-AU"/>
              </w:rPr>
              <w:t>10</w:t>
            </w:r>
          </w:p>
        </w:tc>
      </w:tr>
      <w:tr w:rsidR="005B4457" w:rsidRPr="00F0263F" w14:paraId="0818BEFA" w14:textId="77777777" w:rsidTr="005B4457">
        <w:trPr>
          <w:trHeight w:val="285"/>
        </w:trPr>
        <w:tc>
          <w:tcPr>
            <w:tcW w:w="3328" w:type="pct"/>
            <w:noWrap/>
            <w:hideMark/>
          </w:tcPr>
          <w:p w14:paraId="50B11657" w14:textId="77777777" w:rsidR="005B4457" w:rsidRPr="00F0263F" w:rsidRDefault="005B4457" w:rsidP="005B4457">
            <w:pPr>
              <w:rPr>
                <w:rFonts w:ascii="Arial" w:eastAsia="Times New Roman" w:hAnsi="Arial" w:cs="Arial"/>
                <w:color w:val="000000"/>
                <w:lang w:eastAsia="en-AU"/>
              </w:rPr>
            </w:pPr>
            <w:r w:rsidRPr="00F0263F">
              <w:rPr>
                <w:rFonts w:ascii="Arial" w:eastAsia="Times New Roman" w:hAnsi="Arial" w:cs="Arial"/>
                <w:color w:val="000000"/>
                <w:lang w:eastAsia="en-AU"/>
              </w:rPr>
              <w:t>Child carer</w:t>
            </w:r>
          </w:p>
        </w:tc>
        <w:tc>
          <w:tcPr>
            <w:tcW w:w="530" w:type="pct"/>
            <w:noWrap/>
            <w:hideMark/>
          </w:tcPr>
          <w:p w14:paraId="34B2E006" w14:textId="77777777" w:rsidR="005B4457" w:rsidRPr="00F0263F" w:rsidRDefault="005B4457" w:rsidP="005B4457">
            <w:pPr>
              <w:jc w:val="right"/>
              <w:rPr>
                <w:rFonts w:ascii="Arial" w:eastAsia="Times New Roman" w:hAnsi="Arial" w:cs="Arial"/>
                <w:color w:val="000000"/>
                <w:lang w:eastAsia="en-AU"/>
              </w:rPr>
            </w:pPr>
            <w:r w:rsidRPr="00F0263F">
              <w:rPr>
                <w:rFonts w:ascii="Arial" w:eastAsia="Times New Roman" w:hAnsi="Arial" w:cs="Arial"/>
                <w:color w:val="000000"/>
                <w:lang w:eastAsia="en-AU"/>
              </w:rPr>
              <w:t>40</w:t>
            </w:r>
          </w:p>
        </w:tc>
        <w:tc>
          <w:tcPr>
            <w:tcW w:w="541" w:type="pct"/>
            <w:noWrap/>
            <w:hideMark/>
          </w:tcPr>
          <w:p w14:paraId="4D49068B" w14:textId="77777777" w:rsidR="005B4457" w:rsidRPr="00F0263F" w:rsidRDefault="005B4457" w:rsidP="005B4457">
            <w:pPr>
              <w:jc w:val="right"/>
              <w:rPr>
                <w:rFonts w:ascii="Arial" w:eastAsia="Times New Roman" w:hAnsi="Arial" w:cs="Arial"/>
                <w:color w:val="000000"/>
                <w:lang w:eastAsia="en-AU"/>
              </w:rPr>
            </w:pPr>
            <w:r w:rsidRPr="00F0263F">
              <w:rPr>
                <w:rFonts w:ascii="Arial" w:eastAsia="Times New Roman" w:hAnsi="Arial" w:cs="Arial"/>
                <w:color w:val="000000"/>
                <w:lang w:eastAsia="en-AU"/>
              </w:rPr>
              <w:t>40</w:t>
            </w:r>
          </w:p>
        </w:tc>
        <w:tc>
          <w:tcPr>
            <w:tcW w:w="602" w:type="pct"/>
            <w:noWrap/>
            <w:hideMark/>
          </w:tcPr>
          <w:p w14:paraId="058CDD77" w14:textId="77777777" w:rsidR="005B4457" w:rsidRPr="00F0263F" w:rsidRDefault="005B4457" w:rsidP="005B4457">
            <w:pPr>
              <w:jc w:val="right"/>
              <w:rPr>
                <w:rFonts w:ascii="Arial" w:eastAsia="Times New Roman" w:hAnsi="Arial" w:cs="Arial"/>
                <w:color w:val="000000"/>
                <w:lang w:eastAsia="en-AU"/>
              </w:rPr>
            </w:pPr>
            <w:r w:rsidRPr="00F0263F">
              <w:rPr>
                <w:rFonts w:ascii="Arial" w:eastAsia="Times New Roman" w:hAnsi="Arial" w:cs="Arial"/>
                <w:color w:val="000000"/>
                <w:lang w:eastAsia="en-AU"/>
              </w:rPr>
              <w:t>40</w:t>
            </w:r>
          </w:p>
        </w:tc>
      </w:tr>
      <w:tr w:rsidR="005B4457" w:rsidRPr="00F0263F" w14:paraId="607FAF09" w14:textId="77777777" w:rsidTr="005B4457">
        <w:trPr>
          <w:trHeight w:val="285"/>
        </w:trPr>
        <w:tc>
          <w:tcPr>
            <w:tcW w:w="3328" w:type="pct"/>
            <w:noWrap/>
          </w:tcPr>
          <w:p w14:paraId="38633EC2" w14:textId="77777777" w:rsidR="005B4457" w:rsidRPr="00F0263F" w:rsidRDefault="005B4457" w:rsidP="005B4457">
            <w:pPr>
              <w:jc w:val="right"/>
              <w:rPr>
                <w:rFonts w:ascii="Arial" w:eastAsia="Times New Roman" w:hAnsi="Arial" w:cs="Arial"/>
                <w:color w:val="000000"/>
                <w:lang w:eastAsia="en-AU"/>
              </w:rPr>
            </w:pPr>
          </w:p>
        </w:tc>
        <w:tc>
          <w:tcPr>
            <w:tcW w:w="530" w:type="pct"/>
            <w:noWrap/>
          </w:tcPr>
          <w:p w14:paraId="526B6C52" w14:textId="77777777" w:rsidR="005B4457" w:rsidRPr="00F0263F" w:rsidRDefault="005B4457" w:rsidP="005B4457">
            <w:pPr>
              <w:rPr>
                <w:rFonts w:ascii="Times New Roman" w:eastAsia="Times New Roman" w:hAnsi="Times New Roman" w:cs="Times New Roman"/>
                <w:sz w:val="20"/>
                <w:szCs w:val="20"/>
                <w:lang w:eastAsia="en-AU"/>
              </w:rPr>
            </w:pPr>
          </w:p>
        </w:tc>
        <w:tc>
          <w:tcPr>
            <w:tcW w:w="541" w:type="pct"/>
            <w:noWrap/>
          </w:tcPr>
          <w:p w14:paraId="7E276971" w14:textId="77777777" w:rsidR="005B4457" w:rsidRPr="00F0263F" w:rsidRDefault="005B4457" w:rsidP="005B4457">
            <w:pPr>
              <w:rPr>
                <w:rFonts w:ascii="Times New Roman" w:eastAsia="Times New Roman" w:hAnsi="Times New Roman" w:cs="Times New Roman"/>
                <w:sz w:val="20"/>
                <w:szCs w:val="20"/>
                <w:lang w:eastAsia="en-AU"/>
              </w:rPr>
            </w:pPr>
          </w:p>
        </w:tc>
        <w:tc>
          <w:tcPr>
            <w:tcW w:w="602" w:type="pct"/>
            <w:noWrap/>
          </w:tcPr>
          <w:p w14:paraId="49050438" w14:textId="77777777" w:rsidR="005B4457" w:rsidRPr="00F0263F" w:rsidRDefault="005B4457" w:rsidP="005B4457">
            <w:pPr>
              <w:rPr>
                <w:rFonts w:ascii="Times New Roman" w:eastAsia="Times New Roman" w:hAnsi="Times New Roman" w:cs="Times New Roman"/>
                <w:sz w:val="20"/>
                <w:szCs w:val="20"/>
                <w:lang w:eastAsia="en-AU"/>
              </w:rPr>
            </w:pPr>
          </w:p>
        </w:tc>
      </w:tr>
      <w:tr w:rsidR="005B4457" w:rsidRPr="00F0263F" w14:paraId="24997473" w14:textId="77777777" w:rsidTr="005B4457">
        <w:trPr>
          <w:trHeight w:val="285"/>
        </w:trPr>
        <w:tc>
          <w:tcPr>
            <w:tcW w:w="3328" w:type="pct"/>
            <w:noWrap/>
            <w:hideMark/>
          </w:tcPr>
          <w:p w14:paraId="1D6ACC2E" w14:textId="77777777" w:rsidR="005B4457" w:rsidRPr="00F0263F" w:rsidRDefault="005B4457" w:rsidP="005B4457">
            <w:pPr>
              <w:rPr>
                <w:rFonts w:ascii="Arial" w:eastAsia="Times New Roman" w:hAnsi="Arial" w:cs="Arial"/>
                <w:color w:val="000000"/>
                <w:lang w:eastAsia="en-AU"/>
              </w:rPr>
            </w:pPr>
            <w:r>
              <w:rPr>
                <w:rFonts w:ascii="Arial" w:eastAsia="Times New Roman" w:hAnsi="Arial" w:cs="Arial"/>
                <w:color w:val="000000"/>
                <w:lang w:eastAsia="en-AU"/>
              </w:rPr>
              <w:t>P</w:t>
            </w:r>
            <w:r w:rsidRPr="00F0263F">
              <w:rPr>
                <w:rFonts w:ascii="Arial" w:eastAsia="Times New Roman" w:hAnsi="Arial" w:cs="Arial"/>
                <w:color w:val="000000"/>
                <w:lang w:eastAsia="en-AU"/>
              </w:rPr>
              <w:t xml:space="preserve">ercentage of </w:t>
            </w:r>
            <w:r>
              <w:rPr>
                <w:rFonts w:ascii="Arial" w:eastAsia="Times New Roman" w:hAnsi="Arial" w:cs="Arial"/>
                <w:color w:val="000000"/>
                <w:lang w:eastAsia="en-AU"/>
              </w:rPr>
              <w:t xml:space="preserve">aged/disabled </w:t>
            </w:r>
            <w:r w:rsidRPr="00F0263F">
              <w:rPr>
                <w:rFonts w:ascii="Arial" w:eastAsia="Times New Roman" w:hAnsi="Arial" w:cs="Arial"/>
                <w:color w:val="000000"/>
                <w:lang w:eastAsia="en-AU"/>
              </w:rPr>
              <w:t>carers who are primary carers</w:t>
            </w:r>
          </w:p>
        </w:tc>
        <w:tc>
          <w:tcPr>
            <w:tcW w:w="530" w:type="pct"/>
            <w:noWrap/>
            <w:hideMark/>
          </w:tcPr>
          <w:p w14:paraId="2527C75F" w14:textId="77777777" w:rsidR="005B4457" w:rsidRPr="00F0263F" w:rsidRDefault="005B4457" w:rsidP="005B4457">
            <w:pPr>
              <w:jc w:val="right"/>
              <w:rPr>
                <w:rFonts w:ascii="Arial" w:eastAsia="Times New Roman" w:hAnsi="Arial" w:cs="Arial"/>
                <w:color w:val="000000"/>
                <w:lang w:eastAsia="en-AU"/>
              </w:rPr>
            </w:pPr>
            <w:r w:rsidRPr="00F0263F">
              <w:rPr>
                <w:rFonts w:ascii="Arial" w:eastAsia="Times New Roman" w:hAnsi="Arial" w:cs="Arial"/>
                <w:color w:val="000000"/>
                <w:lang w:eastAsia="en-AU"/>
              </w:rPr>
              <w:t>21</w:t>
            </w:r>
          </w:p>
        </w:tc>
        <w:tc>
          <w:tcPr>
            <w:tcW w:w="541" w:type="pct"/>
            <w:noWrap/>
            <w:hideMark/>
          </w:tcPr>
          <w:p w14:paraId="02184602" w14:textId="77777777" w:rsidR="005B4457" w:rsidRPr="00F0263F" w:rsidRDefault="005B4457" w:rsidP="005B4457">
            <w:pPr>
              <w:jc w:val="right"/>
              <w:rPr>
                <w:rFonts w:ascii="Arial" w:eastAsia="Times New Roman" w:hAnsi="Arial" w:cs="Arial"/>
                <w:color w:val="000000"/>
                <w:lang w:eastAsia="en-AU"/>
              </w:rPr>
            </w:pPr>
            <w:r w:rsidRPr="00F0263F">
              <w:rPr>
                <w:rFonts w:ascii="Arial" w:eastAsia="Times New Roman" w:hAnsi="Arial" w:cs="Arial"/>
                <w:color w:val="000000"/>
                <w:lang w:eastAsia="en-AU"/>
              </w:rPr>
              <w:t>41</w:t>
            </w:r>
          </w:p>
        </w:tc>
        <w:tc>
          <w:tcPr>
            <w:tcW w:w="602" w:type="pct"/>
            <w:noWrap/>
            <w:hideMark/>
          </w:tcPr>
          <w:p w14:paraId="78425A91" w14:textId="77777777" w:rsidR="005B4457" w:rsidRPr="00F0263F" w:rsidRDefault="005B4457" w:rsidP="005B4457">
            <w:pPr>
              <w:jc w:val="right"/>
              <w:rPr>
                <w:rFonts w:ascii="Arial" w:eastAsia="Times New Roman" w:hAnsi="Arial" w:cs="Arial"/>
                <w:color w:val="000000"/>
                <w:lang w:eastAsia="en-AU"/>
              </w:rPr>
            </w:pPr>
            <w:r w:rsidRPr="00F0263F">
              <w:rPr>
                <w:rFonts w:ascii="Arial" w:eastAsia="Times New Roman" w:hAnsi="Arial" w:cs="Arial"/>
                <w:color w:val="000000"/>
                <w:lang w:eastAsia="en-AU"/>
              </w:rPr>
              <w:t>32</w:t>
            </w:r>
          </w:p>
        </w:tc>
      </w:tr>
      <w:tr w:rsidR="005B4457" w:rsidRPr="00F0263F" w14:paraId="17276061" w14:textId="77777777" w:rsidTr="005B4457">
        <w:trPr>
          <w:trHeight w:val="285"/>
        </w:trPr>
        <w:tc>
          <w:tcPr>
            <w:tcW w:w="3328" w:type="pct"/>
            <w:noWrap/>
            <w:hideMark/>
          </w:tcPr>
          <w:p w14:paraId="2E152F6D" w14:textId="77777777" w:rsidR="005B4457" w:rsidRPr="00F0263F" w:rsidRDefault="005B4457" w:rsidP="005B4457">
            <w:pPr>
              <w:jc w:val="right"/>
              <w:rPr>
                <w:rFonts w:ascii="Arial" w:eastAsia="Times New Roman" w:hAnsi="Arial" w:cs="Arial"/>
                <w:color w:val="000000"/>
                <w:lang w:eastAsia="en-AU"/>
              </w:rPr>
            </w:pPr>
          </w:p>
        </w:tc>
        <w:tc>
          <w:tcPr>
            <w:tcW w:w="530" w:type="pct"/>
            <w:noWrap/>
            <w:hideMark/>
          </w:tcPr>
          <w:p w14:paraId="7DC945A8" w14:textId="77777777" w:rsidR="005B4457" w:rsidRPr="00F0263F" w:rsidRDefault="005B4457" w:rsidP="005B4457">
            <w:pPr>
              <w:rPr>
                <w:rFonts w:ascii="Times New Roman" w:eastAsia="Times New Roman" w:hAnsi="Times New Roman" w:cs="Times New Roman"/>
                <w:sz w:val="20"/>
                <w:szCs w:val="20"/>
                <w:lang w:eastAsia="en-AU"/>
              </w:rPr>
            </w:pPr>
          </w:p>
        </w:tc>
        <w:tc>
          <w:tcPr>
            <w:tcW w:w="541" w:type="pct"/>
            <w:noWrap/>
            <w:hideMark/>
          </w:tcPr>
          <w:p w14:paraId="2D822ECD" w14:textId="77777777" w:rsidR="005B4457" w:rsidRPr="00F0263F" w:rsidRDefault="005B4457" w:rsidP="005B4457">
            <w:pPr>
              <w:rPr>
                <w:rFonts w:ascii="Times New Roman" w:eastAsia="Times New Roman" w:hAnsi="Times New Roman" w:cs="Times New Roman"/>
                <w:sz w:val="20"/>
                <w:szCs w:val="20"/>
                <w:lang w:eastAsia="en-AU"/>
              </w:rPr>
            </w:pPr>
          </w:p>
        </w:tc>
        <w:tc>
          <w:tcPr>
            <w:tcW w:w="602" w:type="pct"/>
            <w:noWrap/>
            <w:hideMark/>
          </w:tcPr>
          <w:p w14:paraId="764A302F" w14:textId="77777777" w:rsidR="005B4457" w:rsidRPr="00F0263F" w:rsidRDefault="005B4457" w:rsidP="005B4457">
            <w:pPr>
              <w:rPr>
                <w:rFonts w:ascii="Times New Roman" w:eastAsia="Times New Roman" w:hAnsi="Times New Roman" w:cs="Times New Roman"/>
                <w:sz w:val="20"/>
                <w:szCs w:val="20"/>
                <w:lang w:eastAsia="en-AU"/>
              </w:rPr>
            </w:pPr>
          </w:p>
        </w:tc>
      </w:tr>
      <w:tr w:rsidR="005B4457" w:rsidRPr="00F0263F" w14:paraId="71C2A331" w14:textId="77777777" w:rsidTr="005B4457">
        <w:trPr>
          <w:trHeight w:val="285"/>
        </w:trPr>
        <w:tc>
          <w:tcPr>
            <w:tcW w:w="4398" w:type="pct"/>
            <w:gridSpan w:val="3"/>
            <w:noWrap/>
            <w:hideMark/>
          </w:tcPr>
          <w:p w14:paraId="5CA932E4" w14:textId="77777777" w:rsidR="005B4457" w:rsidRPr="00F0263F" w:rsidRDefault="005B4457" w:rsidP="005B4457">
            <w:pPr>
              <w:rPr>
                <w:rFonts w:ascii="Arial" w:eastAsia="Times New Roman" w:hAnsi="Arial" w:cs="Arial"/>
                <w:color w:val="000000"/>
                <w:u w:val="single"/>
                <w:lang w:eastAsia="en-AU"/>
              </w:rPr>
            </w:pPr>
            <w:r w:rsidRPr="00F0263F">
              <w:rPr>
                <w:rFonts w:ascii="Arial" w:eastAsia="Times New Roman" w:hAnsi="Arial" w:cs="Arial"/>
                <w:color w:val="000000"/>
                <w:u w:val="single"/>
                <w:lang w:eastAsia="en-AU"/>
              </w:rPr>
              <w:t>Economy-wide aggregates</w:t>
            </w:r>
          </w:p>
        </w:tc>
        <w:tc>
          <w:tcPr>
            <w:tcW w:w="602" w:type="pct"/>
            <w:noWrap/>
            <w:hideMark/>
          </w:tcPr>
          <w:p w14:paraId="621243DF" w14:textId="77777777" w:rsidR="005B4457" w:rsidRPr="00F0263F" w:rsidRDefault="005B4457" w:rsidP="005B4457">
            <w:pPr>
              <w:rPr>
                <w:rFonts w:ascii="Arial" w:eastAsia="Times New Roman" w:hAnsi="Arial" w:cs="Arial"/>
                <w:color w:val="000000"/>
                <w:u w:val="single"/>
                <w:lang w:eastAsia="en-AU"/>
              </w:rPr>
            </w:pPr>
          </w:p>
        </w:tc>
      </w:tr>
      <w:tr w:rsidR="005B4457" w:rsidRPr="00F0263F" w14:paraId="184BF2A9" w14:textId="77777777" w:rsidTr="005B4457">
        <w:trPr>
          <w:trHeight w:val="285"/>
        </w:trPr>
        <w:tc>
          <w:tcPr>
            <w:tcW w:w="3328" w:type="pct"/>
            <w:noWrap/>
            <w:hideMark/>
          </w:tcPr>
          <w:p w14:paraId="52FB7F31" w14:textId="77777777" w:rsidR="005B4457" w:rsidRPr="00F0263F" w:rsidRDefault="005B4457" w:rsidP="005B4457">
            <w:pPr>
              <w:rPr>
                <w:rFonts w:ascii="Arial" w:eastAsia="Times New Roman" w:hAnsi="Arial" w:cs="Arial"/>
                <w:color w:val="000000"/>
                <w:lang w:eastAsia="en-AU"/>
              </w:rPr>
            </w:pPr>
            <w:r w:rsidRPr="00F0263F">
              <w:rPr>
                <w:rFonts w:ascii="Arial" w:eastAsia="Times New Roman" w:hAnsi="Arial" w:cs="Arial"/>
                <w:color w:val="000000"/>
                <w:lang w:eastAsia="en-AU"/>
              </w:rPr>
              <w:t>Total additional hours supplied per month (million)</w:t>
            </w:r>
          </w:p>
        </w:tc>
        <w:tc>
          <w:tcPr>
            <w:tcW w:w="530" w:type="pct"/>
            <w:noWrap/>
            <w:hideMark/>
          </w:tcPr>
          <w:p w14:paraId="154B6653" w14:textId="77777777" w:rsidR="005B4457" w:rsidRPr="00F0263F" w:rsidRDefault="005B4457" w:rsidP="005B4457">
            <w:pPr>
              <w:jc w:val="right"/>
              <w:rPr>
                <w:rFonts w:ascii="Arial" w:eastAsia="Times New Roman" w:hAnsi="Arial" w:cs="Arial"/>
                <w:color w:val="000000"/>
                <w:lang w:eastAsia="en-AU"/>
              </w:rPr>
            </w:pPr>
            <w:r w:rsidRPr="00F0263F">
              <w:rPr>
                <w:rFonts w:ascii="Arial" w:eastAsia="Times New Roman" w:hAnsi="Arial" w:cs="Arial"/>
                <w:color w:val="000000"/>
                <w:lang w:eastAsia="en-AU"/>
              </w:rPr>
              <w:t>10</w:t>
            </w:r>
          </w:p>
        </w:tc>
        <w:tc>
          <w:tcPr>
            <w:tcW w:w="541" w:type="pct"/>
            <w:noWrap/>
            <w:hideMark/>
          </w:tcPr>
          <w:p w14:paraId="08A14ABC" w14:textId="77777777" w:rsidR="005B4457" w:rsidRPr="00F0263F" w:rsidRDefault="005B4457" w:rsidP="005B4457">
            <w:pPr>
              <w:jc w:val="right"/>
              <w:rPr>
                <w:rFonts w:ascii="Arial" w:eastAsia="Times New Roman" w:hAnsi="Arial" w:cs="Arial"/>
                <w:color w:val="000000"/>
                <w:lang w:eastAsia="en-AU"/>
              </w:rPr>
            </w:pPr>
            <w:r w:rsidRPr="00F0263F">
              <w:rPr>
                <w:rFonts w:ascii="Arial" w:eastAsia="Times New Roman" w:hAnsi="Arial" w:cs="Arial"/>
                <w:color w:val="000000"/>
                <w:lang w:eastAsia="en-AU"/>
              </w:rPr>
              <w:t>27</w:t>
            </w:r>
          </w:p>
        </w:tc>
        <w:tc>
          <w:tcPr>
            <w:tcW w:w="602" w:type="pct"/>
            <w:noWrap/>
            <w:hideMark/>
          </w:tcPr>
          <w:p w14:paraId="2EBCB3D6" w14:textId="77777777" w:rsidR="005B4457" w:rsidRPr="00F0263F" w:rsidRDefault="005B4457" w:rsidP="005B4457">
            <w:pPr>
              <w:jc w:val="right"/>
              <w:rPr>
                <w:rFonts w:ascii="Arial" w:eastAsia="Times New Roman" w:hAnsi="Arial" w:cs="Arial"/>
                <w:color w:val="000000"/>
                <w:lang w:eastAsia="en-AU"/>
              </w:rPr>
            </w:pPr>
            <w:r w:rsidRPr="00F0263F">
              <w:rPr>
                <w:rFonts w:ascii="Arial" w:eastAsia="Times New Roman" w:hAnsi="Arial" w:cs="Arial"/>
                <w:color w:val="000000"/>
                <w:lang w:eastAsia="en-AU"/>
              </w:rPr>
              <w:t>37</w:t>
            </w:r>
          </w:p>
        </w:tc>
      </w:tr>
      <w:tr w:rsidR="005B4457" w:rsidRPr="00F0263F" w14:paraId="207D37DB" w14:textId="77777777" w:rsidTr="005B4457">
        <w:trPr>
          <w:trHeight w:val="285"/>
        </w:trPr>
        <w:tc>
          <w:tcPr>
            <w:tcW w:w="3328" w:type="pct"/>
            <w:noWrap/>
            <w:hideMark/>
          </w:tcPr>
          <w:p w14:paraId="34A8EFAC" w14:textId="77777777" w:rsidR="005B4457" w:rsidRPr="00F0263F" w:rsidRDefault="005B4457" w:rsidP="005B4457">
            <w:pPr>
              <w:rPr>
                <w:rFonts w:ascii="Arial" w:eastAsia="Times New Roman" w:hAnsi="Arial" w:cs="Arial"/>
                <w:color w:val="000000"/>
                <w:lang w:eastAsia="en-AU"/>
              </w:rPr>
            </w:pPr>
            <w:r w:rsidRPr="00F0263F">
              <w:rPr>
                <w:rFonts w:ascii="Arial" w:eastAsia="Times New Roman" w:hAnsi="Arial" w:cs="Arial"/>
                <w:color w:val="000000"/>
                <w:lang w:eastAsia="en-AU"/>
              </w:rPr>
              <w:t>Average monthly hours worked, 2018-19 (million)</w:t>
            </w:r>
          </w:p>
        </w:tc>
        <w:tc>
          <w:tcPr>
            <w:tcW w:w="530" w:type="pct"/>
            <w:noWrap/>
            <w:hideMark/>
          </w:tcPr>
          <w:p w14:paraId="4FFF6EC1" w14:textId="77777777" w:rsidR="005B4457" w:rsidRPr="00F0263F" w:rsidRDefault="005B4457" w:rsidP="005B4457">
            <w:pPr>
              <w:jc w:val="right"/>
              <w:rPr>
                <w:rFonts w:ascii="Arial" w:eastAsia="Times New Roman" w:hAnsi="Arial" w:cs="Arial"/>
                <w:color w:val="000000"/>
                <w:lang w:eastAsia="en-AU"/>
              </w:rPr>
            </w:pPr>
            <w:r w:rsidRPr="00F0263F">
              <w:rPr>
                <w:rFonts w:ascii="Arial" w:eastAsia="Times New Roman" w:hAnsi="Arial" w:cs="Arial"/>
                <w:color w:val="000000"/>
                <w:lang w:eastAsia="en-AU"/>
              </w:rPr>
              <w:t>1044</w:t>
            </w:r>
          </w:p>
        </w:tc>
        <w:tc>
          <w:tcPr>
            <w:tcW w:w="541" w:type="pct"/>
            <w:noWrap/>
            <w:hideMark/>
          </w:tcPr>
          <w:p w14:paraId="1548B0B7" w14:textId="77777777" w:rsidR="005B4457" w:rsidRPr="00F0263F" w:rsidRDefault="005B4457" w:rsidP="005B4457">
            <w:pPr>
              <w:jc w:val="right"/>
              <w:rPr>
                <w:rFonts w:ascii="Arial" w:eastAsia="Times New Roman" w:hAnsi="Arial" w:cs="Arial"/>
                <w:color w:val="000000"/>
                <w:lang w:eastAsia="en-AU"/>
              </w:rPr>
            </w:pPr>
            <w:r w:rsidRPr="00F0263F">
              <w:rPr>
                <w:rFonts w:ascii="Arial" w:eastAsia="Times New Roman" w:hAnsi="Arial" w:cs="Arial"/>
                <w:color w:val="000000"/>
                <w:lang w:eastAsia="en-AU"/>
              </w:rPr>
              <w:t>726</w:t>
            </w:r>
          </w:p>
        </w:tc>
        <w:tc>
          <w:tcPr>
            <w:tcW w:w="602" w:type="pct"/>
            <w:noWrap/>
            <w:hideMark/>
          </w:tcPr>
          <w:p w14:paraId="20B024B7" w14:textId="77777777" w:rsidR="005B4457" w:rsidRPr="00F0263F" w:rsidRDefault="005B4457" w:rsidP="005B4457">
            <w:pPr>
              <w:jc w:val="right"/>
              <w:rPr>
                <w:rFonts w:ascii="Arial" w:eastAsia="Times New Roman" w:hAnsi="Arial" w:cs="Arial"/>
                <w:color w:val="000000"/>
                <w:lang w:eastAsia="en-AU"/>
              </w:rPr>
            </w:pPr>
            <w:r w:rsidRPr="00F0263F">
              <w:rPr>
                <w:rFonts w:ascii="Arial" w:eastAsia="Times New Roman" w:hAnsi="Arial" w:cs="Arial"/>
                <w:color w:val="000000"/>
                <w:lang w:eastAsia="en-AU"/>
              </w:rPr>
              <w:t>1770</w:t>
            </w:r>
          </w:p>
        </w:tc>
      </w:tr>
      <w:tr w:rsidR="005B4457" w:rsidRPr="00F0263F" w14:paraId="0BFEFBDA" w14:textId="77777777" w:rsidTr="005B4457">
        <w:trPr>
          <w:trHeight w:val="285"/>
        </w:trPr>
        <w:tc>
          <w:tcPr>
            <w:tcW w:w="3328" w:type="pct"/>
            <w:noWrap/>
            <w:hideMark/>
          </w:tcPr>
          <w:p w14:paraId="7ED488F3" w14:textId="77777777" w:rsidR="005B4457" w:rsidRPr="00F0263F" w:rsidRDefault="005B4457" w:rsidP="005B4457">
            <w:pPr>
              <w:rPr>
                <w:rFonts w:ascii="Arial" w:eastAsia="Times New Roman" w:hAnsi="Arial" w:cs="Arial"/>
                <w:color w:val="000000"/>
                <w:lang w:eastAsia="en-AU"/>
              </w:rPr>
            </w:pPr>
            <w:r w:rsidRPr="00F0263F">
              <w:rPr>
                <w:rFonts w:ascii="Arial" w:eastAsia="Times New Roman" w:hAnsi="Arial" w:cs="Arial"/>
                <w:color w:val="000000"/>
                <w:lang w:eastAsia="en-AU"/>
              </w:rPr>
              <w:t>Percentage increase</w:t>
            </w:r>
          </w:p>
        </w:tc>
        <w:tc>
          <w:tcPr>
            <w:tcW w:w="530" w:type="pct"/>
            <w:noWrap/>
            <w:hideMark/>
          </w:tcPr>
          <w:p w14:paraId="3A96BB8D" w14:textId="77777777" w:rsidR="005B4457" w:rsidRPr="00F0263F" w:rsidRDefault="005B4457" w:rsidP="005B4457">
            <w:pPr>
              <w:jc w:val="right"/>
              <w:rPr>
                <w:rFonts w:ascii="Arial" w:eastAsia="Times New Roman" w:hAnsi="Arial" w:cs="Arial"/>
                <w:color w:val="000000"/>
                <w:lang w:eastAsia="en-AU"/>
              </w:rPr>
            </w:pPr>
            <w:r w:rsidRPr="00F0263F">
              <w:rPr>
                <w:rFonts w:ascii="Arial" w:eastAsia="Times New Roman" w:hAnsi="Arial" w:cs="Arial"/>
                <w:color w:val="000000"/>
                <w:lang w:eastAsia="en-AU"/>
              </w:rPr>
              <w:t>0.93</w:t>
            </w:r>
          </w:p>
        </w:tc>
        <w:tc>
          <w:tcPr>
            <w:tcW w:w="541" w:type="pct"/>
            <w:noWrap/>
            <w:hideMark/>
          </w:tcPr>
          <w:p w14:paraId="43A5F201" w14:textId="77777777" w:rsidR="005B4457" w:rsidRPr="00F0263F" w:rsidRDefault="005B4457" w:rsidP="005B4457">
            <w:pPr>
              <w:jc w:val="right"/>
              <w:rPr>
                <w:rFonts w:ascii="Arial" w:eastAsia="Times New Roman" w:hAnsi="Arial" w:cs="Arial"/>
                <w:color w:val="000000"/>
                <w:lang w:eastAsia="en-AU"/>
              </w:rPr>
            </w:pPr>
            <w:r w:rsidRPr="00F0263F">
              <w:rPr>
                <w:rFonts w:ascii="Arial" w:eastAsia="Times New Roman" w:hAnsi="Arial" w:cs="Arial"/>
                <w:color w:val="000000"/>
                <w:lang w:eastAsia="en-AU"/>
              </w:rPr>
              <w:t>3.74</w:t>
            </w:r>
          </w:p>
        </w:tc>
        <w:tc>
          <w:tcPr>
            <w:tcW w:w="602" w:type="pct"/>
            <w:noWrap/>
            <w:hideMark/>
          </w:tcPr>
          <w:p w14:paraId="5041EBC6" w14:textId="77777777" w:rsidR="005B4457" w:rsidRPr="00F0263F" w:rsidRDefault="005B4457" w:rsidP="005B4457">
            <w:pPr>
              <w:jc w:val="right"/>
              <w:rPr>
                <w:rFonts w:ascii="Arial" w:eastAsia="Times New Roman" w:hAnsi="Arial" w:cs="Arial"/>
                <w:color w:val="000000"/>
                <w:lang w:eastAsia="en-AU"/>
              </w:rPr>
            </w:pPr>
            <w:r w:rsidRPr="00F0263F">
              <w:rPr>
                <w:rFonts w:ascii="Arial" w:eastAsia="Times New Roman" w:hAnsi="Arial" w:cs="Arial"/>
                <w:color w:val="000000"/>
                <w:lang w:eastAsia="en-AU"/>
              </w:rPr>
              <w:t>2.06</w:t>
            </w:r>
          </w:p>
        </w:tc>
      </w:tr>
    </w:tbl>
    <w:p w14:paraId="50108368" w14:textId="77777777" w:rsidR="005B4457" w:rsidRDefault="005B4457" w:rsidP="005B4457"/>
    <w:p w14:paraId="248E02E0" w14:textId="77777777" w:rsidR="005B4457" w:rsidRDefault="005B4457" w:rsidP="005B4457">
      <w:pPr>
        <w:pStyle w:val="Heading3"/>
      </w:pPr>
      <w:r>
        <w:t>Other macro settings</w:t>
      </w:r>
    </w:p>
    <w:p w14:paraId="661B742E" w14:textId="77777777" w:rsidR="005B4457" w:rsidRDefault="005B4457" w:rsidP="005B4457">
      <w:r>
        <w:t>The shocks as described are run in two macroeconomic environments. In both cases, standard CGE macroeconomic settings apply: household consumption is a fixed proportion of household income, government consumption expenditure (other than on the caring sectors) is fixed to the baseline, and real wages adjust slowly to return the unemployment rate to the baseline.</w:t>
      </w:r>
    </w:p>
    <w:p w14:paraId="4644EAA4" w14:textId="77777777" w:rsidR="005B4457" w:rsidRDefault="005B4457" w:rsidP="005B4457">
      <w:r>
        <w:t xml:space="preserve">In </w:t>
      </w:r>
      <w:r w:rsidRPr="000D5DA5">
        <w:rPr>
          <w:b/>
          <w:i/>
        </w:rPr>
        <w:t>Scenario 1</w:t>
      </w:r>
      <w:r>
        <w:t>, the increase in government expenditure on the caring sectors is deficit-financed, with no explicit policy measures taken to recover the deficit.</w:t>
      </w:r>
    </w:p>
    <w:p w14:paraId="5CEA7EED" w14:textId="77777777" w:rsidR="005B4457" w:rsidRDefault="005B4457" w:rsidP="005B4457">
      <w:r>
        <w:t xml:space="preserve">In </w:t>
      </w:r>
      <w:r w:rsidRPr="000D5DA5">
        <w:rPr>
          <w:b/>
          <w:i/>
        </w:rPr>
        <w:t>Scenario 2</w:t>
      </w:r>
      <w:r>
        <w:t>, the increase in government expenditure on the caring sectors is offset by a reduction in government-funded investment in infrastructure.</w:t>
      </w:r>
    </w:p>
    <w:p w14:paraId="2B1432C6" w14:textId="77777777" w:rsidR="005B4457" w:rsidRDefault="005B4457" w:rsidP="005B4457"/>
    <w:p w14:paraId="40ECA641" w14:textId="77777777" w:rsidR="005B4457" w:rsidRDefault="005B4457" w:rsidP="005B4457">
      <w:pPr>
        <w:pStyle w:val="Heading3"/>
      </w:pPr>
      <w:r>
        <w:t>Limitations</w:t>
      </w:r>
    </w:p>
    <w:p w14:paraId="51B2DAA9" w14:textId="77777777" w:rsidR="005B4457" w:rsidRDefault="005B4457" w:rsidP="005B4457">
      <w:r>
        <w:t>The modelling provides insights into the macroeconomy and the household sector as a whole, but does not differentiate between individuals or households by income. The key finding that greater availability of government-funded care services will have a positive impact on labour supply, is of a general nature, and we make no recommendations about the distribution of these services. The existing childcare subsidy scheme is particularly complex and creates strong disincentives to work for individuals (usually mothers) in some families. Recommendations on how to simplify this system and remove these disincentives (see for example KPMG, 2020) are not able to be derived from the CGE model.</w:t>
      </w:r>
    </w:p>
    <w:p w14:paraId="557B776F" w14:textId="77777777" w:rsidR="005B4457" w:rsidRDefault="005B4457" w:rsidP="005B4457"/>
    <w:p w14:paraId="7CA1C8B1" w14:textId="77777777" w:rsidR="005B4457" w:rsidRDefault="005B4457" w:rsidP="005B4457">
      <w:pPr>
        <w:pStyle w:val="Heading1"/>
      </w:pPr>
      <w:r>
        <w:t>Results and Discussion</w:t>
      </w:r>
    </w:p>
    <w:p w14:paraId="5BBA2944" w14:textId="77777777" w:rsidR="005B4457" w:rsidRDefault="005B4457" w:rsidP="005B4457"/>
    <w:p w14:paraId="6A519A54" w14:textId="3B76745B" w:rsidR="005B4457" w:rsidRDefault="005B4457" w:rsidP="00C218C4">
      <w:pPr>
        <w:pStyle w:val="Heading2"/>
      </w:pPr>
      <w:r>
        <w:t>Scenario 1</w:t>
      </w:r>
    </w:p>
    <w:p w14:paraId="579A86FE" w14:textId="77777777" w:rsidR="005B4457" w:rsidRDefault="005B4457" w:rsidP="005B4457">
      <w:r>
        <w:t>The increase in labour supply facilitated by additional supply of caring services is absorbed gradually by the market. By 2026, labour supply is 2.24% above the base case, and employment is 1.85% above base case, with female employment accounting for the majority of the increase (</w:t>
      </w:r>
      <w:r>
        <w:fldChar w:fldCharType="begin"/>
      </w:r>
      <w:r>
        <w:instrText xml:space="preserve"> REF _Ref53689282 \h </w:instrText>
      </w:r>
      <w:r>
        <w:fldChar w:fldCharType="separate"/>
      </w:r>
      <w:r>
        <w:t xml:space="preserve">Figure </w:t>
      </w:r>
      <w:r>
        <w:rPr>
          <w:noProof/>
        </w:rPr>
        <w:t>1</w:t>
      </w:r>
      <w:r>
        <w:fldChar w:fldCharType="end"/>
      </w:r>
      <w:r>
        <w:t>). After 2026, labour supply stops increasing and employment gradually catches up (unemployment returns to base case level).</w:t>
      </w:r>
    </w:p>
    <w:p w14:paraId="5E39AF7D" w14:textId="77777777" w:rsidR="005B4457" w:rsidRDefault="005B4457" w:rsidP="005B4457"/>
    <w:p w14:paraId="660E39DB" w14:textId="77777777" w:rsidR="005B4457" w:rsidRDefault="005B4457" w:rsidP="005B4457">
      <w:pPr>
        <w:keepNext/>
      </w:pPr>
      <w:r>
        <w:rPr>
          <w:noProof/>
          <w:lang w:eastAsia="en-AU"/>
        </w:rPr>
        <w:drawing>
          <wp:inline distT="0" distB="0" distL="0" distR="0" wp14:anchorId="689EEA95" wp14:editId="339A379D">
            <wp:extent cx="5167313" cy="2743200"/>
            <wp:effectExtent l="0" t="0" r="1460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ACE7288" w14:textId="77777777" w:rsidR="005B4457" w:rsidRDefault="005B4457" w:rsidP="005B4457">
      <w:pPr>
        <w:pStyle w:val="Caption"/>
      </w:pPr>
      <w:bookmarkStart w:id="5" w:name="_Ref53689282"/>
      <w:r>
        <w:t xml:space="preserve">Figure </w:t>
      </w:r>
      <w:r w:rsidR="00FA34A4">
        <w:fldChar w:fldCharType="begin"/>
      </w:r>
      <w:r w:rsidR="00FA34A4">
        <w:instrText xml:space="preserve"> SEQ Figure \* ARABIC </w:instrText>
      </w:r>
      <w:r w:rsidR="00FA34A4">
        <w:fldChar w:fldCharType="separate"/>
      </w:r>
      <w:r>
        <w:rPr>
          <w:noProof/>
        </w:rPr>
        <w:t>1</w:t>
      </w:r>
      <w:r w:rsidR="00FA34A4">
        <w:rPr>
          <w:noProof/>
        </w:rPr>
        <w:fldChar w:fldCharType="end"/>
      </w:r>
      <w:bookmarkEnd w:id="5"/>
      <w:r>
        <w:t>: Employment and labour supply impacts, Scenario 1</w:t>
      </w:r>
    </w:p>
    <w:p w14:paraId="6D0C9B6D" w14:textId="77777777" w:rsidR="005B4457" w:rsidRDefault="005B4457" w:rsidP="005B4457"/>
    <w:p w14:paraId="17B3A481" w14:textId="77777777" w:rsidR="005B4457" w:rsidRDefault="005B4457" w:rsidP="005B4457"/>
    <w:p w14:paraId="61BA9EBC" w14:textId="4A5A968F" w:rsidR="005B4457" w:rsidRDefault="005B4457" w:rsidP="005B4457">
      <w:r>
        <w:t>The increase in labour supply causes slower overall wage growth (notwithstanding specific increases imposed on some occupations) but the net impact on labour income (higher employment and lower wages) is positive. There is a very slight slowing of income growth for males, and a strong increase in income growth for females (</w:t>
      </w:r>
      <w:r>
        <w:fldChar w:fldCharType="begin"/>
      </w:r>
      <w:r>
        <w:instrText xml:space="preserve"> REF _Ref53689440 \h </w:instrText>
      </w:r>
      <w:r>
        <w:fldChar w:fldCharType="separate"/>
      </w:r>
      <w:r>
        <w:t xml:space="preserve">Figure </w:t>
      </w:r>
      <w:r>
        <w:rPr>
          <w:noProof/>
        </w:rPr>
        <w:t>2</w:t>
      </w:r>
      <w:r>
        <w:fldChar w:fldCharType="end"/>
      </w:r>
      <w:r>
        <w:t>).</w:t>
      </w:r>
    </w:p>
    <w:p w14:paraId="104EBB14" w14:textId="77777777" w:rsidR="00C218C4" w:rsidRDefault="00C218C4" w:rsidP="005B4457"/>
    <w:p w14:paraId="4F688323" w14:textId="77777777" w:rsidR="005B4457" w:rsidRDefault="005B4457" w:rsidP="005B4457">
      <w:r>
        <w:t>Beneficiaries under the scenario include people who are relieved of some caring responsibilities and can work more hours, thus earning more income, and business owners, who can access a greater pool of labour.</w:t>
      </w:r>
      <w:r w:rsidRPr="00C834FE">
        <w:t xml:space="preserve"> </w:t>
      </w:r>
      <w:r>
        <w:t>On the other hand, people who were already employed will experience slower wage growth than they otherwise would have. Overall stronger income growth underpins higher tax collections on income and consumption.</w:t>
      </w:r>
    </w:p>
    <w:p w14:paraId="777BC4AE" w14:textId="77777777" w:rsidR="005B4457" w:rsidRDefault="005B4457" w:rsidP="005B4457"/>
    <w:p w14:paraId="623547C9" w14:textId="77777777" w:rsidR="005B4457" w:rsidRPr="00857244" w:rsidRDefault="005B4457" w:rsidP="005B4457"/>
    <w:p w14:paraId="310FDE89" w14:textId="77777777" w:rsidR="005B4457" w:rsidRDefault="005B4457" w:rsidP="005B4457">
      <w:pPr>
        <w:keepNext/>
      </w:pPr>
      <w:r>
        <w:rPr>
          <w:noProof/>
          <w:lang w:eastAsia="en-AU"/>
        </w:rPr>
        <w:drawing>
          <wp:inline distT="0" distB="0" distL="0" distR="0" wp14:anchorId="3E544193" wp14:editId="41647F71">
            <wp:extent cx="5255812" cy="2552369"/>
            <wp:effectExtent l="0" t="0" r="2540" b="6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8D8F28E" w14:textId="77777777" w:rsidR="005B4457" w:rsidRDefault="005B4457" w:rsidP="005B4457">
      <w:pPr>
        <w:pStyle w:val="Caption"/>
      </w:pPr>
      <w:bookmarkStart w:id="6" w:name="_Ref53689440"/>
      <w:r>
        <w:t xml:space="preserve">Figure </w:t>
      </w:r>
      <w:r w:rsidR="00FA34A4">
        <w:fldChar w:fldCharType="begin"/>
      </w:r>
      <w:r w:rsidR="00FA34A4">
        <w:instrText xml:space="preserve"> SEQ Figure \* ARABIC </w:instrText>
      </w:r>
      <w:r w:rsidR="00FA34A4">
        <w:fldChar w:fldCharType="separate"/>
      </w:r>
      <w:r>
        <w:rPr>
          <w:noProof/>
        </w:rPr>
        <w:t>2</w:t>
      </w:r>
      <w:r w:rsidR="00FA34A4">
        <w:rPr>
          <w:noProof/>
        </w:rPr>
        <w:fldChar w:fldCharType="end"/>
      </w:r>
      <w:bookmarkEnd w:id="6"/>
      <w:r>
        <w:t>: Impact on real labour income, Scenario 1</w:t>
      </w:r>
    </w:p>
    <w:p w14:paraId="45DE01AF" w14:textId="77777777" w:rsidR="005B4457" w:rsidRDefault="005B4457" w:rsidP="005B4457"/>
    <w:p w14:paraId="70F37714" w14:textId="376B9A8D" w:rsidR="005B4457" w:rsidRDefault="005B4457" w:rsidP="005B4457">
      <w:r>
        <w:t>The increase in employment strengthens GDP growth, which remains at around 1.25 per cent above the base case from 2025 (</w:t>
      </w:r>
      <w:r>
        <w:fldChar w:fldCharType="begin"/>
      </w:r>
      <w:r>
        <w:instrText xml:space="preserve"> REF _Ref53691445 \h </w:instrText>
      </w:r>
      <w:r>
        <w:fldChar w:fldCharType="separate"/>
      </w:r>
      <w:r>
        <w:t xml:space="preserve">Figure </w:t>
      </w:r>
      <w:r>
        <w:rPr>
          <w:noProof/>
        </w:rPr>
        <w:t>3</w:t>
      </w:r>
      <w:r>
        <w:fldChar w:fldCharType="end"/>
      </w:r>
      <w:r>
        <w:t>). Public expenditure, which includes the large additional expenditure on the care sector, grows more quickly than GDP, thus increasing its overall share of GDP. This is offset by slower export growth. Growth in household spending and investment follow a similar trajectory to GDP. Household spending is supported by stronger income growth, while investment is stimulated by the need to create more capital stocks to support the expansion in the caring sector and more widely as a response to the larger labour supply.</w:t>
      </w:r>
    </w:p>
    <w:p w14:paraId="3614D41D" w14:textId="77777777" w:rsidR="00C218C4" w:rsidRPr="00857244" w:rsidRDefault="00C218C4" w:rsidP="005B4457"/>
    <w:p w14:paraId="472C38AB" w14:textId="77777777" w:rsidR="005B4457" w:rsidRDefault="005B4457" w:rsidP="005B4457">
      <w:pPr>
        <w:keepNext/>
      </w:pPr>
      <w:r>
        <w:rPr>
          <w:noProof/>
          <w:lang w:eastAsia="en-AU"/>
        </w:rPr>
        <w:drawing>
          <wp:inline distT="0" distB="0" distL="0" distR="0" wp14:anchorId="4779E020" wp14:editId="29980FCE">
            <wp:extent cx="5286375" cy="287655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686E273" w14:textId="77777777" w:rsidR="005B4457" w:rsidRDefault="005B4457" w:rsidP="005B4457">
      <w:pPr>
        <w:pStyle w:val="Caption"/>
      </w:pPr>
      <w:bookmarkStart w:id="7" w:name="_Ref53691445"/>
      <w:r>
        <w:t xml:space="preserve">Figure </w:t>
      </w:r>
      <w:r w:rsidR="00FA34A4">
        <w:fldChar w:fldCharType="begin"/>
      </w:r>
      <w:r w:rsidR="00FA34A4">
        <w:instrText xml:space="preserve"> SEQ Figure \* ARABIC </w:instrText>
      </w:r>
      <w:r w:rsidR="00FA34A4">
        <w:fldChar w:fldCharType="separate"/>
      </w:r>
      <w:r>
        <w:rPr>
          <w:noProof/>
        </w:rPr>
        <w:t>3</w:t>
      </w:r>
      <w:r w:rsidR="00FA34A4">
        <w:rPr>
          <w:noProof/>
        </w:rPr>
        <w:fldChar w:fldCharType="end"/>
      </w:r>
      <w:bookmarkEnd w:id="7"/>
      <w:r>
        <w:t>: GDP and macroeconomic expenditure impacts, Scenario 1</w:t>
      </w:r>
    </w:p>
    <w:p w14:paraId="7FA9FF95" w14:textId="77777777" w:rsidR="005B4457" w:rsidRDefault="005B4457" w:rsidP="005B4457"/>
    <w:p w14:paraId="37BF04F8" w14:textId="77777777" w:rsidR="005B4457" w:rsidRDefault="005B4457" w:rsidP="005B4457">
      <w:r>
        <w:t>All industries expand relative to the base case by 2030, but at differing rates (</w:t>
      </w:r>
      <w:r>
        <w:fldChar w:fldCharType="begin"/>
      </w:r>
      <w:r>
        <w:instrText xml:space="preserve"> REF _Ref53691717 \h </w:instrText>
      </w:r>
      <w:r>
        <w:fldChar w:fldCharType="separate"/>
      </w:r>
      <w:r>
        <w:t xml:space="preserve">Figure </w:t>
      </w:r>
      <w:r>
        <w:rPr>
          <w:noProof/>
        </w:rPr>
        <w:t>4</w:t>
      </w:r>
      <w:r>
        <w:fldChar w:fldCharType="end"/>
      </w:r>
      <w:r>
        <w:t>).  The expansion in Health care and social assistance is well above average, as this sector includes child care and aged and disabled care. Expansion in most other sectors is in the range of 1.5 to 1.75 per cent by 2030, with some exceptions. With strong domestic expenditure, the domestic currency strengthens, which makes trade-exposed industries (those that export or compete with imports, i.e. agriculture, mining, manufacturing, tourism and education) less competitive.  Mining expands very little, being trade-exposed and capital-intensive (poorly positioned to take advantage of additional labour supply).  Public Administration and Defence expands very little, as policy settings in respect of government expenditure on these activities are assumed not to deviate from the base case.</w:t>
      </w:r>
    </w:p>
    <w:p w14:paraId="362E7217" w14:textId="77777777" w:rsidR="005B4457" w:rsidRDefault="005B4457" w:rsidP="005B4457"/>
    <w:p w14:paraId="2EDBA796" w14:textId="77777777" w:rsidR="005B4457" w:rsidRDefault="005B4457" w:rsidP="005B4457">
      <w:pPr>
        <w:keepNext/>
      </w:pPr>
      <w:r>
        <w:rPr>
          <w:noProof/>
          <w:lang w:eastAsia="en-AU"/>
        </w:rPr>
        <w:drawing>
          <wp:inline distT="0" distB="0" distL="0" distR="0" wp14:anchorId="49A3260E" wp14:editId="12F7C739">
            <wp:extent cx="5648325" cy="28860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BB8E70E" w14:textId="77777777" w:rsidR="005B4457" w:rsidRDefault="005B4457" w:rsidP="005B4457">
      <w:pPr>
        <w:pStyle w:val="Caption"/>
      </w:pPr>
      <w:bookmarkStart w:id="8" w:name="_Ref53691717"/>
      <w:r>
        <w:t xml:space="preserve">Figure </w:t>
      </w:r>
      <w:r w:rsidR="00FA34A4">
        <w:fldChar w:fldCharType="begin"/>
      </w:r>
      <w:r w:rsidR="00FA34A4">
        <w:instrText xml:space="preserve"> SEQ Figure \* ARABIC </w:instrText>
      </w:r>
      <w:r w:rsidR="00FA34A4">
        <w:fldChar w:fldCharType="separate"/>
      </w:r>
      <w:r>
        <w:rPr>
          <w:noProof/>
        </w:rPr>
        <w:t>4</w:t>
      </w:r>
      <w:r w:rsidR="00FA34A4">
        <w:rPr>
          <w:noProof/>
        </w:rPr>
        <w:fldChar w:fldCharType="end"/>
      </w:r>
      <w:bookmarkEnd w:id="8"/>
      <w:r>
        <w:t>: Impact on industry output, 2030, Scenario 1</w:t>
      </w:r>
    </w:p>
    <w:p w14:paraId="3F84DB74" w14:textId="77777777" w:rsidR="005B4457" w:rsidRDefault="005B4457" w:rsidP="005B4457"/>
    <w:p w14:paraId="66E3C309" w14:textId="581A1B8C" w:rsidR="005B4457" w:rsidRDefault="005B4457" w:rsidP="005B4457">
      <w:r>
        <w:t>The additional spending on care services leads to higher budget deficits over the ten-year forecast period (</w:t>
      </w:r>
      <w:r>
        <w:fldChar w:fldCharType="begin"/>
      </w:r>
      <w:r>
        <w:instrText xml:space="preserve"> REF _Ref53693070 \h </w:instrText>
      </w:r>
      <w:r>
        <w:fldChar w:fldCharType="separate"/>
      </w:r>
      <w:r>
        <w:t xml:space="preserve">Figure </w:t>
      </w:r>
      <w:r>
        <w:rPr>
          <w:noProof/>
        </w:rPr>
        <w:t>5</w:t>
      </w:r>
      <w:r>
        <w:fldChar w:fldCharType="end"/>
      </w:r>
      <w:r>
        <w:t>). Over 2022-25, the years in which the spending is brought in, the negative impact on budget deficits increases each year, to just below $7 billion in 2025. After 2025, economic growth and the associated tax revenues begin to offset an increasing proportion of the additional care expenditure. By 2030, the deficit is less than $3 billion larger than it otherwise would have been, while the cost of the additional service delivery is almost $19 billion.</w:t>
      </w:r>
    </w:p>
    <w:p w14:paraId="7C9FC0D8" w14:textId="77777777" w:rsidR="00C218C4" w:rsidRDefault="00C218C4" w:rsidP="005B4457"/>
    <w:p w14:paraId="4ABE1E90" w14:textId="77777777" w:rsidR="005B4457" w:rsidRDefault="005B4457" w:rsidP="005B4457">
      <w:pPr>
        <w:keepNext/>
      </w:pPr>
      <w:r>
        <w:rPr>
          <w:noProof/>
          <w:lang w:eastAsia="en-AU"/>
        </w:rPr>
        <w:drawing>
          <wp:inline distT="0" distB="0" distL="0" distR="0" wp14:anchorId="46A28AE8" wp14:editId="64B7BEC5">
            <wp:extent cx="5589767" cy="2377440"/>
            <wp:effectExtent l="0" t="0" r="11430" b="381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AA76289" w14:textId="77777777" w:rsidR="005B4457" w:rsidRDefault="005B4457" w:rsidP="005B4457">
      <w:pPr>
        <w:pStyle w:val="Caption"/>
      </w:pPr>
      <w:bookmarkStart w:id="9" w:name="_Ref53693070"/>
      <w:r>
        <w:t xml:space="preserve">Figure </w:t>
      </w:r>
      <w:r w:rsidR="00FA34A4">
        <w:fldChar w:fldCharType="begin"/>
      </w:r>
      <w:r w:rsidR="00FA34A4">
        <w:instrText xml:space="preserve"> SEQ Figure \* ARABIC </w:instrText>
      </w:r>
      <w:r w:rsidR="00FA34A4">
        <w:fldChar w:fldCharType="separate"/>
      </w:r>
      <w:r>
        <w:rPr>
          <w:noProof/>
        </w:rPr>
        <w:t>5</w:t>
      </w:r>
      <w:r w:rsidR="00FA34A4">
        <w:rPr>
          <w:noProof/>
        </w:rPr>
        <w:fldChar w:fldCharType="end"/>
      </w:r>
      <w:bookmarkEnd w:id="9"/>
      <w:r>
        <w:t>: Impact on government budget balance relative to base case ($m), Scenario 1</w:t>
      </w:r>
    </w:p>
    <w:p w14:paraId="027C1503" w14:textId="77777777" w:rsidR="005B4457" w:rsidRDefault="005B4457" w:rsidP="005B4457"/>
    <w:p w14:paraId="6D3ED5A6" w14:textId="77777777" w:rsidR="005B4457" w:rsidRDefault="005B4457" w:rsidP="005B4457"/>
    <w:p w14:paraId="2B5A253F" w14:textId="17B60965" w:rsidR="005B4457" w:rsidRDefault="005B4457" w:rsidP="00C218C4">
      <w:pPr>
        <w:pStyle w:val="Heading2"/>
      </w:pPr>
      <w:r>
        <w:t>Scenario 2</w:t>
      </w:r>
    </w:p>
    <w:p w14:paraId="3C53A7B8" w14:textId="1708AF83" w:rsidR="005B4457" w:rsidRDefault="005B4457" w:rsidP="005B4457">
      <w:r>
        <w:t>In Scenario 2, the budgetary cost of the additional expenditure on care is offset by a reduction in government expenditure on infrastructure investment. The overall results are very similar to Scenario 1.</w:t>
      </w:r>
    </w:p>
    <w:p w14:paraId="4341ECF0" w14:textId="77777777" w:rsidR="00C218C4" w:rsidRDefault="00C218C4" w:rsidP="005B4457"/>
    <w:p w14:paraId="705622C5" w14:textId="532B7D71" w:rsidR="005B4457" w:rsidRDefault="005B4457" w:rsidP="005B4457">
      <w:r>
        <w:t>Despite the reduction in government-funded infrastructure investment, the impact on aggregate investment is still positive in Scenario 2, albeit smaller than in Scenario 1 (</w:t>
      </w:r>
      <w:r>
        <w:fldChar w:fldCharType="begin"/>
      </w:r>
      <w:r>
        <w:instrText xml:space="preserve"> REF _Ref53693717 \h </w:instrText>
      </w:r>
      <w:r>
        <w:fldChar w:fldCharType="separate"/>
      </w:r>
      <w:r>
        <w:t xml:space="preserve">Figure </w:t>
      </w:r>
      <w:r>
        <w:rPr>
          <w:noProof/>
        </w:rPr>
        <w:t>6</w:t>
      </w:r>
      <w:r>
        <w:fldChar w:fldCharType="end"/>
      </w:r>
      <w:r>
        <w:t>). This detracts only slightly from GDP growth.</w:t>
      </w:r>
    </w:p>
    <w:p w14:paraId="4678321D" w14:textId="77777777" w:rsidR="00C218C4" w:rsidRDefault="00C218C4" w:rsidP="005B4457"/>
    <w:p w14:paraId="3380D31B" w14:textId="77777777" w:rsidR="005B4457" w:rsidRDefault="005B4457" w:rsidP="005B4457">
      <w:pPr>
        <w:keepNext/>
      </w:pPr>
      <w:r>
        <w:rPr>
          <w:noProof/>
          <w:lang w:eastAsia="en-AU"/>
        </w:rPr>
        <w:drawing>
          <wp:inline distT="0" distB="0" distL="0" distR="0" wp14:anchorId="781E7942" wp14:editId="441ED62F">
            <wp:extent cx="5701085" cy="2751151"/>
            <wp:effectExtent l="0" t="0" r="13970"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02F903E" w14:textId="77777777" w:rsidR="005B4457" w:rsidRDefault="005B4457" w:rsidP="005B4457">
      <w:pPr>
        <w:pStyle w:val="Caption"/>
      </w:pPr>
      <w:bookmarkStart w:id="10" w:name="_Ref53693717"/>
      <w:r>
        <w:t xml:space="preserve">Figure </w:t>
      </w:r>
      <w:r w:rsidR="00FA34A4">
        <w:fldChar w:fldCharType="begin"/>
      </w:r>
      <w:r w:rsidR="00FA34A4">
        <w:instrText xml:space="preserve"> SEQ Figure \* ARABIC </w:instrText>
      </w:r>
      <w:r w:rsidR="00FA34A4">
        <w:fldChar w:fldCharType="separate"/>
      </w:r>
      <w:r>
        <w:rPr>
          <w:noProof/>
        </w:rPr>
        <w:t>6</w:t>
      </w:r>
      <w:r w:rsidR="00FA34A4">
        <w:rPr>
          <w:noProof/>
        </w:rPr>
        <w:fldChar w:fldCharType="end"/>
      </w:r>
      <w:bookmarkEnd w:id="10"/>
      <w:r>
        <w:t>: Comparison of GDP and Investment impacts, Scenario 1 and Scenario 2</w:t>
      </w:r>
    </w:p>
    <w:p w14:paraId="6BBD87C4" w14:textId="77777777" w:rsidR="005B4457" w:rsidRDefault="005B4457" w:rsidP="005B4457"/>
    <w:p w14:paraId="610E641C" w14:textId="0C27691E" w:rsidR="005B4457" w:rsidRDefault="005B4457" w:rsidP="005B4457">
      <w:r>
        <w:t>Industry impacts are similar except there is a notable difference in output in the Construction sector (</w:t>
      </w:r>
      <w:r>
        <w:fldChar w:fldCharType="begin"/>
      </w:r>
      <w:r>
        <w:instrText xml:space="preserve"> REF _Ref53694353 \h </w:instrText>
      </w:r>
      <w:r>
        <w:fldChar w:fldCharType="separate"/>
      </w:r>
      <w:r>
        <w:t xml:space="preserve">Figure </w:t>
      </w:r>
      <w:r>
        <w:rPr>
          <w:noProof/>
        </w:rPr>
        <w:t>7</w:t>
      </w:r>
      <w:r>
        <w:fldChar w:fldCharType="end"/>
      </w:r>
      <w:r>
        <w:t>).</w:t>
      </w:r>
    </w:p>
    <w:p w14:paraId="5EF84A8F" w14:textId="77777777" w:rsidR="00C218C4" w:rsidRDefault="00C218C4" w:rsidP="005B4457"/>
    <w:p w14:paraId="00237465" w14:textId="77777777" w:rsidR="005B4457" w:rsidRDefault="005B4457" w:rsidP="005B4457">
      <w:r>
        <w:rPr>
          <w:noProof/>
          <w:lang w:eastAsia="en-AU"/>
        </w:rPr>
        <w:drawing>
          <wp:inline distT="0" distB="0" distL="0" distR="0" wp14:anchorId="6E0B90A1" wp14:editId="4CB85C3C">
            <wp:extent cx="5676900" cy="29337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B350195" w14:textId="77777777" w:rsidR="005B4457" w:rsidRDefault="005B4457" w:rsidP="005B4457">
      <w:pPr>
        <w:pStyle w:val="Caption"/>
      </w:pPr>
      <w:bookmarkStart w:id="11" w:name="_Ref53694353"/>
      <w:r>
        <w:t xml:space="preserve">Figure </w:t>
      </w:r>
      <w:r w:rsidR="00FA34A4">
        <w:fldChar w:fldCharType="begin"/>
      </w:r>
      <w:r w:rsidR="00FA34A4">
        <w:instrText xml:space="preserve"> SEQ Figure \* ARABIC </w:instrText>
      </w:r>
      <w:r w:rsidR="00FA34A4">
        <w:fldChar w:fldCharType="separate"/>
      </w:r>
      <w:r>
        <w:rPr>
          <w:noProof/>
        </w:rPr>
        <w:t>7</w:t>
      </w:r>
      <w:r w:rsidR="00FA34A4">
        <w:rPr>
          <w:noProof/>
        </w:rPr>
        <w:fldChar w:fldCharType="end"/>
      </w:r>
      <w:bookmarkEnd w:id="11"/>
      <w:r>
        <w:t>: Impact on industry output, 2030, Scenarios 1 and 2</w:t>
      </w:r>
    </w:p>
    <w:p w14:paraId="6B8AA87D" w14:textId="77777777" w:rsidR="005B4457" w:rsidRDefault="005B4457" w:rsidP="005B4457"/>
    <w:p w14:paraId="416EB946" w14:textId="77777777" w:rsidR="005B4457" w:rsidRDefault="005B4457" w:rsidP="005B4457">
      <w:r>
        <w:t>Unlike Scenario 1, in which the government deficit is greater than the base case throughout the simulation period, in Scenario 2, the average deficit is approximately the same as the base case average (</w:t>
      </w:r>
      <w:r>
        <w:fldChar w:fldCharType="begin"/>
      </w:r>
      <w:r>
        <w:instrText xml:space="preserve"> REF _Ref53694470 \h </w:instrText>
      </w:r>
      <w:r>
        <w:fldChar w:fldCharType="separate"/>
      </w:r>
      <w:r>
        <w:t xml:space="preserve">Figure </w:t>
      </w:r>
      <w:r>
        <w:rPr>
          <w:noProof/>
        </w:rPr>
        <w:t>8</w:t>
      </w:r>
      <w:r>
        <w:fldChar w:fldCharType="end"/>
      </w:r>
      <w:r>
        <w:t xml:space="preserve">). </w:t>
      </w:r>
    </w:p>
    <w:p w14:paraId="4FC681A1" w14:textId="77777777" w:rsidR="005B4457" w:rsidRDefault="005B4457" w:rsidP="005B4457">
      <w:r>
        <w:rPr>
          <w:noProof/>
          <w:lang w:eastAsia="en-AU"/>
        </w:rPr>
        <w:drawing>
          <wp:inline distT="0" distB="0" distL="0" distR="0" wp14:anchorId="57B74B6D" wp14:editId="2DD58870">
            <wp:extent cx="5343277" cy="2767054"/>
            <wp:effectExtent l="0" t="0" r="10160"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D67D71B" w14:textId="77777777" w:rsidR="005B4457" w:rsidRDefault="005B4457" w:rsidP="005B4457">
      <w:pPr>
        <w:pStyle w:val="Caption"/>
      </w:pPr>
      <w:bookmarkStart w:id="12" w:name="_Ref53694470"/>
      <w:r>
        <w:t xml:space="preserve">Figure </w:t>
      </w:r>
      <w:r w:rsidR="00FA34A4">
        <w:fldChar w:fldCharType="begin"/>
      </w:r>
      <w:r w:rsidR="00FA34A4">
        <w:instrText xml:space="preserve"> SEQ Figure \* ARABIC </w:instrText>
      </w:r>
      <w:r w:rsidR="00FA34A4">
        <w:fldChar w:fldCharType="separate"/>
      </w:r>
      <w:r>
        <w:rPr>
          <w:noProof/>
        </w:rPr>
        <w:t>8</w:t>
      </w:r>
      <w:r w:rsidR="00FA34A4">
        <w:rPr>
          <w:noProof/>
        </w:rPr>
        <w:fldChar w:fldCharType="end"/>
      </w:r>
      <w:bookmarkEnd w:id="12"/>
      <w:r>
        <w:t>: Impact on government budget balance relative to base case ($m), Scenarios 1 and 2</w:t>
      </w:r>
    </w:p>
    <w:p w14:paraId="63B3E393" w14:textId="77777777" w:rsidR="005B4457" w:rsidRDefault="005B4457" w:rsidP="005B4457"/>
    <w:p w14:paraId="072E6429" w14:textId="77777777" w:rsidR="005B4457" w:rsidRDefault="005B4457" w:rsidP="005B4457">
      <w:pPr>
        <w:pStyle w:val="Heading1"/>
      </w:pPr>
      <w:r>
        <w:t>Conclusions</w:t>
      </w:r>
    </w:p>
    <w:p w14:paraId="19C51FA3" w14:textId="765145A9" w:rsidR="005B4457" w:rsidRDefault="005B4457" w:rsidP="005B4457">
      <w:r>
        <w:t>An increase in expenditure on care services delivers clear economic benefits and helps to alleviate female economic disadvantage. Spending on care services delivers a double dividend, of job creation in the care sector, and positive labour supply impacts for over 900 thousand Australians who perform unpaid work caring for the elderly, disabled and children.  More than 70 per cent of the labour supply impact benefits women.</w:t>
      </w:r>
    </w:p>
    <w:p w14:paraId="26EA4BF3" w14:textId="77777777" w:rsidR="00C218C4" w:rsidRDefault="00C218C4" w:rsidP="005B4457"/>
    <w:p w14:paraId="3A5B602B" w14:textId="77777777" w:rsidR="005B4457" w:rsidRDefault="005B4457" w:rsidP="005B4457">
      <w:r>
        <w:t>The economic growth derived from additional employment underpins an increase in budget revenue that offsets much of the cost to government of increased service delivery.</w:t>
      </w:r>
    </w:p>
    <w:p w14:paraId="5E85350D" w14:textId="77777777" w:rsidR="005B4457" w:rsidRDefault="005B4457" w:rsidP="005B4457">
      <w:r>
        <w:t>An option for achieving a complete offset of the costs of the additional service delivery is to reduce government spending on infrastructure. This option leads to smaller impacts on investment and construction activity, nonetheless the impacts are still positive, as is the overall outcome for GDP and employment.</w:t>
      </w:r>
    </w:p>
    <w:p w14:paraId="37510EFC" w14:textId="77777777" w:rsidR="005B4457" w:rsidRDefault="005B4457" w:rsidP="005B4457"/>
    <w:p w14:paraId="3BB8BC87" w14:textId="77777777" w:rsidR="005B4457" w:rsidRDefault="005B4457" w:rsidP="005B4457">
      <w:pPr>
        <w:pStyle w:val="Heading1"/>
      </w:pPr>
      <w:r>
        <w:t>References</w:t>
      </w:r>
    </w:p>
    <w:p w14:paraId="39255EDC" w14:textId="77777777" w:rsidR="005B4457" w:rsidRPr="006D1AA9" w:rsidRDefault="005B4457" w:rsidP="005B4457"/>
    <w:p w14:paraId="69B4F343" w14:textId="77777777" w:rsidR="005B4457" w:rsidRDefault="005B4457" w:rsidP="005B4457">
      <w:pPr>
        <w:pStyle w:val="Bibliography"/>
        <w:ind w:left="720" w:hanging="720"/>
        <w:rPr>
          <w:noProof/>
          <w:sz w:val="24"/>
          <w:szCs w:val="24"/>
          <w:lang w:val="en-US"/>
        </w:rPr>
      </w:pPr>
      <w:r>
        <w:fldChar w:fldCharType="begin"/>
      </w:r>
      <w:r>
        <w:rPr>
          <w:lang w:val="en-US"/>
        </w:rPr>
        <w:instrText xml:space="preserve"> BIBLIOGRAPHY  \l 1033 </w:instrText>
      </w:r>
      <w:r>
        <w:fldChar w:fldCharType="separate"/>
      </w:r>
      <w:r>
        <w:rPr>
          <w:noProof/>
          <w:lang w:val="en-US"/>
        </w:rPr>
        <w:t xml:space="preserve">ABS. (2020). </w:t>
      </w:r>
      <w:r>
        <w:rPr>
          <w:i/>
          <w:iCs/>
          <w:noProof/>
          <w:lang w:val="en-US"/>
        </w:rPr>
        <w:t>Barriers and Incentives to Labour Force Participation, Australia, 2018-2019, Cat. No. 6239.0 .</w:t>
      </w:r>
      <w:r>
        <w:rPr>
          <w:noProof/>
          <w:lang w:val="en-US"/>
        </w:rPr>
        <w:t xml:space="preserve"> Australian Bureau of Statistics.</w:t>
      </w:r>
    </w:p>
    <w:p w14:paraId="5DE54D45" w14:textId="77777777" w:rsidR="005B4457" w:rsidRDefault="005B4457" w:rsidP="005B4457">
      <w:pPr>
        <w:pStyle w:val="Bibliography"/>
        <w:ind w:left="720" w:hanging="720"/>
        <w:rPr>
          <w:noProof/>
          <w:lang w:val="en-US"/>
        </w:rPr>
      </w:pPr>
      <w:r>
        <w:rPr>
          <w:noProof/>
          <w:lang w:val="en-US"/>
        </w:rPr>
        <w:t xml:space="preserve">Adams, P., Dixon, J. M., &amp; Horridge, J. M. (2015). The Victoria University Regional Model (VURM): Technical Documentation, Version 1.0 . </w:t>
      </w:r>
      <w:r>
        <w:rPr>
          <w:i/>
          <w:iCs/>
          <w:noProof/>
          <w:lang w:val="en-US"/>
        </w:rPr>
        <w:t>Centre of Policy Studies Working Paper G-254</w:t>
      </w:r>
      <w:r>
        <w:rPr>
          <w:noProof/>
          <w:lang w:val="en-US"/>
        </w:rPr>
        <w:t>.</w:t>
      </w:r>
    </w:p>
    <w:p w14:paraId="40D23A8A" w14:textId="77777777" w:rsidR="005B4457" w:rsidRDefault="005B4457" w:rsidP="005B4457">
      <w:pPr>
        <w:pStyle w:val="Bibliography"/>
        <w:ind w:left="720" w:hanging="720"/>
        <w:rPr>
          <w:noProof/>
          <w:lang w:val="en-US"/>
        </w:rPr>
      </w:pPr>
      <w:r>
        <w:rPr>
          <w:noProof/>
          <w:lang w:val="en-US"/>
        </w:rPr>
        <w:t xml:space="preserve">Deloitte Access Economics. (2020). </w:t>
      </w:r>
      <w:r>
        <w:rPr>
          <w:i/>
          <w:iCs/>
          <w:noProof/>
          <w:lang w:val="en-US"/>
        </w:rPr>
        <w:t>The value of informal care in 2020.</w:t>
      </w:r>
      <w:r>
        <w:rPr>
          <w:noProof/>
          <w:lang w:val="en-US"/>
        </w:rPr>
        <w:t xml:space="preserve"> </w:t>
      </w:r>
    </w:p>
    <w:p w14:paraId="5C1C9E3E" w14:textId="77777777" w:rsidR="005B4457" w:rsidRDefault="005B4457" w:rsidP="005B4457">
      <w:pPr>
        <w:pStyle w:val="Bibliography"/>
        <w:ind w:left="720" w:hanging="720"/>
        <w:rPr>
          <w:noProof/>
          <w:lang w:val="en-US"/>
        </w:rPr>
      </w:pPr>
      <w:r>
        <w:rPr>
          <w:noProof/>
          <w:lang w:val="en-US"/>
        </w:rPr>
        <w:t xml:space="preserve">Dixon, J. M., &amp; Nassios, J. (2020). </w:t>
      </w:r>
      <w:r>
        <w:rPr>
          <w:i/>
          <w:iCs/>
          <w:noProof/>
          <w:lang w:val="en-US"/>
        </w:rPr>
        <w:t>Evaluating gender impacts in employment: A CGE framework for policy makers.</w:t>
      </w:r>
      <w:r>
        <w:rPr>
          <w:noProof/>
          <w:lang w:val="en-US"/>
        </w:rPr>
        <w:t xml:space="preserve"> available from authors.</w:t>
      </w:r>
    </w:p>
    <w:p w14:paraId="50EF8FC2" w14:textId="77777777" w:rsidR="005B4457" w:rsidRDefault="005B4457" w:rsidP="005B4457">
      <w:pPr>
        <w:pStyle w:val="Bibliography"/>
        <w:ind w:left="720" w:hanging="720"/>
        <w:rPr>
          <w:noProof/>
          <w:lang w:val="en-US"/>
        </w:rPr>
      </w:pPr>
      <w:r>
        <w:rPr>
          <w:noProof/>
          <w:lang w:val="en-US"/>
        </w:rPr>
        <w:t xml:space="preserve">Dixon, P. B., &amp; Rimmer, M. T. (2002). </w:t>
      </w:r>
      <w:r>
        <w:rPr>
          <w:i/>
          <w:iCs/>
          <w:noProof/>
          <w:lang w:val="en-US"/>
        </w:rPr>
        <w:t>Dynamic General Equilibrium Modelling for Forecasting and Policy: A Practical Guide and Documentation of MONASH.</w:t>
      </w:r>
      <w:r>
        <w:rPr>
          <w:noProof/>
          <w:lang w:val="en-US"/>
        </w:rPr>
        <w:t xml:space="preserve"> North Holland Publishing Company.</w:t>
      </w:r>
    </w:p>
    <w:p w14:paraId="116ADA26" w14:textId="77777777" w:rsidR="005B4457" w:rsidRDefault="005B4457" w:rsidP="005B4457">
      <w:pPr>
        <w:pStyle w:val="Bibliography"/>
        <w:ind w:left="720" w:hanging="720"/>
        <w:rPr>
          <w:noProof/>
          <w:lang w:val="en-US"/>
        </w:rPr>
      </w:pPr>
      <w:r>
        <w:rPr>
          <w:noProof/>
          <w:lang w:val="en-US"/>
        </w:rPr>
        <w:t xml:space="preserve">Horridge, J. M., Jerie, M., Mustakinov, D., &amp; Schiffmann, F. (2018). GEMPACK manual, GEMPACK Software. </w:t>
      </w:r>
      <w:r>
        <w:rPr>
          <w:i/>
          <w:iCs/>
          <w:noProof/>
          <w:lang w:val="en-US"/>
        </w:rPr>
        <w:t>Centre of Policy Studies, Victoria University, Melbourne</w:t>
      </w:r>
      <w:r>
        <w:rPr>
          <w:noProof/>
          <w:lang w:val="en-US"/>
        </w:rPr>
        <w:t>, ISBN 978-1-921654-34-3.</w:t>
      </w:r>
    </w:p>
    <w:p w14:paraId="4B3FA105" w14:textId="77777777" w:rsidR="005B4457" w:rsidRDefault="005B4457" w:rsidP="005B4457">
      <w:pPr>
        <w:pStyle w:val="Bibliography"/>
        <w:ind w:left="720" w:hanging="720"/>
        <w:rPr>
          <w:noProof/>
          <w:lang w:val="en-US"/>
        </w:rPr>
      </w:pPr>
      <w:r>
        <w:rPr>
          <w:noProof/>
          <w:lang w:val="en-US"/>
        </w:rPr>
        <w:t xml:space="preserve">KPMG. (2020). </w:t>
      </w:r>
      <w:r>
        <w:rPr>
          <w:i/>
          <w:iCs/>
          <w:noProof/>
          <w:lang w:val="en-US"/>
        </w:rPr>
        <w:t>The child care subsidy: Options for increasing support for caregivers who want to work.</w:t>
      </w:r>
      <w:r>
        <w:rPr>
          <w:noProof/>
          <w:lang w:val="en-US"/>
        </w:rPr>
        <w:t xml:space="preserve"> https://assets.kpmg/content/dam/kpmg/au/pdf/2020/kpmg-child-care-subsidy-report.pdf.</w:t>
      </w:r>
    </w:p>
    <w:p w14:paraId="63112604" w14:textId="77777777" w:rsidR="005B4457" w:rsidRDefault="005B4457" w:rsidP="005B4457">
      <w:r>
        <w:fldChar w:fldCharType="end"/>
      </w:r>
    </w:p>
    <w:p w14:paraId="23EC4231" w14:textId="77777777" w:rsidR="005B4457" w:rsidRDefault="005B4457" w:rsidP="005B4457"/>
    <w:p w14:paraId="39B42A5E" w14:textId="77777777" w:rsidR="005B4457" w:rsidRDefault="005B4457" w:rsidP="005B4457"/>
    <w:p w14:paraId="4FCA2673" w14:textId="77777777" w:rsidR="005B4457" w:rsidRDefault="005B4457" w:rsidP="005B4457"/>
    <w:p w14:paraId="1931DC80" w14:textId="77777777" w:rsidR="005B4457" w:rsidRDefault="005B4457" w:rsidP="005B4457">
      <w:pPr>
        <w:pStyle w:val="Heading1"/>
        <w:sectPr w:rsidR="005B4457">
          <w:footerReference w:type="default" r:id="rId24"/>
          <w:pgSz w:w="11906" w:h="16838"/>
          <w:pgMar w:top="1440" w:right="1440" w:bottom="1440" w:left="1440" w:header="708" w:footer="708" w:gutter="0"/>
          <w:cols w:space="708"/>
          <w:docGrid w:linePitch="360"/>
        </w:sectPr>
      </w:pPr>
    </w:p>
    <w:p w14:paraId="28E4E25C" w14:textId="77777777" w:rsidR="005B4457" w:rsidRDefault="005B4457" w:rsidP="005B4457">
      <w:pPr>
        <w:pStyle w:val="Heading1"/>
      </w:pPr>
      <w:r>
        <w:t>Tables</w:t>
      </w:r>
    </w:p>
    <w:p w14:paraId="6FCC9E50" w14:textId="77777777" w:rsidR="005B4457" w:rsidRDefault="005B4457" w:rsidP="005B4457"/>
    <w:p w14:paraId="17E25A6D" w14:textId="77777777" w:rsidR="005B4457" w:rsidRDefault="005B4457" w:rsidP="005B4457">
      <w:r>
        <w:t>Note – in all tables, “2020” refers to the year ending June 30, 2020 (financial year).</w:t>
      </w:r>
    </w:p>
    <w:p w14:paraId="61B3C8B5" w14:textId="77777777" w:rsidR="005B4457" w:rsidRDefault="005B4457" w:rsidP="005B4457">
      <w:pPr>
        <w:pStyle w:val="Caption"/>
        <w:keepNext/>
      </w:pPr>
      <w:r>
        <w:t xml:space="preserve">Table </w:t>
      </w:r>
      <w:r w:rsidR="00FA34A4">
        <w:fldChar w:fldCharType="begin"/>
      </w:r>
      <w:r w:rsidR="00FA34A4">
        <w:instrText xml:space="preserve"> SEQ Table \* ARABIC </w:instrText>
      </w:r>
      <w:r w:rsidR="00FA34A4">
        <w:fldChar w:fldCharType="separate"/>
      </w:r>
      <w:r>
        <w:rPr>
          <w:noProof/>
        </w:rPr>
        <w:t>3</w:t>
      </w:r>
      <w:r w:rsidR="00FA34A4">
        <w:rPr>
          <w:noProof/>
        </w:rPr>
        <w:fldChar w:fldCharType="end"/>
      </w:r>
      <w:r>
        <w:t xml:space="preserve">: </w:t>
      </w:r>
      <w:r w:rsidRPr="00860440">
        <w:t>Scenario 1 Macro results</w:t>
      </w:r>
      <w:r>
        <w:rPr>
          <w:noProof/>
        </w:rPr>
        <w:t xml:space="preserve"> (percentage deviation from base case unless otherwise stated)</w:t>
      </w:r>
    </w:p>
    <w:tbl>
      <w:tblPr>
        <w:tblStyle w:val="GridTable1Light"/>
        <w:tblW w:w="5000" w:type="pct"/>
        <w:tblLook w:val="04A0" w:firstRow="1" w:lastRow="0" w:firstColumn="1" w:lastColumn="0" w:noHBand="0" w:noVBand="1"/>
      </w:tblPr>
      <w:tblGrid>
        <w:gridCol w:w="3648"/>
        <w:gridCol w:w="1069"/>
        <w:gridCol w:w="1069"/>
        <w:gridCol w:w="1069"/>
        <w:gridCol w:w="1069"/>
        <w:gridCol w:w="1069"/>
        <w:gridCol w:w="1069"/>
        <w:gridCol w:w="1069"/>
        <w:gridCol w:w="1068"/>
        <w:gridCol w:w="1068"/>
        <w:gridCol w:w="1068"/>
        <w:gridCol w:w="1053"/>
      </w:tblGrid>
      <w:tr w:rsidR="005B4457" w:rsidRPr="000D5DA5" w14:paraId="3DC95377" w14:textId="77777777" w:rsidTr="005B445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84" w:type="pct"/>
            <w:noWrap/>
            <w:hideMark/>
          </w:tcPr>
          <w:p w14:paraId="4927C209" w14:textId="77777777" w:rsidR="005B4457" w:rsidRPr="000D5DA5" w:rsidRDefault="005B4457" w:rsidP="005B4457">
            <w:pPr>
              <w:rPr>
                <w:rFonts w:ascii="Times New Roman" w:eastAsia="Times New Roman" w:hAnsi="Times New Roman" w:cs="Times New Roman"/>
                <w:sz w:val="24"/>
                <w:szCs w:val="24"/>
                <w:lang w:eastAsia="en-AU"/>
              </w:rPr>
            </w:pPr>
          </w:p>
        </w:tc>
        <w:tc>
          <w:tcPr>
            <w:tcW w:w="347" w:type="pct"/>
            <w:noWrap/>
            <w:hideMark/>
          </w:tcPr>
          <w:p w14:paraId="154BBDE5"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2020</w:t>
            </w:r>
          </w:p>
        </w:tc>
        <w:tc>
          <w:tcPr>
            <w:tcW w:w="347" w:type="pct"/>
            <w:noWrap/>
            <w:hideMark/>
          </w:tcPr>
          <w:p w14:paraId="15C0BFE1"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2021</w:t>
            </w:r>
          </w:p>
        </w:tc>
        <w:tc>
          <w:tcPr>
            <w:tcW w:w="347" w:type="pct"/>
            <w:noWrap/>
            <w:hideMark/>
          </w:tcPr>
          <w:p w14:paraId="1E8DCB5E"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2022</w:t>
            </w:r>
          </w:p>
        </w:tc>
        <w:tc>
          <w:tcPr>
            <w:tcW w:w="347" w:type="pct"/>
            <w:noWrap/>
            <w:hideMark/>
          </w:tcPr>
          <w:p w14:paraId="40BFAA91"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2023</w:t>
            </w:r>
          </w:p>
        </w:tc>
        <w:tc>
          <w:tcPr>
            <w:tcW w:w="347" w:type="pct"/>
            <w:noWrap/>
            <w:hideMark/>
          </w:tcPr>
          <w:p w14:paraId="13FF5937"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2024</w:t>
            </w:r>
          </w:p>
        </w:tc>
        <w:tc>
          <w:tcPr>
            <w:tcW w:w="347" w:type="pct"/>
            <w:noWrap/>
            <w:hideMark/>
          </w:tcPr>
          <w:p w14:paraId="460E52F8"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2025</w:t>
            </w:r>
          </w:p>
        </w:tc>
        <w:tc>
          <w:tcPr>
            <w:tcW w:w="347" w:type="pct"/>
            <w:noWrap/>
            <w:hideMark/>
          </w:tcPr>
          <w:p w14:paraId="2E91D294"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2026</w:t>
            </w:r>
          </w:p>
        </w:tc>
        <w:tc>
          <w:tcPr>
            <w:tcW w:w="347" w:type="pct"/>
            <w:noWrap/>
            <w:hideMark/>
          </w:tcPr>
          <w:p w14:paraId="2B48537B"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2027</w:t>
            </w:r>
          </w:p>
        </w:tc>
        <w:tc>
          <w:tcPr>
            <w:tcW w:w="347" w:type="pct"/>
            <w:noWrap/>
            <w:hideMark/>
          </w:tcPr>
          <w:p w14:paraId="10B755C0"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2028</w:t>
            </w:r>
          </w:p>
        </w:tc>
        <w:tc>
          <w:tcPr>
            <w:tcW w:w="347" w:type="pct"/>
            <w:noWrap/>
            <w:hideMark/>
          </w:tcPr>
          <w:p w14:paraId="646165D6"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2029</w:t>
            </w:r>
          </w:p>
        </w:tc>
        <w:tc>
          <w:tcPr>
            <w:tcW w:w="342" w:type="pct"/>
            <w:noWrap/>
            <w:hideMark/>
          </w:tcPr>
          <w:p w14:paraId="078CC0B3"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2030</w:t>
            </w:r>
          </w:p>
        </w:tc>
      </w:tr>
      <w:tr w:rsidR="005B4457" w:rsidRPr="000D5DA5" w14:paraId="5D3E0935"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1184" w:type="pct"/>
            <w:noWrap/>
            <w:hideMark/>
          </w:tcPr>
          <w:p w14:paraId="6F93DE29" w14:textId="77777777" w:rsidR="005B4457" w:rsidRPr="000D5DA5" w:rsidRDefault="005B4457" w:rsidP="005B4457">
            <w:pPr>
              <w:rPr>
                <w:rFonts w:ascii="Calibri" w:eastAsia="Times New Roman" w:hAnsi="Calibri" w:cs="Calibri"/>
                <w:color w:val="000000"/>
                <w:u w:val="single"/>
                <w:lang w:eastAsia="en-AU"/>
              </w:rPr>
            </w:pPr>
            <w:r w:rsidRPr="000D5DA5">
              <w:rPr>
                <w:rFonts w:ascii="Calibri" w:eastAsia="Times New Roman" w:hAnsi="Calibri" w:cs="Calibri"/>
                <w:color w:val="000000"/>
                <w:u w:val="single"/>
                <w:lang w:eastAsia="en-AU"/>
              </w:rPr>
              <w:t>Macro aggregates</w:t>
            </w:r>
          </w:p>
        </w:tc>
        <w:tc>
          <w:tcPr>
            <w:tcW w:w="347" w:type="pct"/>
            <w:noWrap/>
            <w:hideMark/>
          </w:tcPr>
          <w:p w14:paraId="16BEB43F"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AU"/>
              </w:rPr>
            </w:pPr>
          </w:p>
        </w:tc>
        <w:tc>
          <w:tcPr>
            <w:tcW w:w="347" w:type="pct"/>
            <w:noWrap/>
            <w:hideMark/>
          </w:tcPr>
          <w:p w14:paraId="2D159759"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305C0F98"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56CF0106"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5E6735F8"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388E4F6C"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4689C464"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2E400838"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698828A7"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278C867B"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2" w:type="pct"/>
            <w:noWrap/>
            <w:hideMark/>
          </w:tcPr>
          <w:p w14:paraId="550FE12B"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r>
      <w:tr w:rsidR="005B4457" w:rsidRPr="000D5DA5" w14:paraId="0F8C752B"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1184" w:type="pct"/>
            <w:noWrap/>
            <w:hideMark/>
          </w:tcPr>
          <w:p w14:paraId="2FF4273F"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GDP</w:t>
            </w:r>
          </w:p>
        </w:tc>
        <w:tc>
          <w:tcPr>
            <w:tcW w:w="347" w:type="pct"/>
            <w:noWrap/>
            <w:hideMark/>
          </w:tcPr>
          <w:p w14:paraId="4492726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47" w:type="pct"/>
            <w:noWrap/>
            <w:hideMark/>
          </w:tcPr>
          <w:p w14:paraId="413CB7E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0.01</w:t>
            </w:r>
          </w:p>
        </w:tc>
        <w:tc>
          <w:tcPr>
            <w:tcW w:w="347" w:type="pct"/>
            <w:noWrap/>
            <w:hideMark/>
          </w:tcPr>
          <w:p w14:paraId="51691AB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0.20</w:t>
            </w:r>
          </w:p>
        </w:tc>
        <w:tc>
          <w:tcPr>
            <w:tcW w:w="347" w:type="pct"/>
            <w:noWrap/>
            <w:hideMark/>
          </w:tcPr>
          <w:p w14:paraId="48330F5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0.45</w:t>
            </w:r>
          </w:p>
        </w:tc>
        <w:tc>
          <w:tcPr>
            <w:tcW w:w="347" w:type="pct"/>
            <w:noWrap/>
            <w:hideMark/>
          </w:tcPr>
          <w:p w14:paraId="69DF3D5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0.75</w:t>
            </w:r>
          </w:p>
        </w:tc>
        <w:tc>
          <w:tcPr>
            <w:tcW w:w="347" w:type="pct"/>
            <w:noWrap/>
            <w:hideMark/>
          </w:tcPr>
          <w:p w14:paraId="34400A5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1.09</w:t>
            </w:r>
          </w:p>
        </w:tc>
        <w:tc>
          <w:tcPr>
            <w:tcW w:w="347" w:type="pct"/>
            <w:noWrap/>
            <w:hideMark/>
          </w:tcPr>
          <w:p w14:paraId="17D8A09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1.24</w:t>
            </w:r>
          </w:p>
        </w:tc>
        <w:tc>
          <w:tcPr>
            <w:tcW w:w="347" w:type="pct"/>
            <w:noWrap/>
            <w:hideMark/>
          </w:tcPr>
          <w:p w14:paraId="6C96830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1.37</w:t>
            </w:r>
          </w:p>
        </w:tc>
        <w:tc>
          <w:tcPr>
            <w:tcW w:w="347" w:type="pct"/>
            <w:noWrap/>
            <w:hideMark/>
          </w:tcPr>
          <w:p w14:paraId="652E3F4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1.47</w:t>
            </w:r>
          </w:p>
        </w:tc>
        <w:tc>
          <w:tcPr>
            <w:tcW w:w="347" w:type="pct"/>
            <w:noWrap/>
            <w:hideMark/>
          </w:tcPr>
          <w:p w14:paraId="3A3F1BA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1.56</w:t>
            </w:r>
          </w:p>
        </w:tc>
        <w:tc>
          <w:tcPr>
            <w:tcW w:w="342" w:type="pct"/>
            <w:noWrap/>
            <w:hideMark/>
          </w:tcPr>
          <w:p w14:paraId="2214B5B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1.64</w:t>
            </w:r>
          </w:p>
        </w:tc>
      </w:tr>
      <w:tr w:rsidR="005B4457" w:rsidRPr="000D5DA5" w14:paraId="1BA0CEEB"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1184" w:type="pct"/>
            <w:noWrap/>
            <w:hideMark/>
          </w:tcPr>
          <w:p w14:paraId="1A77A8DF"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Household expenditure</w:t>
            </w:r>
          </w:p>
        </w:tc>
        <w:tc>
          <w:tcPr>
            <w:tcW w:w="347" w:type="pct"/>
            <w:noWrap/>
            <w:hideMark/>
          </w:tcPr>
          <w:p w14:paraId="7B9639F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47" w:type="pct"/>
            <w:noWrap/>
            <w:hideMark/>
          </w:tcPr>
          <w:p w14:paraId="4D3AB97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0.07</w:t>
            </w:r>
          </w:p>
        </w:tc>
        <w:tc>
          <w:tcPr>
            <w:tcW w:w="347" w:type="pct"/>
            <w:noWrap/>
            <w:hideMark/>
          </w:tcPr>
          <w:p w14:paraId="60E999B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0.29</w:t>
            </w:r>
          </w:p>
        </w:tc>
        <w:tc>
          <w:tcPr>
            <w:tcW w:w="347" w:type="pct"/>
            <w:noWrap/>
            <w:hideMark/>
          </w:tcPr>
          <w:p w14:paraId="7CBBD88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0.57</w:t>
            </w:r>
          </w:p>
        </w:tc>
        <w:tc>
          <w:tcPr>
            <w:tcW w:w="347" w:type="pct"/>
            <w:noWrap/>
            <w:hideMark/>
          </w:tcPr>
          <w:p w14:paraId="4D6D957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0.89</w:t>
            </w:r>
          </w:p>
        </w:tc>
        <w:tc>
          <w:tcPr>
            <w:tcW w:w="347" w:type="pct"/>
            <w:noWrap/>
            <w:hideMark/>
          </w:tcPr>
          <w:p w14:paraId="000BF6E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1.17</w:t>
            </w:r>
          </w:p>
        </w:tc>
        <w:tc>
          <w:tcPr>
            <w:tcW w:w="347" w:type="pct"/>
            <w:noWrap/>
            <w:hideMark/>
          </w:tcPr>
          <w:p w14:paraId="660B113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1.23</w:t>
            </w:r>
          </w:p>
        </w:tc>
        <w:tc>
          <w:tcPr>
            <w:tcW w:w="347" w:type="pct"/>
            <w:noWrap/>
            <w:hideMark/>
          </w:tcPr>
          <w:p w14:paraId="51A0785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1.28</w:t>
            </w:r>
          </w:p>
        </w:tc>
        <w:tc>
          <w:tcPr>
            <w:tcW w:w="347" w:type="pct"/>
            <w:noWrap/>
            <w:hideMark/>
          </w:tcPr>
          <w:p w14:paraId="1436B2A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1.33</w:t>
            </w:r>
          </w:p>
        </w:tc>
        <w:tc>
          <w:tcPr>
            <w:tcW w:w="347" w:type="pct"/>
            <w:noWrap/>
            <w:hideMark/>
          </w:tcPr>
          <w:p w14:paraId="116F5D0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1.37</w:t>
            </w:r>
          </w:p>
        </w:tc>
        <w:tc>
          <w:tcPr>
            <w:tcW w:w="342" w:type="pct"/>
            <w:noWrap/>
            <w:hideMark/>
          </w:tcPr>
          <w:p w14:paraId="784F774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1.41</w:t>
            </w:r>
          </w:p>
        </w:tc>
      </w:tr>
      <w:tr w:rsidR="005B4457" w:rsidRPr="000D5DA5" w14:paraId="10E02479"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1184" w:type="pct"/>
            <w:noWrap/>
            <w:hideMark/>
          </w:tcPr>
          <w:p w14:paraId="032ED049"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Investment</w:t>
            </w:r>
          </w:p>
        </w:tc>
        <w:tc>
          <w:tcPr>
            <w:tcW w:w="347" w:type="pct"/>
            <w:noWrap/>
            <w:hideMark/>
          </w:tcPr>
          <w:p w14:paraId="35F93BD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47" w:type="pct"/>
            <w:noWrap/>
            <w:hideMark/>
          </w:tcPr>
          <w:p w14:paraId="357A61B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0.08</w:t>
            </w:r>
          </w:p>
        </w:tc>
        <w:tc>
          <w:tcPr>
            <w:tcW w:w="347" w:type="pct"/>
            <w:noWrap/>
            <w:hideMark/>
          </w:tcPr>
          <w:p w14:paraId="3304289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0.25</w:t>
            </w:r>
          </w:p>
        </w:tc>
        <w:tc>
          <w:tcPr>
            <w:tcW w:w="347" w:type="pct"/>
            <w:noWrap/>
            <w:hideMark/>
          </w:tcPr>
          <w:p w14:paraId="4196D52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0.49</w:t>
            </w:r>
          </w:p>
        </w:tc>
        <w:tc>
          <w:tcPr>
            <w:tcW w:w="347" w:type="pct"/>
            <w:noWrap/>
            <w:hideMark/>
          </w:tcPr>
          <w:p w14:paraId="527CAD0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0.79</w:t>
            </w:r>
          </w:p>
        </w:tc>
        <w:tc>
          <w:tcPr>
            <w:tcW w:w="347" w:type="pct"/>
            <w:noWrap/>
            <w:hideMark/>
          </w:tcPr>
          <w:p w14:paraId="1407FB8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1.04</w:t>
            </w:r>
          </w:p>
        </w:tc>
        <w:tc>
          <w:tcPr>
            <w:tcW w:w="347" w:type="pct"/>
            <w:noWrap/>
            <w:hideMark/>
          </w:tcPr>
          <w:p w14:paraId="114862A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1.21</w:t>
            </w:r>
          </w:p>
        </w:tc>
        <w:tc>
          <w:tcPr>
            <w:tcW w:w="347" w:type="pct"/>
            <w:noWrap/>
            <w:hideMark/>
          </w:tcPr>
          <w:p w14:paraId="20FD4B8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1.35</w:t>
            </w:r>
          </w:p>
        </w:tc>
        <w:tc>
          <w:tcPr>
            <w:tcW w:w="347" w:type="pct"/>
            <w:noWrap/>
            <w:hideMark/>
          </w:tcPr>
          <w:p w14:paraId="30474FF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1.46</w:t>
            </w:r>
          </w:p>
        </w:tc>
        <w:tc>
          <w:tcPr>
            <w:tcW w:w="347" w:type="pct"/>
            <w:noWrap/>
            <w:hideMark/>
          </w:tcPr>
          <w:p w14:paraId="3AD45D8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1.54</w:t>
            </w:r>
          </w:p>
        </w:tc>
        <w:tc>
          <w:tcPr>
            <w:tcW w:w="342" w:type="pct"/>
            <w:noWrap/>
            <w:hideMark/>
          </w:tcPr>
          <w:p w14:paraId="0013C10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1.60</w:t>
            </w:r>
          </w:p>
        </w:tc>
      </w:tr>
      <w:tr w:rsidR="005B4457" w:rsidRPr="000D5DA5" w14:paraId="2C576D6C"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1184" w:type="pct"/>
            <w:noWrap/>
            <w:hideMark/>
          </w:tcPr>
          <w:p w14:paraId="01E3F906"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Exports</w:t>
            </w:r>
          </w:p>
        </w:tc>
        <w:tc>
          <w:tcPr>
            <w:tcW w:w="347" w:type="pct"/>
            <w:noWrap/>
            <w:hideMark/>
          </w:tcPr>
          <w:p w14:paraId="21D50BC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47" w:type="pct"/>
            <w:noWrap/>
            <w:hideMark/>
          </w:tcPr>
          <w:p w14:paraId="0530B1B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-0.14</w:t>
            </w:r>
          </w:p>
        </w:tc>
        <w:tc>
          <w:tcPr>
            <w:tcW w:w="347" w:type="pct"/>
            <w:noWrap/>
            <w:hideMark/>
          </w:tcPr>
          <w:p w14:paraId="381EA68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-0.31</w:t>
            </w:r>
          </w:p>
        </w:tc>
        <w:tc>
          <w:tcPr>
            <w:tcW w:w="347" w:type="pct"/>
            <w:noWrap/>
            <w:hideMark/>
          </w:tcPr>
          <w:p w14:paraId="0AE6615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-0.41</w:t>
            </w:r>
          </w:p>
        </w:tc>
        <w:tc>
          <w:tcPr>
            <w:tcW w:w="347" w:type="pct"/>
            <w:noWrap/>
            <w:hideMark/>
          </w:tcPr>
          <w:p w14:paraId="4331A64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-0.44</w:t>
            </w:r>
          </w:p>
        </w:tc>
        <w:tc>
          <w:tcPr>
            <w:tcW w:w="347" w:type="pct"/>
            <w:noWrap/>
            <w:hideMark/>
          </w:tcPr>
          <w:p w14:paraId="62C4601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-0.27</w:t>
            </w:r>
          </w:p>
        </w:tc>
        <w:tc>
          <w:tcPr>
            <w:tcW w:w="347" w:type="pct"/>
            <w:noWrap/>
            <w:hideMark/>
          </w:tcPr>
          <w:p w14:paraId="22A7F11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0.07</w:t>
            </w:r>
          </w:p>
        </w:tc>
        <w:tc>
          <w:tcPr>
            <w:tcW w:w="347" w:type="pct"/>
            <w:noWrap/>
            <w:hideMark/>
          </w:tcPr>
          <w:p w14:paraId="1FD977F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0.36</w:t>
            </w:r>
          </w:p>
        </w:tc>
        <w:tc>
          <w:tcPr>
            <w:tcW w:w="347" w:type="pct"/>
            <w:noWrap/>
            <w:hideMark/>
          </w:tcPr>
          <w:p w14:paraId="74DC32C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0.62</w:t>
            </w:r>
          </w:p>
        </w:tc>
        <w:tc>
          <w:tcPr>
            <w:tcW w:w="347" w:type="pct"/>
            <w:noWrap/>
            <w:hideMark/>
          </w:tcPr>
          <w:p w14:paraId="3E957D7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0.83</w:t>
            </w:r>
          </w:p>
        </w:tc>
        <w:tc>
          <w:tcPr>
            <w:tcW w:w="342" w:type="pct"/>
            <w:noWrap/>
            <w:hideMark/>
          </w:tcPr>
          <w:p w14:paraId="07FA673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1.02</w:t>
            </w:r>
          </w:p>
        </w:tc>
      </w:tr>
      <w:tr w:rsidR="005B4457" w:rsidRPr="000D5DA5" w14:paraId="29481EF7"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1184" w:type="pct"/>
            <w:noWrap/>
            <w:hideMark/>
          </w:tcPr>
          <w:p w14:paraId="310D8F0B"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Imports</w:t>
            </w:r>
          </w:p>
        </w:tc>
        <w:tc>
          <w:tcPr>
            <w:tcW w:w="347" w:type="pct"/>
            <w:noWrap/>
            <w:hideMark/>
          </w:tcPr>
          <w:p w14:paraId="7035656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47" w:type="pct"/>
            <w:noWrap/>
            <w:hideMark/>
          </w:tcPr>
          <w:p w14:paraId="4B80C49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0.10</w:t>
            </w:r>
          </w:p>
        </w:tc>
        <w:tc>
          <w:tcPr>
            <w:tcW w:w="347" w:type="pct"/>
            <w:noWrap/>
            <w:hideMark/>
          </w:tcPr>
          <w:p w14:paraId="2601AA8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0.36</w:t>
            </w:r>
          </w:p>
        </w:tc>
        <w:tc>
          <w:tcPr>
            <w:tcW w:w="347" w:type="pct"/>
            <w:noWrap/>
            <w:hideMark/>
          </w:tcPr>
          <w:p w14:paraId="28F8755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0.67</w:t>
            </w:r>
          </w:p>
        </w:tc>
        <w:tc>
          <w:tcPr>
            <w:tcW w:w="347" w:type="pct"/>
            <w:noWrap/>
            <w:hideMark/>
          </w:tcPr>
          <w:p w14:paraId="5EBAFC3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1.00</w:t>
            </w:r>
          </w:p>
        </w:tc>
        <w:tc>
          <w:tcPr>
            <w:tcW w:w="347" w:type="pct"/>
            <w:noWrap/>
            <w:hideMark/>
          </w:tcPr>
          <w:p w14:paraId="466BF51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1.25</w:t>
            </w:r>
          </w:p>
        </w:tc>
        <w:tc>
          <w:tcPr>
            <w:tcW w:w="347" w:type="pct"/>
            <w:noWrap/>
            <w:hideMark/>
          </w:tcPr>
          <w:p w14:paraId="36A59AD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1.26</w:t>
            </w:r>
          </w:p>
        </w:tc>
        <w:tc>
          <w:tcPr>
            <w:tcW w:w="347" w:type="pct"/>
            <w:noWrap/>
            <w:hideMark/>
          </w:tcPr>
          <w:p w14:paraId="0A32FCA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1.26</w:t>
            </w:r>
          </w:p>
        </w:tc>
        <w:tc>
          <w:tcPr>
            <w:tcW w:w="347" w:type="pct"/>
            <w:noWrap/>
            <w:hideMark/>
          </w:tcPr>
          <w:p w14:paraId="61129F5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1.26</w:t>
            </w:r>
          </w:p>
        </w:tc>
        <w:tc>
          <w:tcPr>
            <w:tcW w:w="347" w:type="pct"/>
            <w:noWrap/>
            <w:hideMark/>
          </w:tcPr>
          <w:p w14:paraId="22782AF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1.26</w:t>
            </w:r>
          </w:p>
        </w:tc>
        <w:tc>
          <w:tcPr>
            <w:tcW w:w="342" w:type="pct"/>
            <w:noWrap/>
            <w:hideMark/>
          </w:tcPr>
          <w:p w14:paraId="7716304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1.26</w:t>
            </w:r>
          </w:p>
        </w:tc>
      </w:tr>
      <w:tr w:rsidR="005B4457" w:rsidRPr="000D5DA5" w14:paraId="61FD4E0D"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1184" w:type="pct"/>
            <w:noWrap/>
            <w:hideMark/>
          </w:tcPr>
          <w:p w14:paraId="4ED8C2AB"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Public expenditure</w:t>
            </w:r>
          </w:p>
        </w:tc>
        <w:tc>
          <w:tcPr>
            <w:tcW w:w="347" w:type="pct"/>
            <w:noWrap/>
            <w:hideMark/>
          </w:tcPr>
          <w:p w14:paraId="6CB10B4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47" w:type="pct"/>
            <w:noWrap/>
            <w:hideMark/>
          </w:tcPr>
          <w:p w14:paraId="5F09EDD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47" w:type="pct"/>
            <w:noWrap/>
            <w:hideMark/>
          </w:tcPr>
          <w:p w14:paraId="1AF55B1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0.59</w:t>
            </w:r>
          </w:p>
        </w:tc>
        <w:tc>
          <w:tcPr>
            <w:tcW w:w="347" w:type="pct"/>
            <w:noWrap/>
            <w:hideMark/>
          </w:tcPr>
          <w:p w14:paraId="51B47E5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1.23</w:t>
            </w:r>
          </w:p>
        </w:tc>
        <w:tc>
          <w:tcPr>
            <w:tcW w:w="347" w:type="pct"/>
            <w:noWrap/>
            <w:hideMark/>
          </w:tcPr>
          <w:p w14:paraId="145F822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1.93</w:t>
            </w:r>
          </w:p>
        </w:tc>
        <w:tc>
          <w:tcPr>
            <w:tcW w:w="347" w:type="pct"/>
            <w:noWrap/>
            <w:hideMark/>
          </w:tcPr>
          <w:p w14:paraId="2F120FD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2.68</w:t>
            </w:r>
          </w:p>
        </w:tc>
        <w:tc>
          <w:tcPr>
            <w:tcW w:w="347" w:type="pct"/>
            <w:noWrap/>
            <w:hideMark/>
          </w:tcPr>
          <w:p w14:paraId="62F702A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2.67</w:t>
            </w:r>
          </w:p>
        </w:tc>
        <w:tc>
          <w:tcPr>
            <w:tcW w:w="347" w:type="pct"/>
            <w:noWrap/>
            <w:hideMark/>
          </w:tcPr>
          <w:p w14:paraId="392E709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2.67</w:t>
            </w:r>
          </w:p>
        </w:tc>
        <w:tc>
          <w:tcPr>
            <w:tcW w:w="347" w:type="pct"/>
            <w:noWrap/>
            <w:hideMark/>
          </w:tcPr>
          <w:p w14:paraId="45A1AD6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2.66</w:t>
            </w:r>
          </w:p>
        </w:tc>
        <w:tc>
          <w:tcPr>
            <w:tcW w:w="347" w:type="pct"/>
            <w:noWrap/>
            <w:hideMark/>
          </w:tcPr>
          <w:p w14:paraId="6686989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2.66</w:t>
            </w:r>
          </w:p>
        </w:tc>
        <w:tc>
          <w:tcPr>
            <w:tcW w:w="342" w:type="pct"/>
            <w:noWrap/>
            <w:hideMark/>
          </w:tcPr>
          <w:p w14:paraId="5497E37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2.65</w:t>
            </w:r>
          </w:p>
        </w:tc>
      </w:tr>
      <w:tr w:rsidR="005B4457" w:rsidRPr="000D5DA5" w14:paraId="1DF82BF8"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1184" w:type="pct"/>
            <w:noWrap/>
            <w:hideMark/>
          </w:tcPr>
          <w:p w14:paraId="4DA8270F" w14:textId="77777777" w:rsidR="005B4457" w:rsidRPr="000D5DA5" w:rsidRDefault="005B4457" w:rsidP="005B4457">
            <w:pPr>
              <w:jc w:val="right"/>
              <w:rPr>
                <w:rFonts w:ascii="Calibri" w:eastAsia="Times New Roman" w:hAnsi="Calibri" w:cs="Calibri"/>
                <w:color w:val="000000"/>
                <w:lang w:eastAsia="en-AU"/>
              </w:rPr>
            </w:pPr>
          </w:p>
        </w:tc>
        <w:tc>
          <w:tcPr>
            <w:tcW w:w="347" w:type="pct"/>
            <w:noWrap/>
            <w:hideMark/>
          </w:tcPr>
          <w:p w14:paraId="46EF383A"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624CD160"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38093494"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5432F066"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413D62B4"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6B007193"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0B11FA9C"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4BC7DCDB"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4D70A183"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74F10444"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2" w:type="pct"/>
            <w:noWrap/>
            <w:hideMark/>
          </w:tcPr>
          <w:p w14:paraId="5D3D9133"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r>
      <w:tr w:rsidR="005B4457" w:rsidRPr="000D5DA5" w14:paraId="45B74B3E"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1184" w:type="pct"/>
            <w:noWrap/>
            <w:hideMark/>
          </w:tcPr>
          <w:p w14:paraId="54BB85C9" w14:textId="77777777" w:rsidR="005B4457" w:rsidRPr="000D5DA5" w:rsidRDefault="005B4457" w:rsidP="005B4457">
            <w:pPr>
              <w:rPr>
                <w:rFonts w:ascii="Calibri" w:eastAsia="Times New Roman" w:hAnsi="Calibri" w:cs="Calibri"/>
                <w:color w:val="000000"/>
                <w:u w:val="single"/>
                <w:lang w:eastAsia="en-AU"/>
              </w:rPr>
            </w:pPr>
            <w:r w:rsidRPr="000D5DA5">
              <w:rPr>
                <w:rFonts w:ascii="Calibri" w:eastAsia="Times New Roman" w:hAnsi="Calibri" w:cs="Calibri"/>
                <w:color w:val="000000"/>
                <w:u w:val="single"/>
                <w:lang w:eastAsia="en-AU"/>
              </w:rPr>
              <w:t>Labour supply</w:t>
            </w:r>
          </w:p>
        </w:tc>
        <w:tc>
          <w:tcPr>
            <w:tcW w:w="347" w:type="pct"/>
            <w:noWrap/>
            <w:hideMark/>
          </w:tcPr>
          <w:p w14:paraId="39084ECE"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AU"/>
              </w:rPr>
            </w:pPr>
          </w:p>
        </w:tc>
        <w:tc>
          <w:tcPr>
            <w:tcW w:w="347" w:type="pct"/>
            <w:noWrap/>
            <w:hideMark/>
          </w:tcPr>
          <w:p w14:paraId="0EC40610"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11294365"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770B3A47"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04C7A5AA"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7A2B2593"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644D68CB"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08BA1F46"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674E66A4"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45C493D8"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2" w:type="pct"/>
            <w:noWrap/>
            <w:hideMark/>
          </w:tcPr>
          <w:p w14:paraId="21689F63"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r>
      <w:tr w:rsidR="005B4457" w:rsidRPr="000D5DA5" w14:paraId="6D5C2524"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1184" w:type="pct"/>
            <w:noWrap/>
            <w:hideMark/>
          </w:tcPr>
          <w:p w14:paraId="23CE5ECB"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Male</w:t>
            </w:r>
          </w:p>
        </w:tc>
        <w:tc>
          <w:tcPr>
            <w:tcW w:w="347" w:type="pct"/>
            <w:noWrap/>
            <w:hideMark/>
          </w:tcPr>
          <w:p w14:paraId="3F17605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47" w:type="pct"/>
            <w:noWrap/>
            <w:hideMark/>
          </w:tcPr>
          <w:p w14:paraId="7ED7FE8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47" w:type="pct"/>
            <w:noWrap/>
            <w:hideMark/>
          </w:tcPr>
          <w:p w14:paraId="3F4DB80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0.21</w:t>
            </w:r>
          </w:p>
        </w:tc>
        <w:tc>
          <w:tcPr>
            <w:tcW w:w="347" w:type="pct"/>
            <w:noWrap/>
            <w:hideMark/>
          </w:tcPr>
          <w:p w14:paraId="239A873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0.42</w:t>
            </w:r>
          </w:p>
        </w:tc>
        <w:tc>
          <w:tcPr>
            <w:tcW w:w="347" w:type="pct"/>
            <w:noWrap/>
            <w:hideMark/>
          </w:tcPr>
          <w:p w14:paraId="7A412CA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0.63</w:t>
            </w:r>
          </w:p>
        </w:tc>
        <w:tc>
          <w:tcPr>
            <w:tcW w:w="347" w:type="pct"/>
            <w:noWrap/>
            <w:hideMark/>
          </w:tcPr>
          <w:p w14:paraId="315BECC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0.84</w:t>
            </w:r>
          </w:p>
        </w:tc>
        <w:tc>
          <w:tcPr>
            <w:tcW w:w="347" w:type="pct"/>
            <w:noWrap/>
            <w:hideMark/>
          </w:tcPr>
          <w:p w14:paraId="2E98230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0.83</w:t>
            </w:r>
          </w:p>
        </w:tc>
        <w:tc>
          <w:tcPr>
            <w:tcW w:w="347" w:type="pct"/>
            <w:noWrap/>
            <w:hideMark/>
          </w:tcPr>
          <w:p w14:paraId="1D83AF7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0.83</w:t>
            </w:r>
          </w:p>
        </w:tc>
        <w:tc>
          <w:tcPr>
            <w:tcW w:w="347" w:type="pct"/>
            <w:noWrap/>
            <w:hideMark/>
          </w:tcPr>
          <w:p w14:paraId="5FF004E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0.83</w:t>
            </w:r>
          </w:p>
        </w:tc>
        <w:tc>
          <w:tcPr>
            <w:tcW w:w="347" w:type="pct"/>
            <w:noWrap/>
            <w:hideMark/>
          </w:tcPr>
          <w:p w14:paraId="15F82DF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0.83</w:t>
            </w:r>
          </w:p>
        </w:tc>
        <w:tc>
          <w:tcPr>
            <w:tcW w:w="342" w:type="pct"/>
            <w:noWrap/>
            <w:hideMark/>
          </w:tcPr>
          <w:p w14:paraId="6D082AB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0.83</w:t>
            </w:r>
          </w:p>
        </w:tc>
      </w:tr>
      <w:tr w:rsidR="005B4457" w:rsidRPr="000D5DA5" w14:paraId="692932F1"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1184" w:type="pct"/>
            <w:noWrap/>
            <w:hideMark/>
          </w:tcPr>
          <w:p w14:paraId="0309D4C9"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Female</w:t>
            </w:r>
          </w:p>
        </w:tc>
        <w:tc>
          <w:tcPr>
            <w:tcW w:w="347" w:type="pct"/>
            <w:noWrap/>
            <w:hideMark/>
          </w:tcPr>
          <w:p w14:paraId="2B34DC7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47" w:type="pct"/>
            <w:noWrap/>
            <w:hideMark/>
          </w:tcPr>
          <w:p w14:paraId="25FB8D7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47" w:type="pct"/>
            <w:noWrap/>
            <w:hideMark/>
          </w:tcPr>
          <w:p w14:paraId="3E6EE7D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0.93</w:t>
            </w:r>
          </w:p>
        </w:tc>
        <w:tc>
          <w:tcPr>
            <w:tcW w:w="347" w:type="pct"/>
            <w:noWrap/>
            <w:hideMark/>
          </w:tcPr>
          <w:p w14:paraId="3FC12C9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1.87</w:t>
            </w:r>
          </w:p>
        </w:tc>
        <w:tc>
          <w:tcPr>
            <w:tcW w:w="347" w:type="pct"/>
            <w:noWrap/>
            <w:hideMark/>
          </w:tcPr>
          <w:p w14:paraId="70D8CF5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2.81</w:t>
            </w:r>
          </w:p>
        </w:tc>
        <w:tc>
          <w:tcPr>
            <w:tcW w:w="347" w:type="pct"/>
            <w:noWrap/>
            <w:hideMark/>
          </w:tcPr>
          <w:p w14:paraId="4896E35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3.77</w:t>
            </w:r>
          </w:p>
        </w:tc>
        <w:tc>
          <w:tcPr>
            <w:tcW w:w="347" w:type="pct"/>
            <w:noWrap/>
            <w:hideMark/>
          </w:tcPr>
          <w:p w14:paraId="5F9C7D5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3.75</w:t>
            </w:r>
          </w:p>
        </w:tc>
        <w:tc>
          <w:tcPr>
            <w:tcW w:w="347" w:type="pct"/>
            <w:noWrap/>
            <w:hideMark/>
          </w:tcPr>
          <w:p w14:paraId="11821CD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3.75</w:t>
            </w:r>
          </w:p>
        </w:tc>
        <w:tc>
          <w:tcPr>
            <w:tcW w:w="347" w:type="pct"/>
            <w:noWrap/>
            <w:hideMark/>
          </w:tcPr>
          <w:p w14:paraId="47987B6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3.74</w:t>
            </w:r>
          </w:p>
        </w:tc>
        <w:tc>
          <w:tcPr>
            <w:tcW w:w="347" w:type="pct"/>
            <w:noWrap/>
            <w:hideMark/>
          </w:tcPr>
          <w:p w14:paraId="3FC40E5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3.74</w:t>
            </w:r>
          </w:p>
        </w:tc>
        <w:tc>
          <w:tcPr>
            <w:tcW w:w="342" w:type="pct"/>
            <w:noWrap/>
            <w:hideMark/>
          </w:tcPr>
          <w:p w14:paraId="5F660DB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3.74</w:t>
            </w:r>
          </w:p>
        </w:tc>
      </w:tr>
      <w:tr w:rsidR="005B4457" w:rsidRPr="000D5DA5" w14:paraId="4882576C"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1184" w:type="pct"/>
            <w:noWrap/>
            <w:hideMark/>
          </w:tcPr>
          <w:p w14:paraId="6C94455A"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Persons</w:t>
            </w:r>
          </w:p>
        </w:tc>
        <w:tc>
          <w:tcPr>
            <w:tcW w:w="347" w:type="pct"/>
            <w:noWrap/>
            <w:hideMark/>
          </w:tcPr>
          <w:p w14:paraId="0F358CE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47" w:type="pct"/>
            <w:noWrap/>
            <w:hideMark/>
          </w:tcPr>
          <w:p w14:paraId="146C241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47" w:type="pct"/>
            <w:noWrap/>
            <w:hideMark/>
          </w:tcPr>
          <w:p w14:paraId="13B023A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0.55</w:t>
            </w:r>
          </w:p>
        </w:tc>
        <w:tc>
          <w:tcPr>
            <w:tcW w:w="347" w:type="pct"/>
            <w:noWrap/>
            <w:hideMark/>
          </w:tcPr>
          <w:p w14:paraId="6753723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1.11</w:t>
            </w:r>
          </w:p>
        </w:tc>
        <w:tc>
          <w:tcPr>
            <w:tcW w:w="347" w:type="pct"/>
            <w:noWrap/>
            <w:hideMark/>
          </w:tcPr>
          <w:p w14:paraId="0752621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1.68</w:t>
            </w:r>
          </w:p>
        </w:tc>
        <w:tc>
          <w:tcPr>
            <w:tcW w:w="347" w:type="pct"/>
            <w:noWrap/>
            <w:hideMark/>
          </w:tcPr>
          <w:p w14:paraId="7E8983E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2.25</w:t>
            </w:r>
          </w:p>
        </w:tc>
        <w:tc>
          <w:tcPr>
            <w:tcW w:w="347" w:type="pct"/>
            <w:noWrap/>
            <w:hideMark/>
          </w:tcPr>
          <w:p w14:paraId="7C95878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2.24</w:t>
            </w:r>
          </w:p>
        </w:tc>
        <w:tc>
          <w:tcPr>
            <w:tcW w:w="347" w:type="pct"/>
            <w:noWrap/>
            <w:hideMark/>
          </w:tcPr>
          <w:p w14:paraId="0F7C83B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2.23</w:t>
            </w:r>
          </w:p>
        </w:tc>
        <w:tc>
          <w:tcPr>
            <w:tcW w:w="347" w:type="pct"/>
            <w:noWrap/>
            <w:hideMark/>
          </w:tcPr>
          <w:p w14:paraId="36D6805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2.22</w:t>
            </w:r>
          </w:p>
        </w:tc>
        <w:tc>
          <w:tcPr>
            <w:tcW w:w="347" w:type="pct"/>
            <w:noWrap/>
            <w:hideMark/>
          </w:tcPr>
          <w:p w14:paraId="5E074B0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2.22</w:t>
            </w:r>
          </w:p>
        </w:tc>
        <w:tc>
          <w:tcPr>
            <w:tcW w:w="342" w:type="pct"/>
            <w:noWrap/>
            <w:hideMark/>
          </w:tcPr>
          <w:p w14:paraId="58D6EE5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2.22</w:t>
            </w:r>
          </w:p>
        </w:tc>
      </w:tr>
      <w:tr w:rsidR="005B4457" w:rsidRPr="000D5DA5" w14:paraId="072F4CE0"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1184" w:type="pct"/>
            <w:noWrap/>
            <w:hideMark/>
          </w:tcPr>
          <w:p w14:paraId="4B609F94" w14:textId="77777777" w:rsidR="005B4457" w:rsidRPr="000D5DA5" w:rsidRDefault="005B4457" w:rsidP="005B4457">
            <w:pPr>
              <w:jc w:val="right"/>
              <w:rPr>
                <w:rFonts w:ascii="Calibri" w:eastAsia="Times New Roman" w:hAnsi="Calibri" w:cs="Calibri"/>
                <w:color w:val="000000"/>
                <w:lang w:eastAsia="en-AU"/>
              </w:rPr>
            </w:pPr>
          </w:p>
        </w:tc>
        <w:tc>
          <w:tcPr>
            <w:tcW w:w="347" w:type="pct"/>
            <w:noWrap/>
            <w:hideMark/>
          </w:tcPr>
          <w:p w14:paraId="54D6C655"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4E83955A"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29057BCF"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526B6D12"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7E442034"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169474D6"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5852F8A7"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021A0061"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3A8D3752"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56901377"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2" w:type="pct"/>
            <w:noWrap/>
            <w:hideMark/>
          </w:tcPr>
          <w:p w14:paraId="7047A26E"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r>
      <w:tr w:rsidR="005B4457" w:rsidRPr="000D5DA5" w14:paraId="6B32E1B8"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1184" w:type="pct"/>
            <w:noWrap/>
            <w:hideMark/>
          </w:tcPr>
          <w:p w14:paraId="3CA4EB0B" w14:textId="77777777" w:rsidR="005B4457" w:rsidRPr="000D5DA5" w:rsidRDefault="005B4457" w:rsidP="005B4457">
            <w:pPr>
              <w:rPr>
                <w:rFonts w:ascii="Calibri" w:eastAsia="Times New Roman" w:hAnsi="Calibri" w:cs="Calibri"/>
                <w:color w:val="000000"/>
                <w:u w:val="single"/>
                <w:lang w:eastAsia="en-AU"/>
              </w:rPr>
            </w:pPr>
            <w:r w:rsidRPr="000D5DA5">
              <w:rPr>
                <w:rFonts w:ascii="Calibri" w:eastAsia="Times New Roman" w:hAnsi="Calibri" w:cs="Calibri"/>
                <w:color w:val="000000"/>
                <w:u w:val="single"/>
                <w:lang w:eastAsia="en-AU"/>
              </w:rPr>
              <w:t>Employment</w:t>
            </w:r>
          </w:p>
        </w:tc>
        <w:tc>
          <w:tcPr>
            <w:tcW w:w="347" w:type="pct"/>
            <w:noWrap/>
            <w:hideMark/>
          </w:tcPr>
          <w:p w14:paraId="1DD9CB48"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AU"/>
              </w:rPr>
            </w:pPr>
          </w:p>
        </w:tc>
        <w:tc>
          <w:tcPr>
            <w:tcW w:w="347" w:type="pct"/>
            <w:noWrap/>
            <w:hideMark/>
          </w:tcPr>
          <w:p w14:paraId="47584B2B"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21488B70"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771A00DB"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3B9FC21A"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7AE632B0"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6C338292"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0F2505F7"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1A629000"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523B1D7A"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2" w:type="pct"/>
            <w:noWrap/>
            <w:hideMark/>
          </w:tcPr>
          <w:p w14:paraId="40E6A41E"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r>
      <w:tr w:rsidR="005B4457" w:rsidRPr="000D5DA5" w14:paraId="07D3E0F5"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1184" w:type="pct"/>
            <w:noWrap/>
            <w:hideMark/>
          </w:tcPr>
          <w:p w14:paraId="1A0A5358"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Male</w:t>
            </w:r>
          </w:p>
        </w:tc>
        <w:tc>
          <w:tcPr>
            <w:tcW w:w="347" w:type="pct"/>
            <w:noWrap/>
            <w:hideMark/>
          </w:tcPr>
          <w:p w14:paraId="192C286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47" w:type="pct"/>
            <w:noWrap/>
            <w:hideMark/>
          </w:tcPr>
          <w:p w14:paraId="4E17555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0.02</w:t>
            </w:r>
          </w:p>
        </w:tc>
        <w:tc>
          <w:tcPr>
            <w:tcW w:w="347" w:type="pct"/>
            <w:noWrap/>
            <w:hideMark/>
          </w:tcPr>
          <w:p w14:paraId="70325EA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-0.03</w:t>
            </w:r>
          </w:p>
        </w:tc>
        <w:tc>
          <w:tcPr>
            <w:tcW w:w="347" w:type="pct"/>
            <w:noWrap/>
            <w:hideMark/>
          </w:tcPr>
          <w:p w14:paraId="5765D0E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0.01</w:t>
            </w:r>
          </w:p>
        </w:tc>
        <w:tc>
          <w:tcPr>
            <w:tcW w:w="347" w:type="pct"/>
            <w:noWrap/>
            <w:hideMark/>
          </w:tcPr>
          <w:p w14:paraId="780D375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0.12</w:t>
            </w:r>
          </w:p>
        </w:tc>
        <w:tc>
          <w:tcPr>
            <w:tcW w:w="347" w:type="pct"/>
            <w:noWrap/>
            <w:hideMark/>
          </w:tcPr>
          <w:p w14:paraId="2E11E31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0.27</w:t>
            </w:r>
          </w:p>
        </w:tc>
        <w:tc>
          <w:tcPr>
            <w:tcW w:w="347" w:type="pct"/>
            <w:noWrap/>
            <w:hideMark/>
          </w:tcPr>
          <w:p w14:paraId="7F42EB4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0.45</w:t>
            </w:r>
          </w:p>
        </w:tc>
        <w:tc>
          <w:tcPr>
            <w:tcW w:w="347" w:type="pct"/>
            <w:noWrap/>
            <w:hideMark/>
          </w:tcPr>
          <w:p w14:paraId="454A27B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0.59</w:t>
            </w:r>
          </w:p>
        </w:tc>
        <w:tc>
          <w:tcPr>
            <w:tcW w:w="347" w:type="pct"/>
            <w:noWrap/>
            <w:hideMark/>
          </w:tcPr>
          <w:p w14:paraId="48E3692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0.70</w:t>
            </w:r>
          </w:p>
        </w:tc>
        <w:tc>
          <w:tcPr>
            <w:tcW w:w="347" w:type="pct"/>
            <w:noWrap/>
            <w:hideMark/>
          </w:tcPr>
          <w:p w14:paraId="5746FCA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0.78</w:t>
            </w:r>
          </w:p>
        </w:tc>
        <w:tc>
          <w:tcPr>
            <w:tcW w:w="342" w:type="pct"/>
            <w:noWrap/>
            <w:hideMark/>
          </w:tcPr>
          <w:p w14:paraId="59575E9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0.84</w:t>
            </w:r>
          </w:p>
        </w:tc>
      </w:tr>
      <w:tr w:rsidR="005B4457" w:rsidRPr="000D5DA5" w14:paraId="4F5C09EE"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1184" w:type="pct"/>
            <w:noWrap/>
            <w:hideMark/>
          </w:tcPr>
          <w:p w14:paraId="6669C947"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Female</w:t>
            </w:r>
          </w:p>
        </w:tc>
        <w:tc>
          <w:tcPr>
            <w:tcW w:w="347" w:type="pct"/>
            <w:noWrap/>
            <w:hideMark/>
          </w:tcPr>
          <w:p w14:paraId="035BA46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47" w:type="pct"/>
            <w:noWrap/>
            <w:hideMark/>
          </w:tcPr>
          <w:p w14:paraId="6DBFB83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0.02</w:t>
            </w:r>
          </w:p>
        </w:tc>
        <w:tc>
          <w:tcPr>
            <w:tcW w:w="347" w:type="pct"/>
            <w:noWrap/>
            <w:hideMark/>
          </w:tcPr>
          <w:p w14:paraId="6F0A44C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0.69</w:t>
            </w:r>
          </w:p>
        </w:tc>
        <w:tc>
          <w:tcPr>
            <w:tcW w:w="347" w:type="pct"/>
            <w:noWrap/>
            <w:hideMark/>
          </w:tcPr>
          <w:p w14:paraId="77FCA43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1.46</w:t>
            </w:r>
          </w:p>
        </w:tc>
        <w:tc>
          <w:tcPr>
            <w:tcW w:w="347" w:type="pct"/>
            <w:noWrap/>
            <w:hideMark/>
          </w:tcPr>
          <w:p w14:paraId="32348E7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2.30</w:t>
            </w:r>
          </w:p>
        </w:tc>
        <w:tc>
          <w:tcPr>
            <w:tcW w:w="347" w:type="pct"/>
            <w:noWrap/>
            <w:hideMark/>
          </w:tcPr>
          <w:p w14:paraId="25499BB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3.18</w:t>
            </w:r>
          </w:p>
        </w:tc>
        <w:tc>
          <w:tcPr>
            <w:tcW w:w="347" w:type="pct"/>
            <w:noWrap/>
            <w:hideMark/>
          </w:tcPr>
          <w:p w14:paraId="13E8397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3.36</w:t>
            </w:r>
          </w:p>
        </w:tc>
        <w:tc>
          <w:tcPr>
            <w:tcW w:w="347" w:type="pct"/>
            <w:noWrap/>
            <w:hideMark/>
          </w:tcPr>
          <w:p w14:paraId="4EF2411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3.51</w:t>
            </w:r>
          </w:p>
        </w:tc>
        <w:tc>
          <w:tcPr>
            <w:tcW w:w="347" w:type="pct"/>
            <w:noWrap/>
            <w:hideMark/>
          </w:tcPr>
          <w:p w14:paraId="3EB89AB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3.61</w:t>
            </w:r>
          </w:p>
        </w:tc>
        <w:tc>
          <w:tcPr>
            <w:tcW w:w="347" w:type="pct"/>
            <w:noWrap/>
            <w:hideMark/>
          </w:tcPr>
          <w:p w14:paraId="4B13A27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3.69</w:t>
            </w:r>
          </w:p>
        </w:tc>
        <w:tc>
          <w:tcPr>
            <w:tcW w:w="342" w:type="pct"/>
            <w:noWrap/>
            <w:hideMark/>
          </w:tcPr>
          <w:p w14:paraId="4B4C761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3.75</w:t>
            </w:r>
          </w:p>
        </w:tc>
      </w:tr>
      <w:tr w:rsidR="005B4457" w:rsidRPr="000D5DA5" w14:paraId="546E4D86"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1184" w:type="pct"/>
            <w:noWrap/>
            <w:hideMark/>
          </w:tcPr>
          <w:p w14:paraId="18F5CFAC"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Persons</w:t>
            </w:r>
          </w:p>
        </w:tc>
        <w:tc>
          <w:tcPr>
            <w:tcW w:w="347" w:type="pct"/>
            <w:noWrap/>
            <w:hideMark/>
          </w:tcPr>
          <w:p w14:paraId="292CB5A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47" w:type="pct"/>
            <w:noWrap/>
            <w:hideMark/>
          </w:tcPr>
          <w:p w14:paraId="33419C0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0.02</w:t>
            </w:r>
          </w:p>
        </w:tc>
        <w:tc>
          <w:tcPr>
            <w:tcW w:w="347" w:type="pct"/>
            <w:noWrap/>
            <w:hideMark/>
          </w:tcPr>
          <w:p w14:paraId="770BF35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0.32</w:t>
            </w:r>
          </w:p>
        </w:tc>
        <w:tc>
          <w:tcPr>
            <w:tcW w:w="347" w:type="pct"/>
            <w:noWrap/>
            <w:hideMark/>
          </w:tcPr>
          <w:p w14:paraId="208323E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0.71</w:t>
            </w:r>
          </w:p>
        </w:tc>
        <w:tc>
          <w:tcPr>
            <w:tcW w:w="347" w:type="pct"/>
            <w:noWrap/>
            <w:hideMark/>
          </w:tcPr>
          <w:p w14:paraId="6206145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1.17</w:t>
            </w:r>
          </w:p>
        </w:tc>
        <w:tc>
          <w:tcPr>
            <w:tcW w:w="347" w:type="pct"/>
            <w:noWrap/>
            <w:hideMark/>
          </w:tcPr>
          <w:p w14:paraId="1E470DE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1.67</w:t>
            </w:r>
          </w:p>
        </w:tc>
        <w:tc>
          <w:tcPr>
            <w:tcW w:w="347" w:type="pct"/>
            <w:noWrap/>
            <w:hideMark/>
          </w:tcPr>
          <w:p w14:paraId="26ECDE3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1.85</w:t>
            </w:r>
          </w:p>
        </w:tc>
        <w:tc>
          <w:tcPr>
            <w:tcW w:w="347" w:type="pct"/>
            <w:noWrap/>
            <w:hideMark/>
          </w:tcPr>
          <w:p w14:paraId="6814A2A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1.99</w:t>
            </w:r>
          </w:p>
        </w:tc>
        <w:tc>
          <w:tcPr>
            <w:tcW w:w="347" w:type="pct"/>
            <w:noWrap/>
            <w:hideMark/>
          </w:tcPr>
          <w:p w14:paraId="7AB13BA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2.10</w:t>
            </w:r>
          </w:p>
        </w:tc>
        <w:tc>
          <w:tcPr>
            <w:tcW w:w="347" w:type="pct"/>
            <w:noWrap/>
            <w:hideMark/>
          </w:tcPr>
          <w:p w14:paraId="7C4B7FF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2.18</w:t>
            </w:r>
          </w:p>
        </w:tc>
        <w:tc>
          <w:tcPr>
            <w:tcW w:w="342" w:type="pct"/>
            <w:noWrap/>
            <w:hideMark/>
          </w:tcPr>
          <w:p w14:paraId="7778129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2.23</w:t>
            </w:r>
          </w:p>
        </w:tc>
      </w:tr>
      <w:tr w:rsidR="005B4457" w:rsidRPr="000D5DA5" w14:paraId="77254D9A"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1184" w:type="pct"/>
            <w:noWrap/>
            <w:hideMark/>
          </w:tcPr>
          <w:p w14:paraId="26A0F4B5" w14:textId="77777777" w:rsidR="005B4457" w:rsidRPr="000D5DA5" w:rsidRDefault="005B4457" w:rsidP="005B4457">
            <w:pPr>
              <w:jc w:val="right"/>
              <w:rPr>
                <w:rFonts w:ascii="Calibri" w:eastAsia="Times New Roman" w:hAnsi="Calibri" w:cs="Calibri"/>
                <w:color w:val="000000"/>
                <w:lang w:eastAsia="en-AU"/>
              </w:rPr>
            </w:pPr>
          </w:p>
        </w:tc>
        <w:tc>
          <w:tcPr>
            <w:tcW w:w="347" w:type="pct"/>
            <w:noWrap/>
            <w:hideMark/>
          </w:tcPr>
          <w:p w14:paraId="07D8943B"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1ABB520F"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1F47CCE3"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208BE63A"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320BF6AB"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1002CF6C"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56DC18C8"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54AF937C"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6EB9EC49"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6DAAB077"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2" w:type="pct"/>
            <w:noWrap/>
            <w:hideMark/>
          </w:tcPr>
          <w:p w14:paraId="4840C07D"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r>
      <w:tr w:rsidR="005B4457" w:rsidRPr="000D5DA5" w14:paraId="478CD659"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1184" w:type="pct"/>
            <w:noWrap/>
            <w:hideMark/>
          </w:tcPr>
          <w:p w14:paraId="6D1F171C" w14:textId="77777777" w:rsidR="005B4457" w:rsidRPr="000D5DA5" w:rsidRDefault="005B4457" w:rsidP="005B4457">
            <w:pPr>
              <w:rPr>
                <w:rFonts w:ascii="Calibri" w:eastAsia="Times New Roman" w:hAnsi="Calibri" w:cs="Calibri"/>
                <w:color w:val="000000"/>
                <w:u w:val="single"/>
                <w:lang w:eastAsia="en-AU"/>
              </w:rPr>
            </w:pPr>
            <w:r w:rsidRPr="000D5DA5">
              <w:rPr>
                <w:rFonts w:ascii="Calibri" w:eastAsia="Times New Roman" w:hAnsi="Calibri" w:cs="Calibri"/>
                <w:color w:val="000000"/>
                <w:u w:val="single"/>
                <w:lang w:eastAsia="en-AU"/>
              </w:rPr>
              <w:t>Labour income</w:t>
            </w:r>
          </w:p>
        </w:tc>
        <w:tc>
          <w:tcPr>
            <w:tcW w:w="347" w:type="pct"/>
            <w:noWrap/>
            <w:hideMark/>
          </w:tcPr>
          <w:p w14:paraId="5CC68B46"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AU"/>
              </w:rPr>
            </w:pPr>
          </w:p>
        </w:tc>
        <w:tc>
          <w:tcPr>
            <w:tcW w:w="347" w:type="pct"/>
            <w:noWrap/>
            <w:hideMark/>
          </w:tcPr>
          <w:p w14:paraId="47D9F13E"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0F08B82F"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5C8EA2B0"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67041BF1"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23B0DCDF"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53161534"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11383C97"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35793862"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0674E50A"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2" w:type="pct"/>
            <w:noWrap/>
            <w:hideMark/>
          </w:tcPr>
          <w:p w14:paraId="4D837784"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r>
      <w:tr w:rsidR="005B4457" w:rsidRPr="000D5DA5" w14:paraId="08336D46"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1184" w:type="pct"/>
            <w:noWrap/>
            <w:hideMark/>
          </w:tcPr>
          <w:p w14:paraId="0107F48B"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Male</w:t>
            </w:r>
          </w:p>
        </w:tc>
        <w:tc>
          <w:tcPr>
            <w:tcW w:w="347" w:type="pct"/>
            <w:noWrap/>
            <w:hideMark/>
          </w:tcPr>
          <w:p w14:paraId="293D34A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47" w:type="pct"/>
            <w:noWrap/>
            <w:hideMark/>
          </w:tcPr>
          <w:p w14:paraId="2C1A322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0.03</w:t>
            </w:r>
          </w:p>
        </w:tc>
        <w:tc>
          <w:tcPr>
            <w:tcW w:w="347" w:type="pct"/>
            <w:noWrap/>
            <w:hideMark/>
          </w:tcPr>
          <w:p w14:paraId="0401EF3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-0.06</w:t>
            </w:r>
          </w:p>
        </w:tc>
        <w:tc>
          <w:tcPr>
            <w:tcW w:w="347" w:type="pct"/>
            <w:noWrap/>
            <w:hideMark/>
          </w:tcPr>
          <w:p w14:paraId="5942332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-0.13</w:t>
            </w:r>
          </w:p>
        </w:tc>
        <w:tc>
          <w:tcPr>
            <w:tcW w:w="347" w:type="pct"/>
            <w:noWrap/>
            <w:hideMark/>
          </w:tcPr>
          <w:p w14:paraId="5BB0790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-0.17</w:t>
            </w:r>
          </w:p>
        </w:tc>
        <w:tc>
          <w:tcPr>
            <w:tcW w:w="347" w:type="pct"/>
            <w:noWrap/>
            <w:hideMark/>
          </w:tcPr>
          <w:p w14:paraId="1C1EEED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-0.21</w:t>
            </w:r>
          </w:p>
        </w:tc>
        <w:tc>
          <w:tcPr>
            <w:tcW w:w="347" w:type="pct"/>
            <w:noWrap/>
            <w:hideMark/>
          </w:tcPr>
          <w:p w14:paraId="69BD488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-0.17</w:t>
            </w:r>
          </w:p>
        </w:tc>
        <w:tc>
          <w:tcPr>
            <w:tcW w:w="347" w:type="pct"/>
            <w:noWrap/>
            <w:hideMark/>
          </w:tcPr>
          <w:p w14:paraId="1D954DF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-0.12</w:t>
            </w:r>
          </w:p>
        </w:tc>
        <w:tc>
          <w:tcPr>
            <w:tcW w:w="347" w:type="pct"/>
            <w:noWrap/>
            <w:hideMark/>
          </w:tcPr>
          <w:p w14:paraId="03DE046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-0.05</w:t>
            </w:r>
          </w:p>
        </w:tc>
        <w:tc>
          <w:tcPr>
            <w:tcW w:w="347" w:type="pct"/>
            <w:noWrap/>
            <w:hideMark/>
          </w:tcPr>
          <w:p w14:paraId="775AE7C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0.02</w:t>
            </w:r>
          </w:p>
        </w:tc>
        <w:tc>
          <w:tcPr>
            <w:tcW w:w="342" w:type="pct"/>
            <w:noWrap/>
            <w:hideMark/>
          </w:tcPr>
          <w:p w14:paraId="757AEF1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0.09</w:t>
            </w:r>
          </w:p>
        </w:tc>
      </w:tr>
      <w:tr w:rsidR="005B4457" w:rsidRPr="000D5DA5" w14:paraId="29174F08"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1184" w:type="pct"/>
            <w:noWrap/>
            <w:hideMark/>
          </w:tcPr>
          <w:p w14:paraId="37F3CC27"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Female</w:t>
            </w:r>
          </w:p>
        </w:tc>
        <w:tc>
          <w:tcPr>
            <w:tcW w:w="347" w:type="pct"/>
            <w:noWrap/>
            <w:hideMark/>
          </w:tcPr>
          <w:p w14:paraId="1EEBD71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47" w:type="pct"/>
            <w:noWrap/>
            <w:hideMark/>
          </w:tcPr>
          <w:p w14:paraId="58A6C4C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0.02</w:t>
            </w:r>
          </w:p>
        </w:tc>
        <w:tc>
          <w:tcPr>
            <w:tcW w:w="347" w:type="pct"/>
            <w:noWrap/>
            <w:hideMark/>
          </w:tcPr>
          <w:p w14:paraId="10D6D33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0.79</w:t>
            </w:r>
          </w:p>
        </w:tc>
        <w:tc>
          <w:tcPr>
            <w:tcW w:w="347" w:type="pct"/>
            <w:noWrap/>
            <w:hideMark/>
          </w:tcPr>
          <w:p w14:paraId="1C71BA2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1.59</w:t>
            </w:r>
          </w:p>
        </w:tc>
        <w:tc>
          <w:tcPr>
            <w:tcW w:w="347" w:type="pct"/>
            <w:noWrap/>
            <w:hideMark/>
          </w:tcPr>
          <w:p w14:paraId="520017F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2.44</w:t>
            </w:r>
          </w:p>
        </w:tc>
        <w:tc>
          <w:tcPr>
            <w:tcW w:w="347" w:type="pct"/>
            <w:noWrap/>
            <w:hideMark/>
          </w:tcPr>
          <w:p w14:paraId="68A4C48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3.31</w:t>
            </w:r>
          </w:p>
        </w:tc>
        <w:tc>
          <w:tcPr>
            <w:tcW w:w="347" w:type="pct"/>
            <w:noWrap/>
            <w:hideMark/>
          </w:tcPr>
          <w:p w14:paraId="1414992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3.29</w:t>
            </w:r>
          </w:p>
        </w:tc>
        <w:tc>
          <w:tcPr>
            <w:tcW w:w="347" w:type="pct"/>
            <w:noWrap/>
            <w:hideMark/>
          </w:tcPr>
          <w:p w14:paraId="75436D4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3.31</w:t>
            </w:r>
          </w:p>
        </w:tc>
        <w:tc>
          <w:tcPr>
            <w:tcW w:w="347" w:type="pct"/>
            <w:noWrap/>
            <w:hideMark/>
          </w:tcPr>
          <w:p w14:paraId="36C3A13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3.35</w:t>
            </w:r>
          </w:p>
        </w:tc>
        <w:tc>
          <w:tcPr>
            <w:tcW w:w="347" w:type="pct"/>
            <w:noWrap/>
            <w:hideMark/>
          </w:tcPr>
          <w:p w14:paraId="0A0CC12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3.40</w:t>
            </w:r>
          </w:p>
        </w:tc>
        <w:tc>
          <w:tcPr>
            <w:tcW w:w="342" w:type="pct"/>
            <w:noWrap/>
            <w:hideMark/>
          </w:tcPr>
          <w:p w14:paraId="265BC16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3.46</w:t>
            </w:r>
          </w:p>
        </w:tc>
      </w:tr>
      <w:tr w:rsidR="005B4457" w:rsidRPr="000D5DA5" w14:paraId="0E6B654B"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1184" w:type="pct"/>
            <w:noWrap/>
            <w:hideMark/>
          </w:tcPr>
          <w:p w14:paraId="7E3FABBC"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Persons</w:t>
            </w:r>
          </w:p>
        </w:tc>
        <w:tc>
          <w:tcPr>
            <w:tcW w:w="347" w:type="pct"/>
            <w:noWrap/>
            <w:hideMark/>
          </w:tcPr>
          <w:p w14:paraId="6BAC569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47" w:type="pct"/>
            <w:noWrap/>
            <w:hideMark/>
          </w:tcPr>
          <w:p w14:paraId="4D82AC1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0.03</w:t>
            </w:r>
          </w:p>
        </w:tc>
        <w:tc>
          <w:tcPr>
            <w:tcW w:w="347" w:type="pct"/>
            <w:noWrap/>
            <w:hideMark/>
          </w:tcPr>
          <w:p w14:paraId="29116C2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0.35</w:t>
            </w:r>
          </w:p>
        </w:tc>
        <w:tc>
          <w:tcPr>
            <w:tcW w:w="347" w:type="pct"/>
            <w:noWrap/>
            <w:hideMark/>
          </w:tcPr>
          <w:p w14:paraId="1C6E5CE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0.70</w:t>
            </w:r>
          </w:p>
        </w:tc>
        <w:tc>
          <w:tcPr>
            <w:tcW w:w="347" w:type="pct"/>
            <w:noWrap/>
            <w:hideMark/>
          </w:tcPr>
          <w:p w14:paraId="50EDAEE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1.08</w:t>
            </w:r>
          </w:p>
        </w:tc>
        <w:tc>
          <w:tcPr>
            <w:tcW w:w="347" w:type="pct"/>
            <w:noWrap/>
            <w:hideMark/>
          </w:tcPr>
          <w:p w14:paraId="495BB03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1.48</w:t>
            </w:r>
          </w:p>
        </w:tc>
        <w:tc>
          <w:tcPr>
            <w:tcW w:w="347" w:type="pct"/>
            <w:noWrap/>
            <w:hideMark/>
          </w:tcPr>
          <w:p w14:paraId="5D8498E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1.49</w:t>
            </w:r>
          </w:p>
        </w:tc>
        <w:tc>
          <w:tcPr>
            <w:tcW w:w="347" w:type="pct"/>
            <w:noWrap/>
            <w:hideMark/>
          </w:tcPr>
          <w:p w14:paraId="42E9DA9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1.53</w:t>
            </w:r>
          </w:p>
        </w:tc>
        <w:tc>
          <w:tcPr>
            <w:tcW w:w="347" w:type="pct"/>
            <w:noWrap/>
            <w:hideMark/>
          </w:tcPr>
          <w:p w14:paraId="2073871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1.58</w:t>
            </w:r>
          </w:p>
        </w:tc>
        <w:tc>
          <w:tcPr>
            <w:tcW w:w="347" w:type="pct"/>
            <w:noWrap/>
            <w:hideMark/>
          </w:tcPr>
          <w:p w14:paraId="0B11FB4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1.64</w:t>
            </w:r>
          </w:p>
        </w:tc>
        <w:tc>
          <w:tcPr>
            <w:tcW w:w="342" w:type="pct"/>
            <w:noWrap/>
            <w:hideMark/>
          </w:tcPr>
          <w:p w14:paraId="4BE0E98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1.71</w:t>
            </w:r>
          </w:p>
        </w:tc>
      </w:tr>
      <w:tr w:rsidR="005B4457" w:rsidRPr="000D5DA5" w14:paraId="21AF240E"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1184" w:type="pct"/>
            <w:noWrap/>
            <w:hideMark/>
          </w:tcPr>
          <w:p w14:paraId="491996C8" w14:textId="77777777" w:rsidR="005B4457" w:rsidRPr="000D5DA5" w:rsidRDefault="005B4457" w:rsidP="005B4457">
            <w:pPr>
              <w:jc w:val="right"/>
              <w:rPr>
                <w:rFonts w:ascii="Calibri" w:eastAsia="Times New Roman" w:hAnsi="Calibri" w:cs="Calibri"/>
                <w:color w:val="000000"/>
                <w:lang w:eastAsia="en-AU"/>
              </w:rPr>
            </w:pPr>
          </w:p>
        </w:tc>
        <w:tc>
          <w:tcPr>
            <w:tcW w:w="347" w:type="pct"/>
            <w:noWrap/>
            <w:hideMark/>
          </w:tcPr>
          <w:p w14:paraId="75BA5AC2"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0938B818"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5FFB2EAF"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423AD1BB"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658CCAD3"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654DDCF6"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7722C12D"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0B59C633"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0E1546E8"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7" w:type="pct"/>
            <w:noWrap/>
            <w:hideMark/>
          </w:tcPr>
          <w:p w14:paraId="614DE47B"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42" w:type="pct"/>
            <w:noWrap/>
            <w:hideMark/>
          </w:tcPr>
          <w:p w14:paraId="0443375A"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r>
      <w:tr w:rsidR="005B4457" w:rsidRPr="000D5DA5" w14:paraId="7E288715"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1184" w:type="pct"/>
            <w:noWrap/>
            <w:hideMark/>
          </w:tcPr>
          <w:p w14:paraId="5706F4F1"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Government budget balance ($m)</w:t>
            </w:r>
          </w:p>
        </w:tc>
        <w:tc>
          <w:tcPr>
            <w:tcW w:w="347" w:type="pct"/>
            <w:noWrap/>
            <w:hideMark/>
          </w:tcPr>
          <w:p w14:paraId="40EFA2C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w:t>
            </w:r>
          </w:p>
        </w:tc>
        <w:tc>
          <w:tcPr>
            <w:tcW w:w="347" w:type="pct"/>
            <w:noWrap/>
            <w:hideMark/>
          </w:tcPr>
          <w:p w14:paraId="4445B03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-360</w:t>
            </w:r>
          </w:p>
        </w:tc>
        <w:tc>
          <w:tcPr>
            <w:tcW w:w="347" w:type="pct"/>
            <w:noWrap/>
            <w:hideMark/>
          </w:tcPr>
          <w:p w14:paraId="4085559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-2228</w:t>
            </w:r>
          </w:p>
        </w:tc>
        <w:tc>
          <w:tcPr>
            <w:tcW w:w="347" w:type="pct"/>
            <w:noWrap/>
            <w:hideMark/>
          </w:tcPr>
          <w:p w14:paraId="563068A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-3904</w:t>
            </w:r>
          </w:p>
        </w:tc>
        <w:tc>
          <w:tcPr>
            <w:tcW w:w="347" w:type="pct"/>
            <w:noWrap/>
            <w:hideMark/>
          </w:tcPr>
          <w:p w14:paraId="1A2AB0D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-5540</w:t>
            </w:r>
          </w:p>
        </w:tc>
        <w:tc>
          <w:tcPr>
            <w:tcW w:w="347" w:type="pct"/>
            <w:noWrap/>
            <w:hideMark/>
          </w:tcPr>
          <w:p w14:paraId="72D0205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-6827</w:t>
            </w:r>
          </w:p>
        </w:tc>
        <w:tc>
          <w:tcPr>
            <w:tcW w:w="347" w:type="pct"/>
            <w:noWrap/>
            <w:hideMark/>
          </w:tcPr>
          <w:p w14:paraId="3574C44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-5543</w:t>
            </w:r>
          </w:p>
        </w:tc>
        <w:tc>
          <w:tcPr>
            <w:tcW w:w="347" w:type="pct"/>
            <w:noWrap/>
            <w:hideMark/>
          </w:tcPr>
          <w:p w14:paraId="5B9BA7F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-4570</w:t>
            </w:r>
          </w:p>
        </w:tc>
        <w:tc>
          <w:tcPr>
            <w:tcW w:w="347" w:type="pct"/>
            <w:noWrap/>
            <w:hideMark/>
          </w:tcPr>
          <w:p w14:paraId="7D88BC4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-3836</w:t>
            </w:r>
          </w:p>
        </w:tc>
        <w:tc>
          <w:tcPr>
            <w:tcW w:w="347" w:type="pct"/>
            <w:noWrap/>
            <w:hideMark/>
          </w:tcPr>
          <w:p w14:paraId="01ACA79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-3288</w:t>
            </w:r>
          </w:p>
        </w:tc>
        <w:tc>
          <w:tcPr>
            <w:tcW w:w="342" w:type="pct"/>
            <w:noWrap/>
            <w:hideMark/>
          </w:tcPr>
          <w:p w14:paraId="57A55E8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-2882</w:t>
            </w:r>
          </w:p>
        </w:tc>
      </w:tr>
    </w:tbl>
    <w:p w14:paraId="73D33540" w14:textId="77777777" w:rsidR="005B4457" w:rsidRDefault="005B4457" w:rsidP="005B4457"/>
    <w:p w14:paraId="08AEC593" w14:textId="77777777" w:rsidR="005B4457" w:rsidRDefault="005B4457" w:rsidP="005B4457">
      <w:pPr>
        <w:pStyle w:val="Caption"/>
      </w:pPr>
      <w:r>
        <w:br w:type="page"/>
      </w:r>
    </w:p>
    <w:p w14:paraId="33DE4C7B" w14:textId="77777777" w:rsidR="005B4457" w:rsidRDefault="005B4457" w:rsidP="005B4457">
      <w:pPr>
        <w:pStyle w:val="Caption"/>
      </w:pPr>
      <w:r>
        <w:t xml:space="preserve">Table </w:t>
      </w:r>
      <w:r w:rsidR="00FA34A4">
        <w:fldChar w:fldCharType="begin"/>
      </w:r>
      <w:r w:rsidR="00FA34A4">
        <w:instrText xml:space="preserve"> SEQ Table \* ARABIC </w:instrText>
      </w:r>
      <w:r w:rsidR="00FA34A4">
        <w:fldChar w:fldCharType="separate"/>
      </w:r>
      <w:r>
        <w:rPr>
          <w:noProof/>
        </w:rPr>
        <w:t>4</w:t>
      </w:r>
      <w:r w:rsidR="00FA34A4">
        <w:rPr>
          <w:noProof/>
        </w:rPr>
        <w:fldChar w:fldCharType="end"/>
      </w:r>
      <w:r>
        <w:t xml:space="preserve">: </w:t>
      </w:r>
      <w:r w:rsidRPr="00F37FBF">
        <w:t>Scenario 1: Industry results</w:t>
      </w:r>
      <w:r>
        <w:t xml:space="preserve"> (percentage deviation from base case)</w:t>
      </w:r>
    </w:p>
    <w:tbl>
      <w:tblPr>
        <w:tblStyle w:val="GridTable1Light"/>
        <w:tblW w:w="5000" w:type="pct"/>
        <w:tblLook w:val="04A0" w:firstRow="1" w:lastRow="0" w:firstColumn="1" w:lastColumn="0" w:noHBand="0" w:noVBand="1"/>
      </w:tblPr>
      <w:tblGrid>
        <w:gridCol w:w="3960"/>
        <w:gridCol w:w="1040"/>
        <w:gridCol w:w="1040"/>
        <w:gridCol w:w="1040"/>
        <w:gridCol w:w="1040"/>
        <w:gridCol w:w="1040"/>
        <w:gridCol w:w="1040"/>
        <w:gridCol w:w="1040"/>
        <w:gridCol w:w="1041"/>
        <w:gridCol w:w="1041"/>
        <w:gridCol w:w="1041"/>
        <w:gridCol w:w="1025"/>
      </w:tblGrid>
      <w:tr w:rsidR="005B4457" w:rsidRPr="000D5DA5" w14:paraId="5E0B6864" w14:textId="77777777" w:rsidTr="005B445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3" w:type="pct"/>
            <w:noWrap/>
            <w:hideMark/>
          </w:tcPr>
          <w:p w14:paraId="7228C75F" w14:textId="77777777" w:rsidR="005B4457" w:rsidRPr="000D5DA5" w:rsidRDefault="005B4457" w:rsidP="005B4457">
            <w:pPr>
              <w:rPr>
                <w:rFonts w:ascii="Times New Roman" w:eastAsia="Times New Roman" w:hAnsi="Times New Roman" w:cs="Times New Roman"/>
                <w:sz w:val="24"/>
                <w:szCs w:val="24"/>
                <w:lang w:eastAsia="en-AU"/>
              </w:rPr>
            </w:pPr>
          </w:p>
        </w:tc>
        <w:tc>
          <w:tcPr>
            <w:tcW w:w="372" w:type="pct"/>
            <w:noWrap/>
            <w:hideMark/>
          </w:tcPr>
          <w:p w14:paraId="21758CA9"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2020</w:t>
            </w:r>
          </w:p>
        </w:tc>
        <w:tc>
          <w:tcPr>
            <w:tcW w:w="372" w:type="pct"/>
            <w:noWrap/>
            <w:hideMark/>
          </w:tcPr>
          <w:p w14:paraId="35A200B1"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2021</w:t>
            </w:r>
          </w:p>
        </w:tc>
        <w:tc>
          <w:tcPr>
            <w:tcW w:w="372" w:type="pct"/>
            <w:noWrap/>
            <w:hideMark/>
          </w:tcPr>
          <w:p w14:paraId="23016337"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2022</w:t>
            </w:r>
          </w:p>
        </w:tc>
        <w:tc>
          <w:tcPr>
            <w:tcW w:w="372" w:type="pct"/>
            <w:noWrap/>
            <w:hideMark/>
          </w:tcPr>
          <w:p w14:paraId="0747F174"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2023</w:t>
            </w:r>
          </w:p>
        </w:tc>
        <w:tc>
          <w:tcPr>
            <w:tcW w:w="372" w:type="pct"/>
            <w:noWrap/>
            <w:hideMark/>
          </w:tcPr>
          <w:p w14:paraId="6E0692A7"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2024</w:t>
            </w:r>
          </w:p>
        </w:tc>
        <w:tc>
          <w:tcPr>
            <w:tcW w:w="372" w:type="pct"/>
            <w:noWrap/>
            <w:hideMark/>
          </w:tcPr>
          <w:p w14:paraId="0D35149F"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2025</w:t>
            </w:r>
          </w:p>
        </w:tc>
        <w:tc>
          <w:tcPr>
            <w:tcW w:w="372" w:type="pct"/>
            <w:noWrap/>
            <w:hideMark/>
          </w:tcPr>
          <w:p w14:paraId="4864C64B"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2026</w:t>
            </w:r>
          </w:p>
        </w:tc>
        <w:tc>
          <w:tcPr>
            <w:tcW w:w="372" w:type="pct"/>
            <w:noWrap/>
            <w:hideMark/>
          </w:tcPr>
          <w:p w14:paraId="5D17FD5E"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2027</w:t>
            </w:r>
          </w:p>
        </w:tc>
        <w:tc>
          <w:tcPr>
            <w:tcW w:w="372" w:type="pct"/>
            <w:noWrap/>
            <w:hideMark/>
          </w:tcPr>
          <w:p w14:paraId="7C5FDBFB"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2028</w:t>
            </w:r>
          </w:p>
        </w:tc>
        <w:tc>
          <w:tcPr>
            <w:tcW w:w="372" w:type="pct"/>
            <w:noWrap/>
            <w:hideMark/>
          </w:tcPr>
          <w:p w14:paraId="04872E6A"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2029</w:t>
            </w:r>
          </w:p>
        </w:tc>
        <w:tc>
          <w:tcPr>
            <w:tcW w:w="372" w:type="pct"/>
            <w:noWrap/>
            <w:hideMark/>
          </w:tcPr>
          <w:p w14:paraId="510C404B"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2030</w:t>
            </w:r>
          </w:p>
        </w:tc>
      </w:tr>
      <w:tr w:rsidR="005B4457" w:rsidRPr="000D5DA5" w14:paraId="38B5310A"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913" w:type="pct"/>
            <w:noWrap/>
            <w:hideMark/>
          </w:tcPr>
          <w:p w14:paraId="76B0BAC9"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Industry output</w:t>
            </w:r>
          </w:p>
        </w:tc>
        <w:tc>
          <w:tcPr>
            <w:tcW w:w="372" w:type="pct"/>
            <w:noWrap/>
            <w:hideMark/>
          </w:tcPr>
          <w:p w14:paraId="74FAB7E3"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p>
        </w:tc>
        <w:tc>
          <w:tcPr>
            <w:tcW w:w="372" w:type="pct"/>
            <w:noWrap/>
            <w:hideMark/>
          </w:tcPr>
          <w:p w14:paraId="516D7DDE"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72" w:type="pct"/>
            <w:noWrap/>
            <w:hideMark/>
          </w:tcPr>
          <w:p w14:paraId="708297F8"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72" w:type="pct"/>
            <w:noWrap/>
            <w:hideMark/>
          </w:tcPr>
          <w:p w14:paraId="5D0CFBA1"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72" w:type="pct"/>
            <w:noWrap/>
            <w:hideMark/>
          </w:tcPr>
          <w:p w14:paraId="561E371D"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72" w:type="pct"/>
            <w:noWrap/>
            <w:hideMark/>
          </w:tcPr>
          <w:p w14:paraId="60353564"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72" w:type="pct"/>
            <w:noWrap/>
            <w:hideMark/>
          </w:tcPr>
          <w:p w14:paraId="744E1FB5"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72" w:type="pct"/>
            <w:noWrap/>
            <w:hideMark/>
          </w:tcPr>
          <w:p w14:paraId="74234F8C"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72" w:type="pct"/>
            <w:noWrap/>
            <w:hideMark/>
          </w:tcPr>
          <w:p w14:paraId="09AFA42D"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72" w:type="pct"/>
            <w:noWrap/>
            <w:hideMark/>
          </w:tcPr>
          <w:p w14:paraId="3239FEA2"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72" w:type="pct"/>
            <w:noWrap/>
            <w:hideMark/>
          </w:tcPr>
          <w:p w14:paraId="75EA4DBD"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r>
      <w:tr w:rsidR="005B4457" w:rsidRPr="000D5DA5" w14:paraId="327C758D"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913" w:type="pct"/>
            <w:noWrap/>
            <w:hideMark/>
          </w:tcPr>
          <w:p w14:paraId="1A271D55"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Agriculture</w:t>
            </w:r>
          </w:p>
        </w:tc>
        <w:tc>
          <w:tcPr>
            <w:tcW w:w="372" w:type="pct"/>
            <w:noWrap/>
            <w:hideMark/>
          </w:tcPr>
          <w:p w14:paraId="699D116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72" w:type="pct"/>
            <w:noWrap/>
            <w:hideMark/>
          </w:tcPr>
          <w:p w14:paraId="49B1A03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-0.05</w:t>
            </w:r>
          </w:p>
        </w:tc>
        <w:tc>
          <w:tcPr>
            <w:tcW w:w="372" w:type="pct"/>
            <w:noWrap/>
            <w:hideMark/>
          </w:tcPr>
          <w:p w14:paraId="3E5C4B3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0.01</w:t>
            </w:r>
          </w:p>
        </w:tc>
        <w:tc>
          <w:tcPr>
            <w:tcW w:w="372" w:type="pct"/>
            <w:noWrap/>
            <w:hideMark/>
          </w:tcPr>
          <w:p w14:paraId="75BEC37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0.14</w:t>
            </w:r>
          </w:p>
        </w:tc>
        <w:tc>
          <w:tcPr>
            <w:tcW w:w="372" w:type="pct"/>
            <w:noWrap/>
            <w:hideMark/>
          </w:tcPr>
          <w:p w14:paraId="325D8C7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0.33</w:t>
            </w:r>
          </w:p>
        </w:tc>
        <w:tc>
          <w:tcPr>
            <w:tcW w:w="372" w:type="pct"/>
            <w:noWrap/>
            <w:hideMark/>
          </w:tcPr>
          <w:p w14:paraId="49E1873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0.63</w:t>
            </w:r>
          </w:p>
        </w:tc>
        <w:tc>
          <w:tcPr>
            <w:tcW w:w="372" w:type="pct"/>
            <w:noWrap/>
            <w:hideMark/>
          </w:tcPr>
          <w:p w14:paraId="6C0D43B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0.89</w:t>
            </w:r>
          </w:p>
        </w:tc>
        <w:tc>
          <w:tcPr>
            <w:tcW w:w="372" w:type="pct"/>
            <w:noWrap/>
            <w:hideMark/>
          </w:tcPr>
          <w:p w14:paraId="53EB8B3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1.10</w:t>
            </w:r>
          </w:p>
        </w:tc>
        <w:tc>
          <w:tcPr>
            <w:tcW w:w="372" w:type="pct"/>
            <w:noWrap/>
            <w:hideMark/>
          </w:tcPr>
          <w:p w14:paraId="0E4783D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1.27</w:t>
            </w:r>
          </w:p>
        </w:tc>
        <w:tc>
          <w:tcPr>
            <w:tcW w:w="372" w:type="pct"/>
            <w:noWrap/>
            <w:hideMark/>
          </w:tcPr>
          <w:p w14:paraId="6899629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1.41</w:t>
            </w:r>
          </w:p>
        </w:tc>
        <w:tc>
          <w:tcPr>
            <w:tcW w:w="372" w:type="pct"/>
            <w:noWrap/>
            <w:hideMark/>
          </w:tcPr>
          <w:p w14:paraId="5F67F70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1.52</w:t>
            </w:r>
          </w:p>
        </w:tc>
      </w:tr>
      <w:tr w:rsidR="005B4457" w:rsidRPr="000D5DA5" w14:paraId="073ECFE2"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913" w:type="pct"/>
            <w:noWrap/>
            <w:hideMark/>
          </w:tcPr>
          <w:p w14:paraId="6BB669ED"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Mining</w:t>
            </w:r>
          </w:p>
        </w:tc>
        <w:tc>
          <w:tcPr>
            <w:tcW w:w="372" w:type="pct"/>
            <w:noWrap/>
            <w:hideMark/>
          </w:tcPr>
          <w:p w14:paraId="500AA2C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72" w:type="pct"/>
            <w:noWrap/>
            <w:hideMark/>
          </w:tcPr>
          <w:p w14:paraId="4313ABE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-0.03</w:t>
            </w:r>
          </w:p>
        </w:tc>
        <w:tc>
          <w:tcPr>
            <w:tcW w:w="372" w:type="pct"/>
            <w:noWrap/>
            <w:hideMark/>
          </w:tcPr>
          <w:p w14:paraId="64B656D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-0.08</w:t>
            </w:r>
          </w:p>
        </w:tc>
        <w:tc>
          <w:tcPr>
            <w:tcW w:w="372" w:type="pct"/>
            <w:noWrap/>
            <w:hideMark/>
          </w:tcPr>
          <w:p w14:paraId="422E707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-0.12</w:t>
            </w:r>
          </w:p>
        </w:tc>
        <w:tc>
          <w:tcPr>
            <w:tcW w:w="372" w:type="pct"/>
            <w:noWrap/>
            <w:hideMark/>
          </w:tcPr>
          <w:p w14:paraId="0A9D507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-0.16</w:t>
            </w:r>
          </w:p>
        </w:tc>
        <w:tc>
          <w:tcPr>
            <w:tcW w:w="372" w:type="pct"/>
            <w:noWrap/>
            <w:hideMark/>
          </w:tcPr>
          <w:p w14:paraId="5024806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-0.16</w:t>
            </w:r>
          </w:p>
        </w:tc>
        <w:tc>
          <w:tcPr>
            <w:tcW w:w="372" w:type="pct"/>
            <w:noWrap/>
            <w:hideMark/>
          </w:tcPr>
          <w:p w14:paraId="235FD35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-0.11</w:t>
            </w:r>
          </w:p>
        </w:tc>
        <w:tc>
          <w:tcPr>
            <w:tcW w:w="372" w:type="pct"/>
            <w:noWrap/>
            <w:hideMark/>
          </w:tcPr>
          <w:p w14:paraId="2E3B0F6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-0.04</w:t>
            </w:r>
          </w:p>
        </w:tc>
        <w:tc>
          <w:tcPr>
            <w:tcW w:w="372" w:type="pct"/>
            <w:noWrap/>
            <w:hideMark/>
          </w:tcPr>
          <w:p w14:paraId="2ACB1D7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0.03</w:t>
            </w:r>
          </w:p>
        </w:tc>
        <w:tc>
          <w:tcPr>
            <w:tcW w:w="372" w:type="pct"/>
            <w:noWrap/>
            <w:hideMark/>
          </w:tcPr>
          <w:p w14:paraId="4D3539E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0.12</w:t>
            </w:r>
          </w:p>
        </w:tc>
        <w:tc>
          <w:tcPr>
            <w:tcW w:w="372" w:type="pct"/>
            <w:noWrap/>
            <w:hideMark/>
          </w:tcPr>
          <w:p w14:paraId="0DFB92E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0.20</w:t>
            </w:r>
          </w:p>
        </w:tc>
      </w:tr>
      <w:tr w:rsidR="005B4457" w:rsidRPr="000D5DA5" w14:paraId="762AAE0A"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913" w:type="pct"/>
            <w:noWrap/>
            <w:hideMark/>
          </w:tcPr>
          <w:p w14:paraId="0FB9B42C"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Manufacturing</w:t>
            </w:r>
          </w:p>
        </w:tc>
        <w:tc>
          <w:tcPr>
            <w:tcW w:w="372" w:type="pct"/>
            <w:noWrap/>
            <w:hideMark/>
          </w:tcPr>
          <w:p w14:paraId="6241AFC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72" w:type="pct"/>
            <w:noWrap/>
            <w:hideMark/>
          </w:tcPr>
          <w:p w14:paraId="0D00930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-0.05</w:t>
            </w:r>
          </w:p>
        </w:tc>
        <w:tc>
          <w:tcPr>
            <w:tcW w:w="372" w:type="pct"/>
            <w:noWrap/>
            <w:hideMark/>
          </w:tcPr>
          <w:p w14:paraId="6A15161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72" w:type="pct"/>
            <w:noWrap/>
            <w:hideMark/>
          </w:tcPr>
          <w:p w14:paraId="45FD19B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0.13</w:t>
            </w:r>
          </w:p>
        </w:tc>
        <w:tc>
          <w:tcPr>
            <w:tcW w:w="372" w:type="pct"/>
            <w:noWrap/>
            <w:hideMark/>
          </w:tcPr>
          <w:p w14:paraId="19D0658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0.34</w:t>
            </w:r>
          </w:p>
        </w:tc>
        <w:tc>
          <w:tcPr>
            <w:tcW w:w="372" w:type="pct"/>
            <w:noWrap/>
            <w:hideMark/>
          </w:tcPr>
          <w:p w14:paraId="6AD318D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0.66</w:t>
            </w:r>
          </w:p>
        </w:tc>
        <w:tc>
          <w:tcPr>
            <w:tcW w:w="372" w:type="pct"/>
            <w:noWrap/>
            <w:hideMark/>
          </w:tcPr>
          <w:p w14:paraId="3F6E0B6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0.95</w:t>
            </w:r>
          </w:p>
        </w:tc>
        <w:tc>
          <w:tcPr>
            <w:tcW w:w="372" w:type="pct"/>
            <w:noWrap/>
            <w:hideMark/>
          </w:tcPr>
          <w:p w14:paraId="7BB7AFD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1.20</w:t>
            </w:r>
          </w:p>
        </w:tc>
        <w:tc>
          <w:tcPr>
            <w:tcW w:w="372" w:type="pct"/>
            <w:noWrap/>
            <w:hideMark/>
          </w:tcPr>
          <w:p w14:paraId="50E224B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1.41</w:t>
            </w:r>
          </w:p>
        </w:tc>
        <w:tc>
          <w:tcPr>
            <w:tcW w:w="372" w:type="pct"/>
            <w:noWrap/>
            <w:hideMark/>
          </w:tcPr>
          <w:p w14:paraId="0EA6AD1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1.58</w:t>
            </w:r>
          </w:p>
        </w:tc>
        <w:tc>
          <w:tcPr>
            <w:tcW w:w="372" w:type="pct"/>
            <w:noWrap/>
            <w:hideMark/>
          </w:tcPr>
          <w:p w14:paraId="2B4AF87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1.72</w:t>
            </w:r>
          </w:p>
        </w:tc>
      </w:tr>
      <w:tr w:rsidR="005B4457" w:rsidRPr="000D5DA5" w14:paraId="055252C3"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913" w:type="pct"/>
            <w:noWrap/>
            <w:hideMark/>
          </w:tcPr>
          <w:p w14:paraId="5E63BA67"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Electricity, Gas, Water</w:t>
            </w:r>
          </w:p>
        </w:tc>
        <w:tc>
          <w:tcPr>
            <w:tcW w:w="372" w:type="pct"/>
            <w:noWrap/>
            <w:hideMark/>
          </w:tcPr>
          <w:p w14:paraId="32F2FC8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72" w:type="pct"/>
            <w:noWrap/>
            <w:hideMark/>
          </w:tcPr>
          <w:p w14:paraId="2ECE8B3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0.01</w:t>
            </w:r>
          </w:p>
        </w:tc>
        <w:tc>
          <w:tcPr>
            <w:tcW w:w="372" w:type="pct"/>
            <w:noWrap/>
            <w:hideMark/>
          </w:tcPr>
          <w:p w14:paraId="44C0152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0.10</w:t>
            </w:r>
          </w:p>
        </w:tc>
        <w:tc>
          <w:tcPr>
            <w:tcW w:w="372" w:type="pct"/>
            <w:noWrap/>
            <w:hideMark/>
          </w:tcPr>
          <w:p w14:paraId="17F82DE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0.24</w:t>
            </w:r>
          </w:p>
        </w:tc>
        <w:tc>
          <w:tcPr>
            <w:tcW w:w="372" w:type="pct"/>
            <w:noWrap/>
            <w:hideMark/>
          </w:tcPr>
          <w:p w14:paraId="2706656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0.43</w:t>
            </w:r>
          </w:p>
        </w:tc>
        <w:tc>
          <w:tcPr>
            <w:tcW w:w="372" w:type="pct"/>
            <w:noWrap/>
            <w:hideMark/>
          </w:tcPr>
          <w:p w14:paraId="3B6D739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0.66</w:t>
            </w:r>
          </w:p>
        </w:tc>
        <w:tc>
          <w:tcPr>
            <w:tcW w:w="372" w:type="pct"/>
            <w:noWrap/>
            <w:hideMark/>
          </w:tcPr>
          <w:p w14:paraId="70F7564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0.82</w:t>
            </w:r>
          </w:p>
        </w:tc>
        <w:tc>
          <w:tcPr>
            <w:tcW w:w="372" w:type="pct"/>
            <w:noWrap/>
            <w:hideMark/>
          </w:tcPr>
          <w:p w14:paraId="5BB571A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0.96</w:t>
            </w:r>
          </w:p>
        </w:tc>
        <w:tc>
          <w:tcPr>
            <w:tcW w:w="372" w:type="pct"/>
            <w:noWrap/>
            <w:hideMark/>
          </w:tcPr>
          <w:p w14:paraId="5AD6E72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1.08</w:t>
            </w:r>
          </w:p>
        </w:tc>
        <w:tc>
          <w:tcPr>
            <w:tcW w:w="372" w:type="pct"/>
            <w:noWrap/>
            <w:hideMark/>
          </w:tcPr>
          <w:p w14:paraId="016F36F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1.18</w:t>
            </w:r>
          </w:p>
        </w:tc>
        <w:tc>
          <w:tcPr>
            <w:tcW w:w="372" w:type="pct"/>
            <w:noWrap/>
            <w:hideMark/>
          </w:tcPr>
          <w:p w14:paraId="229D3DA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1.27</w:t>
            </w:r>
          </w:p>
        </w:tc>
      </w:tr>
      <w:tr w:rsidR="005B4457" w:rsidRPr="000D5DA5" w14:paraId="093FCBCD"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913" w:type="pct"/>
            <w:noWrap/>
            <w:hideMark/>
          </w:tcPr>
          <w:p w14:paraId="423DB8D3"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Construction</w:t>
            </w:r>
          </w:p>
        </w:tc>
        <w:tc>
          <w:tcPr>
            <w:tcW w:w="372" w:type="pct"/>
            <w:noWrap/>
            <w:hideMark/>
          </w:tcPr>
          <w:p w14:paraId="54E85EC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72" w:type="pct"/>
            <w:noWrap/>
            <w:hideMark/>
          </w:tcPr>
          <w:p w14:paraId="71885AC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0.05</w:t>
            </w:r>
          </w:p>
        </w:tc>
        <w:tc>
          <w:tcPr>
            <w:tcW w:w="372" w:type="pct"/>
            <w:noWrap/>
            <w:hideMark/>
          </w:tcPr>
          <w:p w14:paraId="170F220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0.17</w:t>
            </w:r>
          </w:p>
        </w:tc>
        <w:tc>
          <w:tcPr>
            <w:tcW w:w="372" w:type="pct"/>
            <w:noWrap/>
            <w:hideMark/>
          </w:tcPr>
          <w:p w14:paraId="3A99B7D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0.36</w:t>
            </w:r>
          </w:p>
        </w:tc>
        <w:tc>
          <w:tcPr>
            <w:tcW w:w="372" w:type="pct"/>
            <w:noWrap/>
            <w:hideMark/>
          </w:tcPr>
          <w:p w14:paraId="362DB32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0.61</w:t>
            </w:r>
          </w:p>
        </w:tc>
        <w:tc>
          <w:tcPr>
            <w:tcW w:w="372" w:type="pct"/>
            <w:noWrap/>
            <w:hideMark/>
          </w:tcPr>
          <w:p w14:paraId="123DC98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0.84</w:t>
            </w:r>
          </w:p>
        </w:tc>
        <w:tc>
          <w:tcPr>
            <w:tcW w:w="372" w:type="pct"/>
            <w:noWrap/>
            <w:hideMark/>
          </w:tcPr>
          <w:p w14:paraId="676970B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1.02</w:t>
            </w:r>
          </w:p>
        </w:tc>
        <w:tc>
          <w:tcPr>
            <w:tcW w:w="372" w:type="pct"/>
            <w:noWrap/>
            <w:hideMark/>
          </w:tcPr>
          <w:p w14:paraId="53164EE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1.17</w:t>
            </w:r>
          </w:p>
        </w:tc>
        <w:tc>
          <w:tcPr>
            <w:tcW w:w="372" w:type="pct"/>
            <w:noWrap/>
            <w:hideMark/>
          </w:tcPr>
          <w:p w14:paraId="19DD209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1.29</w:t>
            </w:r>
          </w:p>
        </w:tc>
        <w:tc>
          <w:tcPr>
            <w:tcW w:w="372" w:type="pct"/>
            <w:noWrap/>
            <w:hideMark/>
          </w:tcPr>
          <w:p w14:paraId="5338680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1.39</w:t>
            </w:r>
          </w:p>
        </w:tc>
        <w:tc>
          <w:tcPr>
            <w:tcW w:w="372" w:type="pct"/>
            <w:noWrap/>
            <w:hideMark/>
          </w:tcPr>
          <w:p w14:paraId="35FB6AD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1.47</w:t>
            </w:r>
          </w:p>
        </w:tc>
      </w:tr>
      <w:tr w:rsidR="005B4457" w:rsidRPr="000D5DA5" w14:paraId="177A20DF"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913" w:type="pct"/>
            <w:noWrap/>
            <w:hideMark/>
          </w:tcPr>
          <w:p w14:paraId="6F7A2254"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Wholesale</w:t>
            </w:r>
          </w:p>
        </w:tc>
        <w:tc>
          <w:tcPr>
            <w:tcW w:w="372" w:type="pct"/>
            <w:noWrap/>
            <w:hideMark/>
          </w:tcPr>
          <w:p w14:paraId="3B83ECD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72" w:type="pct"/>
            <w:noWrap/>
            <w:hideMark/>
          </w:tcPr>
          <w:p w14:paraId="4F211B5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0.02</w:t>
            </w:r>
          </w:p>
        </w:tc>
        <w:tc>
          <w:tcPr>
            <w:tcW w:w="372" w:type="pct"/>
            <w:noWrap/>
            <w:hideMark/>
          </w:tcPr>
          <w:p w14:paraId="4421C2E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0.18</w:t>
            </w:r>
          </w:p>
        </w:tc>
        <w:tc>
          <w:tcPr>
            <w:tcW w:w="372" w:type="pct"/>
            <w:noWrap/>
            <w:hideMark/>
          </w:tcPr>
          <w:p w14:paraId="5E3ECE8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0.41</w:t>
            </w:r>
          </w:p>
        </w:tc>
        <w:tc>
          <w:tcPr>
            <w:tcW w:w="372" w:type="pct"/>
            <w:noWrap/>
            <w:hideMark/>
          </w:tcPr>
          <w:p w14:paraId="2A866DE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0.71</w:t>
            </w:r>
          </w:p>
        </w:tc>
        <w:tc>
          <w:tcPr>
            <w:tcW w:w="372" w:type="pct"/>
            <w:noWrap/>
            <w:hideMark/>
          </w:tcPr>
          <w:p w14:paraId="02342F9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1.04</w:t>
            </w:r>
          </w:p>
        </w:tc>
        <w:tc>
          <w:tcPr>
            <w:tcW w:w="372" w:type="pct"/>
            <w:noWrap/>
            <w:hideMark/>
          </w:tcPr>
          <w:p w14:paraId="2712451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1.23</w:t>
            </w:r>
          </w:p>
        </w:tc>
        <w:tc>
          <w:tcPr>
            <w:tcW w:w="372" w:type="pct"/>
            <w:noWrap/>
            <w:hideMark/>
          </w:tcPr>
          <w:p w14:paraId="02F154A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1.39</w:t>
            </w:r>
          </w:p>
        </w:tc>
        <w:tc>
          <w:tcPr>
            <w:tcW w:w="372" w:type="pct"/>
            <w:noWrap/>
            <w:hideMark/>
          </w:tcPr>
          <w:p w14:paraId="7F497E9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1.51</w:t>
            </w:r>
          </w:p>
        </w:tc>
        <w:tc>
          <w:tcPr>
            <w:tcW w:w="372" w:type="pct"/>
            <w:noWrap/>
            <w:hideMark/>
          </w:tcPr>
          <w:p w14:paraId="4189F3E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1.61</w:t>
            </w:r>
          </w:p>
        </w:tc>
        <w:tc>
          <w:tcPr>
            <w:tcW w:w="372" w:type="pct"/>
            <w:noWrap/>
            <w:hideMark/>
          </w:tcPr>
          <w:p w14:paraId="645E79F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1.70</w:t>
            </w:r>
          </w:p>
        </w:tc>
      </w:tr>
      <w:tr w:rsidR="005B4457" w:rsidRPr="000D5DA5" w14:paraId="77B016F6"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913" w:type="pct"/>
            <w:noWrap/>
            <w:hideMark/>
          </w:tcPr>
          <w:p w14:paraId="434BD591"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Retail</w:t>
            </w:r>
          </w:p>
        </w:tc>
        <w:tc>
          <w:tcPr>
            <w:tcW w:w="372" w:type="pct"/>
            <w:noWrap/>
            <w:hideMark/>
          </w:tcPr>
          <w:p w14:paraId="4F4CEB4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72" w:type="pct"/>
            <w:noWrap/>
            <w:hideMark/>
          </w:tcPr>
          <w:p w14:paraId="54E9CC5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0.06</w:t>
            </w:r>
          </w:p>
        </w:tc>
        <w:tc>
          <w:tcPr>
            <w:tcW w:w="372" w:type="pct"/>
            <w:noWrap/>
            <w:hideMark/>
          </w:tcPr>
          <w:p w14:paraId="28511A7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0.30</w:t>
            </w:r>
          </w:p>
        </w:tc>
        <w:tc>
          <w:tcPr>
            <w:tcW w:w="372" w:type="pct"/>
            <w:noWrap/>
            <w:hideMark/>
          </w:tcPr>
          <w:p w14:paraId="4A723B6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0.58</w:t>
            </w:r>
          </w:p>
        </w:tc>
        <w:tc>
          <w:tcPr>
            <w:tcW w:w="372" w:type="pct"/>
            <w:noWrap/>
            <w:hideMark/>
          </w:tcPr>
          <w:p w14:paraId="1B5D99E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0.91</w:t>
            </w:r>
          </w:p>
        </w:tc>
        <w:tc>
          <w:tcPr>
            <w:tcW w:w="372" w:type="pct"/>
            <w:noWrap/>
            <w:hideMark/>
          </w:tcPr>
          <w:p w14:paraId="70E6620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1.20</w:t>
            </w:r>
          </w:p>
        </w:tc>
        <w:tc>
          <w:tcPr>
            <w:tcW w:w="372" w:type="pct"/>
            <w:noWrap/>
            <w:hideMark/>
          </w:tcPr>
          <w:p w14:paraId="514B6CF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1.25</w:t>
            </w:r>
          </w:p>
        </w:tc>
        <w:tc>
          <w:tcPr>
            <w:tcW w:w="372" w:type="pct"/>
            <w:noWrap/>
            <w:hideMark/>
          </w:tcPr>
          <w:p w14:paraId="55A082C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1.29</w:t>
            </w:r>
          </w:p>
        </w:tc>
        <w:tc>
          <w:tcPr>
            <w:tcW w:w="372" w:type="pct"/>
            <w:noWrap/>
            <w:hideMark/>
          </w:tcPr>
          <w:p w14:paraId="09C5922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1.32</w:t>
            </w:r>
          </w:p>
        </w:tc>
        <w:tc>
          <w:tcPr>
            <w:tcW w:w="372" w:type="pct"/>
            <w:noWrap/>
            <w:hideMark/>
          </w:tcPr>
          <w:p w14:paraId="7B8428F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1.35</w:t>
            </w:r>
          </w:p>
        </w:tc>
        <w:tc>
          <w:tcPr>
            <w:tcW w:w="372" w:type="pct"/>
            <w:noWrap/>
            <w:hideMark/>
          </w:tcPr>
          <w:p w14:paraId="1825A82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1.37</w:t>
            </w:r>
          </w:p>
        </w:tc>
      </w:tr>
      <w:tr w:rsidR="005B4457" w:rsidRPr="000D5DA5" w14:paraId="5EEE9B6E"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913" w:type="pct"/>
            <w:noWrap/>
            <w:hideMark/>
          </w:tcPr>
          <w:p w14:paraId="396DC9D0"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Accommodation</w:t>
            </w:r>
          </w:p>
        </w:tc>
        <w:tc>
          <w:tcPr>
            <w:tcW w:w="372" w:type="pct"/>
            <w:noWrap/>
            <w:hideMark/>
          </w:tcPr>
          <w:p w14:paraId="43E4008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72" w:type="pct"/>
            <w:noWrap/>
            <w:hideMark/>
          </w:tcPr>
          <w:p w14:paraId="1CF4742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-0.02</w:t>
            </w:r>
          </w:p>
        </w:tc>
        <w:tc>
          <w:tcPr>
            <w:tcW w:w="372" w:type="pct"/>
            <w:noWrap/>
            <w:hideMark/>
          </w:tcPr>
          <w:p w14:paraId="6919292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0.12</w:t>
            </w:r>
          </w:p>
        </w:tc>
        <w:tc>
          <w:tcPr>
            <w:tcW w:w="372" w:type="pct"/>
            <w:noWrap/>
            <w:hideMark/>
          </w:tcPr>
          <w:p w14:paraId="054D8CD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0.35</w:t>
            </w:r>
          </w:p>
        </w:tc>
        <w:tc>
          <w:tcPr>
            <w:tcW w:w="372" w:type="pct"/>
            <w:noWrap/>
            <w:hideMark/>
          </w:tcPr>
          <w:p w14:paraId="0B21311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0.65</w:t>
            </w:r>
          </w:p>
        </w:tc>
        <w:tc>
          <w:tcPr>
            <w:tcW w:w="372" w:type="pct"/>
            <w:noWrap/>
            <w:hideMark/>
          </w:tcPr>
          <w:p w14:paraId="1364BAB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1.04</w:t>
            </w:r>
          </w:p>
        </w:tc>
        <w:tc>
          <w:tcPr>
            <w:tcW w:w="372" w:type="pct"/>
            <w:noWrap/>
            <w:hideMark/>
          </w:tcPr>
          <w:p w14:paraId="1A5BA7E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1.30</w:t>
            </w:r>
          </w:p>
        </w:tc>
        <w:tc>
          <w:tcPr>
            <w:tcW w:w="372" w:type="pct"/>
            <w:noWrap/>
            <w:hideMark/>
          </w:tcPr>
          <w:p w14:paraId="4945A70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1.52</w:t>
            </w:r>
          </w:p>
        </w:tc>
        <w:tc>
          <w:tcPr>
            <w:tcW w:w="372" w:type="pct"/>
            <w:noWrap/>
            <w:hideMark/>
          </w:tcPr>
          <w:p w14:paraId="1024B9E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1.70</w:t>
            </w:r>
          </w:p>
        </w:tc>
        <w:tc>
          <w:tcPr>
            <w:tcW w:w="372" w:type="pct"/>
            <w:noWrap/>
            <w:hideMark/>
          </w:tcPr>
          <w:p w14:paraId="6BFC223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1.85</w:t>
            </w:r>
          </w:p>
        </w:tc>
        <w:tc>
          <w:tcPr>
            <w:tcW w:w="372" w:type="pct"/>
            <w:noWrap/>
            <w:hideMark/>
          </w:tcPr>
          <w:p w14:paraId="42B96F4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1.98</w:t>
            </w:r>
          </w:p>
        </w:tc>
      </w:tr>
      <w:tr w:rsidR="005B4457" w:rsidRPr="000D5DA5" w14:paraId="61FA5319"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913" w:type="pct"/>
            <w:noWrap/>
            <w:hideMark/>
          </w:tcPr>
          <w:p w14:paraId="02CDC459"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Transport</w:t>
            </w:r>
          </w:p>
        </w:tc>
        <w:tc>
          <w:tcPr>
            <w:tcW w:w="372" w:type="pct"/>
            <w:noWrap/>
            <w:hideMark/>
          </w:tcPr>
          <w:p w14:paraId="2AF247B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72" w:type="pct"/>
            <w:noWrap/>
            <w:hideMark/>
          </w:tcPr>
          <w:p w14:paraId="2BB56EC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-0.03</w:t>
            </w:r>
          </w:p>
        </w:tc>
        <w:tc>
          <w:tcPr>
            <w:tcW w:w="372" w:type="pct"/>
            <w:noWrap/>
            <w:hideMark/>
          </w:tcPr>
          <w:p w14:paraId="6A6897F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0.03</w:t>
            </w:r>
          </w:p>
        </w:tc>
        <w:tc>
          <w:tcPr>
            <w:tcW w:w="372" w:type="pct"/>
            <w:noWrap/>
            <w:hideMark/>
          </w:tcPr>
          <w:p w14:paraId="499AFBB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0.17</w:t>
            </w:r>
          </w:p>
        </w:tc>
        <w:tc>
          <w:tcPr>
            <w:tcW w:w="372" w:type="pct"/>
            <w:noWrap/>
            <w:hideMark/>
          </w:tcPr>
          <w:p w14:paraId="59B716D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0.36</w:t>
            </w:r>
          </w:p>
        </w:tc>
        <w:tc>
          <w:tcPr>
            <w:tcW w:w="372" w:type="pct"/>
            <w:noWrap/>
            <w:hideMark/>
          </w:tcPr>
          <w:p w14:paraId="5FF3DF8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0.64</w:t>
            </w:r>
          </w:p>
        </w:tc>
        <w:tc>
          <w:tcPr>
            <w:tcW w:w="372" w:type="pct"/>
            <w:noWrap/>
            <w:hideMark/>
          </w:tcPr>
          <w:p w14:paraId="29D39C2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0.86</w:t>
            </w:r>
          </w:p>
        </w:tc>
        <w:tc>
          <w:tcPr>
            <w:tcW w:w="372" w:type="pct"/>
            <w:noWrap/>
            <w:hideMark/>
          </w:tcPr>
          <w:p w14:paraId="3619868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1.04</w:t>
            </w:r>
          </w:p>
        </w:tc>
        <w:tc>
          <w:tcPr>
            <w:tcW w:w="372" w:type="pct"/>
            <w:noWrap/>
            <w:hideMark/>
          </w:tcPr>
          <w:p w14:paraId="0C4A385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1.20</w:t>
            </w:r>
          </w:p>
        </w:tc>
        <w:tc>
          <w:tcPr>
            <w:tcW w:w="372" w:type="pct"/>
            <w:noWrap/>
            <w:hideMark/>
          </w:tcPr>
          <w:p w14:paraId="166038E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1.33</w:t>
            </w:r>
          </w:p>
        </w:tc>
        <w:tc>
          <w:tcPr>
            <w:tcW w:w="372" w:type="pct"/>
            <w:noWrap/>
            <w:hideMark/>
          </w:tcPr>
          <w:p w14:paraId="04739A7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1.44</w:t>
            </w:r>
          </w:p>
        </w:tc>
      </w:tr>
      <w:tr w:rsidR="005B4457" w:rsidRPr="000D5DA5" w14:paraId="1ACA6E51"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913" w:type="pct"/>
            <w:noWrap/>
            <w:hideMark/>
          </w:tcPr>
          <w:p w14:paraId="5B52CDEE"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Information, Communication</w:t>
            </w:r>
          </w:p>
        </w:tc>
        <w:tc>
          <w:tcPr>
            <w:tcW w:w="372" w:type="pct"/>
            <w:noWrap/>
            <w:hideMark/>
          </w:tcPr>
          <w:p w14:paraId="12B31A3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72" w:type="pct"/>
            <w:noWrap/>
            <w:hideMark/>
          </w:tcPr>
          <w:p w14:paraId="7C01D2B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-0.01</w:t>
            </w:r>
          </w:p>
        </w:tc>
        <w:tc>
          <w:tcPr>
            <w:tcW w:w="372" w:type="pct"/>
            <w:noWrap/>
            <w:hideMark/>
          </w:tcPr>
          <w:p w14:paraId="6CFDF12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0.14</w:t>
            </w:r>
          </w:p>
        </w:tc>
        <w:tc>
          <w:tcPr>
            <w:tcW w:w="372" w:type="pct"/>
            <w:noWrap/>
            <w:hideMark/>
          </w:tcPr>
          <w:p w14:paraId="6518447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0.37</w:t>
            </w:r>
          </w:p>
        </w:tc>
        <w:tc>
          <w:tcPr>
            <w:tcW w:w="372" w:type="pct"/>
            <w:noWrap/>
            <w:hideMark/>
          </w:tcPr>
          <w:p w14:paraId="6F06B1F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0.66</w:t>
            </w:r>
          </w:p>
        </w:tc>
        <w:tc>
          <w:tcPr>
            <w:tcW w:w="372" w:type="pct"/>
            <w:noWrap/>
            <w:hideMark/>
          </w:tcPr>
          <w:p w14:paraId="6EE52CE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1.01</w:t>
            </w:r>
          </w:p>
        </w:tc>
        <w:tc>
          <w:tcPr>
            <w:tcW w:w="372" w:type="pct"/>
            <w:noWrap/>
            <w:hideMark/>
          </w:tcPr>
          <w:p w14:paraId="68F9CAA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1.23</w:t>
            </w:r>
          </w:p>
        </w:tc>
        <w:tc>
          <w:tcPr>
            <w:tcW w:w="372" w:type="pct"/>
            <w:noWrap/>
            <w:hideMark/>
          </w:tcPr>
          <w:p w14:paraId="51DF5B6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1.41</w:t>
            </w:r>
          </w:p>
        </w:tc>
        <w:tc>
          <w:tcPr>
            <w:tcW w:w="372" w:type="pct"/>
            <w:noWrap/>
            <w:hideMark/>
          </w:tcPr>
          <w:p w14:paraId="00C355B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1.55</w:t>
            </w:r>
          </w:p>
        </w:tc>
        <w:tc>
          <w:tcPr>
            <w:tcW w:w="372" w:type="pct"/>
            <w:noWrap/>
            <w:hideMark/>
          </w:tcPr>
          <w:p w14:paraId="60BD182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1.66</w:t>
            </w:r>
          </w:p>
        </w:tc>
        <w:tc>
          <w:tcPr>
            <w:tcW w:w="372" w:type="pct"/>
            <w:noWrap/>
            <w:hideMark/>
          </w:tcPr>
          <w:p w14:paraId="5153E6C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1.76</w:t>
            </w:r>
          </w:p>
        </w:tc>
      </w:tr>
      <w:tr w:rsidR="005B4457" w:rsidRPr="000D5DA5" w14:paraId="3D6D08AD"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913" w:type="pct"/>
            <w:noWrap/>
            <w:hideMark/>
          </w:tcPr>
          <w:p w14:paraId="62F6C81B"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Finance</w:t>
            </w:r>
          </w:p>
        </w:tc>
        <w:tc>
          <w:tcPr>
            <w:tcW w:w="372" w:type="pct"/>
            <w:noWrap/>
            <w:hideMark/>
          </w:tcPr>
          <w:p w14:paraId="306793D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72" w:type="pct"/>
            <w:noWrap/>
            <w:hideMark/>
          </w:tcPr>
          <w:p w14:paraId="10A0803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0.02</w:t>
            </w:r>
          </w:p>
        </w:tc>
        <w:tc>
          <w:tcPr>
            <w:tcW w:w="372" w:type="pct"/>
            <w:noWrap/>
            <w:hideMark/>
          </w:tcPr>
          <w:p w14:paraId="7864A72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0.18</w:t>
            </w:r>
          </w:p>
        </w:tc>
        <w:tc>
          <w:tcPr>
            <w:tcW w:w="372" w:type="pct"/>
            <w:noWrap/>
            <w:hideMark/>
          </w:tcPr>
          <w:p w14:paraId="486CB0A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0.41</w:t>
            </w:r>
          </w:p>
        </w:tc>
        <w:tc>
          <w:tcPr>
            <w:tcW w:w="372" w:type="pct"/>
            <w:noWrap/>
            <w:hideMark/>
          </w:tcPr>
          <w:p w14:paraId="0CC290E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0.71</w:t>
            </w:r>
          </w:p>
        </w:tc>
        <w:tc>
          <w:tcPr>
            <w:tcW w:w="372" w:type="pct"/>
            <w:noWrap/>
            <w:hideMark/>
          </w:tcPr>
          <w:p w14:paraId="1F3E90C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1.03</w:t>
            </w:r>
          </w:p>
        </w:tc>
        <w:tc>
          <w:tcPr>
            <w:tcW w:w="372" w:type="pct"/>
            <w:noWrap/>
            <w:hideMark/>
          </w:tcPr>
          <w:p w14:paraId="3E45742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1.21</w:t>
            </w:r>
          </w:p>
        </w:tc>
        <w:tc>
          <w:tcPr>
            <w:tcW w:w="372" w:type="pct"/>
            <w:noWrap/>
            <w:hideMark/>
          </w:tcPr>
          <w:p w14:paraId="098666D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1.36</w:t>
            </w:r>
          </w:p>
        </w:tc>
        <w:tc>
          <w:tcPr>
            <w:tcW w:w="372" w:type="pct"/>
            <w:noWrap/>
            <w:hideMark/>
          </w:tcPr>
          <w:p w14:paraId="0424426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1.48</w:t>
            </w:r>
          </w:p>
        </w:tc>
        <w:tc>
          <w:tcPr>
            <w:tcW w:w="372" w:type="pct"/>
            <w:noWrap/>
            <w:hideMark/>
          </w:tcPr>
          <w:p w14:paraId="7E149D1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1.58</w:t>
            </w:r>
          </w:p>
        </w:tc>
        <w:tc>
          <w:tcPr>
            <w:tcW w:w="372" w:type="pct"/>
            <w:noWrap/>
            <w:hideMark/>
          </w:tcPr>
          <w:p w14:paraId="77DB919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1.67</w:t>
            </w:r>
          </w:p>
        </w:tc>
      </w:tr>
      <w:tr w:rsidR="005B4457" w:rsidRPr="000D5DA5" w14:paraId="628139DD"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913" w:type="pct"/>
            <w:noWrap/>
            <w:hideMark/>
          </w:tcPr>
          <w:p w14:paraId="1AF29EF4"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Rental, leasing</w:t>
            </w:r>
          </w:p>
        </w:tc>
        <w:tc>
          <w:tcPr>
            <w:tcW w:w="372" w:type="pct"/>
            <w:noWrap/>
            <w:hideMark/>
          </w:tcPr>
          <w:p w14:paraId="68C8C2C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72" w:type="pct"/>
            <w:noWrap/>
            <w:hideMark/>
          </w:tcPr>
          <w:p w14:paraId="78E4C80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72" w:type="pct"/>
            <w:noWrap/>
            <w:hideMark/>
          </w:tcPr>
          <w:p w14:paraId="7BDA5A7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0.15</w:t>
            </w:r>
          </w:p>
        </w:tc>
        <w:tc>
          <w:tcPr>
            <w:tcW w:w="372" w:type="pct"/>
            <w:noWrap/>
            <w:hideMark/>
          </w:tcPr>
          <w:p w14:paraId="02CD110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0.37</w:t>
            </w:r>
          </w:p>
        </w:tc>
        <w:tc>
          <w:tcPr>
            <w:tcW w:w="372" w:type="pct"/>
            <w:noWrap/>
            <w:hideMark/>
          </w:tcPr>
          <w:p w14:paraId="1013CB6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0.65</w:t>
            </w:r>
          </w:p>
        </w:tc>
        <w:tc>
          <w:tcPr>
            <w:tcW w:w="372" w:type="pct"/>
            <w:noWrap/>
            <w:hideMark/>
          </w:tcPr>
          <w:p w14:paraId="626F2AA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0.97</w:t>
            </w:r>
          </w:p>
        </w:tc>
        <w:tc>
          <w:tcPr>
            <w:tcW w:w="372" w:type="pct"/>
            <w:noWrap/>
            <w:hideMark/>
          </w:tcPr>
          <w:p w14:paraId="5DC4194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1.17</w:t>
            </w:r>
          </w:p>
        </w:tc>
        <w:tc>
          <w:tcPr>
            <w:tcW w:w="372" w:type="pct"/>
            <w:noWrap/>
            <w:hideMark/>
          </w:tcPr>
          <w:p w14:paraId="470B16C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1.33</w:t>
            </w:r>
          </w:p>
        </w:tc>
        <w:tc>
          <w:tcPr>
            <w:tcW w:w="372" w:type="pct"/>
            <w:noWrap/>
            <w:hideMark/>
          </w:tcPr>
          <w:p w14:paraId="0F76BE6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1.47</w:t>
            </w:r>
          </w:p>
        </w:tc>
        <w:tc>
          <w:tcPr>
            <w:tcW w:w="372" w:type="pct"/>
            <w:noWrap/>
            <w:hideMark/>
          </w:tcPr>
          <w:p w14:paraId="5972EF3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1.57</w:t>
            </w:r>
          </w:p>
        </w:tc>
        <w:tc>
          <w:tcPr>
            <w:tcW w:w="372" w:type="pct"/>
            <w:noWrap/>
            <w:hideMark/>
          </w:tcPr>
          <w:p w14:paraId="294F4E7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1.66</w:t>
            </w:r>
          </w:p>
        </w:tc>
      </w:tr>
      <w:tr w:rsidR="005B4457" w:rsidRPr="000D5DA5" w14:paraId="38F94BFF"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913" w:type="pct"/>
            <w:noWrap/>
            <w:hideMark/>
          </w:tcPr>
          <w:p w14:paraId="1295B3F2"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Professional, scientific, technical services</w:t>
            </w:r>
          </w:p>
        </w:tc>
        <w:tc>
          <w:tcPr>
            <w:tcW w:w="372" w:type="pct"/>
            <w:noWrap/>
            <w:hideMark/>
          </w:tcPr>
          <w:p w14:paraId="14250A8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72" w:type="pct"/>
            <w:noWrap/>
            <w:hideMark/>
          </w:tcPr>
          <w:p w14:paraId="6C11BF0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0.02</w:t>
            </w:r>
          </w:p>
        </w:tc>
        <w:tc>
          <w:tcPr>
            <w:tcW w:w="372" w:type="pct"/>
            <w:noWrap/>
            <w:hideMark/>
          </w:tcPr>
          <w:p w14:paraId="7FDB1FA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0.16</w:t>
            </w:r>
          </w:p>
        </w:tc>
        <w:tc>
          <w:tcPr>
            <w:tcW w:w="372" w:type="pct"/>
            <w:noWrap/>
            <w:hideMark/>
          </w:tcPr>
          <w:p w14:paraId="145B147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0.38</w:t>
            </w:r>
          </w:p>
        </w:tc>
        <w:tc>
          <w:tcPr>
            <w:tcW w:w="372" w:type="pct"/>
            <w:noWrap/>
            <w:hideMark/>
          </w:tcPr>
          <w:p w14:paraId="052D641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0.67</w:t>
            </w:r>
          </w:p>
        </w:tc>
        <w:tc>
          <w:tcPr>
            <w:tcW w:w="372" w:type="pct"/>
            <w:noWrap/>
            <w:hideMark/>
          </w:tcPr>
          <w:p w14:paraId="3964883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0.98</w:t>
            </w:r>
          </w:p>
        </w:tc>
        <w:tc>
          <w:tcPr>
            <w:tcW w:w="372" w:type="pct"/>
            <w:noWrap/>
            <w:hideMark/>
          </w:tcPr>
          <w:p w14:paraId="60C9732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1.21</w:t>
            </w:r>
          </w:p>
        </w:tc>
        <w:tc>
          <w:tcPr>
            <w:tcW w:w="372" w:type="pct"/>
            <w:noWrap/>
            <w:hideMark/>
          </w:tcPr>
          <w:p w14:paraId="2B527CB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1.38</w:t>
            </w:r>
          </w:p>
        </w:tc>
        <w:tc>
          <w:tcPr>
            <w:tcW w:w="372" w:type="pct"/>
            <w:noWrap/>
            <w:hideMark/>
          </w:tcPr>
          <w:p w14:paraId="1687A6D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1.52</w:t>
            </w:r>
          </w:p>
        </w:tc>
        <w:tc>
          <w:tcPr>
            <w:tcW w:w="372" w:type="pct"/>
            <w:noWrap/>
            <w:hideMark/>
          </w:tcPr>
          <w:p w14:paraId="6D18539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1.63</w:t>
            </w:r>
          </w:p>
        </w:tc>
        <w:tc>
          <w:tcPr>
            <w:tcW w:w="372" w:type="pct"/>
            <w:noWrap/>
            <w:hideMark/>
          </w:tcPr>
          <w:p w14:paraId="594B4DE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1.72</w:t>
            </w:r>
          </w:p>
        </w:tc>
      </w:tr>
      <w:tr w:rsidR="005B4457" w:rsidRPr="000D5DA5" w14:paraId="65521025"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913" w:type="pct"/>
            <w:noWrap/>
            <w:hideMark/>
          </w:tcPr>
          <w:p w14:paraId="4EE559BE"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Administration</w:t>
            </w:r>
          </w:p>
        </w:tc>
        <w:tc>
          <w:tcPr>
            <w:tcW w:w="372" w:type="pct"/>
            <w:noWrap/>
            <w:hideMark/>
          </w:tcPr>
          <w:p w14:paraId="4FB09B4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72" w:type="pct"/>
            <w:noWrap/>
            <w:hideMark/>
          </w:tcPr>
          <w:p w14:paraId="4541B0A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-0.01</w:t>
            </w:r>
          </w:p>
        </w:tc>
        <w:tc>
          <w:tcPr>
            <w:tcW w:w="372" w:type="pct"/>
            <w:noWrap/>
            <w:hideMark/>
          </w:tcPr>
          <w:p w14:paraId="042404C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0.14</w:t>
            </w:r>
          </w:p>
        </w:tc>
        <w:tc>
          <w:tcPr>
            <w:tcW w:w="372" w:type="pct"/>
            <w:noWrap/>
            <w:hideMark/>
          </w:tcPr>
          <w:p w14:paraId="74D788D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0.36</w:t>
            </w:r>
          </w:p>
        </w:tc>
        <w:tc>
          <w:tcPr>
            <w:tcW w:w="372" w:type="pct"/>
            <w:noWrap/>
            <w:hideMark/>
          </w:tcPr>
          <w:p w14:paraId="0BA9EF2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0.65</w:t>
            </w:r>
          </w:p>
        </w:tc>
        <w:tc>
          <w:tcPr>
            <w:tcW w:w="372" w:type="pct"/>
            <w:noWrap/>
            <w:hideMark/>
          </w:tcPr>
          <w:p w14:paraId="1147C06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1.00</w:t>
            </w:r>
          </w:p>
        </w:tc>
        <w:tc>
          <w:tcPr>
            <w:tcW w:w="372" w:type="pct"/>
            <w:noWrap/>
            <w:hideMark/>
          </w:tcPr>
          <w:p w14:paraId="08ACC2C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1.22</w:t>
            </w:r>
          </w:p>
        </w:tc>
        <w:tc>
          <w:tcPr>
            <w:tcW w:w="372" w:type="pct"/>
            <w:noWrap/>
            <w:hideMark/>
          </w:tcPr>
          <w:p w14:paraId="66B8145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1.39</w:t>
            </w:r>
          </w:p>
        </w:tc>
        <w:tc>
          <w:tcPr>
            <w:tcW w:w="372" w:type="pct"/>
            <w:noWrap/>
            <w:hideMark/>
          </w:tcPr>
          <w:p w14:paraId="3EF1509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1.53</w:t>
            </w:r>
          </w:p>
        </w:tc>
        <w:tc>
          <w:tcPr>
            <w:tcW w:w="372" w:type="pct"/>
            <w:noWrap/>
            <w:hideMark/>
          </w:tcPr>
          <w:p w14:paraId="4AAD2B1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1.65</w:t>
            </w:r>
          </w:p>
        </w:tc>
        <w:tc>
          <w:tcPr>
            <w:tcW w:w="372" w:type="pct"/>
            <w:noWrap/>
            <w:hideMark/>
          </w:tcPr>
          <w:p w14:paraId="705AC55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1.74</w:t>
            </w:r>
          </w:p>
        </w:tc>
      </w:tr>
      <w:tr w:rsidR="005B4457" w:rsidRPr="000D5DA5" w14:paraId="1B7FDF13"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913" w:type="pct"/>
            <w:noWrap/>
            <w:hideMark/>
          </w:tcPr>
          <w:p w14:paraId="18423E6D"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Public administration, safety</w:t>
            </w:r>
          </w:p>
        </w:tc>
        <w:tc>
          <w:tcPr>
            <w:tcW w:w="372" w:type="pct"/>
            <w:noWrap/>
            <w:hideMark/>
          </w:tcPr>
          <w:p w14:paraId="40618D0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72" w:type="pct"/>
            <w:noWrap/>
            <w:hideMark/>
          </w:tcPr>
          <w:p w14:paraId="796D011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72" w:type="pct"/>
            <w:noWrap/>
            <w:hideMark/>
          </w:tcPr>
          <w:p w14:paraId="65CEBEB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0.03</w:t>
            </w:r>
          </w:p>
        </w:tc>
        <w:tc>
          <w:tcPr>
            <w:tcW w:w="372" w:type="pct"/>
            <w:noWrap/>
            <w:hideMark/>
          </w:tcPr>
          <w:p w14:paraId="477869A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0.07</w:t>
            </w:r>
          </w:p>
        </w:tc>
        <w:tc>
          <w:tcPr>
            <w:tcW w:w="372" w:type="pct"/>
            <w:noWrap/>
            <w:hideMark/>
          </w:tcPr>
          <w:p w14:paraId="7179CAF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0.12</w:t>
            </w:r>
          </w:p>
        </w:tc>
        <w:tc>
          <w:tcPr>
            <w:tcW w:w="372" w:type="pct"/>
            <w:noWrap/>
            <w:hideMark/>
          </w:tcPr>
          <w:p w14:paraId="686D22E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0.17</w:t>
            </w:r>
          </w:p>
        </w:tc>
        <w:tc>
          <w:tcPr>
            <w:tcW w:w="372" w:type="pct"/>
            <w:noWrap/>
            <w:hideMark/>
          </w:tcPr>
          <w:p w14:paraId="3DE0CD6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0.20</w:t>
            </w:r>
          </w:p>
        </w:tc>
        <w:tc>
          <w:tcPr>
            <w:tcW w:w="372" w:type="pct"/>
            <w:noWrap/>
            <w:hideMark/>
          </w:tcPr>
          <w:p w14:paraId="743518A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0.21</w:t>
            </w:r>
          </w:p>
        </w:tc>
        <w:tc>
          <w:tcPr>
            <w:tcW w:w="372" w:type="pct"/>
            <w:noWrap/>
            <w:hideMark/>
          </w:tcPr>
          <w:p w14:paraId="33FF7A8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0.23</w:t>
            </w:r>
          </w:p>
        </w:tc>
        <w:tc>
          <w:tcPr>
            <w:tcW w:w="372" w:type="pct"/>
            <w:noWrap/>
            <w:hideMark/>
          </w:tcPr>
          <w:p w14:paraId="6B0CB8B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0.24</w:t>
            </w:r>
          </w:p>
        </w:tc>
        <w:tc>
          <w:tcPr>
            <w:tcW w:w="372" w:type="pct"/>
            <w:noWrap/>
            <w:hideMark/>
          </w:tcPr>
          <w:p w14:paraId="6216B08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0.25</w:t>
            </w:r>
          </w:p>
        </w:tc>
      </w:tr>
      <w:tr w:rsidR="005B4457" w:rsidRPr="000D5DA5" w14:paraId="602BF3D7"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913" w:type="pct"/>
            <w:noWrap/>
            <w:hideMark/>
          </w:tcPr>
          <w:p w14:paraId="139DAB2E"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Education</w:t>
            </w:r>
          </w:p>
        </w:tc>
        <w:tc>
          <w:tcPr>
            <w:tcW w:w="372" w:type="pct"/>
            <w:noWrap/>
            <w:hideMark/>
          </w:tcPr>
          <w:p w14:paraId="22BCBDE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72" w:type="pct"/>
            <w:noWrap/>
            <w:hideMark/>
          </w:tcPr>
          <w:p w14:paraId="3DCF327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-0.10</w:t>
            </w:r>
          </w:p>
        </w:tc>
        <w:tc>
          <w:tcPr>
            <w:tcW w:w="372" w:type="pct"/>
            <w:noWrap/>
            <w:hideMark/>
          </w:tcPr>
          <w:p w14:paraId="50D00BB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-0.13</w:t>
            </w:r>
          </w:p>
        </w:tc>
        <w:tc>
          <w:tcPr>
            <w:tcW w:w="372" w:type="pct"/>
            <w:noWrap/>
            <w:hideMark/>
          </w:tcPr>
          <w:p w14:paraId="585E81C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-0.05</w:t>
            </w:r>
          </w:p>
        </w:tc>
        <w:tc>
          <w:tcPr>
            <w:tcW w:w="372" w:type="pct"/>
            <w:noWrap/>
            <w:hideMark/>
          </w:tcPr>
          <w:p w14:paraId="3CA5E41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0.11</w:t>
            </w:r>
          </w:p>
        </w:tc>
        <w:tc>
          <w:tcPr>
            <w:tcW w:w="372" w:type="pct"/>
            <w:noWrap/>
            <w:hideMark/>
          </w:tcPr>
          <w:p w14:paraId="432C520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0.43</w:t>
            </w:r>
          </w:p>
        </w:tc>
        <w:tc>
          <w:tcPr>
            <w:tcW w:w="372" w:type="pct"/>
            <w:noWrap/>
            <w:hideMark/>
          </w:tcPr>
          <w:p w14:paraId="165379D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0.81</w:t>
            </w:r>
          </w:p>
        </w:tc>
        <w:tc>
          <w:tcPr>
            <w:tcW w:w="372" w:type="pct"/>
            <w:noWrap/>
            <w:hideMark/>
          </w:tcPr>
          <w:p w14:paraId="1B75CF6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1.11</w:t>
            </w:r>
          </w:p>
        </w:tc>
        <w:tc>
          <w:tcPr>
            <w:tcW w:w="372" w:type="pct"/>
            <w:noWrap/>
            <w:hideMark/>
          </w:tcPr>
          <w:p w14:paraId="11A3436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1.35</w:t>
            </w:r>
          </w:p>
        </w:tc>
        <w:tc>
          <w:tcPr>
            <w:tcW w:w="372" w:type="pct"/>
            <w:noWrap/>
            <w:hideMark/>
          </w:tcPr>
          <w:p w14:paraId="3F5E29E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1.53</w:t>
            </w:r>
          </w:p>
        </w:tc>
        <w:tc>
          <w:tcPr>
            <w:tcW w:w="372" w:type="pct"/>
            <w:noWrap/>
            <w:hideMark/>
          </w:tcPr>
          <w:p w14:paraId="1A7A481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1.67</w:t>
            </w:r>
          </w:p>
        </w:tc>
      </w:tr>
      <w:tr w:rsidR="005B4457" w:rsidRPr="000D5DA5" w14:paraId="14EBEDE0"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913" w:type="pct"/>
            <w:noWrap/>
            <w:hideMark/>
          </w:tcPr>
          <w:p w14:paraId="11367160"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Health care, social assistance</w:t>
            </w:r>
          </w:p>
        </w:tc>
        <w:tc>
          <w:tcPr>
            <w:tcW w:w="372" w:type="pct"/>
            <w:noWrap/>
            <w:hideMark/>
          </w:tcPr>
          <w:p w14:paraId="70A8236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72" w:type="pct"/>
            <w:noWrap/>
            <w:hideMark/>
          </w:tcPr>
          <w:p w14:paraId="7D63E53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0.02</w:t>
            </w:r>
          </w:p>
        </w:tc>
        <w:tc>
          <w:tcPr>
            <w:tcW w:w="372" w:type="pct"/>
            <w:noWrap/>
            <w:hideMark/>
          </w:tcPr>
          <w:p w14:paraId="7C5E2A8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1.43</w:t>
            </w:r>
          </w:p>
        </w:tc>
        <w:tc>
          <w:tcPr>
            <w:tcW w:w="372" w:type="pct"/>
            <w:noWrap/>
            <w:hideMark/>
          </w:tcPr>
          <w:p w14:paraId="43916C8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2.95</w:t>
            </w:r>
          </w:p>
        </w:tc>
        <w:tc>
          <w:tcPr>
            <w:tcW w:w="372" w:type="pct"/>
            <w:noWrap/>
            <w:hideMark/>
          </w:tcPr>
          <w:p w14:paraId="3CFC826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4.59</w:t>
            </w:r>
          </w:p>
        </w:tc>
        <w:tc>
          <w:tcPr>
            <w:tcW w:w="372" w:type="pct"/>
            <w:noWrap/>
            <w:hideMark/>
          </w:tcPr>
          <w:p w14:paraId="3E22A43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6.35</w:t>
            </w:r>
          </w:p>
        </w:tc>
        <w:tc>
          <w:tcPr>
            <w:tcW w:w="372" w:type="pct"/>
            <w:noWrap/>
            <w:hideMark/>
          </w:tcPr>
          <w:p w14:paraId="5201EDA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6.40</w:t>
            </w:r>
          </w:p>
        </w:tc>
        <w:tc>
          <w:tcPr>
            <w:tcW w:w="372" w:type="pct"/>
            <w:noWrap/>
            <w:hideMark/>
          </w:tcPr>
          <w:p w14:paraId="2F06F13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6.44</w:t>
            </w:r>
          </w:p>
        </w:tc>
        <w:tc>
          <w:tcPr>
            <w:tcW w:w="372" w:type="pct"/>
            <w:noWrap/>
            <w:hideMark/>
          </w:tcPr>
          <w:p w14:paraId="385FB04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6.46</w:t>
            </w:r>
          </w:p>
        </w:tc>
        <w:tc>
          <w:tcPr>
            <w:tcW w:w="372" w:type="pct"/>
            <w:noWrap/>
            <w:hideMark/>
          </w:tcPr>
          <w:p w14:paraId="49F9841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6.48</w:t>
            </w:r>
          </w:p>
        </w:tc>
        <w:tc>
          <w:tcPr>
            <w:tcW w:w="372" w:type="pct"/>
            <w:noWrap/>
            <w:hideMark/>
          </w:tcPr>
          <w:p w14:paraId="044CE4A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6.49</w:t>
            </w:r>
          </w:p>
        </w:tc>
      </w:tr>
      <w:tr w:rsidR="005B4457" w:rsidRPr="000D5DA5" w14:paraId="02392BE8"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913" w:type="pct"/>
            <w:noWrap/>
            <w:hideMark/>
          </w:tcPr>
          <w:p w14:paraId="3A1167BE"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Arts, recreation</w:t>
            </w:r>
          </w:p>
        </w:tc>
        <w:tc>
          <w:tcPr>
            <w:tcW w:w="372" w:type="pct"/>
            <w:noWrap/>
            <w:hideMark/>
          </w:tcPr>
          <w:p w14:paraId="48C5B4C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72" w:type="pct"/>
            <w:noWrap/>
            <w:hideMark/>
          </w:tcPr>
          <w:p w14:paraId="63B5C89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0.02</w:t>
            </w:r>
          </w:p>
        </w:tc>
        <w:tc>
          <w:tcPr>
            <w:tcW w:w="372" w:type="pct"/>
            <w:noWrap/>
            <w:hideMark/>
          </w:tcPr>
          <w:p w14:paraId="4FDDBB9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0.20</w:t>
            </w:r>
          </w:p>
        </w:tc>
        <w:tc>
          <w:tcPr>
            <w:tcW w:w="372" w:type="pct"/>
            <w:noWrap/>
            <w:hideMark/>
          </w:tcPr>
          <w:p w14:paraId="0873B06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0.44</w:t>
            </w:r>
          </w:p>
        </w:tc>
        <w:tc>
          <w:tcPr>
            <w:tcW w:w="372" w:type="pct"/>
            <w:noWrap/>
            <w:hideMark/>
          </w:tcPr>
          <w:p w14:paraId="59426F7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0.73</w:t>
            </w:r>
          </w:p>
        </w:tc>
        <w:tc>
          <w:tcPr>
            <w:tcW w:w="372" w:type="pct"/>
            <w:noWrap/>
            <w:hideMark/>
          </w:tcPr>
          <w:p w14:paraId="64BB66E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1.03</w:t>
            </w:r>
          </w:p>
        </w:tc>
        <w:tc>
          <w:tcPr>
            <w:tcW w:w="372" w:type="pct"/>
            <w:noWrap/>
            <w:hideMark/>
          </w:tcPr>
          <w:p w14:paraId="0468502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1.17</w:t>
            </w:r>
          </w:p>
        </w:tc>
        <w:tc>
          <w:tcPr>
            <w:tcW w:w="372" w:type="pct"/>
            <w:noWrap/>
            <w:hideMark/>
          </w:tcPr>
          <w:p w14:paraId="30D737D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1.28</w:t>
            </w:r>
          </w:p>
        </w:tc>
        <w:tc>
          <w:tcPr>
            <w:tcW w:w="372" w:type="pct"/>
            <w:noWrap/>
            <w:hideMark/>
          </w:tcPr>
          <w:p w14:paraId="4B8606E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1.36</w:t>
            </w:r>
          </w:p>
        </w:tc>
        <w:tc>
          <w:tcPr>
            <w:tcW w:w="372" w:type="pct"/>
            <w:noWrap/>
            <w:hideMark/>
          </w:tcPr>
          <w:p w14:paraId="6FC29C0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1.43</w:t>
            </w:r>
          </w:p>
        </w:tc>
        <w:tc>
          <w:tcPr>
            <w:tcW w:w="372" w:type="pct"/>
            <w:noWrap/>
            <w:hideMark/>
          </w:tcPr>
          <w:p w14:paraId="17E9DFB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1.49</w:t>
            </w:r>
          </w:p>
        </w:tc>
      </w:tr>
      <w:tr w:rsidR="005B4457" w:rsidRPr="000D5DA5" w14:paraId="6CF70879"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913" w:type="pct"/>
            <w:noWrap/>
            <w:hideMark/>
          </w:tcPr>
          <w:p w14:paraId="66561961"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Other services</w:t>
            </w:r>
          </w:p>
        </w:tc>
        <w:tc>
          <w:tcPr>
            <w:tcW w:w="372" w:type="pct"/>
            <w:noWrap/>
            <w:hideMark/>
          </w:tcPr>
          <w:p w14:paraId="10187DA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72" w:type="pct"/>
            <w:noWrap/>
            <w:hideMark/>
          </w:tcPr>
          <w:p w14:paraId="1698366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0.03</w:t>
            </w:r>
          </w:p>
        </w:tc>
        <w:tc>
          <w:tcPr>
            <w:tcW w:w="372" w:type="pct"/>
            <w:noWrap/>
            <w:hideMark/>
          </w:tcPr>
          <w:p w14:paraId="686AACC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0.22</w:t>
            </w:r>
          </w:p>
        </w:tc>
        <w:tc>
          <w:tcPr>
            <w:tcW w:w="372" w:type="pct"/>
            <w:noWrap/>
            <w:hideMark/>
          </w:tcPr>
          <w:p w14:paraId="5F735F6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0.48</w:t>
            </w:r>
          </w:p>
        </w:tc>
        <w:tc>
          <w:tcPr>
            <w:tcW w:w="372" w:type="pct"/>
            <w:noWrap/>
            <w:hideMark/>
          </w:tcPr>
          <w:p w14:paraId="6820D29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0.80</w:t>
            </w:r>
          </w:p>
        </w:tc>
        <w:tc>
          <w:tcPr>
            <w:tcW w:w="372" w:type="pct"/>
            <w:noWrap/>
            <w:hideMark/>
          </w:tcPr>
          <w:p w14:paraId="4E3B6CE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1.14</w:t>
            </w:r>
          </w:p>
        </w:tc>
        <w:tc>
          <w:tcPr>
            <w:tcW w:w="372" w:type="pct"/>
            <w:noWrap/>
            <w:hideMark/>
          </w:tcPr>
          <w:p w14:paraId="58CCC9E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1.30</w:t>
            </w:r>
          </w:p>
        </w:tc>
        <w:tc>
          <w:tcPr>
            <w:tcW w:w="372" w:type="pct"/>
            <w:noWrap/>
            <w:hideMark/>
          </w:tcPr>
          <w:p w14:paraId="436A9EC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1.43</w:t>
            </w:r>
          </w:p>
        </w:tc>
        <w:tc>
          <w:tcPr>
            <w:tcW w:w="372" w:type="pct"/>
            <w:noWrap/>
            <w:hideMark/>
          </w:tcPr>
          <w:p w14:paraId="6C59F56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1.53</w:t>
            </w:r>
          </w:p>
        </w:tc>
        <w:tc>
          <w:tcPr>
            <w:tcW w:w="372" w:type="pct"/>
            <w:noWrap/>
            <w:hideMark/>
          </w:tcPr>
          <w:p w14:paraId="5229858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1.61</w:t>
            </w:r>
          </w:p>
        </w:tc>
        <w:tc>
          <w:tcPr>
            <w:tcW w:w="372" w:type="pct"/>
            <w:noWrap/>
            <w:hideMark/>
          </w:tcPr>
          <w:p w14:paraId="1DF5778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1.67</w:t>
            </w:r>
          </w:p>
        </w:tc>
      </w:tr>
      <w:tr w:rsidR="005B4457" w:rsidRPr="000D5DA5" w14:paraId="7DA2247D"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913" w:type="pct"/>
            <w:noWrap/>
            <w:hideMark/>
          </w:tcPr>
          <w:p w14:paraId="5C0CFE05"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Ownership of dwellings</w:t>
            </w:r>
          </w:p>
        </w:tc>
        <w:tc>
          <w:tcPr>
            <w:tcW w:w="372" w:type="pct"/>
            <w:noWrap/>
            <w:hideMark/>
          </w:tcPr>
          <w:p w14:paraId="7979ED9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72" w:type="pct"/>
            <w:noWrap/>
            <w:hideMark/>
          </w:tcPr>
          <w:p w14:paraId="559CA9A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72" w:type="pct"/>
            <w:noWrap/>
            <w:hideMark/>
          </w:tcPr>
          <w:p w14:paraId="76251F7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0.01</w:t>
            </w:r>
          </w:p>
        </w:tc>
        <w:tc>
          <w:tcPr>
            <w:tcW w:w="372" w:type="pct"/>
            <w:noWrap/>
            <w:hideMark/>
          </w:tcPr>
          <w:p w14:paraId="09341F9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0.03</w:t>
            </w:r>
          </w:p>
        </w:tc>
        <w:tc>
          <w:tcPr>
            <w:tcW w:w="372" w:type="pct"/>
            <w:noWrap/>
            <w:hideMark/>
          </w:tcPr>
          <w:p w14:paraId="2FACF9A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0.09</w:t>
            </w:r>
          </w:p>
        </w:tc>
        <w:tc>
          <w:tcPr>
            <w:tcW w:w="372" w:type="pct"/>
            <w:noWrap/>
            <w:hideMark/>
          </w:tcPr>
          <w:p w14:paraId="19F1BFE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0.18</w:t>
            </w:r>
          </w:p>
        </w:tc>
        <w:tc>
          <w:tcPr>
            <w:tcW w:w="372" w:type="pct"/>
            <w:noWrap/>
            <w:hideMark/>
          </w:tcPr>
          <w:p w14:paraId="6A5AD02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0.29</w:t>
            </w:r>
          </w:p>
        </w:tc>
        <w:tc>
          <w:tcPr>
            <w:tcW w:w="372" w:type="pct"/>
            <w:noWrap/>
            <w:hideMark/>
          </w:tcPr>
          <w:p w14:paraId="38F0A24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0.41</w:t>
            </w:r>
          </w:p>
        </w:tc>
        <w:tc>
          <w:tcPr>
            <w:tcW w:w="372" w:type="pct"/>
            <w:noWrap/>
            <w:hideMark/>
          </w:tcPr>
          <w:p w14:paraId="028ED23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0.53</w:t>
            </w:r>
          </w:p>
        </w:tc>
        <w:tc>
          <w:tcPr>
            <w:tcW w:w="372" w:type="pct"/>
            <w:noWrap/>
            <w:hideMark/>
          </w:tcPr>
          <w:p w14:paraId="3C235FF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0.65</w:t>
            </w:r>
          </w:p>
        </w:tc>
        <w:tc>
          <w:tcPr>
            <w:tcW w:w="372" w:type="pct"/>
            <w:noWrap/>
            <w:hideMark/>
          </w:tcPr>
          <w:p w14:paraId="3424AA3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0.77</w:t>
            </w:r>
          </w:p>
        </w:tc>
      </w:tr>
    </w:tbl>
    <w:p w14:paraId="505ED7EE" w14:textId="77777777" w:rsidR="005B4457" w:rsidRDefault="005B4457" w:rsidP="005B4457"/>
    <w:p w14:paraId="618E9D80" w14:textId="77777777" w:rsidR="005B4457" w:rsidRDefault="005B4457" w:rsidP="005B4457">
      <w:r>
        <w:br w:type="page"/>
      </w:r>
    </w:p>
    <w:p w14:paraId="373D21C0" w14:textId="77777777" w:rsidR="005B4457" w:rsidRDefault="005B4457" w:rsidP="005B4457"/>
    <w:p w14:paraId="3F448BF5" w14:textId="77777777" w:rsidR="005B4457" w:rsidRDefault="005B4457" w:rsidP="005B4457">
      <w:pPr>
        <w:pStyle w:val="Caption"/>
      </w:pPr>
      <w:r>
        <w:t xml:space="preserve">Table </w:t>
      </w:r>
      <w:r w:rsidR="00FA34A4">
        <w:fldChar w:fldCharType="begin"/>
      </w:r>
      <w:r w:rsidR="00FA34A4">
        <w:instrText xml:space="preserve"> SEQ Table \* ARABIC </w:instrText>
      </w:r>
      <w:r w:rsidR="00FA34A4">
        <w:fldChar w:fldCharType="separate"/>
      </w:r>
      <w:r>
        <w:rPr>
          <w:noProof/>
        </w:rPr>
        <w:t>5</w:t>
      </w:r>
      <w:r w:rsidR="00FA34A4">
        <w:rPr>
          <w:noProof/>
        </w:rPr>
        <w:fldChar w:fldCharType="end"/>
      </w:r>
      <w:r>
        <w:t xml:space="preserve">: </w:t>
      </w:r>
      <w:r w:rsidRPr="001F0386">
        <w:t>Scenario 2: Macro results</w:t>
      </w:r>
      <w:r>
        <w:t xml:space="preserve"> (percentage deviation from base case unless otherwise stated)</w:t>
      </w:r>
    </w:p>
    <w:tbl>
      <w:tblPr>
        <w:tblStyle w:val="GridTable1Light"/>
        <w:tblW w:w="5000" w:type="pct"/>
        <w:tblLook w:val="04A0" w:firstRow="1" w:lastRow="0" w:firstColumn="1" w:lastColumn="0" w:noHBand="0" w:noVBand="1"/>
      </w:tblPr>
      <w:tblGrid>
        <w:gridCol w:w="3303"/>
        <w:gridCol w:w="1099"/>
        <w:gridCol w:w="1099"/>
        <w:gridCol w:w="1099"/>
        <w:gridCol w:w="1099"/>
        <w:gridCol w:w="1099"/>
        <w:gridCol w:w="1099"/>
        <w:gridCol w:w="1099"/>
        <w:gridCol w:w="1099"/>
        <w:gridCol w:w="1099"/>
        <w:gridCol w:w="1100"/>
        <w:gridCol w:w="1094"/>
      </w:tblGrid>
      <w:tr w:rsidR="005B4457" w:rsidRPr="000D5DA5" w14:paraId="53398BA6" w14:textId="77777777" w:rsidTr="005B445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9" w:type="pct"/>
            <w:noWrap/>
            <w:hideMark/>
          </w:tcPr>
          <w:p w14:paraId="43B9FB3D"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 </w:t>
            </w:r>
          </w:p>
        </w:tc>
        <w:tc>
          <w:tcPr>
            <w:tcW w:w="403" w:type="pct"/>
            <w:noWrap/>
            <w:hideMark/>
          </w:tcPr>
          <w:p w14:paraId="50E826B4"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2020</w:t>
            </w:r>
          </w:p>
        </w:tc>
        <w:tc>
          <w:tcPr>
            <w:tcW w:w="403" w:type="pct"/>
            <w:noWrap/>
            <w:hideMark/>
          </w:tcPr>
          <w:p w14:paraId="7521B588"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2021</w:t>
            </w:r>
          </w:p>
        </w:tc>
        <w:tc>
          <w:tcPr>
            <w:tcW w:w="403" w:type="pct"/>
            <w:noWrap/>
            <w:hideMark/>
          </w:tcPr>
          <w:p w14:paraId="293E230F"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2022</w:t>
            </w:r>
          </w:p>
        </w:tc>
        <w:tc>
          <w:tcPr>
            <w:tcW w:w="403" w:type="pct"/>
            <w:noWrap/>
            <w:hideMark/>
          </w:tcPr>
          <w:p w14:paraId="4FD3CBA4"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2023</w:t>
            </w:r>
          </w:p>
        </w:tc>
        <w:tc>
          <w:tcPr>
            <w:tcW w:w="403" w:type="pct"/>
            <w:noWrap/>
            <w:hideMark/>
          </w:tcPr>
          <w:p w14:paraId="0B384094"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2024</w:t>
            </w:r>
          </w:p>
        </w:tc>
        <w:tc>
          <w:tcPr>
            <w:tcW w:w="403" w:type="pct"/>
            <w:noWrap/>
            <w:hideMark/>
          </w:tcPr>
          <w:p w14:paraId="081213C2"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2025</w:t>
            </w:r>
          </w:p>
        </w:tc>
        <w:tc>
          <w:tcPr>
            <w:tcW w:w="403" w:type="pct"/>
            <w:noWrap/>
            <w:hideMark/>
          </w:tcPr>
          <w:p w14:paraId="388CB07A"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2026</w:t>
            </w:r>
          </w:p>
        </w:tc>
        <w:tc>
          <w:tcPr>
            <w:tcW w:w="403" w:type="pct"/>
            <w:noWrap/>
            <w:hideMark/>
          </w:tcPr>
          <w:p w14:paraId="085AF83D"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2027</w:t>
            </w:r>
          </w:p>
        </w:tc>
        <w:tc>
          <w:tcPr>
            <w:tcW w:w="403" w:type="pct"/>
            <w:noWrap/>
            <w:hideMark/>
          </w:tcPr>
          <w:p w14:paraId="24F1ED51"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2028</w:t>
            </w:r>
          </w:p>
        </w:tc>
        <w:tc>
          <w:tcPr>
            <w:tcW w:w="403" w:type="pct"/>
            <w:noWrap/>
            <w:hideMark/>
          </w:tcPr>
          <w:p w14:paraId="7029F5E5"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2029</w:t>
            </w:r>
          </w:p>
        </w:tc>
        <w:tc>
          <w:tcPr>
            <w:tcW w:w="403" w:type="pct"/>
            <w:noWrap/>
            <w:hideMark/>
          </w:tcPr>
          <w:p w14:paraId="14CB383F"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2030</w:t>
            </w:r>
          </w:p>
        </w:tc>
      </w:tr>
      <w:tr w:rsidR="005B4457" w:rsidRPr="000D5DA5" w14:paraId="30A711DF"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569" w:type="pct"/>
            <w:noWrap/>
            <w:hideMark/>
          </w:tcPr>
          <w:p w14:paraId="61AF3313" w14:textId="77777777" w:rsidR="005B4457" w:rsidRPr="000D5DA5" w:rsidRDefault="005B4457" w:rsidP="005B4457">
            <w:pPr>
              <w:rPr>
                <w:rFonts w:ascii="Calibri" w:eastAsia="Times New Roman" w:hAnsi="Calibri" w:cs="Calibri"/>
                <w:color w:val="000000"/>
                <w:u w:val="single"/>
                <w:lang w:eastAsia="en-AU"/>
              </w:rPr>
            </w:pPr>
            <w:r w:rsidRPr="000D5DA5">
              <w:rPr>
                <w:rFonts w:ascii="Calibri" w:eastAsia="Times New Roman" w:hAnsi="Calibri" w:cs="Calibri"/>
                <w:color w:val="000000"/>
                <w:u w:val="single"/>
                <w:lang w:eastAsia="en-AU"/>
              </w:rPr>
              <w:t>Macro aggregates</w:t>
            </w:r>
          </w:p>
        </w:tc>
        <w:tc>
          <w:tcPr>
            <w:tcW w:w="403" w:type="pct"/>
            <w:noWrap/>
            <w:hideMark/>
          </w:tcPr>
          <w:p w14:paraId="19473C97"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AU"/>
              </w:rPr>
            </w:pPr>
          </w:p>
        </w:tc>
        <w:tc>
          <w:tcPr>
            <w:tcW w:w="403" w:type="pct"/>
            <w:noWrap/>
            <w:hideMark/>
          </w:tcPr>
          <w:p w14:paraId="5CEC3AC8"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6D97E0E5"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769BB403"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4E55DCFC"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4F0BA02A"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0C0C4553"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4DCC415E"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2FF4802D"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51E60DB2"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01A84D38"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r>
      <w:tr w:rsidR="005B4457" w:rsidRPr="000D5DA5" w14:paraId="18F075E6"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569" w:type="pct"/>
            <w:noWrap/>
            <w:hideMark/>
          </w:tcPr>
          <w:p w14:paraId="14655828"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GDP</w:t>
            </w:r>
          </w:p>
        </w:tc>
        <w:tc>
          <w:tcPr>
            <w:tcW w:w="403" w:type="pct"/>
            <w:noWrap/>
            <w:hideMark/>
          </w:tcPr>
          <w:p w14:paraId="0EF3A1B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403" w:type="pct"/>
            <w:noWrap/>
            <w:hideMark/>
          </w:tcPr>
          <w:p w14:paraId="33903EB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0.01</w:t>
            </w:r>
          </w:p>
        </w:tc>
        <w:tc>
          <w:tcPr>
            <w:tcW w:w="403" w:type="pct"/>
            <w:noWrap/>
            <w:hideMark/>
          </w:tcPr>
          <w:p w14:paraId="3FC1CD8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0.14</w:t>
            </w:r>
          </w:p>
        </w:tc>
        <w:tc>
          <w:tcPr>
            <w:tcW w:w="403" w:type="pct"/>
            <w:noWrap/>
            <w:hideMark/>
          </w:tcPr>
          <w:p w14:paraId="08F67F3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0.37</w:t>
            </w:r>
          </w:p>
        </w:tc>
        <w:tc>
          <w:tcPr>
            <w:tcW w:w="403" w:type="pct"/>
            <w:noWrap/>
            <w:hideMark/>
          </w:tcPr>
          <w:p w14:paraId="737BF20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0.66</w:t>
            </w:r>
          </w:p>
        </w:tc>
        <w:tc>
          <w:tcPr>
            <w:tcW w:w="403" w:type="pct"/>
            <w:noWrap/>
            <w:hideMark/>
          </w:tcPr>
          <w:p w14:paraId="75007FC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0.99</w:t>
            </w:r>
          </w:p>
        </w:tc>
        <w:tc>
          <w:tcPr>
            <w:tcW w:w="403" w:type="pct"/>
            <w:noWrap/>
            <w:hideMark/>
          </w:tcPr>
          <w:p w14:paraId="2F321C8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1.11</w:t>
            </w:r>
          </w:p>
        </w:tc>
        <w:tc>
          <w:tcPr>
            <w:tcW w:w="403" w:type="pct"/>
            <w:noWrap/>
            <w:hideMark/>
          </w:tcPr>
          <w:p w14:paraId="307C516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1.23</w:t>
            </w:r>
          </w:p>
        </w:tc>
        <w:tc>
          <w:tcPr>
            <w:tcW w:w="403" w:type="pct"/>
            <w:noWrap/>
            <w:hideMark/>
          </w:tcPr>
          <w:p w14:paraId="2C4C0D1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1.32</w:t>
            </w:r>
          </w:p>
        </w:tc>
        <w:tc>
          <w:tcPr>
            <w:tcW w:w="403" w:type="pct"/>
            <w:noWrap/>
            <w:hideMark/>
          </w:tcPr>
          <w:p w14:paraId="7C9F5DC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1.40</w:t>
            </w:r>
          </w:p>
        </w:tc>
        <w:tc>
          <w:tcPr>
            <w:tcW w:w="403" w:type="pct"/>
            <w:noWrap/>
            <w:hideMark/>
          </w:tcPr>
          <w:p w14:paraId="08DCC7F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1.46</w:t>
            </w:r>
          </w:p>
        </w:tc>
      </w:tr>
      <w:tr w:rsidR="005B4457" w:rsidRPr="000D5DA5" w14:paraId="6AD82A2C"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569" w:type="pct"/>
            <w:noWrap/>
            <w:hideMark/>
          </w:tcPr>
          <w:p w14:paraId="5BE7B53F"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Household expenditure</w:t>
            </w:r>
          </w:p>
        </w:tc>
        <w:tc>
          <w:tcPr>
            <w:tcW w:w="403" w:type="pct"/>
            <w:noWrap/>
            <w:hideMark/>
          </w:tcPr>
          <w:p w14:paraId="632110A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403" w:type="pct"/>
            <w:noWrap/>
            <w:hideMark/>
          </w:tcPr>
          <w:p w14:paraId="068967B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0.07</w:t>
            </w:r>
          </w:p>
        </w:tc>
        <w:tc>
          <w:tcPr>
            <w:tcW w:w="403" w:type="pct"/>
            <w:noWrap/>
            <w:hideMark/>
          </w:tcPr>
          <w:p w14:paraId="605C60B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403" w:type="pct"/>
            <w:noWrap/>
            <w:hideMark/>
          </w:tcPr>
          <w:p w14:paraId="52F6739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0.34</w:t>
            </w:r>
          </w:p>
        </w:tc>
        <w:tc>
          <w:tcPr>
            <w:tcW w:w="403" w:type="pct"/>
            <w:noWrap/>
            <w:hideMark/>
          </w:tcPr>
          <w:p w14:paraId="53BE3DE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0.69</w:t>
            </w:r>
          </w:p>
        </w:tc>
        <w:tc>
          <w:tcPr>
            <w:tcW w:w="403" w:type="pct"/>
            <w:noWrap/>
            <w:hideMark/>
          </w:tcPr>
          <w:p w14:paraId="4459A80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1.06</w:t>
            </w:r>
          </w:p>
        </w:tc>
        <w:tc>
          <w:tcPr>
            <w:tcW w:w="403" w:type="pct"/>
            <w:noWrap/>
            <w:hideMark/>
          </w:tcPr>
          <w:p w14:paraId="3E8FD79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1.06</w:t>
            </w:r>
          </w:p>
        </w:tc>
        <w:tc>
          <w:tcPr>
            <w:tcW w:w="403" w:type="pct"/>
            <w:noWrap/>
            <w:hideMark/>
          </w:tcPr>
          <w:p w14:paraId="2F4F1E9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1.12</w:t>
            </w:r>
          </w:p>
        </w:tc>
        <w:tc>
          <w:tcPr>
            <w:tcW w:w="403" w:type="pct"/>
            <w:noWrap/>
            <w:hideMark/>
          </w:tcPr>
          <w:p w14:paraId="0955531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1.17</w:t>
            </w:r>
          </w:p>
        </w:tc>
        <w:tc>
          <w:tcPr>
            <w:tcW w:w="403" w:type="pct"/>
            <w:noWrap/>
            <w:hideMark/>
          </w:tcPr>
          <w:p w14:paraId="296035E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1.21</w:t>
            </w:r>
          </w:p>
        </w:tc>
        <w:tc>
          <w:tcPr>
            <w:tcW w:w="403" w:type="pct"/>
            <w:noWrap/>
            <w:hideMark/>
          </w:tcPr>
          <w:p w14:paraId="6AFF9A8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1.25</w:t>
            </w:r>
          </w:p>
        </w:tc>
      </w:tr>
      <w:tr w:rsidR="005B4457" w:rsidRPr="000D5DA5" w14:paraId="424CCF4E"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569" w:type="pct"/>
            <w:noWrap/>
            <w:hideMark/>
          </w:tcPr>
          <w:p w14:paraId="01D6C104"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Investment</w:t>
            </w:r>
          </w:p>
        </w:tc>
        <w:tc>
          <w:tcPr>
            <w:tcW w:w="403" w:type="pct"/>
            <w:noWrap/>
            <w:hideMark/>
          </w:tcPr>
          <w:p w14:paraId="26B760A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403" w:type="pct"/>
            <w:noWrap/>
            <w:hideMark/>
          </w:tcPr>
          <w:p w14:paraId="6403312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0.08</w:t>
            </w:r>
          </w:p>
        </w:tc>
        <w:tc>
          <w:tcPr>
            <w:tcW w:w="403" w:type="pct"/>
            <w:noWrap/>
            <w:hideMark/>
          </w:tcPr>
          <w:p w14:paraId="69823B4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-0.24</w:t>
            </w:r>
          </w:p>
        </w:tc>
        <w:tc>
          <w:tcPr>
            <w:tcW w:w="403" w:type="pct"/>
            <w:noWrap/>
            <w:hideMark/>
          </w:tcPr>
          <w:p w14:paraId="4429DC6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-0.03</w:t>
            </w:r>
          </w:p>
        </w:tc>
        <w:tc>
          <w:tcPr>
            <w:tcW w:w="403" w:type="pct"/>
            <w:noWrap/>
            <w:hideMark/>
          </w:tcPr>
          <w:p w14:paraId="14F936A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0.24</w:t>
            </w:r>
          </w:p>
        </w:tc>
        <w:tc>
          <w:tcPr>
            <w:tcW w:w="403" w:type="pct"/>
            <w:noWrap/>
            <w:hideMark/>
          </w:tcPr>
          <w:p w14:paraId="37B3943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0.57</w:t>
            </w:r>
          </w:p>
        </w:tc>
        <w:tc>
          <w:tcPr>
            <w:tcW w:w="403" w:type="pct"/>
            <w:noWrap/>
            <w:hideMark/>
          </w:tcPr>
          <w:p w14:paraId="7F48F39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0.64</w:t>
            </w:r>
          </w:p>
        </w:tc>
        <w:tc>
          <w:tcPr>
            <w:tcW w:w="403" w:type="pct"/>
            <w:noWrap/>
            <w:hideMark/>
          </w:tcPr>
          <w:p w14:paraId="2CB6C9B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0.76</w:t>
            </w:r>
          </w:p>
        </w:tc>
        <w:tc>
          <w:tcPr>
            <w:tcW w:w="403" w:type="pct"/>
            <w:noWrap/>
            <w:hideMark/>
          </w:tcPr>
          <w:p w14:paraId="7B6653A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0.86</w:t>
            </w:r>
          </w:p>
        </w:tc>
        <w:tc>
          <w:tcPr>
            <w:tcW w:w="403" w:type="pct"/>
            <w:noWrap/>
            <w:hideMark/>
          </w:tcPr>
          <w:p w14:paraId="1FA4923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0.93</w:t>
            </w:r>
          </w:p>
        </w:tc>
        <w:tc>
          <w:tcPr>
            <w:tcW w:w="403" w:type="pct"/>
            <w:noWrap/>
            <w:hideMark/>
          </w:tcPr>
          <w:p w14:paraId="078988A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0.99</w:t>
            </w:r>
          </w:p>
        </w:tc>
      </w:tr>
      <w:tr w:rsidR="005B4457" w:rsidRPr="000D5DA5" w14:paraId="59BD55D5"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569" w:type="pct"/>
            <w:noWrap/>
            <w:hideMark/>
          </w:tcPr>
          <w:p w14:paraId="17B9AC3E"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Exports</w:t>
            </w:r>
          </w:p>
        </w:tc>
        <w:tc>
          <w:tcPr>
            <w:tcW w:w="403" w:type="pct"/>
            <w:noWrap/>
            <w:hideMark/>
          </w:tcPr>
          <w:p w14:paraId="4911963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403" w:type="pct"/>
            <w:noWrap/>
            <w:hideMark/>
          </w:tcPr>
          <w:p w14:paraId="42BDD2E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-0.14</w:t>
            </w:r>
          </w:p>
        </w:tc>
        <w:tc>
          <w:tcPr>
            <w:tcW w:w="403" w:type="pct"/>
            <w:noWrap/>
            <w:hideMark/>
          </w:tcPr>
          <w:p w14:paraId="075147A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0.38</w:t>
            </w:r>
          </w:p>
        </w:tc>
        <w:tc>
          <w:tcPr>
            <w:tcW w:w="403" w:type="pct"/>
            <w:noWrap/>
            <w:hideMark/>
          </w:tcPr>
          <w:p w14:paraId="5436BA0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0.20</w:t>
            </w:r>
          </w:p>
        </w:tc>
        <w:tc>
          <w:tcPr>
            <w:tcW w:w="403" w:type="pct"/>
            <w:noWrap/>
            <w:hideMark/>
          </w:tcPr>
          <w:p w14:paraId="528C12C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0.09</w:t>
            </w:r>
          </w:p>
        </w:tc>
        <w:tc>
          <w:tcPr>
            <w:tcW w:w="403" w:type="pct"/>
            <w:noWrap/>
            <w:hideMark/>
          </w:tcPr>
          <w:p w14:paraId="62BA6EB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0.04</w:t>
            </w:r>
          </w:p>
        </w:tc>
        <w:tc>
          <w:tcPr>
            <w:tcW w:w="403" w:type="pct"/>
            <w:noWrap/>
            <w:hideMark/>
          </w:tcPr>
          <w:p w14:paraId="2536EC7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0.46</w:t>
            </w:r>
          </w:p>
        </w:tc>
        <w:tc>
          <w:tcPr>
            <w:tcW w:w="403" w:type="pct"/>
            <w:noWrap/>
            <w:hideMark/>
          </w:tcPr>
          <w:p w14:paraId="471AD76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0.70</w:t>
            </w:r>
          </w:p>
        </w:tc>
        <w:tc>
          <w:tcPr>
            <w:tcW w:w="403" w:type="pct"/>
            <w:noWrap/>
            <w:hideMark/>
          </w:tcPr>
          <w:p w14:paraId="6BC6E83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0.90</w:t>
            </w:r>
          </w:p>
        </w:tc>
        <w:tc>
          <w:tcPr>
            <w:tcW w:w="403" w:type="pct"/>
            <w:noWrap/>
            <w:hideMark/>
          </w:tcPr>
          <w:p w14:paraId="48C705E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1.07</w:t>
            </w:r>
          </w:p>
        </w:tc>
        <w:tc>
          <w:tcPr>
            <w:tcW w:w="403" w:type="pct"/>
            <w:noWrap/>
            <w:hideMark/>
          </w:tcPr>
          <w:p w14:paraId="163A683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1.22</w:t>
            </w:r>
          </w:p>
        </w:tc>
      </w:tr>
      <w:tr w:rsidR="005B4457" w:rsidRPr="000D5DA5" w14:paraId="4A4FD8A5"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569" w:type="pct"/>
            <w:noWrap/>
            <w:hideMark/>
          </w:tcPr>
          <w:p w14:paraId="4F92A146"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Imports</w:t>
            </w:r>
          </w:p>
        </w:tc>
        <w:tc>
          <w:tcPr>
            <w:tcW w:w="403" w:type="pct"/>
            <w:noWrap/>
            <w:hideMark/>
          </w:tcPr>
          <w:p w14:paraId="4741CC8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403" w:type="pct"/>
            <w:noWrap/>
            <w:hideMark/>
          </w:tcPr>
          <w:p w14:paraId="42511A0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0.10</w:t>
            </w:r>
          </w:p>
        </w:tc>
        <w:tc>
          <w:tcPr>
            <w:tcW w:w="403" w:type="pct"/>
            <w:noWrap/>
            <w:hideMark/>
          </w:tcPr>
          <w:p w14:paraId="3C618D5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-0.21</w:t>
            </w:r>
          </w:p>
        </w:tc>
        <w:tc>
          <w:tcPr>
            <w:tcW w:w="403" w:type="pct"/>
            <w:noWrap/>
            <w:hideMark/>
          </w:tcPr>
          <w:p w14:paraId="0577041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0.18</w:t>
            </w:r>
          </w:p>
        </w:tc>
        <w:tc>
          <w:tcPr>
            <w:tcW w:w="403" w:type="pct"/>
            <w:noWrap/>
            <w:hideMark/>
          </w:tcPr>
          <w:p w14:paraId="41E3B70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0.56</w:t>
            </w:r>
          </w:p>
        </w:tc>
        <w:tc>
          <w:tcPr>
            <w:tcW w:w="403" w:type="pct"/>
            <w:noWrap/>
            <w:hideMark/>
          </w:tcPr>
          <w:p w14:paraId="57F1398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0.96</w:t>
            </w:r>
          </w:p>
        </w:tc>
        <w:tc>
          <w:tcPr>
            <w:tcW w:w="403" w:type="pct"/>
            <w:noWrap/>
            <w:hideMark/>
          </w:tcPr>
          <w:p w14:paraId="5C38831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0.87</w:t>
            </w:r>
          </w:p>
        </w:tc>
        <w:tc>
          <w:tcPr>
            <w:tcW w:w="403" w:type="pct"/>
            <w:noWrap/>
            <w:hideMark/>
          </w:tcPr>
          <w:p w14:paraId="7F094EF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0.90</w:t>
            </w:r>
          </w:p>
        </w:tc>
        <w:tc>
          <w:tcPr>
            <w:tcW w:w="403" w:type="pct"/>
            <w:noWrap/>
            <w:hideMark/>
          </w:tcPr>
          <w:p w14:paraId="232806A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0.91</w:t>
            </w:r>
          </w:p>
        </w:tc>
        <w:tc>
          <w:tcPr>
            <w:tcW w:w="403" w:type="pct"/>
            <w:noWrap/>
            <w:hideMark/>
          </w:tcPr>
          <w:p w14:paraId="5193AD6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0.93</w:t>
            </w:r>
          </w:p>
        </w:tc>
        <w:tc>
          <w:tcPr>
            <w:tcW w:w="403" w:type="pct"/>
            <w:noWrap/>
            <w:hideMark/>
          </w:tcPr>
          <w:p w14:paraId="29700A8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0.94</w:t>
            </w:r>
          </w:p>
        </w:tc>
      </w:tr>
      <w:tr w:rsidR="005B4457" w:rsidRPr="000D5DA5" w14:paraId="40245213"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569" w:type="pct"/>
            <w:noWrap/>
            <w:hideMark/>
          </w:tcPr>
          <w:p w14:paraId="74370D5A"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Public expenditure</w:t>
            </w:r>
          </w:p>
        </w:tc>
        <w:tc>
          <w:tcPr>
            <w:tcW w:w="403" w:type="pct"/>
            <w:noWrap/>
            <w:hideMark/>
          </w:tcPr>
          <w:p w14:paraId="7F08269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403" w:type="pct"/>
            <w:noWrap/>
            <w:hideMark/>
          </w:tcPr>
          <w:p w14:paraId="76BE24A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403" w:type="pct"/>
            <w:noWrap/>
            <w:hideMark/>
          </w:tcPr>
          <w:p w14:paraId="77922AB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0.60</w:t>
            </w:r>
          </w:p>
        </w:tc>
        <w:tc>
          <w:tcPr>
            <w:tcW w:w="403" w:type="pct"/>
            <w:noWrap/>
            <w:hideMark/>
          </w:tcPr>
          <w:p w14:paraId="3D7D599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1.24</w:t>
            </w:r>
          </w:p>
        </w:tc>
        <w:tc>
          <w:tcPr>
            <w:tcW w:w="403" w:type="pct"/>
            <w:noWrap/>
            <w:hideMark/>
          </w:tcPr>
          <w:p w14:paraId="0CE1D43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1.93</w:t>
            </w:r>
          </w:p>
        </w:tc>
        <w:tc>
          <w:tcPr>
            <w:tcW w:w="403" w:type="pct"/>
            <w:noWrap/>
            <w:hideMark/>
          </w:tcPr>
          <w:p w14:paraId="4E97E35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2.69</w:t>
            </w:r>
          </w:p>
        </w:tc>
        <w:tc>
          <w:tcPr>
            <w:tcW w:w="403" w:type="pct"/>
            <w:noWrap/>
            <w:hideMark/>
          </w:tcPr>
          <w:p w14:paraId="33F9E09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2.67</w:t>
            </w:r>
          </w:p>
        </w:tc>
        <w:tc>
          <w:tcPr>
            <w:tcW w:w="403" w:type="pct"/>
            <w:noWrap/>
            <w:hideMark/>
          </w:tcPr>
          <w:p w14:paraId="1428F19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2.66</w:t>
            </w:r>
          </w:p>
        </w:tc>
        <w:tc>
          <w:tcPr>
            <w:tcW w:w="403" w:type="pct"/>
            <w:noWrap/>
            <w:hideMark/>
          </w:tcPr>
          <w:p w14:paraId="01C922A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2.66</w:t>
            </w:r>
          </w:p>
        </w:tc>
        <w:tc>
          <w:tcPr>
            <w:tcW w:w="403" w:type="pct"/>
            <w:noWrap/>
            <w:hideMark/>
          </w:tcPr>
          <w:p w14:paraId="1C43DAC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2.65</w:t>
            </w:r>
          </w:p>
        </w:tc>
        <w:tc>
          <w:tcPr>
            <w:tcW w:w="403" w:type="pct"/>
            <w:noWrap/>
            <w:hideMark/>
          </w:tcPr>
          <w:p w14:paraId="722CEA4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2.65</w:t>
            </w:r>
          </w:p>
        </w:tc>
      </w:tr>
      <w:tr w:rsidR="005B4457" w:rsidRPr="000D5DA5" w14:paraId="6AEA9E13"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569" w:type="pct"/>
            <w:noWrap/>
            <w:hideMark/>
          </w:tcPr>
          <w:p w14:paraId="4C6D8A3A"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 </w:t>
            </w:r>
          </w:p>
        </w:tc>
        <w:tc>
          <w:tcPr>
            <w:tcW w:w="403" w:type="pct"/>
            <w:noWrap/>
            <w:hideMark/>
          </w:tcPr>
          <w:p w14:paraId="215CBF6B"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p>
        </w:tc>
        <w:tc>
          <w:tcPr>
            <w:tcW w:w="403" w:type="pct"/>
            <w:noWrap/>
            <w:hideMark/>
          </w:tcPr>
          <w:p w14:paraId="7E28385F"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68077FCF"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02BF063D"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755F040F"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592BB29B"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7C6FB826"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64F893D2"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2F4BCF9C"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0A6851DE"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5F195BFB"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r>
      <w:tr w:rsidR="005B4457" w:rsidRPr="000D5DA5" w14:paraId="01E0C5D5"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569" w:type="pct"/>
            <w:noWrap/>
            <w:hideMark/>
          </w:tcPr>
          <w:p w14:paraId="45BF1C57" w14:textId="77777777" w:rsidR="005B4457" w:rsidRPr="000D5DA5" w:rsidRDefault="005B4457" w:rsidP="005B4457">
            <w:pPr>
              <w:rPr>
                <w:rFonts w:ascii="Calibri" w:eastAsia="Times New Roman" w:hAnsi="Calibri" w:cs="Calibri"/>
                <w:color w:val="000000"/>
                <w:u w:val="single"/>
                <w:lang w:eastAsia="en-AU"/>
              </w:rPr>
            </w:pPr>
            <w:r w:rsidRPr="000D5DA5">
              <w:rPr>
                <w:rFonts w:ascii="Calibri" w:eastAsia="Times New Roman" w:hAnsi="Calibri" w:cs="Calibri"/>
                <w:color w:val="000000"/>
                <w:u w:val="single"/>
                <w:lang w:eastAsia="en-AU"/>
              </w:rPr>
              <w:t>Labour supply</w:t>
            </w:r>
          </w:p>
        </w:tc>
        <w:tc>
          <w:tcPr>
            <w:tcW w:w="403" w:type="pct"/>
            <w:noWrap/>
            <w:hideMark/>
          </w:tcPr>
          <w:p w14:paraId="4FAEFC90"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AU"/>
              </w:rPr>
            </w:pPr>
          </w:p>
        </w:tc>
        <w:tc>
          <w:tcPr>
            <w:tcW w:w="403" w:type="pct"/>
            <w:noWrap/>
            <w:hideMark/>
          </w:tcPr>
          <w:p w14:paraId="071BFAAE"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576C9AEF"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7C80A5BA"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6E62C7C7"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5E971D32"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6647E366"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6EEBB0E5"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62EE3029"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66BA6F2E"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19483332"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r>
      <w:tr w:rsidR="005B4457" w:rsidRPr="000D5DA5" w14:paraId="48DE9528"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569" w:type="pct"/>
            <w:noWrap/>
            <w:hideMark/>
          </w:tcPr>
          <w:p w14:paraId="2712267E"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Male</w:t>
            </w:r>
          </w:p>
        </w:tc>
        <w:tc>
          <w:tcPr>
            <w:tcW w:w="403" w:type="pct"/>
            <w:noWrap/>
            <w:hideMark/>
          </w:tcPr>
          <w:p w14:paraId="7E5B666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403" w:type="pct"/>
            <w:noWrap/>
            <w:hideMark/>
          </w:tcPr>
          <w:p w14:paraId="1374317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403" w:type="pct"/>
            <w:noWrap/>
            <w:hideMark/>
          </w:tcPr>
          <w:p w14:paraId="6B9B91E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0.20</w:t>
            </w:r>
          </w:p>
        </w:tc>
        <w:tc>
          <w:tcPr>
            <w:tcW w:w="403" w:type="pct"/>
            <w:noWrap/>
            <w:hideMark/>
          </w:tcPr>
          <w:p w14:paraId="4A3930A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0.41</w:t>
            </w:r>
          </w:p>
        </w:tc>
        <w:tc>
          <w:tcPr>
            <w:tcW w:w="403" w:type="pct"/>
            <w:noWrap/>
            <w:hideMark/>
          </w:tcPr>
          <w:p w14:paraId="0F0D03B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0.62</w:t>
            </w:r>
          </w:p>
        </w:tc>
        <w:tc>
          <w:tcPr>
            <w:tcW w:w="403" w:type="pct"/>
            <w:noWrap/>
            <w:hideMark/>
          </w:tcPr>
          <w:p w14:paraId="0155278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0.83</w:t>
            </w:r>
          </w:p>
        </w:tc>
        <w:tc>
          <w:tcPr>
            <w:tcW w:w="403" w:type="pct"/>
            <w:noWrap/>
            <w:hideMark/>
          </w:tcPr>
          <w:p w14:paraId="3ADB276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0.82</w:t>
            </w:r>
          </w:p>
        </w:tc>
        <w:tc>
          <w:tcPr>
            <w:tcW w:w="403" w:type="pct"/>
            <w:noWrap/>
            <w:hideMark/>
          </w:tcPr>
          <w:p w14:paraId="0483C32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0.82</w:t>
            </w:r>
          </w:p>
        </w:tc>
        <w:tc>
          <w:tcPr>
            <w:tcW w:w="403" w:type="pct"/>
            <w:noWrap/>
            <w:hideMark/>
          </w:tcPr>
          <w:p w14:paraId="4DE2BCE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0.81</w:t>
            </w:r>
          </w:p>
        </w:tc>
        <w:tc>
          <w:tcPr>
            <w:tcW w:w="403" w:type="pct"/>
            <w:noWrap/>
            <w:hideMark/>
          </w:tcPr>
          <w:p w14:paraId="0E76E9C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0.81</w:t>
            </w:r>
          </w:p>
        </w:tc>
        <w:tc>
          <w:tcPr>
            <w:tcW w:w="403" w:type="pct"/>
            <w:noWrap/>
            <w:hideMark/>
          </w:tcPr>
          <w:p w14:paraId="02F33FA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0.81</w:t>
            </w:r>
          </w:p>
        </w:tc>
      </w:tr>
      <w:tr w:rsidR="005B4457" w:rsidRPr="000D5DA5" w14:paraId="4550D6B0"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569" w:type="pct"/>
            <w:noWrap/>
            <w:hideMark/>
          </w:tcPr>
          <w:p w14:paraId="1E0CFA0D"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Female</w:t>
            </w:r>
          </w:p>
        </w:tc>
        <w:tc>
          <w:tcPr>
            <w:tcW w:w="403" w:type="pct"/>
            <w:noWrap/>
            <w:hideMark/>
          </w:tcPr>
          <w:p w14:paraId="72E1790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403" w:type="pct"/>
            <w:noWrap/>
            <w:hideMark/>
          </w:tcPr>
          <w:p w14:paraId="4EECACC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403" w:type="pct"/>
            <w:noWrap/>
            <w:hideMark/>
          </w:tcPr>
          <w:p w14:paraId="68AD20C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0.93</w:t>
            </w:r>
          </w:p>
        </w:tc>
        <w:tc>
          <w:tcPr>
            <w:tcW w:w="403" w:type="pct"/>
            <w:noWrap/>
            <w:hideMark/>
          </w:tcPr>
          <w:p w14:paraId="54CFBEB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1.86</w:t>
            </w:r>
          </w:p>
        </w:tc>
        <w:tc>
          <w:tcPr>
            <w:tcW w:w="403" w:type="pct"/>
            <w:noWrap/>
            <w:hideMark/>
          </w:tcPr>
          <w:p w14:paraId="40D3A04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2.81</w:t>
            </w:r>
          </w:p>
        </w:tc>
        <w:tc>
          <w:tcPr>
            <w:tcW w:w="403" w:type="pct"/>
            <w:noWrap/>
            <w:hideMark/>
          </w:tcPr>
          <w:p w14:paraId="11B8E06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3.76</w:t>
            </w:r>
          </w:p>
        </w:tc>
        <w:tc>
          <w:tcPr>
            <w:tcW w:w="403" w:type="pct"/>
            <w:noWrap/>
            <w:hideMark/>
          </w:tcPr>
          <w:p w14:paraId="7C854E4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3.74</w:t>
            </w:r>
          </w:p>
        </w:tc>
        <w:tc>
          <w:tcPr>
            <w:tcW w:w="403" w:type="pct"/>
            <w:noWrap/>
            <w:hideMark/>
          </w:tcPr>
          <w:p w14:paraId="211977A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3.73</w:t>
            </w:r>
          </w:p>
        </w:tc>
        <w:tc>
          <w:tcPr>
            <w:tcW w:w="403" w:type="pct"/>
            <w:noWrap/>
            <w:hideMark/>
          </w:tcPr>
          <w:p w14:paraId="6910046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3.73</w:t>
            </w:r>
          </w:p>
        </w:tc>
        <w:tc>
          <w:tcPr>
            <w:tcW w:w="403" w:type="pct"/>
            <w:noWrap/>
            <w:hideMark/>
          </w:tcPr>
          <w:p w14:paraId="2686C3B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3.72</w:t>
            </w:r>
          </w:p>
        </w:tc>
        <w:tc>
          <w:tcPr>
            <w:tcW w:w="403" w:type="pct"/>
            <w:noWrap/>
            <w:hideMark/>
          </w:tcPr>
          <w:p w14:paraId="1B0FB99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3.72</w:t>
            </w:r>
          </w:p>
        </w:tc>
      </w:tr>
      <w:tr w:rsidR="005B4457" w:rsidRPr="000D5DA5" w14:paraId="6E8196D5"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569" w:type="pct"/>
            <w:noWrap/>
            <w:hideMark/>
          </w:tcPr>
          <w:p w14:paraId="4948F42E"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Persons</w:t>
            </w:r>
          </w:p>
        </w:tc>
        <w:tc>
          <w:tcPr>
            <w:tcW w:w="403" w:type="pct"/>
            <w:noWrap/>
            <w:hideMark/>
          </w:tcPr>
          <w:p w14:paraId="0ECC652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403" w:type="pct"/>
            <w:noWrap/>
            <w:hideMark/>
          </w:tcPr>
          <w:p w14:paraId="5252285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403" w:type="pct"/>
            <w:noWrap/>
            <w:hideMark/>
          </w:tcPr>
          <w:p w14:paraId="34E380C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0.55</w:t>
            </w:r>
          </w:p>
        </w:tc>
        <w:tc>
          <w:tcPr>
            <w:tcW w:w="403" w:type="pct"/>
            <w:noWrap/>
            <w:hideMark/>
          </w:tcPr>
          <w:p w14:paraId="16CF477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1.11</w:t>
            </w:r>
          </w:p>
        </w:tc>
        <w:tc>
          <w:tcPr>
            <w:tcW w:w="403" w:type="pct"/>
            <w:noWrap/>
            <w:hideMark/>
          </w:tcPr>
          <w:p w14:paraId="28F4F0B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1.67</w:t>
            </w:r>
          </w:p>
        </w:tc>
        <w:tc>
          <w:tcPr>
            <w:tcW w:w="403" w:type="pct"/>
            <w:noWrap/>
            <w:hideMark/>
          </w:tcPr>
          <w:p w14:paraId="57C3E34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2.24</w:t>
            </w:r>
          </w:p>
        </w:tc>
        <w:tc>
          <w:tcPr>
            <w:tcW w:w="403" w:type="pct"/>
            <w:noWrap/>
            <w:hideMark/>
          </w:tcPr>
          <w:p w14:paraId="10F27D6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2.22</w:t>
            </w:r>
          </w:p>
        </w:tc>
        <w:tc>
          <w:tcPr>
            <w:tcW w:w="403" w:type="pct"/>
            <w:noWrap/>
            <w:hideMark/>
          </w:tcPr>
          <w:p w14:paraId="41C26A4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2.22</w:t>
            </w:r>
          </w:p>
        </w:tc>
        <w:tc>
          <w:tcPr>
            <w:tcW w:w="403" w:type="pct"/>
            <w:noWrap/>
            <w:hideMark/>
          </w:tcPr>
          <w:p w14:paraId="5A74220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2.21</w:t>
            </w:r>
          </w:p>
        </w:tc>
        <w:tc>
          <w:tcPr>
            <w:tcW w:w="403" w:type="pct"/>
            <w:noWrap/>
            <w:hideMark/>
          </w:tcPr>
          <w:p w14:paraId="344A202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2.21</w:t>
            </w:r>
          </w:p>
        </w:tc>
        <w:tc>
          <w:tcPr>
            <w:tcW w:w="403" w:type="pct"/>
            <w:noWrap/>
            <w:hideMark/>
          </w:tcPr>
          <w:p w14:paraId="1AC0B8E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2.21</w:t>
            </w:r>
          </w:p>
        </w:tc>
      </w:tr>
      <w:tr w:rsidR="005B4457" w:rsidRPr="000D5DA5" w14:paraId="1F97C476"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569" w:type="pct"/>
            <w:noWrap/>
            <w:hideMark/>
          </w:tcPr>
          <w:p w14:paraId="7C845652"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 </w:t>
            </w:r>
          </w:p>
        </w:tc>
        <w:tc>
          <w:tcPr>
            <w:tcW w:w="403" w:type="pct"/>
            <w:noWrap/>
            <w:hideMark/>
          </w:tcPr>
          <w:p w14:paraId="7BF08C2F"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p>
        </w:tc>
        <w:tc>
          <w:tcPr>
            <w:tcW w:w="403" w:type="pct"/>
            <w:noWrap/>
            <w:hideMark/>
          </w:tcPr>
          <w:p w14:paraId="563EE5C7"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4601E320"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517328AD"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49EC5DD2"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0BD82D7D"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7F55D2F9"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1A8B8E00"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76D34D12"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234098C9"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00322A92"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r>
      <w:tr w:rsidR="005B4457" w:rsidRPr="000D5DA5" w14:paraId="5A4E8C7A"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569" w:type="pct"/>
            <w:noWrap/>
            <w:hideMark/>
          </w:tcPr>
          <w:p w14:paraId="1C5896CC" w14:textId="77777777" w:rsidR="005B4457" w:rsidRPr="000D5DA5" w:rsidRDefault="005B4457" w:rsidP="005B4457">
            <w:pPr>
              <w:rPr>
                <w:rFonts w:ascii="Calibri" w:eastAsia="Times New Roman" w:hAnsi="Calibri" w:cs="Calibri"/>
                <w:color w:val="000000"/>
                <w:u w:val="single"/>
                <w:lang w:eastAsia="en-AU"/>
              </w:rPr>
            </w:pPr>
            <w:r w:rsidRPr="000D5DA5">
              <w:rPr>
                <w:rFonts w:ascii="Calibri" w:eastAsia="Times New Roman" w:hAnsi="Calibri" w:cs="Calibri"/>
                <w:color w:val="000000"/>
                <w:u w:val="single"/>
                <w:lang w:eastAsia="en-AU"/>
              </w:rPr>
              <w:t>Employment</w:t>
            </w:r>
          </w:p>
        </w:tc>
        <w:tc>
          <w:tcPr>
            <w:tcW w:w="403" w:type="pct"/>
            <w:noWrap/>
            <w:hideMark/>
          </w:tcPr>
          <w:p w14:paraId="0D9DCD41"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AU"/>
              </w:rPr>
            </w:pPr>
          </w:p>
        </w:tc>
        <w:tc>
          <w:tcPr>
            <w:tcW w:w="403" w:type="pct"/>
            <w:noWrap/>
            <w:hideMark/>
          </w:tcPr>
          <w:p w14:paraId="79D7F27A"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6C7E378A"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4125A7D6"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5CA49C93"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32179975"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4E66E01D"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5BB0A4BB"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22AC7EDD"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4E8BB176"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6023D927"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r>
      <w:tr w:rsidR="005B4457" w:rsidRPr="000D5DA5" w14:paraId="021A38D8"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569" w:type="pct"/>
            <w:noWrap/>
            <w:hideMark/>
          </w:tcPr>
          <w:p w14:paraId="126FFFF6"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Male</w:t>
            </w:r>
          </w:p>
        </w:tc>
        <w:tc>
          <w:tcPr>
            <w:tcW w:w="403" w:type="pct"/>
            <w:noWrap/>
            <w:hideMark/>
          </w:tcPr>
          <w:p w14:paraId="6DBB397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403" w:type="pct"/>
            <w:noWrap/>
            <w:hideMark/>
          </w:tcPr>
          <w:p w14:paraId="42984D7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0.02</w:t>
            </w:r>
          </w:p>
        </w:tc>
        <w:tc>
          <w:tcPr>
            <w:tcW w:w="403" w:type="pct"/>
            <w:noWrap/>
            <w:hideMark/>
          </w:tcPr>
          <w:p w14:paraId="67DFBF5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-0.11</w:t>
            </w:r>
          </w:p>
        </w:tc>
        <w:tc>
          <w:tcPr>
            <w:tcW w:w="403" w:type="pct"/>
            <w:noWrap/>
            <w:hideMark/>
          </w:tcPr>
          <w:p w14:paraId="0DBC5DE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-0.06</w:t>
            </w:r>
          </w:p>
        </w:tc>
        <w:tc>
          <w:tcPr>
            <w:tcW w:w="403" w:type="pct"/>
            <w:noWrap/>
            <w:hideMark/>
          </w:tcPr>
          <w:p w14:paraId="0E6B0C9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0.06</w:t>
            </w:r>
          </w:p>
        </w:tc>
        <w:tc>
          <w:tcPr>
            <w:tcW w:w="403" w:type="pct"/>
            <w:noWrap/>
            <w:hideMark/>
          </w:tcPr>
          <w:p w14:paraId="3BCF7E2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0.23</w:t>
            </w:r>
          </w:p>
        </w:tc>
        <w:tc>
          <w:tcPr>
            <w:tcW w:w="403" w:type="pct"/>
            <w:noWrap/>
            <w:hideMark/>
          </w:tcPr>
          <w:p w14:paraId="2227BB4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0.39</w:t>
            </w:r>
          </w:p>
        </w:tc>
        <w:tc>
          <w:tcPr>
            <w:tcW w:w="403" w:type="pct"/>
            <w:noWrap/>
            <w:hideMark/>
          </w:tcPr>
          <w:p w14:paraId="6949024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0.54</w:t>
            </w:r>
          </w:p>
        </w:tc>
        <w:tc>
          <w:tcPr>
            <w:tcW w:w="403" w:type="pct"/>
            <w:noWrap/>
            <w:hideMark/>
          </w:tcPr>
          <w:p w14:paraId="30E8B24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0.64</w:t>
            </w:r>
          </w:p>
        </w:tc>
        <w:tc>
          <w:tcPr>
            <w:tcW w:w="403" w:type="pct"/>
            <w:noWrap/>
            <w:hideMark/>
          </w:tcPr>
          <w:p w14:paraId="6A0B79B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0.72</w:t>
            </w:r>
          </w:p>
        </w:tc>
        <w:tc>
          <w:tcPr>
            <w:tcW w:w="403" w:type="pct"/>
            <w:noWrap/>
            <w:hideMark/>
          </w:tcPr>
          <w:p w14:paraId="55498FB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0.78</w:t>
            </w:r>
          </w:p>
        </w:tc>
      </w:tr>
      <w:tr w:rsidR="005B4457" w:rsidRPr="000D5DA5" w14:paraId="3F4D27D5"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569" w:type="pct"/>
            <w:noWrap/>
            <w:hideMark/>
          </w:tcPr>
          <w:p w14:paraId="43036B25"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Female</w:t>
            </w:r>
          </w:p>
        </w:tc>
        <w:tc>
          <w:tcPr>
            <w:tcW w:w="403" w:type="pct"/>
            <w:noWrap/>
            <w:hideMark/>
          </w:tcPr>
          <w:p w14:paraId="7532388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403" w:type="pct"/>
            <w:noWrap/>
            <w:hideMark/>
          </w:tcPr>
          <w:p w14:paraId="22AF1B2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0.02</w:t>
            </w:r>
          </w:p>
        </w:tc>
        <w:tc>
          <w:tcPr>
            <w:tcW w:w="403" w:type="pct"/>
            <w:noWrap/>
            <w:hideMark/>
          </w:tcPr>
          <w:p w14:paraId="32B0D8D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0.61</w:t>
            </w:r>
          </w:p>
        </w:tc>
        <w:tc>
          <w:tcPr>
            <w:tcW w:w="403" w:type="pct"/>
            <w:noWrap/>
            <w:hideMark/>
          </w:tcPr>
          <w:p w14:paraId="457C9D9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1.39</w:t>
            </w:r>
          </w:p>
        </w:tc>
        <w:tc>
          <w:tcPr>
            <w:tcW w:w="403" w:type="pct"/>
            <w:noWrap/>
            <w:hideMark/>
          </w:tcPr>
          <w:p w14:paraId="58B71EC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2.23</w:t>
            </w:r>
          </w:p>
        </w:tc>
        <w:tc>
          <w:tcPr>
            <w:tcW w:w="403" w:type="pct"/>
            <w:noWrap/>
            <w:hideMark/>
          </w:tcPr>
          <w:p w14:paraId="042549A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3.14</w:t>
            </w:r>
          </w:p>
        </w:tc>
        <w:tc>
          <w:tcPr>
            <w:tcW w:w="403" w:type="pct"/>
            <w:noWrap/>
            <w:hideMark/>
          </w:tcPr>
          <w:p w14:paraId="2586974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3.30</w:t>
            </w:r>
          </w:p>
        </w:tc>
        <w:tc>
          <w:tcPr>
            <w:tcW w:w="403" w:type="pct"/>
            <w:noWrap/>
            <w:hideMark/>
          </w:tcPr>
          <w:p w14:paraId="376761C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3.44</w:t>
            </w:r>
          </w:p>
        </w:tc>
        <w:tc>
          <w:tcPr>
            <w:tcW w:w="403" w:type="pct"/>
            <w:noWrap/>
            <w:hideMark/>
          </w:tcPr>
          <w:p w14:paraId="141FE6D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3.55</w:t>
            </w:r>
          </w:p>
        </w:tc>
        <w:tc>
          <w:tcPr>
            <w:tcW w:w="403" w:type="pct"/>
            <w:noWrap/>
            <w:hideMark/>
          </w:tcPr>
          <w:p w14:paraId="26E7992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3.63</w:t>
            </w:r>
          </w:p>
        </w:tc>
        <w:tc>
          <w:tcPr>
            <w:tcW w:w="403" w:type="pct"/>
            <w:noWrap/>
            <w:hideMark/>
          </w:tcPr>
          <w:p w14:paraId="1DEA445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3.69</w:t>
            </w:r>
          </w:p>
        </w:tc>
      </w:tr>
      <w:tr w:rsidR="005B4457" w:rsidRPr="000D5DA5" w14:paraId="0E846615"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569" w:type="pct"/>
            <w:noWrap/>
            <w:hideMark/>
          </w:tcPr>
          <w:p w14:paraId="0DFDE8E1"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Persons</w:t>
            </w:r>
          </w:p>
        </w:tc>
        <w:tc>
          <w:tcPr>
            <w:tcW w:w="403" w:type="pct"/>
            <w:noWrap/>
            <w:hideMark/>
          </w:tcPr>
          <w:p w14:paraId="60DBB2B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403" w:type="pct"/>
            <w:noWrap/>
            <w:hideMark/>
          </w:tcPr>
          <w:p w14:paraId="6762F78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0.02</w:t>
            </w:r>
          </w:p>
        </w:tc>
        <w:tc>
          <w:tcPr>
            <w:tcW w:w="403" w:type="pct"/>
            <w:noWrap/>
            <w:hideMark/>
          </w:tcPr>
          <w:p w14:paraId="5ABFF8D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0.23</w:t>
            </w:r>
          </w:p>
        </w:tc>
        <w:tc>
          <w:tcPr>
            <w:tcW w:w="403" w:type="pct"/>
            <w:noWrap/>
            <w:hideMark/>
          </w:tcPr>
          <w:p w14:paraId="11B9824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0.64</w:t>
            </w:r>
          </w:p>
        </w:tc>
        <w:tc>
          <w:tcPr>
            <w:tcW w:w="403" w:type="pct"/>
            <w:noWrap/>
            <w:hideMark/>
          </w:tcPr>
          <w:p w14:paraId="14C6DC0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1.10</w:t>
            </w:r>
          </w:p>
        </w:tc>
        <w:tc>
          <w:tcPr>
            <w:tcW w:w="403" w:type="pct"/>
            <w:noWrap/>
            <w:hideMark/>
          </w:tcPr>
          <w:p w14:paraId="2BF36E9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1.63</w:t>
            </w:r>
          </w:p>
        </w:tc>
        <w:tc>
          <w:tcPr>
            <w:tcW w:w="403" w:type="pct"/>
            <w:noWrap/>
            <w:hideMark/>
          </w:tcPr>
          <w:p w14:paraId="34E5F78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1.79</w:t>
            </w:r>
          </w:p>
        </w:tc>
        <w:tc>
          <w:tcPr>
            <w:tcW w:w="403" w:type="pct"/>
            <w:noWrap/>
            <w:hideMark/>
          </w:tcPr>
          <w:p w14:paraId="75561F7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1.93</w:t>
            </w:r>
          </w:p>
        </w:tc>
        <w:tc>
          <w:tcPr>
            <w:tcW w:w="403" w:type="pct"/>
            <w:noWrap/>
            <w:hideMark/>
          </w:tcPr>
          <w:p w14:paraId="0401996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2.04</w:t>
            </w:r>
          </w:p>
        </w:tc>
        <w:tc>
          <w:tcPr>
            <w:tcW w:w="403" w:type="pct"/>
            <w:noWrap/>
            <w:hideMark/>
          </w:tcPr>
          <w:p w14:paraId="4C67E73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2.12</w:t>
            </w:r>
          </w:p>
        </w:tc>
        <w:tc>
          <w:tcPr>
            <w:tcW w:w="403" w:type="pct"/>
            <w:noWrap/>
            <w:hideMark/>
          </w:tcPr>
          <w:p w14:paraId="491D925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2.18</w:t>
            </w:r>
          </w:p>
        </w:tc>
      </w:tr>
      <w:tr w:rsidR="005B4457" w:rsidRPr="000D5DA5" w14:paraId="27B96435"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569" w:type="pct"/>
            <w:noWrap/>
            <w:hideMark/>
          </w:tcPr>
          <w:p w14:paraId="084CEFE0"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 </w:t>
            </w:r>
          </w:p>
        </w:tc>
        <w:tc>
          <w:tcPr>
            <w:tcW w:w="403" w:type="pct"/>
            <w:noWrap/>
            <w:hideMark/>
          </w:tcPr>
          <w:p w14:paraId="0A9B195A"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p>
        </w:tc>
        <w:tc>
          <w:tcPr>
            <w:tcW w:w="403" w:type="pct"/>
            <w:noWrap/>
            <w:hideMark/>
          </w:tcPr>
          <w:p w14:paraId="7B285547"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555C7EDA"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587B46FD"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0C5F30EE"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3AE4C5D8"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7586CFD3"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4FDFC21E"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5626EB76"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2E2403A8"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36AD0C30"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r>
      <w:tr w:rsidR="005B4457" w:rsidRPr="000D5DA5" w14:paraId="2A3BD0EA"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569" w:type="pct"/>
            <w:noWrap/>
            <w:hideMark/>
          </w:tcPr>
          <w:p w14:paraId="0E4605C5" w14:textId="77777777" w:rsidR="005B4457" w:rsidRPr="000D5DA5" w:rsidRDefault="005B4457" w:rsidP="005B4457">
            <w:pPr>
              <w:rPr>
                <w:rFonts w:ascii="Calibri" w:eastAsia="Times New Roman" w:hAnsi="Calibri" w:cs="Calibri"/>
                <w:color w:val="000000"/>
                <w:u w:val="single"/>
                <w:lang w:eastAsia="en-AU"/>
              </w:rPr>
            </w:pPr>
            <w:r w:rsidRPr="000D5DA5">
              <w:rPr>
                <w:rFonts w:ascii="Calibri" w:eastAsia="Times New Roman" w:hAnsi="Calibri" w:cs="Calibri"/>
                <w:color w:val="000000"/>
                <w:u w:val="single"/>
                <w:lang w:eastAsia="en-AU"/>
              </w:rPr>
              <w:t>Labour income</w:t>
            </w:r>
          </w:p>
        </w:tc>
        <w:tc>
          <w:tcPr>
            <w:tcW w:w="403" w:type="pct"/>
            <w:noWrap/>
            <w:hideMark/>
          </w:tcPr>
          <w:p w14:paraId="2F58191B"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AU"/>
              </w:rPr>
            </w:pPr>
          </w:p>
        </w:tc>
        <w:tc>
          <w:tcPr>
            <w:tcW w:w="403" w:type="pct"/>
            <w:noWrap/>
            <w:hideMark/>
          </w:tcPr>
          <w:p w14:paraId="61C7DFAC"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4BDCB289"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6CB9FE92"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366807D9"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5001DD62"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7296D25D"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1F112ADB"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70A5CAC7"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23612F7A"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62672679"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r>
      <w:tr w:rsidR="005B4457" w:rsidRPr="000D5DA5" w14:paraId="527732C5"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569" w:type="pct"/>
            <w:noWrap/>
            <w:hideMark/>
          </w:tcPr>
          <w:p w14:paraId="53CA7C7F"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Male</w:t>
            </w:r>
          </w:p>
        </w:tc>
        <w:tc>
          <w:tcPr>
            <w:tcW w:w="403" w:type="pct"/>
            <w:noWrap/>
            <w:hideMark/>
          </w:tcPr>
          <w:p w14:paraId="1A16E5A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403" w:type="pct"/>
            <w:noWrap/>
            <w:hideMark/>
          </w:tcPr>
          <w:p w14:paraId="7B754FD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0.03</w:t>
            </w:r>
          </w:p>
        </w:tc>
        <w:tc>
          <w:tcPr>
            <w:tcW w:w="403" w:type="pct"/>
            <w:noWrap/>
            <w:hideMark/>
          </w:tcPr>
          <w:p w14:paraId="5E850E4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-0.21</w:t>
            </w:r>
          </w:p>
        </w:tc>
        <w:tc>
          <w:tcPr>
            <w:tcW w:w="403" w:type="pct"/>
            <w:noWrap/>
            <w:hideMark/>
          </w:tcPr>
          <w:p w14:paraId="31826B2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-0.30</w:t>
            </w:r>
          </w:p>
        </w:tc>
        <w:tc>
          <w:tcPr>
            <w:tcW w:w="403" w:type="pct"/>
            <w:noWrap/>
            <w:hideMark/>
          </w:tcPr>
          <w:p w14:paraId="73548B9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-0.36</w:t>
            </w:r>
          </w:p>
        </w:tc>
        <w:tc>
          <w:tcPr>
            <w:tcW w:w="403" w:type="pct"/>
            <w:noWrap/>
            <w:hideMark/>
          </w:tcPr>
          <w:p w14:paraId="0D7BAE9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-0.39</w:t>
            </w:r>
          </w:p>
        </w:tc>
        <w:tc>
          <w:tcPr>
            <w:tcW w:w="403" w:type="pct"/>
            <w:noWrap/>
            <w:hideMark/>
          </w:tcPr>
          <w:p w14:paraId="5CE6B4F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-0.41</w:t>
            </w:r>
          </w:p>
        </w:tc>
        <w:tc>
          <w:tcPr>
            <w:tcW w:w="403" w:type="pct"/>
            <w:noWrap/>
            <w:hideMark/>
          </w:tcPr>
          <w:p w14:paraId="19BA6D0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-0.37</w:t>
            </w:r>
          </w:p>
        </w:tc>
        <w:tc>
          <w:tcPr>
            <w:tcW w:w="403" w:type="pct"/>
            <w:noWrap/>
            <w:hideMark/>
          </w:tcPr>
          <w:p w14:paraId="1FF6AAC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-0.33</w:t>
            </w:r>
          </w:p>
        </w:tc>
        <w:tc>
          <w:tcPr>
            <w:tcW w:w="403" w:type="pct"/>
            <w:noWrap/>
            <w:hideMark/>
          </w:tcPr>
          <w:p w14:paraId="55031F7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-0.28</w:t>
            </w:r>
          </w:p>
        </w:tc>
        <w:tc>
          <w:tcPr>
            <w:tcW w:w="403" w:type="pct"/>
            <w:noWrap/>
            <w:hideMark/>
          </w:tcPr>
          <w:p w14:paraId="73DBCDE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-0.23</w:t>
            </w:r>
          </w:p>
        </w:tc>
      </w:tr>
      <w:tr w:rsidR="005B4457" w:rsidRPr="000D5DA5" w14:paraId="6A4D160D"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569" w:type="pct"/>
            <w:noWrap/>
            <w:hideMark/>
          </w:tcPr>
          <w:p w14:paraId="41E38236"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Female</w:t>
            </w:r>
          </w:p>
        </w:tc>
        <w:tc>
          <w:tcPr>
            <w:tcW w:w="403" w:type="pct"/>
            <w:noWrap/>
            <w:hideMark/>
          </w:tcPr>
          <w:p w14:paraId="500738D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403" w:type="pct"/>
            <w:noWrap/>
            <w:hideMark/>
          </w:tcPr>
          <w:p w14:paraId="401D820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0.02</w:t>
            </w:r>
          </w:p>
        </w:tc>
        <w:tc>
          <w:tcPr>
            <w:tcW w:w="403" w:type="pct"/>
            <w:noWrap/>
            <w:hideMark/>
          </w:tcPr>
          <w:p w14:paraId="4712172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0.68</w:t>
            </w:r>
          </w:p>
        </w:tc>
        <w:tc>
          <w:tcPr>
            <w:tcW w:w="403" w:type="pct"/>
            <w:noWrap/>
            <w:hideMark/>
          </w:tcPr>
          <w:p w14:paraId="1C0F912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1.46</w:t>
            </w:r>
          </w:p>
        </w:tc>
        <w:tc>
          <w:tcPr>
            <w:tcW w:w="403" w:type="pct"/>
            <w:noWrap/>
            <w:hideMark/>
          </w:tcPr>
          <w:p w14:paraId="1C41734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2.28</w:t>
            </w:r>
          </w:p>
        </w:tc>
        <w:tc>
          <w:tcPr>
            <w:tcW w:w="403" w:type="pct"/>
            <w:noWrap/>
            <w:hideMark/>
          </w:tcPr>
          <w:p w14:paraId="15EFE49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3.16</w:t>
            </w:r>
          </w:p>
        </w:tc>
        <w:tc>
          <w:tcPr>
            <w:tcW w:w="403" w:type="pct"/>
            <w:noWrap/>
            <w:hideMark/>
          </w:tcPr>
          <w:p w14:paraId="2F20B25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3.09</w:t>
            </w:r>
          </w:p>
        </w:tc>
        <w:tc>
          <w:tcPr>
            <w:tcW w:w="403" w:type="pct"/>
            <w:noWrap/>
            <w:hideMark/>
          </w:tcPr>
          <w:p w14:paraId="1465C23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3.08</w:t>
            </w:r>
          </w:p>
        </w:tc>
        <w:tc>
          <w:tcPr>
            <w:tcW w:w="403" w:type="pct"/>
            <w:noWrap/>
            <w:hideMark/>
          </w:tcPr>
          <w:p w14:paraId="1ED97ED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3.10</w:t>
            </w:r>
          </w:p>
        </w:tc>
        <w:tc>
          <w:tcPr>
            <w:tcW w:w="403" w:type="pct"/>
            <w:noWrap/>
            <w:hideMark/>
          </w:tcPr>
          <w:p w14:paraId="18E2FDE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3.13</w:t>
            </w:r>
          </w:p>
        </w:tc>
        <w:tc>
          <w:tcPr>
            <w:tcW w:w="403" w:type="pct"/>
            <w:noWrap/>
            <w:hideMark/>
          </w:tcPr>
          <w:p w14:paraId="573368E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3.17</w:t>
            </w:r>
          </w:p>
        </w:tc>
      </w:tr>
      <w:tr w:rsidR="005B4457" w:rsidRPr="000D5DA5" w14:paraId="76D9DC0E"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569" w:type="pct"/>
            <w:noWrap/>
            <w:hideMark/>
          </w:tcPr>
          <w:p w14:paraId="2A53D547"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Persons</w:t>
            </w:r>
          </w:p>
        </w:tc>
        <w:tc>
          <w:tcPr>
            <w:tcW w:w="403" w:type="pct"/>
            <w:noWrap/>
            <w:hideMark/>
          </w:tcPr>
          <w:p w14:paraId="6D29D57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403" w:type="pct"/>
            <w:noWrap/>
            <w:hideMark/>
          </w:tcPr>
          <w:p w14:paraId="78F00E4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0.03</w:t>
            </w:r>
          </w:p>
        </w:tc>
        <w:tc>
          <w:tcPr>
            <w:tcW w:w="403" w:type="pct"/>
            <w:noWrap/>
            <w:hideMark/>
          </w:tcPr>
          <w:p w14:paraId="2C617D6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0.22</w:t>
            </w:r>
          </w:p>
        </w:tc>
        <w:tc>
          <w:tcPr>
            <w:tcW w:w="403" w:type="pct"/>
            <w:noWrap/>
            <w:hideMark/>
          </w:tcPr>
          <w:p w14:paraId="3314EC1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0.55</w:t>
            </w:r>
          </w:p>
        </w:tc>
        <w:tc>
          <w:tcPr>
            <w:tcW w:w="403" w:type="pct"/>
            <w:noWrap/>
            <w:hideMark/>
          </w:tcPr>
          <w:p w14:paraId="44B27BC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0.91</w:t>
            </w:r>
          </w:p>
        </w:tc>
        <w:tc>
          <w:tcPr>
            <w:tcW w:w="403" w:type="pct"/>
            <w:noWrap/>
            <w:hideMark/>
          </w:tcPr>
          <w:p w14:paraId="0E44904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1.32</w:t>
            </w:r>
          </w:p>
        </w:tc>
        <w:tc>
          <w:tcPr>
            <w:tcW w:w="403" w:type="pct"/>
            <w:noWrap/>
            <w:hideMark/>
          </w:tcPr>
          <w:p w14:paraId="7760236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1.27</w:t>
            </w:r>
          </w:p>
        </w:tc>
        <w:tc>
          <w:tcPr>
            <w:tcW w:w="403" w:type="pct"/>
            <w:noWrap/>
            <w:hideMark/>
          </w:tcPr>
          <w:p w14:paraId="3E3BDD7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1.29</w:t>
            </w:r>
          </w:p>
        </w:tc>
        <w:tc>
          <w:tcPr>
            <w:tcW w:w="403" w:type="pct"/>
            <w:noWrap/>
            <w:hideMark/>
          </w:tcPr>
          <w:p w14:paraId="19AB37F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1.32</w:t>
            </w:r>
          </w:p>
        </w:tc>
        <w:tc>
          <w:tcPr>
            <w:tcW w:w="403" w:type="pct"/>
            <w:noWrap/>
            <w:hideMark/>
          </w:tcPr>
          <w:p w14:paraId="588E67C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1.36</w:t>
            </w:r>
          </w:p>
        </w:tc>
        <w:tc>
          <w:tcPr>
            <w:tcW w:w="403" w:type="pct"/>
            <w:noWrap/>
            <w:hideMark/>
          </w:tcPr>
          <w:p w14:paraId="6A310D5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1.41</w:t>
            </w:r>
          </w:p>
        </w:tc>
      </w:tr>
      <w:tr w:rsidR="005B4457" w:rsidRPr="000D5DA5" w14:paraId="6D8C2024"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569" w:type="pct"/>
            <w:noWrap/>
            <w:hideMark/>
          </w:tcPr>
          <w:p w14:paraId="1EDC054A"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 </w:t>
            </w:r>
          </w:p>
        </w:tc>
        <w:tc>
          <w:tcPr>
            <w:tcW w:w="403" w:type="pct"/>
            <w:noWrap/>
            <w:hideMark/>
          </w:tcPr>
          <w:p w14:paraId="79C3B9A0"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p>
        </w:tc>
        <w:tc>
          <w:tcPr>
            <w:tcW w:w="403" w:type="pct"/>
            <w:noWrap/>
            <w:hideMark/>
          </w:tcPr>
          <w:p w14:paraId="64B535D8"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16DF9017"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19A7760F"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4868DDAA"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7A0C8FC8"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4EF4E15E"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2376BAC7"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1CE81FCA"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10184467"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403" w:type="pct"/>
            <w:noWrap/>
            <w:hideMark/>
          </w:tcPr>
          <w:p w14:paraId="0E04E9DB"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r>
      <w:tr w:rsidR="005B4457" w:rsidRPr="000D5DA5" w14:paraId="2151049C"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569" w:type="pct"/>
            <w:noWrap/>
            <w:hideMark/>
          </w:tcPr>
          <w:p w14:paraId="33B9FE03"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Government budget balance ($m)</w:t>
            </w:r>
          </w:p>
        </w:tc>
        <w:tc>
          <w:tcPr>
            <w:tcW w:w="403" w:type="pct"/>
            <w:noWrap/>
            <w:hideMark/>
          </w:tcPr>
          <w:p w14:paraId="0152998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w:t>
            </w:r>
          </w:p>
        </w:tc>
        <w:tc>
          <w:tcPr>
            <w:tcW w:w="403" w:type="pct"/>
            <w:noWrap/>
            <w:hideMark/>
          </w:tcPr>
          <w:p w14:paraId="58D87AC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-360</w:t>
            </w:r>
          </w:p>
        </w:tc>
        <w:tc>
          <w:tcPr>
            <w:tcW w:w="403" w:type="pct"/>
            <w:noWrap/>
            <w:hideMark/>
          </w:tcPr>
          <w:p w14:paraId="03EA062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1667</w:t>
            </w:r>
          </w:p>
        </w:tc>
        <w:tc>
          <w:tcPr>
            <w:tcW w:w="403" w:type="pct"/>
            <w:noWrap/>
            <w:hideMark/>
          </w:tcPr>
          <w:p w14:paraId="43F9A78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186</w:t>
            </w:r>
          </w:p>
        </w:tc>
        <w:tc>
          <w:tcPr>
            <w:tcW w:w="403" w:type="pct"/>
            <w:noWrap/>
            <w:hideMark/>
          </w:tcPr>
          <w:p w14:paraId="5B9DD9B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-1318</w:t>
            </w:r>
          </w:p>
        </w:tc>
        <w:tc>
          <w:tcPr>
            <w:tcW w:w="403" w:type="pct"/>
            <w:noWrap/>
            <w:hideMark/>
          </w:tcPr>
          <w:p w14:paraId="51B50C6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-2963</w:t>
            </w:r>
          </w:p>
        </w:tc>
        <w:tc>
          <w:tcPr>
            <w:tcW w:w="403" w:type="pct"/>
            <w:noWrap/>
            <w:hideMark/>
          </w:tcPr>
          <w:p w14:paraId="29A8BE1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-1204</w:t>
            </w:r>
          </w:p>
        </w:tc>
        <w:tc>
          <w:tcPr>
            <w:tcW w:w="403" w:type="pct"/>
            <w:noWrap/>
            <w:hideMark/>
          </w:tcPr>
          <w:p w14:paraId="4991D59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-165</w:t>
            </w:r>
          </w:p>
        </w:tc>
        <w:tc>
          <w:tcPr>
            <w:tcW w:w="403" w:type="pct"/>
            <w:noWrap/>
            <w:hideMark/>
          </w:tcPr>
          <w:p w14:paraId="7ABCF6F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622</w:t>
            </w:r>
          </w:p>
        </w:tc>
        <w:tc>
          <w:tcPr>
            <w:tcW w:w="403" w:type="pct"/>
            <w:noWrap/>
            <w:hideMark/>
          </w:tcPr>
          <w:p w14:paraId="3E5C845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1218</w:t>
            </w:r>
          </w:p>
        </w:tc>
        <w:tc>
          <w:tcPr>
            <w:tcW w:w="403" w:type="pct"/>
            <w:noWrap/>
            <w:hideMark/>
          </w:tcPr>
          <w:p w14:paraId="7E4E6A4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1670</w:t>
            </w:r>
          </w:p>
        </w:tc>
      </w:tr>
    </w:tbl>
    <w:p w14:paraId="3C2A993B" w14:textId="77777777" w:rsidR="005B4457" w:rsidRDefault="005B4457" w:rsidP="005B4457"/>
    <w:p w14:paraId="49454DFD" w14:textId="77777777" w:rsidR="005B4457" w:rsidRDefault="005B4457" w:rsidP="005B4457">
      <w:pPr>
        <w:pStyle w:val="Caption"/>
      </w:pPr>
      <w:r>
        <w:br w:type="page"/>
      </w:r>
    </w:p>
    <w:p w14:paraId="02CDCFC9" w14:textId="77777777" w:rsidR="005B4457" w:rsidRDefault="005B4457" w:rsidP="005B4457">
      <w:pPr>
        <w:pStyle w:val="Caption"/>
      </w:pPr>
      <w:r>
        <w:t xml:space="preserve">Table </w:t>
      </w:r>
      <w:r w:rsidR="00FA34A4">
        <w:fldChar w:fldCharType="begin"/>
      </w:r>
      <w:r w:rsidR="00FA34A4">
        <w:instrText xml:space="preserve"> SEQ Table \* ARABIC </w:instrText>
      </w:r>
      <w:r w:rsidR="00FA34A4">
        <w:fldChar w:fldCharType="separate"/>
      </w:r>
      <w:r>
        <w:rPr>
          <w:noProof/>
        </w:rPr>
        <w:t>6</w:t>
      </w:r>
      <w:r w:rsidR="00FA34A4">
        <w:rPr>
          <w:noProof/>
        </w:rPr>
        <w:fldChar w:fldCharType="end"/>
      </w:r>
      <w:r>
        <w:t xml:space="preserve">: </w:t>
      </w:r>
      <w:r w:rsidRPr="00AF6C0B">
        <w:t>Scenario 2 Industry results</w:t>
      </w:r>
      <w:r>
        <w:t xml:space="preserve"> (percentage deviation from base case)</w:t>
      </w:r>
    </w:p>
    <w:tbl>
      <w:tblPr>
        <w:tblStyle w:val="GridTable1Light"/>
        <w:tblW w:w="5000" w:type="pct"/>
        <w:tblLook w:val="04A0" w:firstRow="1" w:lastRow="0" w:firstColumn="1" w:lastColumn="0" w:noHBand="0" w:noVBand="1"/>
      </w:tblPr>
      <w:tblGrid>
        <w:gridCol w:w="3960"/>
        <w:gridCol w:w="1039"/>
        <w:gridCol w:w="1039"/>
        <w:gridCol w:w="1039"/>
        <w:gridCol w:w="1039"/>
        <w:gridCol w:w="1039"/>
        <w:gridCol w:w="1039"/>
        <w:gridCol w:w="1040"/>
        <w:gridCol w:w="1040"/>
        <w:gridCol w:w="1040"/>
        <w:gridCol w:w="1040"/>
        <w:gridCol w:w="1034"/>
      </w:tblGrid>
      <w:tr w:rsidR="005B4457" w:rsidRPr="000D5DA5" w14:paraId="2E61243F" w14:textId="77777777" w:rsidTr="005B445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1" w:type="pct"/>
            <w:noWrap/>
            <w:hideMark/>
          </w:tcPr>
          <w:p w14:paraId="2CA90293"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 </w:t>
            </w:r>
          </w:p>
        </w:tc>
        <w:tc>
          <w:tcPr>
            <w:tcW w:w="391" w:type="pct"/>
            <w:noWrap/>
            <w:hideMark/>
          </w:tcPr>
          <w:p w14:paraId="6AD48FDA"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2020</w:t>
            </w:r>
          </w:p>
        </w:tc>
        <w:tc>
          <w:tcPr>
            <w:tcW w:w="391" w:type="pct"/>
            <w:noWrap/>
            <w:hideMark/>
          </w:tcPr>
          <w:p w14:paraId="779F95DA"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2021</w:t>
            </w:r>
          </w:p>
        </w:tc>
        <w:tc>
          <w:tcPr>
            <w:tcW w:w="391" w:type="pct"/>
            <w:noWrap/>
            <w:hideMark/>
          </w:tcPr>
          <w:p w14:paraId="4044CF8B"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2022</w:t>
            </w:r>
          </w:p>
        </w:tc>
        <w:tc>
          <w:tcPr>
            <w:tcW w:w="391" w:type="pct"/>
            <w:noWrap/>
            <w:hideMark/>
          </w:tcPr>
          <w:p w14:paraId="2ADAF15F"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2023</w:t>
            </w:r>
          </w:p>
        </w:tc>
        <w:tc>
          <w:tcPr>
            <w:tcW w:w="391" w:type="pct"/>
            <w:noWrap/>
            <w:hideMark/>
          </w:tcPr>
          <w:p w14:paraId="2C6A963D"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2024</w:t>
            </w:r>
          </w:p>
        </w:tc>
        <w:tc>
          <w:tcPr>
            <w:tcW w:w="391" w:type="pct"/>
            <w:noWrap/>
            <w:hideMark/>
          </w:tcPr>
          <w:p w14:paraId="10127C01"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2025</w:t>
            </w:r>
          </w:p>
        </w:tc>
        <w:tc>
          <w:tcPr>
            <w:tcW w:w="391" w:type="pct"/>
            <w:noWrap/>
            <w:hideMark/>
          </w:tcPr>
          <w:p w14:paraId="302BDDAC"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2026</w:t>
            </w:r>
          </w:p>
        </w:tc>
        <w:tc>
          <w:tcPr>
            <w:tcW w:w="391" w:type="pct"/>
            <w:noWrap/>
            <w:hideMark/>
          </w:tcPr>
          <w:p w14:paraId="1DE3E8E0"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2027</w:t>
            </w:r>
          </w:p>
        </w:tc>
        <w:tc>
          <w:tcPr>
            <w:tcW w:w="391" w:type="pct"/>
            <w:noWrap/>
            <w:hideMark/>
          </w:tcPr>
          <w:p w14:paraId="4B69A79A"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2028</w:t>
            </w:r>
          </w:p>
        </w:tc>
        <w:tc>
          <w:tcPr>
            <w:tcW w:w="391" w:type="pct"/>
            <w:noWrap/>
            <w:hideMark/>
          </w:tcPr>
          <w:p w14:paraId="2F4F8AB3"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2029</w:t>
            </w:r>
          </w:p>
        </w:tc>
        <w:tc>
          <w:tcPr>
            <w:tcW w:w="391" w:type="pct"/>
            <w:noWrap/>
            <w:hideMark/>
          </w:tcPr>
          <w:p w14:paraId="1988C102" w14:textId="77777777" w:rsidR="005B4457" w:rsidRPr="000D5DA5" w:rsidRDefault="005B4457" w:rsidP="005B445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2030</w:t>
            </w:r>
          </w:p>
        </w:tc>
      </w:tr>
      <w:tr w:rsidR="005B4457" w:rsidRPr="000D5DA5" w14:paraId="20B31162"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701" w:type="pct"/>
            <w:noWrap/>
            <w:hideMark/>
          </w:tcPr>
          <w:p w14:paraId="5FB85967"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Industry output</w:t>
            </w:r>
          </w:p>
        </w:tc>
        <w:tc>
          <w:tcPr>
            <w:tcW w:w="391" w:type="pct"/>
            <w:noWrap/>
            <w:hideMark/>
          </w:tcPr>
          <w:p w14:paraId="3E4AC06D"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p>
        </w:tc>
        <w:tc>
          <w:tcPr>
            <w:tcW w:w="391" w:type="pct"/>
            <w:noWrap/>
            <w:hideMark/>
          </w:tcPr>
          <w:p w14:paraId="54C4E0AD"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91" w:type="pct"/>
            <w:noWrap/>
            <w:hideMark/>
          </w:tcPr>
          <w:p w14:paraId="1FEC26D7"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91" w:type="pct"/>
            <w:noWrap/>
            <w:hideMark/>
          </w:tcPr>
          <w:p w14:paraId="419ABF5A"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91" w:type="pct"/>
            <w:noWrap/>
            <w:hideMark/>
          </w:tcPr>
          <w:p w14:paraId="68ABB0D7"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91" w:type="pct"/>
            <w:noWrap/>
            <w:hideMark/>
          </w:tcPr>
          <w:p w14:paraId="1DAC1D72"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91" w:type="pct"/>
            <w:noWrap/>
            <w:hideMark/>
          </w:tcPr>
          <w:p w14:paraId="6EF2631F"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91" w:type="pct"/>
            <w:noWrap/>
            <w:hideMark/>
          </w:tcPr>
          <w:p w14:paraId="63D18BC1"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91" w:type="pct"/>
            <w:noWrap/>
            <w:hideMark/>
          </w:tcPr>
          <w:p w14:paraId="78EB4FBD"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91" w:type="pct"/>
            <w:noWrap/>
            <w:hideMark/>
          </w:tcPr>
          <w:p w14:paraId="765F03B0"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391" w:type="pct"/>
            <w:noWrap/>
            <w:hideMark/>
          </w:tcPr>
          <w:p w14:paraId="361D64DC" w14:textId="77777777" w:rsidR="005B4457" w:rsidRPr="000D5DA5" w:rsidRDefault="005B4457" w:rsidP="005B44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r>
      <w:tr w:rsidR="005B4457" w:rsidRPr="000D5DA5" w14:paraId="5E8533D5"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701" w:type="pct"/>
            <w:noWrap/>
            <w:hideMark/>
          </w:tcPr>
          <w:p w14:paraId="10AE9EB1"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Agriculture</w:t>
            </w:r>
          </w:p>
        </w:tc>
        <w:tc>
          <w:tcPr>
            <w:tcW w:w="391" w:type="pct"/>
            <w:noWrap/>
            <w:hideMark/>
          </w:tcPr>
          <w:p w14:paraId="160AA7B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91" w:type="pct"/>
            <w:noWrap/>
            <w:hideMark/>
          </w:tcPr>
          <w:p w14:paraId="31D1194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-0.05</w:t>
            </w:r>
          </w:p>
        </w:tc>
        <w:tc>
          <w:tcPr>
            <w:tcW w:w="391" w:type="pct"/>
            <w:noWrap/>
            <w:hideMark/>
          </w:tcPr>
          <w:p w14:paraId="3DC2C38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0.23</w:t>
            </w:r>
          </w:p>
        </w:tc>
        <w:tc>
          <w:tcPr>
            <w:tcW w:w="391" w:type="pct"/>
            <w:noWrap/>
            <w:hideMark/>
          </w:tcPr>
          <w:p w14:paraId="73D407F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0.32</w:t>
            </w:r>
          </w:p>
        </w:tc>
        <w:tc>
          <w:tcPr>
            <w:tcW w:w="391" w:type="pct"/>
            <w:noWrap/>
            <w:hideMark/>
          </w:tcPr>
          <w:p w14:paraId="2842FE4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0.48</w:t>
            </w:r>
          </w:p>
        </w:tc>
        <w:tc>
          <w:tcPr>
            <w:tcW w:w="391" w:type="pct"/>
            <w:noWrap/>
            <w:hideMark/>
          </w:tcPr>
          <w:p w14:paraId="2D21B86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0.70</w:t>
            </w:r>
          </w:p>
        </w:tc>
        <w:tc>
          <w:tcPr>
            <w:tcW w:w="391" w:type="pct"/>
            <w:noWrap/>
            <w:hideMark/>
          </w:tcPr>
          <w:p w14:paraId="01ABC2E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0.98</w:t>
            </w:r>
          </w:p>
        </w:tc>
        <w:tc>
          <w:tcPr>
            <w:tcW w:w="391" w:type="pct"/>
            <w:noWrap/>
            <w:hideMark/>
          </w:tcPr>
          <w:p w14:paraId="3561B57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1.16</w:t>
            </w:r>
          </w:p>
        </w:tc>
        <w:tc>
          <w:tcPr>
            <w:tcW w:w="391" w:type="pct"/>
            <w:noWrap/>
            <w:hideMark/>
          </w:tcPr>
          <w:p w14:paraId="007B9F5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1.32</w:t>
            </w:r>
          </w:p>
        </w:tc>
        <w:tc>
          <w:tcPr>
            <w:tcW w:w="391" w:type="pct"/>
            <w:noWrap/>
            <w:hideMark/>
          </w:tcPr>
          <w:p w14:paraId="219D199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1.44</w:t>
            </w:r>
          </w:p>
        </w:tc>
        <w:tc>
          <w:tcPr>
            <w:tcW w:w="391" w:type="pct"/>
            <w:noWrap/>
            <w:hideMark/>
          </w:tcPr>
          <w:p w14:paraId="22EC4E5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1.54</w:t>
            </w:r>
          </w:p>
        </w:tc>
      </w:tr>
      <w:tr w:rsidR="005B4457" w:rsidRPr="000D5DA5" w14:paraId="640E4EDC"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701" w:type="pct"/>
            <w:noWrap/>
            <w:hideMark/>
          </w:tcPr>
          <w:p w14:paraId="37224FA1"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Mining</w:t>
            </w:r>
          </w:p>
        </w:tc>
        <w:tc>
          <w:tcPr>
            <w:tcW w:w="391" w:type="pct"/>
            <w:noWrap/>
            <w:hideMark/>
          </w:tcPr>
          <w:p w14:paraId="3A559C2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91" w:type="pct"/>
            <w:noWrap/>
            <w:hideMark/>
          </w:tcPr>
          <w:p w14:paraId="0154FEC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-0.03</w:t>
            </w:r>
          </w:p>
        </w:tc>
        <w:tc>
          <w:tcPr>
            <w:tcW w:w="391" w:type="pct"/>
            <w:noWrap/>
            <w:hideMark/>
          </w:tcPr>
          <w:p w14:paraId="34BFEED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0.05</w:t>
            </w:r>
          </w:p>
        </w:tc>
        <w:tc>
          <w:tcPr>
            <w:tcW w:w="391" w:type="pct"/>
            <w:noWrap/>
            <w:hideMark/>
          </w:tcPr>
          <w:p w14:paraId="423B7FC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0.03</w:t>
            </w:r>
          </w:p>
        </w:tc>
        <w:tc>
          <w:tcPr>
            <w:tcW w:w="391" w:type="pct"/>
            <w:noWrap/>
            <w:hideMark/>
          </w:tcPr>
          <w:p w14:paraId="7FA3004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-0.01</w:t>
            </w:r>
          </w:p>
        </w:tc>
        <w:tc>
          <w:tcPr>
            <w:tcW w:w="391" w:type="pct"/>
            <w:noWrap/>
            <w:hideMark/>
          </w:tcPr>
          <w:p w14:paraId="2B4E7E4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-0.06</w:t>
            </w:r>
          </w:p>
        </w:tc>
        <w:tc>
          <w:tcPr>
            <w:tcW w:w="391" w:type="pct"/>
            <w:noWrap/>
            <w:hideMark/>
          </w:tcPr>
          <w:p w14:paraId="7D50605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-0.02</w:t>
            </w:r>
          </w:p>
        </w:tc>
        <w:tc>
          <w:tcPr>
            <w:tcW w:w="391" w:type="pct"/>
            <w:noWrap/>
            <w:hideMark/>
          </w:tcPr>
          <w:p w14:paraId="0F8D841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0.02</w:t>
            </w:r>
          </w:p>
        </w:tc>
        <w:tc>
          <w:tcPr>
            <w:tcW w:w="391" w:type="pct"/>
            <w:noWrap/>
            <w:hideMark/>
          </w:tcPr>
          <w:p w14:paraId="431111B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0.07</w:t>
            </w:r>
          </w:p>
        </w:tc>
        <w:tc>
          <w:tcPr>
            <w:tcW w:w="391" w:type="pct"/>
            <w:noWrap/>
            <w:hideMark/>
          </w:tcPr>
          <w:p w14:paraId="00E2600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0.12</w:t>
            </w:r>
          </w:p>
        </w:tc>
        <w:tc>
          <w:tcPr>
            <w:tcW w:w="391" w:type="pct"/>
            <w:noWrap/>
            <w:hideMark/>
          </w:tcPr>
          <w:p w14:paraId="078A69E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0.17</w:t>
            </w:r>
          </w:p>
        </w:tc>
      </w:tr>
      <w:tr w:rsidR="005B4457" w:rsidRPr="000D5DA5" w14:paraId="3334247A"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701" w:type="pct"/>
            <w:noWrap/>
            <w:hideMark/>
          </w:tcPr>
          <w:p w14:paraId="13F4483F"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Manufacturing</w:t>
            </w:r>
          </w:p>
        </w:tc>
        <w:tc>
          <w:tcPr>
            <w:tcW w:w="391" w:type="pct"/>
            <w:noWrap/>
            <w:hideMark/>
          </w:tcPr>
          <w:p w14:paraId="1D844D7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91" w:type="pct"/>
            <w:noWrap/>
            <w:hideMark/>
          </w:tcPr>
          <w:p w14:paraId="779D7B8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-0.05</w:t>
            </w:r>
          </w:p>
        </w:tc>
        <w:tc>
          <w:tcPr>
            <w:tcW w:w="391" w:type="pct"/>
            <w:noWrap/>
            <w:hideMark/>
          </w:tcPr>
          <w:p w14:paraId="6F985F4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0.21</w:t>
            </w:r>
          </w:p>
        </w:tc>
        <w:tc>
          <w:tcPr>
            <w:tcW w:w="391" w:type="pct"/>
            <w:noWrap/>
            <w:hideMark/>
          </w:tcPr>
          <w:p w14:paraId="438B147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0.30</w:t>
            </w:r>
          </w:p>
        </w:tc>
        <w:tc>
          <w:tcPr>
            <w:tcW w:w="391" w:type="pct"/>
            <w:noWrap/>
            <w:hideMark/>
          </w:tcPr>
          <w:p w14:paraId="499CB03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0.46</w:t>
            </w:r>
          </w:p>
        </w:tc>
        <w:tc>
          <w:tcPr>
            <w:tcW w:w="391" w:type="pct"/>
            <w:noWrap/>
            <w:hideMark/>
          </w:tcPr>
          <w:p w14:paraId="1B21BE9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0.69</w:t>
            </w:r>
          </w:p>
        </w:tc>
        <w:tc>
          <w:tcPr>
            <w:tcW w:w="391" w:type="pct"/>
            <w:noWrap/>
            <w:hideMark/>
          </w:tcPr>
          <w:p w14:paraId="7898B98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1.00</w:t>
            </w:r>
          </w:p>
        </w:tc>
        <w:tc>
          <w:tcPr>
            <w:tcW w:w="391" w:type="pct"/>
            <w:noWrap/>
            <w:hideMark/>
          </w:tcPr>
          <w:p w14:paraId="1612961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1.22</w:t>
            </w:r>
          </w:p>
        </w:tc>
        <w:tc>
          <w:tcPr>
            <w:tcW w:w="391" w:type="pct"/>
            <w:noWrap/>
            <w:hideMark/>
          </w:tcPr>
          <w:p w14:paraId="6214913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1.40</w:t>
            </w:r>
          </w:p>
        </w:tc>
        <w:tc>
          <w:tcPr>
            <w:tcW w:w="391" w:type="pct"/>
            <w:noWrap/>
            <w:hideMark/>
          </w:tcPr>
          <w:p w14:paraId="4A15142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1.54</w:t>
            </w:r>
          </w:p>
        </w:tc>
        <w:tc>
          <w:tcPr>
            <w:tcW w:w="391" w:type="pct"/>
            <w:noWrap/>
            <w:hideMark/>
          </w:tcPr>
          <w:p w14:paraId="25B1DB3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1.66</w:t>
            </w:r>
          </w:p>
        </w:tc>
      </w:tr>
      <w:tr w:rsidR="005B4457" w:rsidRPr="000D5DA5" w14:paraId="407ED0EA"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701" w:type="pct"/>
            <w:noWrap/>
            <w:hideMark/>
          </w:tcPr>
          <w:p w14:paraId="72681F14"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Electricity, Gas, Water</w:t>
            </w:r>
          </w:p>
        </w:tc>
        <w:tc>
          <w:tcPr>
            <w:tcW w:w="391" w:type="pct"/>
            <w:noWrap/>
            <w:hideMark/>
          </w:tcPr>
          <w:p w14:paraId="1F7D3C6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91" w:type="pct"/>
            <w:noWrap/>
            <w:hideMark/>
          </w:tcPr>
          <w:p w14:paraId="2282F1E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0.01</w:t>
            </w:r>
          </w:p>
        </w:tc>
        <w:tc>
          <w:tcPr>
            <w:tcW w:w="391" w:type="pct"/>
            <w:noWrap/>
            <w:hideMark/>
          </w:tcPr>
          <w:p w14:paraId="148693B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0.05</w:t>
            </w:r>
          </w:p>
        </w:tc>
        <w:tc>
          <w:tcPr>
            <w:tcW w:w="391" w:type="pct"/>
            <w:noWrap/>
            <w:hideMark/>
          </w:tcPr>
          <w:p w14:paraId="09DCBB4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0.17</w:t>
            </w:r>
          </w:p>
        </w:tc>
        <w:tc>
          <w:tcPr>
            <w:tcW w:w="391" w:type="pct"/>
            <w:noWrap/>
            <w:hideMark/>
          </w:tcPr>
          <w:p w14:paraId="740A562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0.34</w:t>
            </w:r>
          </w:p>
        </w:tc>
        <w:tc>
          <w:tcPr>
            <w:tcW w:w="391" w:type="pct"/>
            <w:noWrap/>
            <w:hideMark/>
          </w:tcPr>
          <w:p w14:paraId="4B99216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0.56</w:t>
            </w:r>
          </w:p>
        </w:tc>
        <w:tc>
          <w:tcPr>
            <w:tcW w:w="391" w:type="pct"/>
            <w:noWrap/>
            <w:hideMark/>
          </w:tcPr>
          <w:p w14:paraId="4CA3BF5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0.68</w:t>
            </w:r>
          </w:p>
        </w:tc>
        <w:tc>
          <w:tcPr>
            <w:tcW w:w="391" w:type="pct"/>
            <w:noWrap/>
            <w:hideMark/>
          </w:tcPr>
          <w:p w14:paraId="40F052A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0.80</w:t>
            </w:r>
          </w:p>
        </w:tc>
        <w:tc>
          <w:tcPr>
            <w:tcW w:w="391" w:type="pct"/>
            <w:noWrap/>
            <w:hideMark/>
          </w:tcPr>
          <w:p w14:paraId="5E9FE00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0.90</w:t>
            </w:r>
          </w:p>
        </w:tc>
        <w:tc>
          <w:tcPr>
            <w:tcW w:w="391" w:type="pct"/>
            <w:noWrap/>
            <w:hideMark/>
          </w:tcPr>
          <w:p w14:paraId="3661729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0.99</w:t>
            </w:r>
          </w:p>
        </w:tc>
        <w:tc>
          <w:tcPr>
            <w:tcW w:w="391" w:type="pct"/>
            <w:noWrap/>
            <w:hideMark/>
          </w:tcPr>
          <w:p w14:paraId="5374BCE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1.06</w:t>
            </w:r>
          </w:p>
        </w:tc>
      </w:tr>
      <w:tr w:rsidR="005B4457" w:rsidRPr="000D5DA5" w14:paraId="173A79B2"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701" w:type="pct"/>
            <w:noWrap/>
            <w:hideMark/>
          </w:tcPr>
          <w:p w14:paraId="5C217E4B"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Construction</w:t>
            </w:r>
          </w:p>
        </w:tc>
        <w:tc>
          <w:tcPr>
            <w:tcW w:w="391" w:type="pct"/>
            <w:noWrap/>
            <w:hideMark/>
          </w:tcPr>
          <w:p w14:paraId="0BF6E28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91" w:type="pct"/>
            <w:noWrap/>
            <w:hideMark/>
          </w:tcPr>
          <w:p w14:paraId="195E3D3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0.05</w:t>
            </w:r>
          </w:p>
        </w:tc>
        <w:tc>
          <w:tcPr>
            <w:tcW w:w="391" w:type="pct"/>
            <w:noWrap/>
            <w:hideMark/>
          </w:tcPr>
          <w:p w14:paraId="4F5F932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-0.07</w:t>
            </w:r>
          </w:p>
        </w:tc>
        <w:tc>
          <w:tcPr>
            <w:tcW w:w="391" w:type="pct"/>
            <w:noWrap/>
            <w:hideMark/>
          </w:tcPr>
          <w:p w14:paraId="209D9BD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0.05</w:t>
            </w:r>
          </w:p>
        </w:tc>
        <w:tc>
          <w:tcPr>
            <w:tcW w:w="391" w:type="pct"/>
            <w:noWrap/>
            <w:hideMark/>
          </w:tcPr>
          <w:p w14:paraId="5970119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0.24</w:t>
            </w:r>
          </w:p>
        </w:tc>
        <w:tc>
          <w:tcPr>
            <w:tcW w:w="391" w:type="pct"/>
            <w:noWrap/>
            <w:hideMark/>
          </w:tcPr>
          <w:p w14:paraId="3B5FDE8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0.50</w:t>
            </w:r>
          </w:p>
        </w:tc>
        <w:tc>
          <w:tcPr>
            <w:tcW w:w="391" w:type="pct"/>
            <w:noWrap/>
            <w:hideMark/>
          </w:tcPr>
          <w:p w14:paraId="67E94AA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0.60</w:t>
            </w:r>
          </w:p>
        </w:tc>
        <w:tc>
          <w:tcPr>
            <w:tcW w:w="391" w:type="pct"/>
            <w:noWrap/>
            <w:hideMark/>
          </w:tcPr>
          <w:p w14:paraId="7BE2699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0.72</w:t>
            </w:r>
          </w:p>
        </w:tc>
        <w:tc>
          <w:tcPr>
            <w:tcW w:w="391" w:type="pct"/>
            <w:noWrap/>
            <w:hideMark/>
          </w:tcPr>
          <w:p w14:paraId="37F9E68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0.82</w:t>
            </w:r>
          </w:p>
        </w:tc>
        <w:tc>
          <w:tcPr>
            <w:tcW w:w="391" w:type="pct"/>
            <w:noWrap/>
            <w:hideMark/>
          </w:tcPr>
          <w:p w14:paraId="090CA72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0.90</w:t>
            </w:r>
          </w:p>
        </w:tc>
        <w:tc>
          <w:tcPr>
            <w:tcW w:w="391" w:type="pct"/>
            <w:noWrap/>
            <w:hideMark/>
          </w:tcPr>
          <w:p w14:paraId="45743C4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0.97</w:t>
            </w:r>
          </w:p>
        </w:tc>
      </w:tr>
      <w:tr w:rsidR="005B4457" w:rsidRPr="000D5DA5" w14:paraId="305B57E8"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701" w:type="pct"/>
            <w:noWrap/>
            <w:hideMark/>
          </w:tcPr>
          <w:p w14:paraId="395B50B8"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Wholesale</w:t>
            </w:r>
          </w:p>
        </w:tc>
        <w:tc>
          <w:tcPr>
            <w:tcW w:w="391" w:type="pct"/>
            <w:noWrap/>
            <w:hideMark/>
          </w:tcPr>
          <w:p w14:paraId="7F347F6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91" w:type="pct"/>
            <w:noWrap/>
            <w:hideMark/>
          </w:tcPr>
          <w:p w14:paraId="1C07929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0.02</w:t>
            </w:r>
          </w:p>
        </w:tc>
        <w:tc>
          <w:tcPr>
            <w:tcW w:w="391" w:type="pct"/>
            <w:noWrap/>
            <w:hideMark/>
          </w:tcPr>
          <w:p w14:paraId="698F897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0.02</w:t>
            </w:r>
          </w:p>
        </w:tc>
        <w:tc>
          <w:tcPr>
            <w:tcW w:w="391" w:type="pct"/>
            <w:noWrap/>
            <w:hideMark/>
          </w:tcPr>
          <w:p w14:paraId="429A6A0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0.27</w:t>
            </w:r>
          </w:p>
        </w:tc>
        <w:tc>
          <w:tcPr>
            <w:tcW w:w="391" w:type="pct"/>
            <w:noWrap/>
            <w:hideMark/>
          </w:tcPr>
          <w:p w14:paraId="38E39FA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0.57</w:t>
            </w:r>
          </w:p>
        </w:tc>
        <w:tc>
          <w:tcPr>
            <w:tcW w:w="391" w:type="pct"/>
            <w:noWrap/>
            <w:hideMark/>
          </w:tcPr>
          <w:p w14:paraId="0F6FF00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0.91</w:t>
            </w:r>
          </w:p>
        </w:tc>
        <w:tc>
          <w:tcPr>
            <w:tcW w:w="391" w:type="pct"/>
            <w:noWrap/>
            <w:hideMark/>
          </w:tcPr>
          <w:p w14:paraId="545919A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1.07</w:t>
            </w:r>
          </w:p>
        </w:tc>
        <w:tc>
          <w:tcPr>
            <w:tcW w:w="391" w:type="pct"/>
            <w:noWrap/>
            <w:hideMark/>
          </w:tcPr>
          <w:p w14:paraId="79393FC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1.22</w:t>
            </w:r>
          </w:p>
        </w:tc>
        <w:tc>
          <w:tcPr>
            <w:tcW w:w="391" w:type="pct"/>
            <w:noWrap/>
            <w:hideMark/>
          </w:tcPr>
          <w:p w14:paraId="2451A78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1.34</w:t>
            </w:r>
          </w:p>
        </w:tc>
        <w:tc>
          <w:tcPr>
            <w:tcW w:w="391" w:type="pct"/>
            <w:noWrap/>
            <w:hideMark/>
          </w:tcPr>
          <w:p w14:paraId="6B94392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1.43</w:t>
            </w:r>
          </w:p>
        </w:tc>
        <w:tc>
          <w:tcPr>
            <w:tcW w:w="391" w:type="pct"/>
            <w:noWrap/>
            <w:hideMark/>
          </w:tcPr>
          <w:p w14:paraId="3061BB4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1.51</w:t>
            </w:r>
          </w:p>
        </w:tc>
      </w:tr>
      <w:tr w:rsidR="005B4457" w:rsidRPr="000D5DA5" w14:paraId="2861504D"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701" w:type="pct"/>
            <w:noWrap/>
            <w:hideMark/>
          </w:tcPr>
          <w:p w14:paraId="3B483E71"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Retail</w:t>
            </w:r>
          </w:p>
        </w:tc>
        <w:tc>
          <w:tcPr>
            <w:tcW w:w="391" w:type="pct"/>
            <w:noWrap/>
            <w:hideMark/>
          </w:tcPr>
          <w:p w14:paraId="5D9042C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91" w:type="pct"/>
            <w:noWrap/>
            <w:hideMark/>
          </w:tcPr>
          <w:p w14:paraId="025DA77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0.06</w:t>
            </w:r>
          </w:p>
        </w:tc>
        <w:tc>
          <w:tcPr>
            <w:tcW w:w="391" w:type="pct"/>
            <w:noWrap/>
            <w:hideMark/>
          </w:tcPr>
          <w:p w14:paraId="5DEDCF9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91" w:type="pct"/>
            <w:noWrap/>
            <w:hideMark/>
          </w:tcPr>
          <w:p w14:paraId="0742253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0.35</w:t>
            </w:r>
          </w:p>
        </w:tc>
        <w:tc>
          <w:tcPr>
            <w:tcW w:w="391" w:type="pct"/>
            <w:noWrap/>
            <w:hideMark/>
          </w:tcPr>
          <w:p w14:paraId="0F9A401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0.72</w:t>
            </w:r>
          </w:p>
        </w:tc>
        <w:tc>
          <w:tcPr>
            <w:tcW w:w="391" w:type="pct"/>
            <w:noWrap/>
            <w:hideMark/>
          </w:tcPr>
          <w:p w14:paraId="2B988F8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1.10</w:t>
            </w:r>
          </w:p>
        </w:tc>
        <w:tc>
          <w:tcPr>
            <w:tcW w:w="391" w:type="pct"/>
            <w:noWrap/>
            <w:hideMark/>
          </w:tcPr>
          <w:p w14:paraId="16C75FE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1.09</w:t>
            </w:r>
          </w:p>
        </w:tc>
        <w:tc>
          <w:tcPr>
            <w:tcW w:w="391" w:type="pct"/>
            <w:noWrap/>
            <w:hideMark/>
          </w:tcPr>
          <w:p w14:paraId="79B7C2D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1.15</w:t>
            </w:r>
          </w:p>
        </w:tc>
        <w:tc>
          <w:tcPr>
            <w:tcW w:w="391" w:type="pct"/>
            <w:noWrap/>
            <w:hideMark/>
          </w:tcPr>
          <w:p w14:paraId="19B99CD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1.19</w:t>
            </w:r>
          </w:p>
        </w:tc>
        <w:tc>
          <w:tcPr>
            <w:tcW w:w="391" w:type="pct"/>
            <w:noWrap/>
            <w:hideMark/>
          </w:tcPr>
          <w:p w14:paraId="00C3114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1.22</w:t>
            </w:r>
          </w:p>
        </w:tc>
        <w:tc>
          <w:tcPr>
            <w:tcW w:w="391" w:type="pct"/>
            <w:noWrap/>
            <w:hideMark/>
          </w:tcPr>
          <w:p w14:paraId="567A2EC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1.25</w:t>
            </w:r>
          </w:p>
        </w:tc>
      </w:tr>
      <w:tr w:rsidR="005B4457" w:rsidRPr="000D5DA5" w14:paraId="3BFF50C5"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701" w:type="pct"/>
            <w:noWrap/>
            <w:hideMark/>
          </w:tcPr>
          <w:p w14:paraId="38526E45"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Accommodation</w:t>
            </w:r>
          </w:p>
        </w:tc>
        <w:tc>
          <w:tcPr>
            <w:tcW w:w="391" w:type="pct"/>
            <w:noWrap/>
            <w:hideMark/>
          </w:tcPr>
          <w:p w14:paraId="4D5D0DC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91" w:type="pct"/>
            <w:noWrap/>
            <w:hideMark/>
          </w:tcPr>
          <w:p w14:paraId="05E76F4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-0.02</w:t>
            </w:r>
          </w:p>
        </w:tc>
        <w:tc>
          <w:tcPr>
            <w:tcW w:w="391" w:type="pct"/>
            <w:noWrap/>
            <w:hideMark/>
          </w:tcPr>
          <w:p w14:paraId="1AA4CFA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0.21</w:t>
            </w:r>
          </w:p>
        </w:tc>
        <w:tc>
          <w:tcPr>
            <w:tcW w:w="391" w:type="pct"/>
            <w:noWrap/>
            <w:hideMark/>
          </w:tcPr>
          <w:p w14:paraId="3FBF4A3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0.44</w:t>
            </w:r>
          </w:p>
        </w:tc>
        <w:tc>
          <w:tcPr>
            <w:tcW w:w="391" w:type="pct"/>
            <w:noWrap/>
            <w:hideMark/>
          </w:tcPr>
          <w:p w14:paraId="288E957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0.73</w:t>
            </w:r>
          </w:p>
        </w:tc>
        <w:tc>
          <w:tcPr>
            <w:tcW w:w="391" w:type="pct"/>
            <w:noWrap/>
            <w:hideMark/>
          </w:tcPr>
          <w:p w14:paraId="0109CC2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1.08</w:t>
            </w:r>
          </w:p>
        </w:tc>
        <w:tc>
          <w:tcPr>
            <w:tcW w:w="391" w:type="pct"/>
            <w:noWrap/>
            <w:hideMark/>
          </w:tcPr>
          <w:p w14:paraId="6FE8E12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1.34</w:t>
            </w:r>
          </w:p>
        </w:tc>
        <w:tc>
          <w:tcPr>
            <w:tcW w:w="391" w:type="pct"/>
            <w:noWrap/>
            <w:hideMark/>
          </w:tcPr>
          <w:p w14:paraId="5412AD3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1.55</w:t>
            </w:r>
          </w:p>
        </w:tc>
        <w:tc>
          <w:tcPr>
            <w:tcW w:w="391" w:type="pct"/>
            <w:noWrap/>
            <w:hideMark/>
          </w:tcPr>
          <w:p w14:paraId="6B8B51A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1.71</w:t>
            </w:r>
          </w:p>
        </w:tc>
        <w:tc>
          <w:tcPr>
            <w:tcW w:w="391" w:type="pct"/>
            <w:noWrap/>
            <w:hideMark/>
          </w:tcPr>
          <w:p w14:paraId="5AC90CA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1.85</w:t>
            </w:r>
          </w:p>
        </w:tc>
        <w:tc>
          <w:tcPr>
            <w:tcW w:w="391" w:type="pct"/>
            <w:noWrap/>
            <w:hideMark/>
          </w:tcPr>
          <w:p w14:paraId="6DF71C2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1.96</w:t>
            </w:r>
          </w:p>
        </w:tc>
      </w:tr>
      <w:tr w:rsidR="005B4457" w:rsidRPr="000D5DA5" w14:paraId="56A4FECE"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701" w:type="pct"/>
            <w:noWrap/>
            <w:hideMark/>
          </w:tcPr>
          <w:p w14:paraId="4CCA5854"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Transport</w:t>
            </w:r>
          </w:p>
        </w:tc>
        <w:tc>
          <w:tcPr>
            <w:tcW w:w="391" w:type="pct"/>
            <w:noWrap/>
            <w:hideMark/>
          </w:tcPr>
          <w:p w14:paraId="09AB624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91" w:type="pct"/>
            <w:noWrap/>
            <w:hideMark/>
          </w:tcPr>
          <w:p w14:paraId="0EE6673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-0.03</w:t>
            </w:r>
          </w:p>
        </w:tc>
        <w:tc>
          <w:tcPr>
            <w:tcW w:w="391" w:type="pct"/>
            <w:noWrap/>
            <w:hideMark/>
          </w:tcPr>
          <w:p w14:paraId="38122A2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0.17</w:t>
            </w:r>
          </w:p>
        </w:tc>
        <w:tc>
          <w:tcPr>
            <w:tcW w:w="391" w:type="pct"/>
            <w:noWrap/>
            <w:hideMark/>
          </w:tcPr>
          <w:p w14:paraId="2BE8FCF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0.29</w:t>
            </w:r>
          </w:p>
        </w:tc>
        <w:tc>
          <w:tcPr>
            <w:tcW w:w="391" w:type="pct"/>
            <w:noWrap/>
            <w:hideMark/>
          </w:tcPr>
          <w:p w14:paraId="243CF91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0.45</w:t>
            </w:r>
          </w:p>
        </w:tc>
        <w:tc>
          <w:tcPr>
            <w:tcW w:w="391" w:type="pct"/>
            <w:noWrap/>
            <w:hideMark/>
          </w:tcPr>
          <w:p w14:paraId="522D39D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0.67</w:t>
            </w:r>
          </w:p>
        </w:tc>
        <w:tc>
          <w:tcPr>
            <w:tcW w:w="391" w:type="pct"/>
            <w:noWrap/>
            <w:hideMark/>
          </w:tcPr>
          <w:p w14:paraId="2C105C9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0.89</w:t>
            </w:r>
          </w:p>
        </w:tc>
        <w:tc>
          <w:tcPr>
            <w:tcW w:w="391" w:type="pct"/>
            <w:noWrap/>
            <w:hideMark/>
          </w:tcPr>
          <w:p w14:paraId="0ABE1B1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1.06</w:t>
            </w:r>
          </w:p>
        </w:tc>
        <w:tc>
          <w:tcPr>
            <w:tcW w:w="391" w:type="pct"/>
            <w:noWrap/>
            <w:hideMark/>
          </w:tcPr>
          <w:p w14:paraId="3A22780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1.19</w:t>
            </w:r>
          </w:p>
        </w:tc>
        <w:tc>
          <w:tcPr>
            <w:tcW w:w="391" w:type="pct"/>
            <w:noWrap/>
            <w:hideMark/>
          </w:tcPr>
          <w:p w14:paraId="57639E9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1.30</w:t>
            </w:r>
          </w:p>
        </w:tc>
        <w:tc>
          <w:tcPr>
            <w:tcW w:w="391" w:type="pct"/>
            <w:noWrap/>
            <w:hideMark/>
          </w:tcPr>
          <w:p w14:paraId="23C84FA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1.39</w:t>
            </w:r>
          </w:p>
        </w:tc>
      </w:tr>
      <w:tr w:rsidR="005B4457" w:rsidRPr="000D5DA5" w14:paraId="21B5F1E5"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701" w:type="pct"/>
            <w:noWrap/>
            <w:hideMark/>
          </w:tcPr>
          <w:p w14:paraId="12CFFAB5"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Information, Communication</w:t>
            </w:r>
          </w:p>
        </w:tc>
        <w:tc>
          <w:tcPr>
            <w:tcW w:w="391" w:type="pct"/>
            <w:noWrap/>
            <w:hideMark/>
          </w:tcPr>
          <w:p w14:paraId="4FD1AB6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91" w:type="pct"/>
            <w:noWrap/>
            <w:hideMark/>
          </w:tcPr>
          <w:p w14:paraId="39A84F8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-0.01</w:t>
            </w:r>
          </w:p>
        </w:tc>
        <w:tc>
          <w:tcPr>
            <w:tcW w:w="391" w:type="pct"/>
            <w:noWrap/>
            <w:hideMark/>
          </w:tcPr>
          <w:p w14:paraId="08FEC23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0.15</w:t>
            </w:r>
          </w:p>
        </w:tc>
        <w:tc>
          <w:tcPr>
            <w:tcW w:w="391" w:type="pct"/>
            <w:noWrap/>
            <w:hideMark/>
          </w:tcPr>
          <w:p w14:paraId="306E3E6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0.37</w:t>
            </w:r>
          </w:p>
        </w:tc>
        <w:tc>
          <w:tcPr>
            <w:tcW w:w="391" w:type="pct"/>
            <w:noWrap/>
            <w:hideMark/>
          </w:tcPr>
          <w:p w14:paraId="105BED2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0.65</w:t>
            </w:r>
          </w:p>
        </w:tc>
        <w:tc>
          <w:tcPr>
            <w:tcW w:w="391" w:type="pct"/>
            <w:noWrap/>
            <w:hideMark/>
          </w:tcPr>
          <w:p w14:paraId="31A4AEF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0.98</w:t>
            </w:r>
          </w:p>
        </w:tc>
        <w:tc>
          <w:tcPr>
            <w:tcW w:w="391" w:type="pct"/>
            <w:noWrap/>
            <w:hideMark/>
          </w:tcPr>
          <w:p w14:paraId="15D8A7A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1.18</w:t>
            </w:r>
          </w:p>
        </w:tc>
        <w:tc>
          <w:tcPr>
            <w:tcW w:w="391" w:type="pct"/>
            <w:noWrap/>
            <w:hideMark/>
          </w:tcPr>
          <w:p w14:paraId="33A553F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1.34</w:t>
            </w:r>
          </w:p>
        </w:tc>
        <w:tc>
          <w:tcPr>
            <w:tcW w:w="391" w:type="pct"/>
            <w:noWrap/>
            <w:hideMark/>
          </w:tcPr>
          <w:p w14:paraId="689211F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1.47</w:t>
            </w:r>
          </w:p>
        </w:tc>
        <w:tc>
          <w:tcPr>
            <w:tcW w:w="391" w:type="pct"/>
            <w:noWrap/>
            <w:hideMark/>
          </w:tcPr>
          <w:p w14:paraId="46C7897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1.57</w:t>
            </w:r>
          </w:p>
        </w:tc>
        <w:tc>
          <w:tcPr>
            <w:tcW w:w="391" w:type="pct"/>
            <w:noWrap/>
            <w:hideMark/>
          </w:tcPr>
          <w:p w14:paraId="6FF1938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1.66</w:t>
            </w:r>
          </w:p>
        </w:tc>
      </w:tr>
      <w:tr w:rsidR="005B4457" w:rsidRPr="000D5DA5" w14:paraId="3BA8073E"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701" w:type="pct"/>
            <w:noWrap/>
            <w:hideMark/>
          </w:tcPr>
          <w:p w14:paraId="5C0DB33C"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Finance</w:t>
            </w:r>
          </w:p>
        </w:tc>
        <w:tc>
          <w:tcPr>
            <w:tcW w:w="391" w:type="pct"/>
            <w:noWrap/>
            <w:hideMark/>
          </w:tcPr>
          <w:p w14:paraId="14A1E4D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91" w:type="pct"/>
            <w:noWrap/>
            <w:hideMark/>
          </w:tcPr>
          <w:p w14:paraId="21D57A2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0.02</w:t>
            </w:r>
          </w:p>
        </w:tc>
        <w:tc>
          <w:tcPr>
            <w:tcW w:w="391" w:type="pct"/>
            <w:noWrap/>
            <w:hideMark/>
          </w:tcPr>
          <w:p w14:paraId="15BC06C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0.09</w:t>
            </w:r>
          </w:p>
        </w:tc>
        <w:tc>
          <w:tcPr>
            <w:tcW w:w="391" w:type="pct"/>
            <w:noWrap/>
            <w:hideMark/>
          </w:tcPr>
          <w:p w14:paraId="695CED9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0.33</w:t>
            </w:r>
          </w:p>
        </w:tc>
        <w:tc>
          <w:tcPr>
            <w:tcW w:w="391" w:type="pct"/>
            <w:noWrap/>
            <w:hideMark/>
          </w:tcPr>
          <w:p w14:paraId="2D147A6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0.61</w:t>
            </w:r>
          </w:p>
        </w:tc>
        <w:tc>
          <w:tcPr>
            <w:tcW w:w="391" w:type="pct"/>
            <w:noWrap/>
            <w:hideMark/>
          </w:tcPr>
          <w:p w14:paraId="05A8772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0.94</w:t>
            </w:r>
          </w:p>
        </w:tc>
        <w:tc>
          <w:tcPr>
            <w:tcW w:w="391" w:type="pct"/>
            <w:noWrap/>
            <w:hideMark/>
          </w:tcPr>
          <w:p w14:paraId="2AEF82F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1.09</w:t>
            </w:r>
          </w:p>
        </w:tc>
        <w:tc>
          <w:tcPr>
            <w:tcW w:w="391" w:type="pct"/>
            <w:noWrap/>
            <w:hideMark/>
          </w:tcPr>
          <w:p w14:paraId="4180CE6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1.23</w:t>
            </w:r>
          </w:p>
        </w:tc>
        <w:tc>
          <w:tcPr>
            <w:tcW w:w="391" w:type="pct"/>
            <w:noWrap/>
            <w:hideMark/>
          </w:tcPr>
          <w:p w14:paraId="057AD22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1.34</w:t>
            </w:r>
          </w:p>
        </w:tc>
        <w:tc>
          <w:tcPr>
            <w:tcW w:w="391" w:type="pct"/>
            <w:noWrap/>
            <w:hideMark/>
          </w:tcPr>
          <w:p w14:paraId="53DD1DB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1.43</w:t>
            </w:r>
          </w:p>
        </w:tc>
        <w:tc>
          <w:tcPr>
            <w:tcW w:w="391" w:type="pct"/>
            <w:noWrap/>
            <w:hideMark/>
          </w:tcPr>
          <w:p w14:paraId="64CA303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1.50</w:t>
            </w:r>
          </w:p>
        </w:tc>
      </w:tr>
      <w:tr w:rsidR="005B4457" w:rsidRPr="000D5DA5" w14:paraId="04FD1326"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701" w:type="pct"/>
            <w:noWrap/>
            <w:hideMark/>
          </w:tcPr>
          <w:p w14:paraId="382AB2E3"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Rental, leasing</w:t>
            </w:r>
          </w:p>
        </w:tc>
        <w:tc>
          <w:tcPr>
            <w:tcW w:w="391" w:type="pct"/>
            <w:noWrap/>
            <w:hideMark/>
          </w:tcPr>
          <w:p w14:paraId="591D6E6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91" w:type="pct"/>
            <w:noWrap/>
            <w:hideMark/>
          </w:tcPr>
          <w:p w14:paraId="592056C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91" w:type="pct"/>
            <w:noWrap/>
            <w:hideMark/>
          </w:tcPr>
          <w:p w14:paraId="48AD09F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0.11</w:t>
            </w:r>
          </w:p>
        </w:tc>
        <w:tc>
          <w:tcPr>
            <w:tcW w:w="391" w:type="pct"/>
            <w:noWrap/>
            <w:hideMark/>
          </w:tcPr>
          <w:p w14:paraId="31636EF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0.31</w:t>
            </w:r>
          </w:p>
        </w:tc>
        <w:tc>
          <w:tcPr>
            <w:tcW w:w="391" w:type="pct"/>
            <w:noWrap/>
            <w:hideMark/>
          </w:tcPr>
          <w:p w14:paraId="4EA4E2B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0.56</w:t>
            </w:r>
          </w:p>
        </w:tc>
        <w:tc>
          <w:tcPr>
            <w:tcW w:w="391" w:type="pct"/>
            <w:noWrap/>
            <w:hideMark/>
          </w:tcPr>
          <w:p w14:paraId="2699FF9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0.86</w:t>
            </w:r>
          </w:p>
        </w:tc>
        <w:tc>
          <w:tcPr>
            <w:tcW w:w="391" w:type="pct"/>
            <w:noWrap/>
            <w:hideMark/>
          </w:tcPr>
          <w:p w14:paraId="7CEF026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1.04</w:t>
            </w:r>
          </w:p>
        </w:tc>
        <w:tc>
          <w:tcPr>
            <w:tcW w:w="391" w:type="pct"/>
            <w:noWrap/>
            <w:hideMark/>
          </w:tcPr>
          <w:p w14:paraId="783CB66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1.18</w:t>
            </w:r>
          </w:p>
        </w:tc>
        <w:tc>
          <w:tcPr>
            <w:tcW w:w="391" w:type="pct"/>
            <w:noWrap/>
            <w:hideMark/>
          </w:tcPr>
          <w:p w14:paraId="4C2EB79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1.30</w:t>
            </w:r>
          </w:p>
        </w:tc>
        <w:tc>
          <w:tcPr>
            <w:tcW w:w="391" w:type="pct"/>
            <w:noWrap/>
            <w:hideMark/>
          </w:tcPr>
          <w:p w14:paraId="3745961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1.39</w:t>
            </w:r>
          </w:p>
        </w:tc>
        <w:tc>
          <w:tcPr>
            <w:tcW w:w="391" w:type="pct"/>
            <w:noWrap/>
            <w:hideMark/>
          </w:tcPr>
          <w:p w14:paraId="039BA45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1.47</w:t>
            </w:r>
          </w:p>
        </w:tc>
      </w:tr>
      <w:tr w:rsidR="005B4457" w:rsidRPr="000D5DA5" w14:paraId="00FA71D0"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701" w:type="pct"/>
            <w:noWrap/>
            <w:hideMark/>
          </w:tcPr>
          <w:p w14:paraId="7BD45558"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Professional, scientific, technical services</w:t>
            </w:r>
          </w:p>
        </w:tc>
        <w:tc>
          <w:tcPr>
            <w:tcW w:w="391" w:type="pct"/>
            <w:noWrap/>
            <w:hideMark/>
          </w:tcPr>
          <w:p w14:paraId="1BDB082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91" w:type="pct"/>
            <w:noWrap/>
            <w:hideMark/>
          </w:tcPr>
          <w:p w14:paraId="3CD5A64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0.02</w:t>
            </w:r>
          </w:p>
        </w:tc>
        <w:tc>
          <w:tcPr>
            <w:tcW w:w="391" w:type="pct"/>
            <w:noWrap/>
            <w:hideMark/>
          </w:tcPr>
          <w:p w14:paraId="6B57C16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0.06</w:t>
            </w:r>
          </w:p>
        </w:tc>
        <w:tc>
          <w:tcPr>
            <w:tcW w:w="391" w:type="pct"/>
            <w:noWrap/>
            <w:hideMark/>
          </w:tcPr>
          <w:p w14:paraId="20A3C30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0.25</w:t>
            </w:r>
          </w:p>
        </w:tc>
        <w:tc>
          <w:tcPr>
            <w:tcW w:w="391" w:type="pct"/>
            <w:noWrap/>
            <w:hideMark/>
          </w:tcPr>
          <w:p w14:paraId="457D639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0.52</w:t>
            </w:r>
          </w:p>
        </w:tc>
        <w:tc>
          <w:tcPr>
            <w:tcW w:w="391" w:type="pct"/>
            <w:noWrap/>
            <w:hideMark/>
          </w:tcPr>
          <w:p w14:paraId="7663853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0.84</w:t>
            </w:r>
          </w:p>
        </w:tc>
        <w:tc>
          <w:tcPr>
            <w:tcW w:w="391" w:type="pct"/>
            <w:noWrap/>
            <w:hideMark/>
          </w:tcPr>
          <w:p w14:paraId="62FA0FC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1.02</w:t>
            </w:r>
          </w:p>
        </w:tc>
        <w:tc>
          <w:tcPr>
            <w:tcW w:w="391" w:type="pct"/>
            <w:noWrap/>
            <w:hideMark/>
          </w:tcPr>
          <w:p w14:paraId="2E3D2BA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1.18</w:t>
            </w:r>
          </w:p>
        </w:tc>
        <w:tc>
          <w:tcPr>
            <w:tcW w:w="391" w:type="pct"/>
            <w:noWrap/>
            <w:hideMark/>
          </w:tcPr>
          <w:p w14:paraId="7BC15D8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1.31</w:t>
            </w:r>
          </w:p>
        </w:tc>
        <w:tc>
          <w:tcPr>
            <w:tcW w:w="391" w:type="pct"/>
            <w:noWrap/>
            <w:hideMark/>
          </w:tcPr>
          <w:p w14:paraId="442D90B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1.40</w:t>
            </w:r>
          </w:p>
        </w:tc>
        <w:tc>
          <w:tcPr>
            <w:tcW w:w="391" w:type="pct"/>
            <w:noWrap/>
            <w:hideMark/>
          </w:tcPr>
          <w:p w14:paraId="23153E0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1.48</w:t>
            </w:r>
          </w:p>
        </w:tc>
      </w:tr>
      <w:tr w:rsidR="005B4457" w:rsidRPr="000D5DA5" w14:paraId="7BD01E35"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701" w:type="pct"/>
            <w:noWrap/>
            <w:hideMark/>
          </w:tcPr>
          <w:p w14:paraId="22ECDA0F"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Administration</w:t>
            </w:r>
          </w:p>
        </w:tc>
        <w:tc>
          <w:tcPr>
            <w:tcW w:w="391" w:type="pct"/>
            <w:noWrap/>
            <w:hideMark/>
          </w:tcPr>
          <w:p w14:paraId="73762C5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91" w:type="pct"/>
            <w:noWrap/>
            <w:hideMark/>
          </w:tcPr>
          <w:p w14:paraId="1790087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-0.01</w:t>
            </w:r>
          </w:p>
        </w:tc>
        <w:tc>
          <w:tcPr>
            <w:tcW w:w="391" w:type="pct"/>
            <w:noWrap/>
            <w:hideMark/>
          </w:tcPr>
          <w:p w14:paraId="0BA1B36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0.16</w:t>
            </w:r>
          </w:p>
        </w:tc>
        <w:tc>
          <w:tcPr>
            <w:tcW w:w="391" w:type="pct"/>
            <w:noWrap/>
            <w:hideMark/>
          </w:tcPr>
          <w:p w14:paraId="556BEE5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0.36</w:t>
            </w:r>
          </w:p>
        </w:tc>
        <w:tc>
          <w:tcPr>
            <w:tcW w:w="391" w:type="pct"/>
            <w:noWrap/>
            <w:hideMark/>
          </w:tcPr>
          <w:p w14:paraId="28A2CEA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0.62</w:t>
            </w:r>
          </w:p>
        </w:tc>
        <w:tc>
          <w:tcPr>
            <w:tcW w:w="391" w:type="pct"/>
            <w:noWrap/>
            <w:hideMark/>
          </w:tcPr>
          <w:p w14:paraId="08DFAB9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0.94</w:t>
            </w:r>
          </w:p>
        </w:tc>
        <w:tc>
          <w:tcPr>
            <w:tcW w:w="391" w:type="pct"/>
            <w:noWrap/>
            <w:hideMark/>
          </w:tcPr>
          <w:p w14:paraId="07C6E3E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1.15</w:t>
            </w:r>
          </w:p>
        </w:tc>
        <w:tc>
          <w:tcPr>
            <w:tcW w:w="391" w:type="pct"/>
            <w:noWrap/>
            <w:hideMark/>
          </w:tcPr>
          <w:p w14:paraId="7420D34D"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1.31</w:t>
            </w:r>
          </w:p>
        </w:tc>
        <w:tc>
          <w:tcPr>
            <w:tcW w:w="391" w:type="pct"/>
            <w:noWrap/>
            <w:hideMark/>
          </w:tcPr>
          <w:p w14:paraId="2A57236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1.43</w:t>
            </w:r>
          </w:p>
        </w:tc>
        <w:tc>
          <w:tcPr>
            <w:tcW w:w="391" w:type="pct"/>
            <w:noWrap/>
            <w:hideMark/>
          </w:tcPr>
          <w:p w14:paraId="6BF574E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1.53</w:t>
            </w:r>
          </w:p>
        </w:tc>
        <w:tc>
          <w:tcPr>
            <w:tcW w:w="391" w:type="pct"/>
            <w:noWrap/>
            <w:hideMark/>
          </w:tcPr>
          <w:p w14:paraId="4292263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1.61</w:t>
            </w:r>
          </w:p>
        </w:tc>
      </w:tr>
      <w:tr w:rsidR="005B4457" w:rsidRPr="000D5DA5" w14:paraId="47C2FAB7"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701" w:type="pct"/>
            <w:noWrap/>
            <w:hideMark/>
          </w:tcPr>
          <w:p w14:paraId="7A23D37B"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Public administration, safety</w:t>
            </w:r>
          </w:p>
        </w:tc>
        <w:tc>
          <w:tcPr>
            <w:tcW w:w="391" w:type="pct"/>
            <w:noWrap/>
            <w:hideMark/>
          </w:tcPr>
          <w:p w14:paraId="4B751C2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91" w:type="pct"/>
            <w:noWrap/>
            <w:hideMark/>
          </w:tcPr>
          <w:p w14:paraId="66C6EC5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91" w:type="pct"/>
            <w:noWrap/>
            <w:hideMark/>
          </w:tcPr>
          <w:p w14:paraId="7865F1C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0.03</w:t>
            </w:r>
          </w:p>
        </w:tc>
        <w:tc>
          <w:tcPr>
            <w:tcW w:w="391" w:type="pct"/>
            <w:noWrap/>
            <w:hideMark/>
          </w:tcPr>
          <w:p w14:paraId="79F9BBF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0.07</w:t>
            </w:r>
          </w:p>
        </w:tc>
        <w:tc>
          <w:tcPr>
            <w:tcW w:w="391" w:type="pct"/>
            <w:noWrap/>
            <w:hideMark/>
          </w:tcPr>
          <w:p w14:paraId="7CAC7D4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0.11</w:t>
            </w:r>
          </w:p>
        </w:tc>
        <w:tc>
          <w:tcPr>
            <w:tcW w:w="391" w:type="pct"/>
            <w:noWrap/>
            <w:hideMark/>
          </w:tcPr>
          <w:p w14:paraId="004F979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0.16</w:t>
            </w:r>
          </w:p>
        </w:tc>
        <w:tc>
          <w:tcPr>
            <w:tcW w:w="391" w:type="pct"/>
            <w:noWrap/>
            <w:hideMark/>
          </w:tcPr>
          <w:p w14:paraId="0878352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0.18</w:t>
            </w:r>
          </w:p>
        </w:tc>
        <w:tc>
          <w:tcPr>
            <w:tcW w:w="391" w:type="pct"/>
            <w:noWrap/>
            <w:hideMark/>
          </w:tcPr>
          <w:p w14:paraId="069B1DB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0.20</w:t>
            </w:r>
          </w:p>
        </w:tc>
        <w:tc>
          <w:tcPr>
            <w:tcW w:w="391" w:type="pct"/>
            <w:noWrap/>
            <w:hideMark/>
          </w:tcPr>
          <w:p w14:paraId="07CEC3F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0.21</w:t>
            </w:r>
          </w:p>
        </w:tc>
        <w:tc>
          <w:tcPr>
            <w:tcW w:w="391" w:type="pct"/>
            <w:noWrap/>
            <w:hideMark/>
          </w:tcPr>
          <w:p w14:paraId="2240BFE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0.22</w:t>
            </w:r>
          </w:p>
        </w:tc>
        <w:tc>
          <w:tcPr>
            <w:tcW w:w="391" w:type="pct"/>
            <w:noWrap/>
            <w:hideMark/>
          </w:tcPr>
          <w:p w14:paraId="290F372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0.23</w:t>
            </w:r>
          </w:p>
        </w:tc>
      </w:tr>
      <w:tr w:rsidR="005B4457" w:rsidRPr="000D5DA5" w14:paraId="1227A32D"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701" w:type="pct"/>
            <w:noWrap/>
            <w:hideMark/>
          </w:tcPr>
          <w:p w14:paraId="1E191B22"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Education</w:t>
            </w:r>
          </w:p>
        </w:tc>
        <w:tc>
          <w:tcPr>
            <w:tcW w:w="391" w:type="pct"/>
            <w:noWrap/>
            <w:hideMark/>
          </w:tcPr>
          <w:p w14:paraId="44329EA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91" w:type="pct"/>
            <w:noWrap/>
            <w:hideMark/>
          </w:tcPr>
          <w:p w14:paraId="64FD221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-0.10</w:t>
            </w:r>
          </w:p>
        </w:tc>
        <w:tc>
          <w:tcPr>
            <w:tcW w:w="391" w:type="pct"/>
            <w:noWrap/>
            <w:hideMark/>
          </w:tcPr>
          <w:p w14:paraId="5E11B9C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0.32</w:t>
            </w:r>
          </w:p>
        </w:tc>
        <w:tc>
          <w:tcPr>
            <w:tcW w:w="391" w:type="pct"/>
            <w:noWrap/>
            <w:hideMark/>
          </w:tcPr>
          <w:p w14:paraId="690FDC1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0.33</w:t>
            </w:r>
          </w:p>
        </w:tc>
        <w:tc>
          <w:tcPr>
            <w:tcW w:w="391" w:type="pct"/>
            <w:noWrap/>
            <w:hideMark/>
          </w:tcPr>
          <w:p w14:paraId="207AE99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0.43</w:t>
            </w:r>
          </w:p>
        </w:tc>
        <w:tc>
          <w:tcPr>
            <w:tcW w:w="391" w:type="pct"/>
            <w:noWrap/>
            <w:hideMark/>
          </w:tcPr>
          <w:p w14:paraId="26604F8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0.60</w:t>
            </w:r>
          </w:p>
        </w:tc>
        <w:tc>
          <w:tcPr>
            <w:tcW w:w="391" w:type="pct"/>
            <w:noWrap/>
            <w:hideMark/>
          </w:tcPr>
          <w:p w14:paraId="57D6AED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1.05</w:t>
            </w:r>
          </w:p>
        </w:tc>
        <w:tc>
          <w:tcPr>
            <w:tcW w:w="391" w:type="pct"/>
            <w:noWrap/>
            <w:hideMark/>
          </w:tcPr>
          <w:p w14:paraId="61FDBFD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1.32</w:t>
            </w:r>
          </w:p>
        </w:tc>
        <w:tc>
          <w:tcPr>
            <w:tcW w:w="391" w:type="pct"/>
            <w:noWrap/>
            <w:hideMark/>
          </w:tcPr>
          <w:p w14:paraId="5EB6CB7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1.53</w:t>
            </w:r>
          </w:p>
        </w:tc>
        <w:tc>
          <w:tcPr>
            <w:tcW w:w="391" w:type="pct"/>
            <w:noWrap/>
            <w:hideMark/>
          </w:tcPr>
          <w:p w14:paraId="25A78A7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1.70</w:t>
            </w:r>
          </w:p>
        </w:tc>
        <w:tc>
          <w:tcPr>
            <w:tcW w:w="391" w:type="pct"/>
            <w:noWrap/>
            <w:hideMark/>
          </w:tcPr>
          <w:p w14:paraId="2776C31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1.82</w:t>
            </w:r>
          </w:p>
        </w:tc>
      </w:tr>
      <w:tr w:rsidR="005B4457" w:rsidRPr="000D5DA5" w14:paraId="4599B55F"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701" w:type="pct"/>
            <w:noWrap/>
            <w:hideMark/>
          </w:tcPr>
          <w:p w14:paraId="15ABA9F3"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Health care, social assistance</w:t>
            </w:r>
          </w:p>
        </w:tc>
        <w:tc>
          <w:tcPr>
            <w:tcW w:w="391" w:type="pct"/>
            <w:noWrap/>
            <w:hideMark/>
          </w:tcPr>
          <w:p w14:paraId="75A3966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91" w:type="pct"/>
            <w:noWrap/>
            <w:hideMark/>
          </w:tcPr>
          <w:p w14:paraId="1FCD15E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0.02</w:t>
            </w:r>
          </w:p>
        </w:tc>
        <w:tc>
          <w:tcPr>
            <w:tcW w:w="391" w:type="pct"/>
            <w:noWrap/>
            <w:hideMark/>
          </w:tcPr>
          <w:p w14:paraId="19CE12C4"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1.37</w:t>
            </w:r>
          </w:p>
        </w:tc>
        <w:tc>
          <w:tcPr>
            <w:tcW w:w="391" w:type="pct"/>
            <w:noWrap/>
            <w:hideMark/>
          </w:tcPr>
          <w:p w14:paraId="11B2A67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2.91</w:t>
            </w:r>
          </w:p>
        </w:tc>
        <w:tc>
          <w:tcPr>
            <w:tcW w:w="391" w:type="pct"/>
            <w:noWrap/>
            <w:hideMark/>
          </w:tcPr>
          <w:p w14:paraId="0DAA1FF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4.56</w:t>
            </w:r>
          </w:p>
        </w:tc>
        <w:tc>
          <w:tcPr>
            <w:tcW w:w="391" w:type="pct"/>
            <w:noWrap/>
            <w:hideMark/>
          </w:tcPr>
          <w:p w14:paraId="5298372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6.33</w:t>
            </w:r>
          </w:p>
        </w:tc>
        <w:tc>
          <w:tcPr>
            <w:tcW w:w="391" w:type="pct"/>
            <w:noWrap/>
            <w:hideMark/>
          </w:tcPr>
          <w:p w14:paraId="3489459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6.38</w:t>
            </w:r>
          </w:p>
        </w:tc>
        <w:tc>
          <w:tcPr>
            <w:tcW w:w="391" w:type="pct"/>
            <w:noWrap/>
            <w:hideMark/>
          </w:tcPr>
          <w:p w14:paraId="113E701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6.42</w:t>
            </w:r>
          </w:p>
        </w:tc>
        <w:tc>
          <w:tcPr>
            <w:tcW w:w="391" w:type="pct"/>
            <w:noWrap/>
            <w:hideMark/>
          </w:tcPr>
          <w:p w14:paraId="235F06D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6.45</w:t>
            </w:r>
          </w:p>
        </w:tc>
        <w:tc>
          <w:tcPr>
            <w:tcW w:w="391" w:type="pct"/>
            <w:noWrap/>
            <w:hideMark/>
          </w:tcPr>
          <w:p w14:paraId="0F96097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6.47</w:t>
            </w:r>
          </w:p>
        </w:tc>
        <w:tc>
          <w:tcPr>
            <w:tcW w:w="391" w:type="pct"/>
            <w:noWrap/>
            <w:hideMark/>
          </w:tcPr>
          <w:p w14:paraId="09F6369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6.48</w:t>
            </w:r>
          </w:p>
        </w:tc>
      </w:tr>
      <w:tr w:rsidR="005B4457" w:rsidRPr="000D5DA5" w14:paraId="37FD3B46"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701" w:type="pct"/>
            <w:noWrap/>
            <w:hideMark/>
          </w:tcPr>
          <w:p w14:paraId="34CFC7EB"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Arts, recreation</w:t>
            </w:r>
          </w:p>
        </w:tc>
        <w:tc>
          <w:tcPr>
            <w:tcW w:w="391" w:type="pct"/>
            <w:noWrap/>
            <w:hideMark/>
          </w:tcPr>
          <w:p w14:paraId="2235440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91" w:type="pct"/>
            <w:noWrap/>
            <w:hideMark/>
          </w:tcPr>
          <w:p w14:paraId="707EDF0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0.02</w:t>
            </w:r>
          </w:p>
        </w:tc>
        <w:tc>
          <w:tcPr>
            <w:tcW w:w="391" w:type="pct"/>
            <w:noWrap/>
            <w:hideMark/>
          </w:tcPr>
          <w:p w14:paraId="4E40369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0.09</w:t>
            </w:r>
          </w:p>
        </w:tc>
        <w:tc>
          <w:tcPr>
            <w:tcW w:w="391" w:type="pct"/>
            <w:noWrap/>
            <w:hideMark/>
          </w:tcPr>
          <w:p w14:paraId="107B075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0.36</w:t>
            </w:r>
          </w:p>
        </w:tc>
        <w:tc>
          <w:tcPr>
            <w:tcW w:w="391" w:type="pct"/>
            <w:noWrap/>
            <w:hideMark/>
          </w:tcPr>
          <w:p w14:paraId="5AD4545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0.67</w:t>
            </w:r>
          </w:p>
        </w:tc>
        <w:tc>
          <w:tcPr>
            <w:tcW w:w="391" w:type="pct"/>
            <w:noWrap/>
            <w:hideMark/>
          </w:tcPr>
          <w:p w14:paraId="1EB4640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1.00</w:t>
            </w:r>
          </w:p>
        </w:tc>
        <w:tc>
          <w:tcPr>
            <w:tcW w:w="391" w:type="pct"/>
            <w:noWrap/>
            <w:hideMark/>
          </w:tcPr>
          <w:p w14:paraId="096D180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1.11</w:t>
            </w:r>
          </w:p>
        </w:tc>
        <w:tc>
          <w:tcPr>
            <w:tcW w:w="391" w:type="pct"/>
            <w:noWrap/>
            <w:hideMark/>
          </w:tcPr>
          <w:p w14:paraId="393FE86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1.22</w:t>
            </w:r>
          </w:p>
        </w:tc>
        <w:tc>
          <w:tcPr>
            <w:tcW w:w="391" w:type="pct"/>
            <w:noWrap/>
            <w:hideMark/>
          </w:tcPr>
          <w:p w14:paraId="63C3E77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1.30</w:t>
            </w:r>
          </w:p>
        </w:tc>
        <w:tc>
          <w:tcPr>
            <w:tcW w:w="391" w:type="pct"/>
            <w:noWrap/>
            <w:hideMark/>
          </w:tcPr>
          <w:p w14:paraId="6D94EDC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1.37</w:t>
            </w:r>
          </w:p>
        </w:tc>
        <w:tc>
          <w:tcPr>
            <w:tcW w:w="391" w:type="pct"/>
            <w:noWrap/>
            <w:hideMark/>
          </w:tcPr>
          <w:p w14:paraId="05736BD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1.43</w:t>
            </w:r>
          </w:p>
        </w:tc>
      </w:tr>
      <w:tr w:rsidR="005B4457" w:rsidRPr="000D5DA5" w14:paraId="341D1FB2"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701" w:type="pct"/>
            <w:noWrap/>
            <w:hideMark/>
          </w:tcPr>
          <w:p w14:paraId="08D7C54C"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Other services</w:t>
            </w:r>
          </w:p>
        </w:tc>
        <w:tc>
          <w:tcPr>
            <w:tcW w:w="391" w:type="pct"/>
            <w:noWrap/>
            <w:hideMark/>
          </w:tcPr>
          <w:p w14:paraId="58B8B86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91" w:type="pct"/>
            <w:noWrap/>
            <w:hideMark/>
          </w:tcPr>
          <w:p w14:paraId="4187C979"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0.03</w:t>
            </w:r>
          </w:p>
        </w:tc>
        <w:tc>
          <w:tcPr>
            <w:tcW w:w="391" w:type="pct"/>
            <w:noWrap/>
            <w:hideMark/>
          </w:tcPr>
          <w:p w14:paraId="1148F05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0.09</w:t>
            </w:r>
          </w:p>
        </w:tc>
        <w:tc>
          <w:tcPr>
            <w:tcW w:w="391" w:type="pct"/>
            <w:noWrap/>
            <w:hideMark/>
          </w:tcPr>
          <w:p w14:paraId="3638003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0.38</w:t>
            </w:r>
          </w:p>
        </w:tc>
        <w:tc>
          <w:tcPr>
            <w:tcW w:w="391" w:type="pct"/>
            <w:noWrap/>
            <w:hideMark/>
          </w:tcPr>
          <w:p w14:paraId="1D6DC91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0.71</w:t>
            </w:r>
          </w:p>
        </w:tc>
        <w:tc>
          <w:tcPr>
            <w:tcW w:w="391" w:type="pct"/>
            <w:noWrap/>
            <w:hideMark/>
          </w:tcPr>
          <w:p w14:paraId="17C8B2F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1.08</w:t>
            </w:r>
          </w:p>
        </w:tc>
        <w:tc>
          <w:tcPr>
            <w:tcW w:w="391" w:type="pct"/>
            <w:noWrap/>
            <w:hideMark/>
          </w:tcPr>
          <w:p w14:paraId="0986F41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1.20</w:t>
            </w:r>
          </w:p>
        </w:tc>
        <w:tc>
          <w:tcPr>
            <w:tcW w:w="391" w:type="pct"/>
            <w:noWrap/>
            <w:hideMark/>
          </w:tcPr>
          <w:p w14:paraId="194E0273"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1.33</w:t>
            </w:r>
          </w:p>
        </w:tc>
        <w:tc>
          <w:tcPr>
            <w:tcW w:w="391" w:type="pct"/>
            <w:noWrap/>
            <w:hideMark/>
          </w:tcPr>
          <w:p w14:paraId="60C0BA2F"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1.42</w:t>
            </w:r>
          </w:p>
        </w:tc>
        <w:tc>
          <w:tcPr>
            <w:tcW w:w="391" w:type="pct"/>
            <w:noWrap/>
            <w:hideMark/>
          </w:tcPr>
          <w:p w14:paraId="5CB3970E"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1.50</w:t>
            </w:r>
          </w:p>
        </w:tc>
        <w:tc>
          <w:tcPr>
            <w:tcW w:w="391" w:type="pct"/>
            <w:noWrap/>
            <w:hideMark/>
          </w:tcPr>
          <w:p w14:paraId="70B6E932"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1.56</w:t>
            </w:r>
          </w:p>
        </w:tc>
      </w:tr>
      <w:tr w:rsidR="005B4457" w:rsidRPr="000D5DA5" w14:paraId="2C1716CC" w14:textId="77777777" w:rsidTr="005B4457">
        <w:trPr>
          <w:trHeight w:val="300"/>
        </w:trPr>
        <w:tc>
          <w:tcPr>
            <w:cnfStyle w:val="001000000000" w:firstRow="0" w:lastRow="0" w:firstColumn="1" w:lastColumn="0" w:oddVBand="0" w:evenVBand="0" w:oddHBand="0" w:evenHBand="0" w:firstRowFirstColumn="0" w:firstRowLastColumn="0" w:lastRowFirstColumn="0" w:lastRowLastColumn="0"/>
            <w:tcW w:w="701" w:type="pct"/>
            <w:noWrap/>
            <w:hideMark/>
          </w:tcPr>
          <w:p w14:paraId="5C55C54E" w14:textId="77777777" w:rsidR="005B4457" w:rsidRPr="000D5DA5" w:rsidRDefault="005B4457" w:rsidP="005B4457">
            <w:pPr>
              <w:rPr>
                <w:rFonts w:ascii="Calibri" w:eastAsia="Times New Roman" w:hAnsi="Calibri" w:cs="Calibri"/>
                <w:color w:val="000000"/>
                <w:lang w:eastAsia="en-AU"/>
              </w:rPr>
            </w:pPr>
            <w:r w:rsidRPr="000D5DA5">
              <w:rPr>
                <w:rFonts w:ascii="Calibri" w:eastAsia="Times New Roman" w:hAnsi="Calibri" w:cs="Calibri"/>
                <w:color w:val="000000"/>
                <w:lang w:eastAsia="en-AU"/>
              </w:rPr>
              <w:t>Ownership of dwellings</w:t>
            </w:r>
          </w:p>
        </w:tc>
        <w:tc>
          <w:tcPr>
            <w:tcW w:w="391" w:type="pct"/>
            <w:noWrap/>
            <w:hideMark/>
          </w:tcPr>
          <w:p w14:paraId="617F32C7"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91" w:type="pct"/>
            <w:noWrap/>
            <w:hideMark/>
          </w:tcPr>
          <w:p w14:paraId="67CBD648"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91" w:type="pct"/>
            <w:noWrap/>
            <w:hideMark/>
          </w:tcPr>
          <w:p w14:paraId="11E867C5"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0.01</w:t>
            </w:r>
          </w:p>
        </w:tc>
        <w:tc>
          <w:tcPr>
            <w:tcW w:w="391" w:type="pct"/>
            <w:noWrap/>
            <w:hideMark/>
          </w:tcPr>
          <w:p w14:paraId="1BE19B5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-0.01</w:t>
            </w:r>
          </w:p>
        </w:tc>
        <w:tc>
          <w:tcPr>
            <w:tcW w:w="391" w:type="pct"/>
            <w:noWrap/>
            <w:hideMark/>
          </w:tcPr>
          <w:p w14:paraId="39119AAC"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0.00</w:t>
            </w:r>
          </w:p>
        </w:tc>
        <w:tc>
          <w:tcPr>
            <w:tcW w:w="391" w:type="pct"/>
            <w:noWrap/>
            <w:hideMark/>
          </w:tcPr>
          <w:p w14:paraId="73677D31"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0.05</w:t>
            </w:r>
          </w:p>
        </w:tc>
        <w:tc>
          <w:tcPr>
            <w:tcW w:w="391" w:type="pct"/>
            <w:noWrap/>
            <w:hideMark/>
          </w:tcPr>
          <w:p w14:paraId="643AB04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0.13</w:t>
            </w:r>
          </w:p>
        </w:tc>
        <w:tc>
          <w:tcPr>
            <w:tcW w:w="391" w:type="pct"/>
            <w:noWrap/>
            <w:hideMark/>
          </w:tcPr>
          <w:p w14:paraId="3A8A11E0"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0.21</w:t>
            </w:r>
          </w:p>
        </w:tc>
        <w:tc>
          <w:tcPr>
            <w:tcW w:w="391" w:type="pct"/>
            <w:noWrap/>
            <w:hideMark/>
          </w:tcPr>
          <w:p w14:paraId="5DDC960A"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0.29</w:t>
            </w:r>
          </w:p>
        </w:tc>
        <w:tc>
          <w:tcPr>
            <w:tcW w:w="391" w:type="pct"/>
            <w:noWrap/>
            <w:hideMark/>
          </w:tcPr>
          <w:p w14:paraId="7274EB66"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0.38</w:t>
            </w:r>
          </w:p>
        </w:tc>
        <w:tc>
          <w:tcPr>
            <w:tcW w:w="391" w:type="pct"/>
            <w:noWrap/>
            <w:hideMark/>
          </w:tcPr>
          <w:p w14:paraId="0A77AC3B" w14:textId="77777777" w:rsidR="005B4457" w:rsidRPr="000D5DA5" w:rsidRDefault="005B4457" w:rsidP="005B44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0D5DA5">
              <w:rPr>
                <w:rFonts w:ascii="Calibri" w:eastAsia="Times New Roman" w:hAnsi="Calibri" w:cs="Calibri"/>
                <w:color w:val="000000"/>
                <w:lang w:eastAsia="en-AU"/>
              </w:rPr>
              <w:t>0.47</w:t>
            </w:r>
          </w:p>
        </w:tc>
      </w:tr>
    </w:tbl>
    <w:p w14:paraId="0CD24EE7" w14:textId="77777777" w:rsidR="005B4457" w:rsidRDefault="005B4457" w:rsidP="005B4457"/>
    <w:p w14:paraId="7B29AFA2" w14:textId="77777777" w:rsidR="005B4457" w:rsidRDefault="005B4457" w:rsidP="005B4457"/>
    <w:p w14:paraId="0943D124" w14:textId="77777777" w:rsidR="005B4457" w:rsidRDefault="005B4457" w:rsidP="005B4457"/>
    <w:p w14:paraId="09BB0C27" w14:textId="77777777" w:rsidR="005B4457" w:rsidRDefault="005B4457" w:rsidP="005B4457">
      <w:pPr>
        <w:pStyle w:val="Heading1"/>
        <w:sectPr w:rsidR="005B4457" w:rsidSect="005B4457">
          <w:pgSz w:w="16838" w:h="11906" w:orient="landscape"/>
          <w:pgMar w:top="720" w:right="720" w:bottom="720" w:left="720" w:header="708" w:footer="708" w:gutter="0"/>
          <w:cols w:space="708"/>
          <w:docGrid w:linePitch="360"/>
        </w:sectPr>
      </w:pPr>
    </w:p>
    <w:p w14:paraId="67CDDEE0" w14:textId="77777777" w:rsidR="005B4457" w:rsidRDefault="005B4457" w:rsidP="005B4457">
      <w:pPr>
        <w:pStyle w:val="Heading1"/>
      </w:pPr>
      <w:r>
        <w:t>Appendix: VUEF-G</w:t>
      </w:r>
    </w:p>
    <w:p w14:paraId="5FEC25BE" w14:textId="77777777" w:rsidR="005B4457" w:rsidRDefault="005B4457" w:rsidP="005B4457">
      <w:pPr>
        <w:rPr>
          <w:lang w:val="en-US"/>
        </w:rPr>
      </w:pPr>
      <w:r w:rsidRPr="009E3727">
        <w:rPr>
          <w:lang w:val="en-US"/>
        </w:rPr>
        <w:t>VUEF-G</w:t>
      </w:r>
      <w:r>
        <w:rPr>
          <w:lang w:val="en-US"/>
        </w:rPr>
        <w:t xml:space="preserve"> is a variant of the VUEF model </w:t>
      </w:r>
      <w:r w:rsidRPr="009E3727">
        <w:rPr>
          <w:lang w:val="en-US"/>
        </w:rPr>
        <w:t xml:space="preserve">which adds a gender dimension to the existing </w:t>
      </w:r>
      <w:r>
        <w:rPr>
          <w:lang w:val="en-US"/>
        </w:rPr>
        <w:t xml:space="preserve">labour market </w:t>
      </w:r>
      <w:r w:rsidRPr="009E3727">
        <w:rPr>
          <w:lang w:val="en-US"/>
        </w:rPr>
        <w:t>model</w:t>
      </w:r>
      <w:r>
        <w:rPr>
          <w:lang w:val="en-US"/>
        </w:rPr>
        <w:t>ling framework (J.Dixon and Nassios, 2020)</w:t>
      </w:r>
      <w:r w:rsidRPr="009E3727">
        <w:rPr>
          <w:lang w:val="en-US"/>
        </w:rPr>
        <w:t>.  We formulate labour supply in a labour-leisure framework in which we also introduce home-produced domestic services (“housework”), which covers activities such as cleaning, cooking, and caring for family members</w:t>
      </w:r>
      <w:r>
        <w:rPr>
          <w:lang w:val="en-US"/>
        </w:rPr>
        <w:t>, particularly children</w:t>
      </w:r>
      <w:r w:rsidRPr="009E3727">
        <w:rPr>
          <w:lang w:val="en-US"/>
        </w:rPr>
        <w:t>. We assume that households choose leisure, domestic services and consumption to maximise utility subject to three constraints: (i) a time constraint on total labour, leisure and housework; (ii) a budget constraint equating household wage income to expenditure on consumption (other than domestic services) and purchased domestic services</w:t>
      </w:r>
      <w:r>
        <w:rPr>
          <w:lang w:val="en-US"/>
        </w:rPr>
        <w:t xml:space="preserve"> (such as childcare)</w:t>
      </w:r>
      <w:r w:rsidRPr="009E3727">
        <w:rPr>
          <w:lang w:val="en-US"/>
        </w:rPr>
        <w:t>; and, (iii) a production constraint for domestic services, which are a combination of home-produced and purchased domestic services.</w:t>
      </w:r>
    </w:p>
    <w:p w14:paraId="0170D939" w14:textId="05705DF5" w:rsidR="005B4457" w:rsidRDefault="005B4457" w:rsidP="005B4457">
      <w:pPr>
        <w:rPr>
          <w:lang w:val="en-US"/>
        </w:rPr>
      </w:pPr>
      <w:r>
        <w:rPr>
          <w:lang w:val="en-US"/>
        </w:rPr>
        <w:t>VUEF-G</w:t>
      </w:r>
      <w:r w:rsidRPr="009E3727">
        <w:rPr>
          <w:lang w:val="en-US"/>
        </w:rPr>
        <w:t xml:space="preserve"> contains all the features of a standard MONASH – style dynamic CGE model [P. Dixon and Rimmer (2002)], namely:</w:t>
      </w:r>
    </w:p>
    <w:p w14:paraId="42D127B7" w14:textId="77777777" w:rsidR="00C218C4" w:rsidRPr="009E3727" w:rsidRDefault="00C218C4" w:rsidP="005B4457">
      <w:pPr>
        <w:rPr>
          <w:lang w:val="en-US"/>
        </w:rPr>
      </w:pPr>
    </w:p>
    <w:p w14:paraId="614A0219" w14:textId="77777777" w:rsidR="005B4457" w:rsidRPr="009E3727" w:rsidRDefault="005B4457" w:rsidP="005B4457">
      <w:pPr>
        <w:rPr>
          <w:lang w:val="en-US"/>
        </w:rPr>
      </w:pPr>
      <w:r w:rsidRPr="009E3727">
        <w:rPr>
          <w:lang w:val="en-US"/>
        </w:rPr>
        <w:t>1.</w:t>
      </w:r>
      <w:r w:rsidRPr="009E3727">
        <w:rPr>
          <w:lang w:val="en-US"/>
        </w:rPr>
        <w:tab/>
        <w:t>equations describing demand for domestic and imported goods and services by industries, investors, households, government and the rest of the world;</w:t>
      </w:r>
    </w:p>
    <w:p w14:paraId="6F3F613B" w14:textId="77777777" w:rsidR="005B4457" w:rsidRPr="009E3727" w:rsidRDefault="005B4457" w:rsidP="005B4457">
      <w:pPr>
        <w:rPr>
          <w:lang w:val="en-US"/>
        </w:rPr>
      </w:pPr>
      <w:r w:rsidRPr="009E3727">
        <w:rPr>
          <w:lang w:val="en-US"/>
        </w:rPr>
        <w:t>2.</w:t>
      </w:r>
      <w:r w:rsidRPr="009E3727">
        <w:rPr>
          <w:lang w:val="en-US"/>
        </w:rPr>
        <w:tab/>
        <w:t>equations describing demand for factors of production by industries;</w:t>
      </w:r>
    </w:p>
    <w:p w14:paraId="6D820C2B" w14:textId="77777777" w:rsidR="005B4457" w:rsidRPr="009E3727" w:rsidRDefault="005B4457" w:rsidP="005B4457">
      <w:pPr>
        <w:rPr>
          <w:lang w:val="en-US"/>
        </w:rPr>
      </w:pPr>
      <w:r w:rsidRPr="009E3727">
        <w:rPr>
          <w:lang w:val="en-US"/>
        </w:rPr>
        <w:t>3.</w:t>
      </w:r>
      <w:r w:rsidRPr="009E3727">
        <w:rPr>
          <w:lang w:val="en-US"/>
        </w:rPr>
        <w:tab/>
        <w:t>market clearing conditions for all goods and services and factors of production;</w:t>
      </w:r>
    </w:p>
    <w:p w14:paraId="3119B1A7" w14:textId="77777777" w:rsidR="005B4457" w:rsidRPr="009E3727" w:rsidRDefault="005B4457" w:rsidP="005B4457">
      <w:pPr>
        <w:rPr>
          <w:lang w:val="en-US"/>
        </w:rPr>
      </w:pPr>
      <w:r w:rsidRPr="009E3727">
        <w:rPr>
          <w:lang w:val="en-US"/>
        </w:rPr>
        <w:t>4.</w:t>
      </w:r>
      <w:r w:rsidRPr="009E3727">
        <w:rPr>
          <w:lang w:val="en-US"/>
        </w:rPr>
        <w:tab/>
        <w:t>zero pure profit conditions determining basic prices of goods and services;</w:t>
      </w:r>
    </w:p>
    <w:p w14:paraId="41C11A07" w14:textId="77777777" w:rsidR="005B4457" w:rsidRPr="009E3727" w:rsidRDefault="005B4457" w:rsidP="005B4457">
      <w:pPr>
        <w:rPr>
          <w:lang w:val="en-US"/>
        </w:rPr>
      </w:pPr>
      <w:r w:rsidRPr="009E3727">
        <w:rPr>
          <w:lang w:val="en-US"/>
        </w:rPr>
        <w:t>5.</w:t>
      </w:r>
      <w:r w:rsidRPr="009E3727">
        <w:rPr>
          <w:lang w:val="en-US"/>
        </w:rPr>
        <w:tab/>
        <w:t>equations linking basic and purchaser prices through taxes and margins;</w:t>
      </w:r>
    </w:p>
    <w:p w14:paraId="28104786" w14:textId="77777777" w:rsidR="005B4457" w:rsidRPr="009E3727" w:rsidRDefault="005B4457" w:rsidP="005B4457">
      <w:pPr>
        <w:rPr>
          <w:lang w:val="en-US"/>
        </w:rPr>
      </w:pPr>
      <w:r w:rsidRPr="009E3727">
        <w:rPr>
          <w:lang w:val="en-US"/>
        </w:rPr>
        <w:t>6.</w:t>
      </w:r>
      <w:r w:rsidRPr="009E3727">
        <w:rPr>
          <w:lang w:val="en-US"/>
        </w:rPr>
        <w:tab/>
        <w:t>equations linking industry-specific capital supply to investment;</w:t>
      </w:r>
    </w:p>
    <w:p w14:paraId="1394B660" w14:textId="77777777" w:rsidR="005B4457" w:rsidRPr="009E3727" w:rsidRDefault="005B4457" w:rsidP="005B4457">
      <w:pPr>
        <w:rPr>
          <w:lang w:val="en-US"/>
        </w:rPr>
      </w:pPr>
      <w:r w:rsidRPr="009E3727">
        <w:rPr>
          <w:lang w:val="en-US"/>
        </w:rPr>
        <w:t>7.</w:t>
      </w:r>
      <w:r w:rsidRPr="009E3727">
        <w:rPr>
          <w:lang w:val="en-US"/>
        </w:rPr>
        <w:tab/>
        <w:t>equations linking investment by industry to expected rates of return; and</w:t>
      </w:r>
    </w:p>
    <w:p w14:paraId="4B253A6B" w14:textId="77777777" w:rsidR="005B4457" w:rsidRPr="009E3727" w:rsidRDefault="005B4457" w:rsidP="005B4457">
      <w:pPr>
        <w:rPr>
          <w:lang w:val="en-US"/>
        </w:rPr>
      </w:pPr>
      <w:r w:rsidRPr="009E3727">
        <w:rPr>
          <w:lang w:val="en-US"/>
        </w:rPr>
        <w:t>8.</w:t>
      </w:r>
      <w:r w:rsidRPr="009E3727">
        <w:rPr>
          <w:lang w:val="en-US"/>
        </w:rPr>
        <w:tab/>
        <w:t>equations to ensure that wage adjustment is sticky.</w:t>
      </w:r>
    </w:p>
    <w:p w14:paraId="7D11BE41" w14:textId="77777777" w:rsidR="00C218C4" w:rsidRDefault="00C218C4" w:rsidP="005B4457">
      <w:pPr>
        <w:rPr>
          <w:lang w:val="en-US"/>
        </w:rPr>
      </w:pPr>
    </w:p>
    <w:p w14:paraId="6E3F07E4" w14:textId="410F252B" w:rsidR="005B4457" w:rsidRDefault="005B4457" w:rsidP="005B4457">
      <w:pPr>
        <w:rPr>
          <w:lang w:val="en-US"/>
        </w:rPr>
      </w:pPr>
      <w:r w:rsidRPr="009E3727">
        <w:rPr>
          <w:lang w:val="en-US"/>
        </w:rPr>
        <w:t>These equations are described in detail in many references inclu</w:t>
      </w:r>
      <w:r>
        <w:rPr>
          <w:lang w:val="en-US"/>
        </w:rPr>
        <w:t>ding P. Dixon and Rimmer (2002)</w:t>
      </w:r>
      <w:r w:rsidRPr="009E3727">
        <w:rPr>
          <w:lang w:val="en-US"/>
        </w:rPr>
        <w:t xml:space="preserve"> </w:t>
      </w:r>
      <w:r>
        <w:rPr>
          <w:lang w:val="en-US"/>
        </w:rPr>
        <w:t>and Adams et al (2015)</w:t>
      </w:r>
      <w:r w:rsidRPr="009E3727">
        <w:rPr>
          <w:lang w:val="en-US"/>
        </w:rPr>
        <w:t>.</w:t>
      </w:r>
    </w:p>
    <w:p w14:paraId="6DADD69D" w14:textId="77777777" w:rsidR="00C218C4" w:rsidRPr="009E3727" w:rsidRDefault="00C218C4" w:rsidP="005B4457">
      <w:pPr>
        <w:rPr>
          <w:lang w:val="en-US"/>
        </w:rPr>
      </w:pPr>
    </w:p>
    <w:p w14:paraId="031E9AB0" w14:textId="2CBCC970" w:rsidR="005B4457" w:rsidRDefault="005B4457" w:rsidP="005B4457">
      <w:pPr>
        <w:rPr>
          <w:lang w:val="en-US"/>
        </w:rPr>
      </w:pPr>
      <w:r w:rsidRPr="009E3727">
        <w:rPr>
          <w:lang w:val="en-US"/>
        </w:rPr>
        <w:t xml:space="preserve">VUEF adds to the standard MONASH framework a detailed specification for labour supply. In VUEF, the working-age population is disaggregated into many skill groups. Each skill group chooses its occupational composition of employment by maximising wage income subject to a transformation frontier. </w:t>
      </w:r>
    </w:p>
    <w:p w14:paraId="6188910C" w14:textId="77777777" w:rsidR="00C218C4" w:rsidRPr="009E3727" w:rsidRDefault="00C218C4" w:rsidP="005B4457">
      <w:pPr>
        <w:rPr>
          <w:lang w:val="en-US"/>
        </w:rPr>
      </w:pPr>
    </w:p>
    <w:p w14:paraId="4820F1EF" w14:textId="4F315E83" w:rsidR="005B4457" w:rsidRDefault="005B4457" w:rsidP="005B4457">
      <w:pPr>
        <w:rPr>
          <w:lang w:val="en-US"/>
        </w:rPr>
      </w:pPr>
      <w:r w:rsidRPr="009E3727">
        <w:rPr>
          <w:lang w:val="en-US"/>
        </w:rPr>
        <w:t>VUEF therefore adds to the standard CGE framework a method for determining occupational employment and wages. However, participation and unemployment rates by skill group are typically exogenous, or simply indexed to their national equivalents. This treatment fails to acknowledge the likelihood that labour supply is more elastic among part time workers, particularly women.</w:t>
      </w:r>
      <w:r>
        <w:rPr>
          <w:lang w:val="en-US"/>
        </w:rPr>
        <w:t xml:space="preserve">  VUEF-G addresses this gap by formalizing the differences in time use between men and women.</w:t>
      </w:r>
    </w:p>
    <w:p w14:paraId="3403A9AC" w14:textId="77777777" w:rsidR="00C218C4" w:rsidRDefault="00C218C4" w:rsidP="005B4457">
      <w:pPr>
        <w:rPr>
          <w:lang w:val="en-US"/>
        </w:rPr>
      </w:pPr>
    </w:p>
    <w:p w14:paraId="32EE26CF" w14:textId="77777777" w:rsidR="005B4457" w:rsidRDefault="005B4457" w:rsidP="005B4457">
      <w:pPr>
        <w:rPr>
          <w:lang w:val="en-US"/>
        </w:rPr>
      </w:pPr>
      <w:r>
        <w:rPr>
          <w:lang w:val="en-US"/>
        </w:rPr>
        <w:t>VUEF-G comprises a large system of non-linear equations which is solved in the GEMPACK software (Horridge et al, 2018).</w:t>
      </w:r>
    </w:p>
    <w:p w14:paraId="75539A87" w14:textId="77777777" w:rsidR="005B4457" w:rsidRDefault="005B4457" w:rsidP="005B4457"/>
    <w:p w14:paraId="235C2A40" w14:textId="77777777" w:rsidR="005B4457" w:rsidRDefault="005B4457" w:rsidP="005B4457"/>
    <w:sectPr w:rsidR="005B4457">
      <w:head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F07F9" w14:textId="77777777" w:rsidR="00C430D9" w:rsidRDefault="00C430D9" w:rsidP="00A0179C">
      <w:r>
        <w:separator/>
      </w:r>
    </w:p>
  </w:endnote>
  <w:endnote w:type="continuationSeparator" w:id="0">
    <w:p w14:paraId="20021229" w14:textId="77777777" w:rsidR="00C430D9" w:rsidRDefault="00C430D9" w:rsidP="00A0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7727252"/>
      <w:docPartObj>
        <w:docPartGallery w:val="Page Numbers (Bottom of Page)"/>
        <w:docPartUnique/>
      </w:docPartObj>
    </w:sdtPr>
    <w:sdtEndPr>
      <w:rPr>
        <w:noProof/>
      </w:rPr>
    </w:sdtEndPr>
    <w:sdtContent>
      <w:p w14:paraId="1E2711BD" w14:textId="7339B702" w:rsidR="00C463EB" w:rsidRDefault="00C463EB">
        <w:pPr>
          <w:pStyle w:val="Footer"/>
          <w:jc w:val="center"/>
        </w:pPr>
        <w:r>
          <w:fldChar w:fldCharType="begin"/>
        </w:r>
        <w:r>
          <w:instrText xml:space="preserve"> PAGE   \* MERGEFORMAT </w:instrText>
        </w:r>
        <w:r>
          <w:fldChar w:fldCharType="separate"/>
        </w:r>
        <w:r w:rsidR="00712873">
          <w:rPr>
            <w:noProof/>
          </w:rPr>
          <w:t>1</w:t>
        </w:r>
        <w:r>
          <w:rPr>
            <w:noProof/>
          </w:rPr>
          <w:fldChar w:fldCharType="end"/>
        </w:r>
      </w:p>
    </w:sdtContent>
  </w:sdt>
  <w:p w14:paraId="7C8D2040" w14:textId="77777777" w:rsidR="00C463EB" w:rsidRDefault="00C46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1CF51" w14:textId="77777777" w:rsidR="00C430D9" w:rsidRDefault="00C430D9" w:rsidP="00A0179C">
      <w:r>
        <w:separator/>
      </w:r>
    </w:p>
  </w:footnote>
  <w:footnote w:type="continuationSeparator" w:id="0">
    <w:p w14:paraId="51930890" w14:textId="77777777" w:rsidR="00C430D9" w:rsidRDefault="00C430D9" w:rsidP="00A01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488C" w14:textId="77777777" w:rsidR="005B4457" w:rsidRDefault="005B4457" w:rsidP="005B4457"/>
  <w:p w14:paraId="405C7CC0" w14:textId="77777777" w:rsidR="005B4457" w:rsidRDefault="005B4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04211"/>
    <w:multiLevelType w:val="hybridMultilevel"/>
    <w:tmpl w:val="BD76E10C"/>
    <w:lvl w:ilvl="0" w:tplc="FD10F048">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5926547"/>
    <w:multiLevelType w:val="hybridMultilevel"/>
    <w:tmpl w:val="63784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0D6215"/>
    <w:multiLevelType w:val="hybridMultilevel"/>
    <w:tmpl w:val="074C5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D06374"/>
    <w:multiLevelType w:val="hybridMultilevel"/>
    <w:tmpl w:val="CCEE8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D1F74"/>
    <w:multiLevelType w:val="hybridMultilevel"/>
    <w:tmpl w:val="705C11F0"/>
    <w:lvl w:ilvl="0" w:tplc="E3B2E3B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5F634E"/>
    <w:multiLevelType w:val="hybridMultilevel"/>
    <w:tmpl w:val="45F0541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 w15:restartNumberingAfterBreak="0">
    <w:nsid w:val="19DB125B"/>
    <w:multiLevelType w:val="hybridMultilevel"/>
    <w:tmpl w:val="B8ECD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81250D"/>
    <w:multiLevelType w:val="hybridMultilevel"/>
    <w:tmpl w:val="4A20317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4D16E4"/>
    <w:multiLevelType w:val="hybridMultilevel"/>
    <w:tmpl w:val="B67AFB64"/>
    <w:lvl w:ilvl="0" w:tplc="26F606DC">
      <w:start w:val="1"/>
      <w:numFmt w:val="bullet"/>
      <w:pStyle w:val="PBS16BulletList"/>
      <w:lvlText w:val=""/>
      <w:lvlJc w:val="left"/>
      <w:pPr>
        <w:ind w:left="360" w:hanging="360"/>
      </w:pPr>
      <w:rPr>
        <w:rFonts w:ascii="Symbol" w:hAnsi="Symbol" w:hint="default"/>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41C7DB9"/>
    <w:multiLevelType w:val="hybridMultilevel"/>
    <w:tmpl w:val="F8927EF2"/>
    <w:lvl w:ilvl="0" w:tplc="FFFFFFFF">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B61486"/>
    <w:multiLevelType w:val="hybridMultilevel"/>
    <w:tmpl w:val="0A3E4BC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5134E8"/>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4E2438D"/>
    <w:multiLevelType w:val="hybridMultilevel"/>
    <w:tmpl w:val="B37AEF0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E305E92"/>
    <w:multiLevelType w:val="hybridMultilevel"/>
    <w:tmpl w:val="B37AEF0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37012C"/>
    <w:multiLevelType w:val="hybridMultilevel"/>
    <w:tmpl w:val="D87C972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0AB0736"/>
    <w:multiLevelType w:val="hybridMultilevel"/>
    <w:tmpl w:val="89A06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32375F"/>
    <w:multiLevelType w:val="hybridMultilevel"/>
    <w:tmpl w:val="1D048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266CFB"/>
    <w:multiLevelType w:val="hybridMultilevel"/>
    <w:tmpl w:val="DA8E22C6"/>
    <w:lvl w:ilvl="0" w:tplc="0C090001">
      <w:start w:val="1"/>
      <w:numFmt w:val="bullet"/>
      <w:lvlText w:val=""/>
      <w:lvlJc w:val="left"/>
      <w:pPr>
        <w:ind w:left="360" w:hanging="360"/>
      </w:pPr>
      <w:rPr>
        <w:rFonts w:ascii="Symbol" w:hAnsi="Symbol" w:hint="default"/>
      </w:rPr>
    </w:lvl>
    <w:lvl w:ilvl="1" w:tplc="58644E7C">
      <w:numFmt w:val="bullet"/>
      <w:lvlText w:val="-"/>
      <w:lvlJc w:val="left"/>
      <w:pPr>
        <w:ind w:left="1080" w:hanging="36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5F111E2"/>
    <w:multiLevelType w:val="hybridMultilevel"/>
    <w:tmpl w:val="961082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6F357E5"/>
    <w:multiLevelType w:val="hybridMultilevel"/>
    <w:tmpl w:val="1CD8FF18"/>
    <w:lvl w:ilvl="0" w:tplc="43C67042">
      <w:start w:val="2"/>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E032DA7"/>
    <w:multiLevelType w:val="hybridMultilevel"/>
    <w:tmpl w:val="46CA19E2"/>
    <w:lvl w:ilvl="0" w:tplc="FFFFFFFF">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8C229C"/>
    <w:multiLevelType w:val="hybridMultilevel"/>
    <w:tmpl w:val="ECC2884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FBF3C1A"/>
    <w:multiLevelType w:val="hybridMultilevel"/>
    <w:tmpl w:val="D878F232"/>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FC67E0"/>
    <w:multiLevelType w:val="hybridMultilevel"/>
    <w:tmpl w:val="76E814C8"/>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0"/>
  </w:num>
  <w:num w:numId="3">
    <w:abstractNumId w:val="6"/>
  </w:num>
  <w:num w:numId="4">
    <w:abstractNumId w:val="1"/>
  </w:num>
  <w:num w:numId="5">
    <w:abstractNumId w:val="5"/>
  </w:num>
  <w:num w:numId="6">
    <w:abstractNumId w:val="3"/>
  </w:num>
  <w:num w:numId="7">
    <w:abstractNumId w:val="16"/>
  </w:num>
  <w:num w:numId="8">
    <w:abstractNumId w:val="7"/>
  </w:num>
  <w:num w:numId="9">
    <w:abstractNumId w:val="17"/>
  </w:num>
  <w:num w:numId="10">
    <w:abstractNumId w:val="2"/>
  </w:num>
  <w:num w:numId="11">
    <w:abstractNumId w:val="23"/>
  </w:num>
  <w:num w:numId="12">
    <w:abstractNumId w:val="22"/>
  </w:num>
  <w:num w:numId="13">
    <w:abstractNumId w:val="0"/>
  </w:num>
  <w:num w:numId="14">
    <w:abstractNumId w:val="14"/>
  </w:num>
  <w:num w:numId="15">
    <w:abstractNumId w:val="21"/>
  </w:num>
  <w:num w:numId="16">
    <w:abstractNumId w:val="19"/>
  </w:num>
  <w:num w:numId="17">
    <w:abstractNumId w:val="15"/>
  </w:num>
  <w:num w:numId="18">
    <w:abstractNumId w:val="13"/>
  </w:num>
  <w:num w:numId="19">
    <w:abstractNumId w:val="10"/>
  </w:num>
  <w:num w:numId="20">
    <w:abstractNumId w:val="8"/>
  </w:num>
  <w:num w:numId="21">
    <w:abstractNumId w:val="18"/>
  </w:num>
  <w:num w:numId="22">
    <w:abstractNumId w:val="11"/>
  </w:num>
  <w:num w:numId="23">
    <w:abstractNumId w:val="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072"/>
    <w:rsid w:val="00000DA8"/>
    <w:rsid w:val="000010F0"/>
    <w:rsid w:val="00002B07"/>
    <w:rsid w:val="00005D69"/>
    <w:rsid w:val="00006089"/>
    <w:rsid w:val="000062AE"/>
    <w:rsid w:val="0001065E"/>
    <w:rsid w:val="00026AA5"/>
    <w:rsid w:val="00027DCA"/>
    <w:rsid w:val="000311C4"/>
    <w:rsid w:val="00033092"/>
    <w:rsid w:val="00036B3E"/>
    <w:rsid w:val="00037C79"/>
    <w:rsid w:val="00037D8D"/>
    <w:rsid w:val="000403ED"/>
    <w:rsid w:val="00040419"/>
    <w:rsid w:val="00040C9B"/>
    <w:rsid w:val="00041321"/>
    <w:rsid w:val="00043C7B"/>
    <w:rsid w:val="00057E99"/>
    <w:rsid w:val="0006117F"/>
    <w:rsid w:val="0006159F"/>
    <w:rsid w:val="00064843"/>
    <w:rsid w:val="00064ABC"/>
    <w:rsid w:val="000706A0"/>
    <w:rsid w:val="00086E1F"/>
    <w:rsid w:val="0009274C"/>
    <w:rsid w:val="00094EE4"/>
    <w:rsid w:val="000B31E4"/>
    <w:rsid w:val="000C4A7C"/>
    <w:rsid w:val="000D560D"/>
    <w:rsid w:val="000D5BD1"/>
    <w:rsid w:val="000E072C"/>
    <w:rsid w:val="000E4237"/>
    <w:rsid w:val="000E7720"/>
    <w:rsid w:val="000F483E"/>
    <w:rsid w:val="000F4DB4"/>
    <w:rsid w:val="000F69BC"/>
    <w:rsid w:val="000F7B8E"/>
    <w:rsid w:val="00103BC7"/>
    <w:rsid w:val="00107639"/>
    <w:rsid w:val="00107FD4"/>
    <w:rsid w:val="0011062B"/>
    <w:rsid w:val="001110BD"/>
    <w:rsid w:val="00111809"/>
    <w:rsid w:val="00111894"/>
    <w:rsid w:val="00114F8C"/>
    <w:rsid w:val="00115025"/>
    <w:rsid w:val="001160CF"/>
    <w:rsid w:val="00121E12"/>
    <w:rsid w:val="0012246B"/>
    <w:rsid w:val="00124D91"/>
    <w:rsid w:val="00127C1B"/>
    <w:rsid w:val="00135F40"/>
    <w:rsid w:val="00137261"/>
    <w:rsid w:val="00146660"/>
    <w:rsid w:val="00147454"/>
    <w:rsid w:val="001477D6"/>
    <w:rsid w:val="00147AE0"/>
    <w:rsid w:val="00153756"/>
    <w:rsid w:val="001619B3"/>
    <w:rsid w:val="0016332D"/>
    <w:rsid w:val="00167FA7"/>
    <w:rsid w:val="00170CE0"/>
    <w:rsid w:val="00172581"/>
    <w:rsid w:val="00173AC9"/>
    <w:rsid w:val="0017518A"/>
    <w:rsid w:val="001760B7"/>
    <w:rsid w:val="00176D28"/>
    <w:rsid w:val="001775A8"/>
    <w:rsid w:val="001811B1"/>
    <w:rsid w:val="00181FF4"/>
    <w:rsid w:val="001867BF"/>
    <w:rsid w:val="00187F84"/>
    <w:rsid w:val="00191194"/>
    <w:rsid w:val="001930D0"/>
    <w:rsid w:val="001965A7"/>
    <w:rsid w:val="0019756D"/>
    <w:rsid w:val="001975DE"/>
    <w:rsid w:val="001A0A00"/>
    <w:rsid w:val="001A40F1"/>
    <w:rsid w:val="001A438C"/>
    <w:rsid w:val="001A627D"/>
    <w:rsid w:val="001A6DA1"/>
    <w:rsid w:val="001B2A5E"/>
    <w:rsid w:val="001B313D"/>
    <w:rsid w:val="001C151B"/>
    <w:rsid w:val="001C31BD"/>
    <w:rsid w:val="001C66D5"/>
    <w:rsid w:val="001D01C1"/>
    <w:rsid w:val="001D76A3"/>
    <w:rsid w:val="001E6193"/>
    <w:rsid w:val="001E639D"/>
    <w:rsid w:val="001F0EFB"/>
    <w:rsid w:val="001F4506"/>
    <w:rsid w:val="00206EAB"/>
    <w:rsid w:val="00207592"/>
    <w:rsid w:val="00210BEA"/>
    <w:rsid w:val="00214C5F"/>
    <w:rsid w:val="00215AD3"/>
    <w:rsid w:val="00215B24"/>
    <w:rsid w:val="00220366"/>
    <w:rsid w:val="002222B5"/>
    <w:rsid w:val="00226A67"/>
    <w:rsid w:val="00226E3E"/>
    <w:rsid w:val="002417BB"/>
    <w:rsid w:val="00244BEE"/>
    <w:rsid w:val="00247B17"/>
    <w:rsid w:val="00251571"/>
    <w:rsid w:val="00252A37"/>
    <w:rsid w:val="0025399F"/>
    <w:rsid w:val="002560D3"/>
    <w:rsid w:val="00261001"/>
    <w:rsid w:val="0026285D"/>
    <w:rsid w:val="00264BC5"/>
    <w:rsid w:val="00265D0A"/>
    <w:rsid w:val="00266CCE"/>
    <w:rsid w:val="002713D3"/>
    <w:rsid w:val="00273062"/>
    <w:rsid w:val="002743AE"/>
    <w:rsid w:val="00274547"/>
    <w:rsid w:val="0027688C"/>
    <w:rsid w:val="00281862"/>
    <w:rsid w:val="00282647"/>
    <w:rsid w:val="0028390A"/>
    <w:rsid w:val="0028486F"/>
    <w:rsid w:val="00284FF4"/>
    <w:rsid w:val="00287ED8"/>
    <w:rsid w:val="002A0047"/>
    <w:rsid w:val="002A015C"/>
    <w:rsid w:val="002A0D76"/>
    <w:rsid w:val="002A2BD3"/>
    <w:rsid w:val="002A570A"/>
    <w:rsid w:val="002A5723"/>
    <w:rsid w:val="002A6FA8"/>
    <w:rsid w:val="002B683E"/>
    <w:rsid w:val="002B6E57"/>
    <w:rsid w:val="002C61ED"/>
    <w:rsid w:val="002D1320"/>
    <w:rsid w:val="002D3CF2"/>
    <w:rsid w:val="002D717A"/>
    <w:rsid w:val="002E0622"/>
    <w:rsid w:val="002E12A3"/>
    <w:rsid w:val="002E30C8"/>
    <w:rsid w:val="002E55C0"/>
    <w:rsid w:val="002F3ED6"/>
    <w:rsid w:val="003018B7"/>
    <w:rsid w:val="0030678F"/>
    <w:rsid w:val="00310CE5"/>
    <w:rsid w:val="003118B8"/>
    <w:rsid w:val="00315A60"/>
    <w:rsid w:val="0032292C"/>
    <w:rsid w:val="0032556C"/>
    <w:rsid w:val="003307CE"/>
    <w:rsid w:val="00336C0C"/>
    <w:rsid w:val="003371F6"/>
    <w:rsid w:val="003404CA"/>
    <w:rsid w:val="00342672"/>
    <w:rsid w:val="003464CE"/>
    <w:rsid w:val="00347DBC"/>
    <w:rsid w:val="00351C2F"/>
    <w:rsid w:val="003562DC"/>
    <w:rsid w:val="00365845"/>
    <w:rsid w:val="00376B17"/>
    <w:rsid w:val="0038083C"/>
    <w:rsid w:val="00380F0B"/>
    <w:rsid w:val="00395909"/>
    <w:rsid w:val="00396166"/>
    <w:rsid w:val="003A22BB"/>
    <w:rsid w:val="003A6D17"/>
    <w:rsid w:val="003B029E"/>
    <w:rsid w:val="003B5550"/>
    <w:rsid w:val="003B7673"/>
    <w:rsid w:val="003C01B1"/>
    <w:rsid w:val="003C1072"/>
    <w:rsid w:val="003C1441"/>
    <w:rsid w:val="003C1B85"/>
    <w:rsid w:val="003C2DD1"/>
    <w:rsid w:val="003C33E9"/>
    <w:rsid w:val="003D3DA2"/>
    <w:rsid w:val="003D5703"/>
    <w:rsid w:val="003E1982"/>
    <w:rsid w:val="003E4F39"/>
    <w:rsid w:val="003F19C2"/>
    <w:rsid w:val="003F3189"/>
    <w:rsid w:val="003F3300"/>
    <w:rsid w:val="003F7875"/>
    <w:rsid w:val="00400261"/>
    <w:rsid w:val="00411682"/>
    <w:rsid w:val="00411B99"/>
    <w:rsid w:val="004136E3"/>
    <w:rsid w:val="004235D7"/>
    <w:rsid w:val="004308E0"/>
    <w:rsid w:val="0043157B"/>
    <w:rsid w:val="00432747"/>
    <w:rsid w:val="00433BED"/>
    <w:rsid w:val="004407FF"/>
    <w:rsid w:val="00441FBE"/>
    <w:rsid w:val="00445D0B"/>
    <w:rsid w:val="00453EDF"/>
    <w:rsid w:val="00455108"/>
    <w:rsid w:val="0046210D"/>
    <w:rsid w:val="004671B3"/>
    <w:rsid w:val="00470D9C"/>
    <w:rsid w:val="004736A6"/>
    <w:rsid w:val="00476001"/>
    <w:rsid w:val="004762CF"/>
    <w:rsid w:val="004819F7"/>
    <w:rsid w:val="004840BB"/>
    <w:rsid w:val="00491883"/>
    <w:rsid w:val="00491F5F"/>
    <w:rsid w:val="00492736"/>
    <w:rsid w:val="004930F2"/>
    <w:rsid w:val="004939F2"/>
    <w:rsid w:val="00495B46"/>
    <w:rsid w:val="00496866"/>
    <w:rsid w:val="0049765B"/>
    <w:rsid w:val="004A683F"/>
    <w:rsid w:val="004B4396"/>
    <w:rsid w:val="004B529E"/>
    <w:rsid w:val="004B7604"/>
    <w:rsid w:val="004C0412"/>
    <w:rsid w:val="004C09D7"/>
    <w:rsid w:val="004C6F5B"/>
    <w:rsid w:val="004D05AB"/>
    <w:rsid w:val="004D2E8D"/>
    <w:rsid w:val="004E3136"/>
    <w:rsid w:val="004E5153"/>
    <w:rsid w:val="005010D1"/>
    <w:rsid w:val="0050467F"/>
    <w:rsid w:val="00505583"/>
    <w:rsid w:val="00506F01"/>
    <w:rsid w:val="005121B9"/>
    <w:rsid w:val="00513625"/>
    <w:rsid w:val="00523584"/>
    <w:rsid w:val="00523AD0"/>
    <w:rsid w:val="005264EA"/>
    <w:rsid w:val="00530CAA"/>
    <w:rsid w:val="005319C8"/>
    <w:rsid w:val="00542F68"/>
    <w:rsid w:val="005479F1"/>
    <w:rsid w:val="00550519"/>
    <w:rsid w:val="00550C08"/>
    <w:rsid w:val="005553B6"/>
    <w:rsid w:val="0056316A"/>
    <w:rsid w:val="00566002"/>
    <w:rsid w:val="0058661A"/>
    <w:rsid w:val="00587589"/>
    <w:rsid w:val="005951BD"/>
    <w:rsid w:val="00595379"/>
    <w:rsid w:val="00596B9B"/>
    <w:rsid w:val="005A14F6"/>
    <w:rsid w:val="005A2AAD"/>
    <w:rsid w:val="005A3284"/>
    <w:rsid w:val="005B4457"/>
    <w:rsid w:val="005B61F6"/>
    <w:rsid w:val="005C0697"/>
    <w:rsid w:val="005C276E"/>
    <w:rsid w:val="005C61E7"/>
    <w:rsid w:val="005D1390"/>
    <w:rsid w:val="005D3834"/>
    <w:rsid w:val="005D7C8C"/>
    <w:rsid w:val="005E13EC"/>
    <w:rsid w:val="005E1CAB"/>
    <w:rsid w:val="005E79DD"/>
    <w:rsid w:val="005F7410"/>
    <w:rsid w:val="00600551"/>
    <w:rsid w:val="00621B2C"/>
    <w:rsid w:val="006259BB"/>
    <w:rsid w:val="00627E12"/>
    <w:rsid w:val="00632876"/>
    <w:rsid w:val="006341A7"/>
    <w:rsid w:val="00634A0F"/>
    <w:rsid w:val="00637C24"/>
    <w:rsid w:val="006473F3"/>
    <w:rsid w:val="00650905"/>
    <w:rsid w:val="006509C3"/>
    <w:rsid w:val="00651C5F"/>
    <w:rsid w:val="00652EA3"/>
    <w:rsid w:val="00663906"/>
    <w:rsid w:val="00663FB0"/>
    <w:rsid w:val="00667781"/>
    <w:rsid w:val="006677F0"/>
    <w:rsid w:val="00671998"/>
    <w:rsid w:val="00672444"/>
    <w:rsid w:val="00673E01"/>
    <w:rsid w:val="00674A56"/>
    <w:rsid w:val="00674D4F"/>
    <w:rsid w:val="00676C04"/>
    <w:rsid w:val="00682F78"/>
    <w:rsid w:val="0068409C"/>
    <w:rsid w:val="00687546"/>
    <w:rsid w:val="006967CD"/>
    <w:rsid w:val="006A0688"/>
    <w:rsid w:val="006A7D1E"/>
    <w:rsid w:val="006B2C50"/>
    <w:rsid w:val="006B495F"/>
    <w:rsid w:val="006B5444"/>
    <w:rsid w:val="006C60A3"/>
    <w:rsid w:val="006C668E"/>
    <w:rsid w:val="006D1B14"/>
    <w:rsid w:val="006E0646"/>
    <w:rsid w:val="006E49AB"/>
    <w:rsid w:val="006E5228"/>
    <w:rsid w:val="006E75F4"/>
    <w:rsid w:val="00700017"/>
    <w:rsid w:val="00712873"/>
    <w:rsid w:val="0072037F"/>
    <w:rsid w:val="00721F01"/>
    <w:rsid w:val="007226DF"/>
    <w:rsid w:val="0073065B"/>
    <w:rsid w:val="0073093C"/>
    <w:rsid w:val="00730B0D"/>
    <w:rsid w:val="00732496"/>
    <w:rsid w:val="0073692D"/>
    <w:rsid w:val="0073794C"/>
    <w:rsid w:val="00750913"/>
    <w:rsid w:val="007528F7"/>
    <w:rsid w:val="00761E25"/>
    <w:rsid w:val="0076561E"/>
    <w:rsid w:val="0077495F"/>
    <w:rsid w:val="007775D4"/>
    <w:rsid w:val="0078142C"/>
    <w:rsid w:val="00795B9C"/>
    <w:rsid w:val="0079776C"/>
    <w:rsid w:val="007A0D3B"/>
    <w:rsid w:val="007A36E5"/>
    <w:rsid w:val="007A40B6"/>
    <w:rsid w:val="007A52C3"/>
    <w:rsid w:val="007A6F66"/>
    <w:rsid w:val="007C1372"/>
    <w:rsid w:val="007C2CE8"/>
    <w:rsid w:val="007C5FBD"/>
    <w:rsid w:val="007D4E16"/>
    <w:rsid w:val="007D7BC8"/>
    <w:rsid w:val="007E020B"/>
    <w:rsid w:val="007E11C5"/>
    <w:rsid w:val="007E24D0"/>
    <w:rsid w:val="007E2CE9"/>
    <w:rsid w:val="007F3C66"/>
    <w:rsid w:val="007F5795"/>
    <w:rsid w:val="007F5D07"/>
    <w:rsid w:val="008016E8"/>
    <w:rsid w:val="00805FB9"/>
    <w:rsid w:val="00807A02"/>
    <w:rsid w:val="00813B2D"/>
    <w:rsid w:val="008143D9"/>
    <w:rsid w:val="00821880"/>
    <w:rsid w:val="00821F57"/>
    <w:rsid w:val="00822817"/>
    <w:rsid w:val="00822977"/>
    <w:rsid w:val="008231EC"/>
    <w:rsid w:val="0082633F"/>
    <w:rsid w:val="00831B3B"/>
    <w:rsid w:val="00833182"/>
    <w:rsid w:val="00833CCD"/>
    <w:rsid w:val="0083508F"/>
    <w:rsid w:val="00835543"/>
    <w:rsid w:val="00836CD4"/>
    <w:rsid w:val="00840EC2"/>
    <w:rsid w:val="00841375"/>
    <w:rsid w:val="00846888"/>
    <w:rsid w:val="0085212E"/>
    <w:rsid w:val="008524B0"/>
    <w:rsid w:val="0086183C"/>
    <w:rsid w:val="00864680"/>
    <w:rsid w:val="00866273"/>
    <w:rsid w:val="0087217C"/>
    <w:rsid w:val="008736F9"/>
    <w:rsid w:val="008739AC"/>
    <w:rsid w:val="008742FB"/>
    <w:rsid w:val="008748E7"/>
    <w:rsid w:val="00880234"/>
    <w:rsid w:val="00891091"/>
    <w:rsid w:val="00892A94"/>
    <w:rsid w:val="00892DA5"/>
    <w:rsid w:val="008933C7"/>
    <w:rsid w:val="00893C42"/>
    <w:rsid w:val="00896B21"/>
    <w:rsid w:val="00897D3C"/>
    <w:rsid w:val="008A2CFE"/>
    <w:rsid w:val="008A36A6"/>
    <w:rsid w:val="008B07FE"/>
    <w:rsid w:val="008B11C2"/>
    <w:rsid w:val="008B21E7"/>
    <w:rsid w:val="008B6150"/>
    <w:rsid w:val="008B61DB"/>
    <w:rsid w:val="008B7B3B"/>
    <w:rsid w:val="008C7C1E"/>
    <w:rsid w:val="008C7FAE"/>
    <w:rsid w:val="008E1F69"/>
    <w:rsid w:val="008E52E5"/>
    <w:rsid w:val="008E587A"/>
    <w:rsid w:val="008E6322"/>
    <w:rsid w:val="008F1B44"/>
    <w:rsid w:val="008F62EB"/>
    <w:rsid w:val="008F68D4"/>
    <w:rsid w:val="008F712D"/>
    <w:rsid w:val="00900D0E"/>
    <w:rsid w:val="00900D60"/>
    <w:rsid w:val="00907312"/>
    <w:rsid w:val="009079D0"/>
    <w:rsid w:val="00913A6D"/>
    <w:rsid w:val="00915817"/>
    <w:rsid w:val="009161C6"/>
    <w:rsid w:val="00922362"/>
    <w:rsid w:val="00924E2C"/>
    <w:rsid w:val="00924F0A"/>
    <w:rsid w:val="00925952"/>
    <w:rsid w:val="00934C5E"/>
    <w:rsid w:val="00934EB6"/>
    <w:rsid w:val="0094295A"/>
    <w:rsid w:val="00943047"/>
    <w:rsid w:val="00944080"/>
    <w:rsid w:val="00945E7C"/>
    <w:rsid w:val="00945F49"/>
    <w:rsid w:val="00953F4B"/>
    <w:rsid w:val="00956E36"/>
    <w:rsid w:val="00957B3F"/>
    <w:rsid w:val="00957CED"/>
    <w:rsid w:val="0096576B"/>
    <w:rsid w:val="00965A9B"/>
    <w:rsid w:val="00971275"/>
    <w:rsid w:val="00973AA1"/>
    <w:rsid w:val="009774F3"/>
    <w:rsid w:val="009810FE"/>
    <w:rsid w:val="00982B75"/>
    <w:rsid w:val="0099133B"/>
    <w:rsid w:val="00991EDE"/>
    <w:rsid w:val="009925ED"/>
    <w:rsid w:val="0099351F"/>
    <w:rsid w:val="009A16EB"/>
    <w:rsid w:val="009B09A5"/>
    <w:rsid w:val="009B3534"/>
    <w:rsid w:val="009B633F"/>
    <w:rsid w:val="009B732A"/>
    <w:rsid w:val="009C3942"/>
    <w:rsid w:val="009C652B"/>
    <w:rsid w:val="009D0840"/>
    <w:rsid w:val="009D7D1E"/>
    <w:rsid w:val="009E0149"/>
    <w:rsid w:val="009E2E0F"/>
    <w:rsid w:val="009E4220"/>
    <w:rsid w:val="009F06E7"/>
    <w:rsid w:val="009F0A95"/>
    <w:rsid w:val="00A0179C"/>
    <w:rsid w:val="00A03378"/>
    <w:rsid w:val="00A046D6"/>
    <w:rsid w:val="00A06F85"/>
    <w:rsid w:val="00A20BE1"/>
    <w:rsid w:val="00A21B77"/>
    <w:rsid w:val="00A310F3"/>
    <w:rsid w:val="00A31DBF"/>
    <w:rsid w:val="00A321D0"/>
    <w:rsid w:val="00A326F6"/>
    <w:rsid w:val="00A35E63"/>
    <w:rsid w:val="00A414AA"/>
    <w:rsid w:val="00A42925"/>
    <w:rsid w:val="00A42A2E"/>
    <w:rsid w:val="00A4588A"/>
    <w:rsid w:val="00A56570"/>
    <w:rsid w:val="00A616FD"/>
    <w:rsid w:val="00A62D64"/>
    <w:rsid w:val="00A6387C"/>
    <w:rsid w:val="00A6446D"/>
    <w:rsid w:val="00A64AAA"/>
    <w:rsid w:val="00A663FA"/>
    <w:rsid w:val="00A7004B"/>
    <w:rsid w:val="00A735EB"/>
    <w:rsid w:val="00A73D4B"/>
    <w:rsid w:val="00A7736A"/>
    <w:rsid w:val="00A832BE"/>
    <w:rsid w:val="00A92511"/>
    <w:rsid w:val="00A927D9"/>
    <w:rsid w:val="00A96384"/>
    <w:rsid w:val="00AA14C0"/>
    <w:rsid w:val="00AA1EDF"/>
    <w:rsid w:val="00AA3598"/>
    <w:rsid w:val="00AA4D1A"/>
    <w:rsid w:val="00AA6393"/>
    <w:rsid w:val="00AA6DF9"/>
    <w:rsid w:val="00AB50D2"/>
    <w:rsid w:val="00AC17E9"/>
    <w:rsid w:val="00AC516D"/>
    <w:rsid w:val="00AD0A99"/>
    <w:rsid w:val="00AD2AA0"/>
    <w:rsid w:val="00AD2E9F"/>
    <w:rsid w:val="00AD6BE4"/>
    <w:rsid w:val="00AE129F"/>
    <w:rsid w:val="00AE2269"/>
    <w:rsid w:val="00AE31FA"/>
    <w:rsid w:val="00AF0716"/>
    <w:rsid w:val="00B0634B"/>
    <w:rsid w:val="00B069AD"/>
    <w:rsid w:val="00B16700"/>
    <w:rsid w:val="00B17C5E"/>
    <w:rsid w:val="00B32633"/>
    <w:rsid w:val="00B340F5"/>
    <w:rsid w:val="00B40569"/>
    <w:rsid w:val="00B447AA"/>
    <w:rsid w:val="00B45911"/>
    <w:rsid w:val="00B465C2"/>
    <w:rsid w:val="00B5473B"/>
    <w:rsid w:val="00B64257"/>
    <w:rsid w:val="00B71D01"/>
    <w:rsid w:val="00B753C8"/>
    <w:rsid w:val="00B754D2"/>
    <w:rsid w:val="00B77FA0"/>
    <w:rsid w:val="00B823B1"/>
    <w:rsid w:val="00B83F08"/>
    <w:rsid w:val="00B849D0"/>
    <w:rsid w:val="00B87AFD"/>
    <w:rsid w:val="00B9121E"/>
    <w:rsid w:val="00B95962"/>
    <w:rsid w:val="00BA1A59"/>
    <w:rsid w:val="00BA3CF6"/>
    <w:rsid w:val="00BA64D9"/>
    <w:rsid w:val="00BA6D67"/>
    <w:rsid w:val="00BB4644"/>
    <w:rsid w:val="00BB561B"/>
    <w:rsid w:val="00BC0665"/>
    <w:rsid w:val="00BC0D7D"/>
    <w:rsid w:val="00BD014B"/>
    <w:rsid w:val="00BD40D4"/>
    <w:rsid w:val="00BD5977"/>
    <w:rsid w:val="00BE4F2D"/>
    <w:rsid w:val="00BF5789"/>
    <w:rsid w:val="00BF73B3"/>
    <w:rsid w:val="00C10433"/>
    <w:rsid w:val="00C11592"/>
    <w:rsid w:val="00C1435A"/>
    <w:rsid w:val="00C14889"/>
    <w:rsid w:val="00C151AF"/>
    <w:rsid w:val="00C218C4"/>
    <w:rsid w:val="00C22881"/>
    <w:rsid w:val="00C25223"/>
    <w:rsid w:val="00C328DF"/>
    <w:rsid w:val="00C41C36"/>
    <w:rsid w:val="00C41D95"/>
    <w:rsid w:val="00C41DCB"/>
    <w:rsid w:val="00C430D9"/>
    <w:rsid w:val="00C439C5"/>
    <w:rsid w:val="00C463EB"/>
    <w:rsid w:val="00C4694F"/>
    <w:rsid w:val="00C52138"/>
    <w:rsid w:val="00C60FA7"/>
    <w:rsid w:val="00C63C38"/>
    <w:rsid w:val="00C6608D"/>
    <w:rsid w:val="00C70F02"/>
    <w:rsid w:val="00C72A0A"/>
    <w:rsid w:val="00C73122"/>
    <w:rsid w:val="00C73F83"/>
    <w:rsid w:val="00C82730"/>
    <w:rsid w:val="00C85AB0"/>
    <w:rsid w:val="00C915E4"/>
    <w:rsid w:val="00C91E8B"/>
    <w:rsid w:val="00C923AD"/>
    <w:rsid w:val="00C950FF"/>
    <w:rsid w:val="00C9551C"/>
    <w:rsid w:val="00C96673"/>
    <w:rsid w:val="00C97F98"/>
    <w:rsid w:val="00CA0035"/>
    <w:rsid w:val="00CA665A"/>
    <w:rsid w:val="00CA6E11"/>
    <w:rsid w:val="00CB7B56"/>
    <w:rsid w:val="00CC1957"/>
    <w:rsid w:val="00CC4B95"/>
    <w:rsid w:val="00CC7284"/>
    <w:rsid w:val="00CC79C5"/>
    <w:rsid w:val="00CC7DAC"/>
    <w:rsid w:val="00CD4455"/>
    <w:rsid w:val="00D05AB0"/>
    <w:rsid w:val="00D10D2D"/>
    <w:rsid w:val="00D124ED"/>
    <w:rsid w:val="00D1348C"/>
    <w:rsid w:val="00D171EF"/>
    <w:rsid w:val="00D24DF1"/>
    <w:rsid w:val="00D30F1F"/>
    <w:rsid w:val="00D31633"/>
    <w:rsid w:val="00D31970"/>
    <w:rsid w:val="00D31BF3"/>
    <w:rsid w:val="00D322B9"/>
    <w:rsid w:val="00D34820"/>
    <w:rsid w:val="00D3567E"/>
    <w:rsid w:val="00D37AF5"/>
    <w:rsid w:val="00D400AE"/>
    <w:rsid w:val="00D4190E"/>
    <w:rsid w:val="00D42EF9"/>
    <w:rsid w:val="00D45639"/>
    <w:rsid w:val="00D466D0"/>
    <w:rsid w:val="00D46A11"/>
    <w:rsid w:val="00D557E4"/>
    <w:rsid w:val="00D57841"/>
    <w:rsid w:val="00D61963"/>
    <w:rsid w:val="00D632E1"/>
    <w:rsid w:val="00D64249"/>
    <w:rsid w:val="00D66E6B"/>
    <w:rsid w:val="00D7050E"/>
    <w:rsid w:val="00D77515"/>
    <w:rsid w:val="00D90D49"/>
    <w:rsid w:val="00D90EC4"/>
    <w:rsid w:val="00D91852"/>
    <w:rsid w:val="00D91EFC"/>
    <w:rsid w:val="00D9459A"/>
    <w:rsid w:val="00D97AC4"/>
    <w:rsid w:val="00DA385A"/>
    <w:rsid w:val="00DA3F1D"/>
    <w:rsid w:val="00DB052B"/>
    <w:rsid w:val="00DB5C5B"/>
    <w:rsid w:val="00DC6C37"/>
    <w:rsid w:val="00DC7F40"/>
    <w:rsid w:val="00DE0AAF"/>
    <w:rsid w:val="00DE228B"/>
    <w:rsid w:val="00DE6EF4"/>
    <w:rsid w:val="00DE746A"/>
    <w:rsid w:val="00DF3140"/>
    <w:rsid w:val="00DF547F"/>
    <w:rsid w:val="00E01817"/>
    <w:rsid w:val="00E03B7E"/>
    <w:rsid w:val="00E03E72"/>
    <w:rsid w:val="00E218DD"/>
    <w:rsid w:val="00E22382"/>
    <w:rsid w:val="00E227A4"/>
    <w:rsid w:val="00E23916"/>
    <w:rsid w:val="00E263AD"/>
    <w:rsid w:val="00E27EF8"/>
    <w:rsid w:val="00E31B43"/>
    <w:rsid w:val="00E33AD9"/>
    <w:rsid w:val="00E342DD"/>
    <w:rsid w:val="00E35C10"/>
    <w:rsid w:val="00E4099B"/>
    <w:rsid w:val="00E44D98"/>
    <w:rsid w:val="00E4736B"/>
    <w:rsid w:val="00E5374F"/>
    <w:rsid w:val="00E53E06"/>
    <w:rsid w:val="00E54136"/>
    <w:rsid w:val="00E54BCB"/>
    <w:rsid w:val="00E57E6F"/>
    <w:rsid w:val="00E7006C"/>
    <w:rsid w:val="00E70D77"/>
    <w:rsid w:val="00E72193"/>
    <w:rsid w:val="00E73271"/>
    <w:rsid w:val="00E73A09"/>
    <w:rsid w:val="00E811A4"/>
    <w:rsid w:val="00E8196B"/>
    <w:rsid w:val="00E8453D"/>
    <w:rsid w:val="00E8593A"/>
    <w:rsid w:val="00E8662F"/>
    <w:rsid w:val="00E920BC"/>
    <w:rsid w:val="00E94FAC"/>
    <w:rsid w:val="00E96C5E"/>
    <w:rsid w:val="00EA18AD"/>
    <w:rsid w:val="00EC02CA"/>
    <w:rsid w:val="00EC0B6F"/>
    <w:rsid w:val="00EC27A9"/>
    <w:rsid w:val="00ED2C62"/>
    <w:rsid w:val="00EE0D8A"/>
    <w:rsid w:val="00EE22E2"/>
    <w:rsid w:val="00EE4F4F"/>
    <w:rsid w:val="00EE755D"/>
    <w:rsid w:val="00EF1300"/>
    <w:rsid w:val="00EF4C2A"/>
    <w:rsid w:val="00F029CB"/>
    <w:rsid w:val="00F06B32"/>
    <w:rsid w:val="00F06F10"/>
    <w:rsid w:val="00F108B3"/>
    <w:rsid w:val="00F14421"/>
    <w:rsid w:val="00F15311"/>
    <w:rsid w:val="00F23D36"/>
    <w:rsid w:val="00F2573E"/>
    <w:rsid w:val="00F31B79"/>
    <w:rsid w:val="00F34B09"/>
    <w:rsid w:val="00F36FD4"/>
    <w:rsid w:val="00F437F5"/>
    <w:rsid w:val="00F43C57"/>
    <w:rsid w:val="00F53C1E"/>
    <w:rsid w:val="00F554B9"/>
    <w:rsid w:val="00F56290"/>
    <w:rsid w:val="00F65743"/>
    <w:rsid w:val="00F80C6A"/>
    <w:rsid w:val="00F84CC0"/>
    <w:rsid w:val="00F85F0E"/>
    <w:rsid w:val="00F87627"/>
    <w:rsid w:val="00FA0016"/>
    <w:rsid w:val="00FA1845"/>
    <w:rsid w:val="00FA1F7D"/>
    <w:rsid w:val="00FA34A4"/>
    <w:rsid w:val="00FA5AD9"/>
    <w:rsid w:val="00FB11B4"/>
    <w:rsid w:val="00FB2B5C"/>
    <w:rsid w:val="00FB6CE8"/>
    <w:rsid w:val="00FC1AD7"/>
    <w:rsid w:val="00FC2E99"/>
    <w:rsid w:val="00FC6E78"/>
    <w:rsid w:val="00FC6E7A"/>
    <w:rsid w:val="00FD2DB8"/>
    <w:rsid w:val="00FE07A8"/>
    <w:rsid w:val="00FE2F93"/>
    <w:rsid w:val="00FE7831"/>
    <w:rsid w:val="00FF0C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D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4ED"/>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5B44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B445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B4457"/>
    <w:pPr>
      <w:keepNext/>
      <w:keepLines/>
      <w:spacing w:before="40" w:line="259" w:lineRule="auto"/>
      <w:ind w:left="864" w:hanging="864"/>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5B4457"/>
    <w:pPr>
      <w:keepNext/>
      <w:keepLines/>
      <w:spacing w:before="40" w:line="259" w:lineRule="auto"/>
      <w:ind w:left="1008" w:hanging="1008"/>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5B4457"/>
    <w:pPr>
      <w:keepNext/>
      <w:keepLines/>
      <w:spacing w:before="40" w:line="259" w:lineRule="auto"/>
      <w:ind w:left="1152" w:hanging="1152"/>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5B4457"/>
    <w:pPr>
      <w:keepNext/>
      <w:keepLines/>
      <w:spacing w:before="40" w:line="259" w:lineRule="auto"/>
      <w:ind w:left="1296" w:hanging="1296"/>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5B4457"/>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5B4457"/>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153"/>
    <w:pPr>
      <w:ind w:left="720"/>
      <w:contextualSpacing/>
    </w:pPr>
  </w:style>
  <w:style w:type="paragraph" w:styleId="Header">
    <w:name w:val="header"/>
    <w:basedOn w:val="Normal"/>
    <w:link w:val="HeaderChar"/>
    <w:uiPriority w:val="99"/>
    <w:unhideWhenUsed/>
    <w:rsid w:val="00A0179C"/>
    <w:pPr>
      <w:tabs>
        <w:tab w:val="center" w:pos="4513"/>
        <w:tab w:val="right" w:pos="9026"/>
      </w:tabs>
    </w:pPr>
  </w:style>
  <w:style w:type="character" w:customStyle="1" w:styleId="HeaderChar">
    <w:name w:val="Header Char"/>
    <w:basedOn w:val="DefaultParagraphFont"/>
    <w:link w:val="Header"/>
    <w:uiPriority w:val="99"/>
    <w:rsid w:val="00A0179C"/>
  </w:style>
  <w:style w:type="paragraph" w:styleId="Footer">
    <w:name w:val="footer"/>
    <w:basedOn w:val="Normal"/>
    <w:link w:val="FooterChar"/>
    <w:uiPriority w:val="99"/>
    <w:unhideWhenUsed/>
    <w:rsid w:val="00A0179C"/>
    <w:pPr>
      <w:tabs>
        <w:tab w:val="center" w:pos="4513"/>
        <w:tab w:val="right" w:pos="9026"/>
      </w:tabs>
    </w:pPr>
  </w:style>
  <w:style w:type="character" w:customStyle="1" w:styleId="FooterChar">
    <w:name w:val="Footer Char"/>
    <w:basedOn w:val="DefaultParagraphFont"/>
    <w:link w:val="Footer"/>
    <w:uiPriority w:val="99"/>
    <w:rsid w:val="00A0179C"/>
  </w:style>
  <w:style w:type="character" w:styleId="CommentReference">
    <w:name w:val="annotation reference"/>
    <w:basedOn w:val="DefaultParagraphFont"/>
    <w:uiPriority w:val="99"/>
    <w:semiHidden/>
    <w:unhideWhenUsed/>
    <w:rsid w:val="004671B3"/>
    <w:rPr>
      <w:sz w:val="16"/>
      <w:szCs w:val="16"/>
    </w:rPr>
  </w:style>
  <w:style w:type="paragraph" w:styleId="CommentText">
    <w:name w:val="annotation text"/>
    <w:basedOn w:val="Normal"/>
    <w:link w:val="CommentTextChar"/>
    <w:uiPriority w:val="99"/>
    <w:semiHidden/>
    <w:unhideWhenUsed/>
    <w:rsid w:val="004671B3"/>
    <w:rPr>
      <w:sz w:val="20"/>
      <w:szCs w:val="20"/>
    </w:rPr>
  </w:style>
  <w:style w:type="character" w:customStyle="1" w:styleId="CommentTextChar">
    <w:name w:val="Comment Text Char"/>
    <w:basedOn w:val="DefaultParagraphFont"/>
    <w:link w:val="CommentText"/>
    <w:uiPriority w:val="99"/>
    <w:semiHidden/>
    <w:rsid w:val="004671B3"/>
    <w:rPr>
      <w:sz w:val="20"/>
      <w:szCs w:val="20"/>
    </w:rPr>
  </w:style>
  <w:style w:type="paragraph" w:styleId="CommentSubject">
    <w:name w:val="annotation subject"/>
    <w:basedOn w:val="CommentText"/>
    <w:next w:val="CommentText"/>
    <w:link w:val="CommentSubjectChar"/>
    <w:uiPriority w:val="99"/>
    <w:semiHidden/>
    <w:unhideWhenUsed/>
    <w:rsid w:val="004671B3"/>
    <w:rPr>
      <w:b/>
      <w:bCs/>
    </w:rPr>
  </w:style>
  <w:style w:type="character" w:customStyle="1" w:styleId="CommentSubjectChar">
    <w:name w:val="Comment Subject Char"/>
    <w:basedOn w:val="CommentTextChar"/>
    <w:link w:val="CommentSubject"/>
    <w:uiPriority w:val="99"/>
    <w:semiHidden/>
    <w:rsid w:val="004671B3"/>
    <w:rPr>
      <w:b/>
      <w:bCs/>
      <w:sz w:val="20"/>
      <w:szCs w:val="20"/>
    </w:rPr>
  </w:style>
  <w:style w:type="paragraph" w:styleId="BalloonText">
    <w:name w:val="Balloon Text"/>
    <w:basedOn w:val="Normal"/>
    <w:link w:val="BalloonTextChar"/>
    <w:uiPriority w:val="99"/>
    <w:semiHidden/>
    <w:unhideWhenUsed/>
    <w:rsid w:val="004671B3"/>
    <w:rPr>
      <w:rFonts w:ascii="Tahoma" w:hAnsi="Tahoma" w:cs="Tahoma"/>
      <w:sz w:val="16"/>
      <w:szCs w:val="16"/>
    </w:rPr>
  </w:style>
  <w:style w:type="character" w:customStyle="1" w:styleId="BalloonTextChar">
    <w:name w:val="Balloon Text Char"/>
    <w:basedOn w:val="DefaultParagraphFont"/>
    <w:link w:val="BalloonText"/>
    <w:uiPriority w:val="99"/>
    <w:semiHidden/>
    <w:rsid w:val="004671B3"/>
    <w:rPr>
      <w:rFonts w:ascii="Tahoma" w:hAnsi="Tahoma" w:cs="Tahoma"/>
      <w:sz w:val="16"/>
      <w:szCs w:val="16"/>
    </w:rPr>
  </w:style>
  <w:style w:type="paragraph" w:styleId="FootnoteText">
    <w:name w:val="footnote text"/>
    <w:basedOn w:val="Normal"/>
    <w:link w:val="FootnoteTextChar"/>
    <w:uiPriority w:val="99"/>
    <w:semiHidden/>
    <w:unhideWhenUsed/>
    <w:rsid w:val="00BC0665"/>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BC0665"/>
    <w:rPr>
      <w:rFonts w:eastAsiaTheme="minorHAnsi"/>
      <w:sz w:val="20"/>
      <w:szCs w:val="20"/>
      <w:lang w:eastAsia="en-US"/>
    </w:rPr>
  </w:style>
  <w:style w:type="character" w:styleId="FootnoteReference">
    <w:name w:val="footnote reference"/>
    <w:basedOn w:val="DefaultParagraphFont"/>
    <w:uiPriority w:val="99"/>
    <w:semiHidden/>
    <w:unhideWhenUsed/>
    <w:rsid w:val="00BC0665"/>
    <w:rPr>
      <w:vertAlign w:val="superscript"/>
    </w:rPr>
  </w:style>
  <w:style w:type="character" w:styleId="Hyperlink">
    <w:name w:val="Hyperlink"/>
    <w:uiPriority w:val="99"/>
    <w:unhideWhenUsed/>
    <w:rsid w:val="00BC0665"/>
    <w:rPr>
      <w:color w:val="0563C1"/>
      <w:u w:val="single"/>
    </w:rPr>
  </w:style>
  <w:style w:type="character" w:styleId="FollowedHyperlink">
    <w:name w:val="FollowedHyperlink"/>
    <w:basedOn w:val="DefaultParagraphFont"/>
    <w:uiPriority w:val="99"/>
    <w:semiHidden/>
    <w:unhideWhenUsed/>
    <w:rsid w:val="00247B17"/>
    <w:rPr>
      <w:color w:val="954F72" w:themeColor="followedHyperlink"/>
      <w:u w:val="single"/>
    </w:rPr>
  </w:style>
  <w:style w:type="paragraph" w:customStyle="1" w:styleId="Default">
    <w:name w:val="Default"/>
    <w:rsid w:val="001C31BD"/>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Heading1Char">
    <w:name w:val="Heading 1 Char"/>
    <w:basedOn w:val="DefaultParagraphFont"/>
    <w:link w:val="Heading1"/>
    <w:uiPriority w:val="9"/>
    <w:rsid w:val="00D124ED"/>
    <w:rPr>
      <w:rFonts w:asciiTheme="majorHAnsi" w:eastAsiaTheme="majorEastAsia" w:hAnsiTheme="majorHAnsi" w:cstheme="majorBidi"/>
      <w:color w:val="2F5496" w:themeColor="accent1" w:themeShade="BF"/>
      <w:sz w:val="32"/>
      <w:szCs w:val="32"/>
      <w:lang w:eastAsia="en-US"/>
    </w:rPr>
  </w:style>
  <w:style w:type="table" w:styleId="TableGrid">
    <w:name w:val="Table Grid"/>
    <w:basedOn w:val="TableNormal"/>
    <w:uiPriority w:val="39"/>
    <w:rsid w:val="00D124ED"/>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16BulletList">
    <w:name w:val="PBS16 Bullet List"/>
    <w:basedOn w:val="Normal"/>
    <w:link w:val="PBS16BulletListChar"/>
    <w:qFormat/>
    <w:rsid w:val="001A40F1"/>
    <w:pPr>
      <w:numPr>
        <w:numId w:val="20"/>
      </w:numPr>
      <w:spacing w:before="120" w:after="120" w:line="260" w:lineRule="exact"/>
      <w:jc w:val="both"/>
    </w:pPr>
    <w:rPr>
      <w:rFonts w:ascii="Book Antiqua" w:eastAsia="Times New Roman" w:hAnsi="Book Antiqua" w:cs="Times New Roman"/>
      <w:sz w:val="20"/>
      <w:szCs w:val="20"/>
      <w:lang w:eastAsia="en-AU"/>
    </w:rPr>
  </w:style>
  <w:style w:type="character" w:customStyle="1" w:styleId="PBS16BulletListChar">
    <w:name w:val="PBS16 Bullet List Char"/>
    <w:basedOn w:val="DefaultParagraphFont"/>
    <w:link w:val="PBS16BulletList"/>
    <w:rsid w:val="001A40F1"/>
    <w:rPr>
      <w:rFonts w:ascii="Book Antiqua" w:eastAsia="Times New Roman" w:hAnsi="Book Antiqua" w:cs="Times New Roman"/>
      <w:sz w:val="20"/>
      <w:szCs w:val="20"/>
      <w:lang w:eastAsia="en-AU"/>
    </w:rPr>
  </w:style>
  <w:style w:type="character" w:customStyle="1" w:styleId="Heading2Char">
    <w:name w:val="Heading 2 Char"/>
    <w:basedOn w:val="DefaultParagraphFont"/>
    <w:link w:val="Heading2"/>
    <w:uiPriority w:val="9"/>
    <w:rsid w:val="005B445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B445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457"/>
    <w:rPr>
      <w:rFonts w:asciiTheme="majorHAnsi" w:eastAsiaTheme="majorEastAsia" w:hAnsiTheme="majorHAnsi" w:cstheme="majorBidi"/>
      <w:i/>
      <w:iCs/>
      <w:color w:val="2F5496" w:themeColor="accent1" w:themeShade="BF"/>
      <w:lang w:eastAsia="en-US"/>
    </w:rPr>
  </w:style>
  <w:style w:type="character" w:customStyle="1" w:styleId="Heading5Char">
    <w:name w:val="Heading 5 Char"/>
    <w:basedOn w:val="DefaultParagraphFont"/>
    <w:link w:val="Heading5"/>
    <w:uiPriority w:val="9"/>
    <w:semiHidden/>
    <w:rsid w:val="005B4457"/>
    <w:rPr>
      <w:rFonts w:asciiTheme="majorHAnsi" w:eastAsiaTheme="majorEastAsia" w:hAnsiTheme="majorHAnsi" w:cstheme="majorBidi"/>
      <w:color w:val="2F5496" w:themeColor="accent1" w:themeShade="BF"/>
      <w:lang w:eastAsia="en-US"/>
    </w:rPr>
  </w:style>
  <w:style w:type="character" w:customStyle="1" w:styleId="Heading6Char">
    <w:name w:val="Heading 6 Char"/>
    <w:basedOn w:val="DefaultParagraphFont"/>
    <w:link w:val="Heading6"/>
    <w:uiPriority w:val="9"/>
    <w:semiHidden/>
    <w:rsid w:val="005B4457"/>
    <w:rPr>
      <w:rFonts w:asciiTheme="majorHAnsi" w:eastAsiaTheme="majorEastAsia" w:hAnsiTheme="majorHAnsi" w:cstheme="majorBidi"/>
      <w:color w:val="1F3763" w:themeColor="accent1" w:themeShade="7F"/>
      <w:lang w:eastAsia="en-US"/>
    </w:rPr>
  </w:style>
  <w:style w:type="character" w:customStyle="1" w:styleId="Heading7Char">
    <w:name w:val="Heading 7 Char"/>
    <w:basedOn w:val="DefaultParagraphFont"/>
    <w:link w:val="Heading7"/>
    <w:uiPriority w:val="9"/>
    <w:semiHidden/>
    <w:rsid w:val="005B4457"/>
    <w:rPr>
      <w:rFonts w:asciiTheme="majorHAnsi" w:eastAsiaTheme="majorEastAsia" w:hAnsiTheme="majorHAnsi" w:cstheme="majorBidi"/>
      <w:i/>
      <w:iCs/>
      <w:color w:val="1F3763" w:themeColor="accent1" w:themeShade="7F"/>
      <w:lang w:eastAsia="en-US"/>
    </w:rPr>
  </w:style>
  <w:style w:type="character" w:customStyle="1" w:styleId="Heading8Char">
    <w:name w:val="Heading 8 Char"/>
    <w:basedOn w:val="DefaultParagraphFont"/>
    <w:link w:val="Heading8"/>
    <w:uiPriority w:val="9"/>
    <w:semiHidden/>
    <w:rsid w:val="005B445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5B4457"/>
    <w:rPr>
      <w:rFonts w:asciiTheme="majorHAnsi" w:eastAsiaTheme="majorEastAsia" w:hAnsiTheme="majorHAnsi" w:cstheme="majorBidi"/>
      <w:i/>
      <w:iCs/>
      <w:color w:val="272727" w:themeColor="text1" w:themeTint="D8"/>
      <w:sz w:val="21"/>
      <w:szCs w:val="21"/>
      <w:lang w:eastAsia="en-US"/>
    </w:rPr>
  </w:style>
  <w:style w:type="paragraph" w:styleId="Title">
    <w:name w:val="Title"/>
    <w:basedOn w:val="Normal"/>
    <w:next w:val="Normal"/>
    <w:link w:val="TitleChar"/>
    <w:uiPriority w:val="10"/>
    <w:qFormat/>
    <w:rsid w:val="005B4457"/>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5B4457"/>
    <w:rPr>
      <w:rFonts w:asciiTheme="majorHAnsi" w:eastAsiaTheme="majorEastAsia" w:hAnsiTheme="majorHAnsi" w:cstheme="majorBidi"/>
      <w:spacing w:val="-10"/>
      <w:kern w:val="28"/>
      <w:sz w:val="56"/>
      <w:szCs w:val="56"/>
      <w:lang w:eastAsia="en-US"/>
    </w:rPr>
  </w:style>
  <w:style w:type="paragraph" w:styleId="Caption">
    <w:name w:val="caption"/>
    <w:basedOn w:val="Normal"/>
    <w:next w:val="Normal"/>
    <w:uiPriority w:val="35"/>
    <w:unhideWhenUsed/>
    <w:qFormat/>
    <w:rsid w:val="005B4457"/>
    <w:pPr>
      <w:spacing w:after="200"/>
    </w:pPr>
    <w:rPr>
      <w:rFonts w:eastAsiaTheme="minorHAnsi"/>
      <w:i/>
      <w:iCs/>
      <w:color w:val="44546A" w:themeColor="text2"/>
      <w:sz w:val="18"/>
      <w:szCs w:val="18"/>
      <w:lang w:eastAsia="en-US"/>
    </w:rPr>
  </w:style>
  <w:style w:type="table" w:styleId="GridTable1Light">
    <w:name w:val="Grid Table 1 Light"/>
    <w:basedOn w:val="TableNormal"/>
    <w:uiPriority w:val="46"/>
    <w:rsid w:val="005B4457"/>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ibliography">
    <w:name w:val="Bibliography"/>
    <w:basedOn w:val="Normal"/>
    <w:next w:val="Normal"/>
    <w:uiPriority w:val="37"/>
    <w:unhideWhenUsed/>
    <w:rsid w:val="005B4457"/>
    <w:pPr>
      <w:spacing w:after="160" w:line="259"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38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6.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hart" Target="charts/chart2.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h.hodgson@tpg.com.au" TargetMode="External"/><Relationship Id="rId23" Type="http://schemas.openxmlformats.org/officeDocument/2006/relationships/chart" Target="charts/chart8.xml"/><Relationship Id="rId10" Type="http://schemas.openxmlformats.org/officeDocument/2006/relationships/settings" Target="settings.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chart" Target="charts/chart7.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H:\2020\gender_budget\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2020\gender_budget\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2020\gender_budget\resul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2020\gender_budget\resul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H:\2020\gender_budget\resul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H:\2020\gender_budget\resul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H:\2020\gender_budget\result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H:\2020\gender_budget\results.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tables!$A$83</c:f>
              <c:strCache>
                <c:ptCount val="1"/>
                <c:pt idx="0">
                  <c:v>Labour supply, Male</c:v>
                </c:pt>
              </c:strCache>
            </c:strRef>
          </c:tx>
          <c:spPr>
            <a:ln w="28575" cap="rnd">
              <a:solidFill>
                <a:schemeClr val="accent1"/>
              </a:solidFill>
              <a:prstDash val="sysDash"/>
              <a:round/>
            </a:ln>
            <a:effectLst/>
          </c:spPr>
          <c:marker>
            <c:symbol val="none"/>
          </c:marker>
          <c:cat>
            <c:numRef>
              <c:f>tables!$D$3:$N$3</c:f>
              <c:numCache>
                <c:formatCode>General</c:formatCode>
                <c:ptCount val="11"/>
                <c:pt idx="0">
                  <c:v>2020</c:v>
                </c:pt>
                <c:pt idx="1">
                  <c:v>2021</c:v>
                </c:pt>
                <c:pt idx="2">
                  <c:v>2022</c:v>
                </c:pt>
                <c:pt idx="3">
                  <c:v>2023</c:v>
                </c:pt>
                <c:pt idx="4">
                  <c:v>2024</c:v>
                </c:pt>
                <c:pt idx="5">
                  <c:v>2025</c:v>
                </c:pt>
                <c:pt idx="6">
                  <c:v>2026</c:v>
                </c:pt>
                <c:pt idx="7">
                  <c:v>2027</c:v>
                </c:pt>
                <c:pt idx="8">
                  <c:v>2028</c:v>
                </c:pt>
                <c:pt idx="9">
                  <c:v>2029</c:v>
                </c:pt>
                <c:pt idx="10">
                  <c:v>2030</c:v>
                </c:pt>
              </c:numCache>
            </c:numRef>
          </c:cat>
          <c:val>
            <c:numRef>
              <c:f>tables!$D$83:$N$83</c:f>
              <c:numCache>
                <c:formatCode>0.00</c:formatCode>
                <c:ptCount val="11"/>
                <c:pt idx="0">
                  <c:v>0</c:v>
                </c:pt>
                <c:pt idx="1">
                  <c:v>6.5855160000000005E-4</c:v>
                </c:pt>
                <c:pt idx="2">
                  <c:v>0.208373</c:v>
                </c:pt>
                <c:pt idx="3">
                  <c:v>0.41710199999999997</c:v>
                </c:pt>
                <c:pt idx="4">
                  <c:v>0.62797499999999995</c:v>
                </c:pt>
                <c:pt idx="5">
                  <c:v>0.84112299999999995</c:v>
                </c:pt>
                <c:pt idx="6">
                  <c:v>0.83278099999999999</c:v>
                </c:pt>
                <c:pt idx="7">
                  <c:v>0.82800799999999997</c:v>
                </c:pt>
                <c:pt idx="8">
                  <c:v>0.82586700000000002</c:v>
                </c:pt>
                <c:pt idx="9">
                  <c:v>0.82562999999999998</c:v>
                </c:pt>
                <c:pt idx="10">
                  <c:v>0.82673799999999997</c:v>
                </c:pt>
              </c:numCache>
            </c:numRef>
          </c:val>
          <c:smooth val="0"/>
          <c:extLst>
            <c:ext xmlns:c16="http://schemas.microsoft.com/office/drawing/2014/chart" uri="{C3380CC4-5D6E-409C-BE32-E72D297353CC}">
              <c16:uniqueId val="{00000000-D6C3-4974-BA05-35C8972AE167}"/>
            </c:ext>
          </c:extLst>
        </c:ser>
        <c:ser>
          <c:idx val="1"/>
          <c:order val="1"/>
          <c:tx>
            <c:strRef>
              <c:f>tables!$A$84</c:f>
              <c:strCache>
                <c:ptCount val="1"/>
                <c:pt idx="0">
                  <c:v>Labour supply, Female</c:v>
                </c:pt>
              </c:strCache>
            </c:strRef>
          </c:tx>
          <c:spPr>
            <a:ln w="28575" cap="rnd">
              <a:solidFill>
                <a:schemeClr val="accent2"/>
              </a:solidFill>
              <a:prstDash val="sysDash"/>
              <a:round/>
            </a:ln>
            <a:effectLst/>
          </c:spPr>
          <c:marker>
            <c:symbol val="none"/>
          </c:marker>
          <c:cat>
            <c:numRef>
              <c:f>tables!$D$3:$N$3</c:f>
              <c:numCache>
                <c:formatCode>General</c:formatCode>
                <c:ptCount val="11"/>
                <c:pt idx="0">
                  <c:v>2020</c:v>
                </c:pt>
                <c:pt idx="1">
                  <c:v>2021</c:v>
                </c:pt>
                <c:pt idx="2">
                  <c:v>2022</c:v>
                </c:pt>
                <c:pt idx="3">
                  <c:v>2023</c:v>
                </c:pt>
                <c:pt idx="4">
                  <c:v>2024</c:v>
                </c:pt>
                <c:pt idx="5">
                  <c:v>2025</c:v>
                </c:pt>
                <c:pt idx="6">
                  <c:v>2026</c:v>
                </c:pt>
                <c:pt idx="7">
                  <c:v>2027</c:v>
                </c:pt>
                <c:pt idx="8">
                  <c:v>2028</c:v>
                </c:pt>
                <c:pt idx="9">
                  <c:v>2029</c:v>
                </c:pt>
                <c:pt idx="10">
                  <c:v>2030</c:v>
                </c:pt>
              </c:numCache>
            </c:numRef>
          </c:cat>
          <c:val>
            <c:numRef>
              <c:f>tables!$D$84:$N$84</c:f>
              <c:numCache>
                <c:formatCode>0.00</c:formatCode>
                <c:ptCount val="11"/>
                <c:pt idx="0">
                  <c:v>0</c:v>
                </c:pt>
                <c:pt idx="1">
                  <c:v>5.1374009999999998E-4</c:v>
                </c:pt>
                <c:pt idx="2">
                  <c:v>0.92980799999999997</c:v>
                </c:pt>
                <c:pt idx="3">
                  <c:v>1.86774</c:v>
                </c:pt>
                <c:pt idx="4">
                  <c:v>2.8143799999999999</c:v>
                </c:pt>
                <c:pt idx="5">
                  <c:v>3.7698200000000002</c:v>
                </c:pt>
                <c:pt idx="6">
                  <c:v>3.75481</c:v>
                </c:pt>
                <c:pt idx="7">
                  <c:v>3.7454399999999999</c:v>
                </c:pt>
                <c:pt idx="8">
                  <c:v>3.7402799999999998</c:v>
                </c:pt>
                <c:pt idx="9">
                  <c:v>3.7381799999999998</c:v>
                </c:pt>
                <c:pt idx="10">
                  <c:v>3.7382900000000001</c:v>
                </c:pt>
              </c:numCache>
            </c:numRef>
          </c:val>
          <c:smooth val="0"/>
          <c:extLst>
            <c:ext xmlns:c16="http://schemas.microsoft.com/office/drawing/2014/chart" uri="{C3380CC4-5D6E-409C-BE32-E72D297353CC}">
              <c16:uniqueId val="{00000001-D6C3-4974-BA05-35C8972AE167}"/>
            </c:ext>
          </c:extLst>
        </c:ser>
        <c:ser>
          <c:idx val="2"/>
          <c:order val="2"/>
          <c:tx>
            <c:strRef>
              <c:f>tables!$A$88</c:f>
              <c:strCache>
                <c:ptCount val="1"/>
                <c:pt idx="0">
                  <c:v>Employment, Male</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cat>
            <c:numRef>
              <c:f>tables!$D$3:$N$3</c:f>
              <c:numCache>
                <c:formatCode>General</c:formatCode>
                <c:ptCount val="11"/>
                <c:pt idx="0">
                  <c:v>2020</c:v>
                </c:pt>
                <c:pt idx="1">
                  <c:v>2021</c:v>
                </c:pt>
                <c:pt idx="2">
                  <c:v>2022</c:v>
                </c:pt>
                <c:pt idx="3">
                  <c:v>2023</c:v>
                </c:pt>
                <c:pt idx="4">
                  <c:v>2024</c:v>
                </c:pt>
                <c:pt idx="5">
                  <c:v>2025</c:v>
                </c:pt>
                <c:pt idx="6">
                  <c:v>2026</c:v>
                </c:pt>
                <c:pt idx="7">
                  <c:v>2027</c:v>
                </c:pt>
                <c:pt idx="8">
                  <c:v>2028</c:v>
                </c:pt>
                <c:pt idx="9">
                  <c:v>2029</c:v>
                </c:pt>
                <c:pt idx="10">
                  <c:v>2030</c:v>
                </c:pt>
              </c:numCache>
            </c:numRef>
          </c:cat>
          <c:val>
            <c:numRef>
              <c:f>tables!$D$88:$N$88</c:f>
              <c:numCache>
                <c:formatCode>0.00</c:formatCode>
                <c:ptCount val="11"/>
                <c:pt idx="0">
                  <c:v>0</c:v>
                </c:pt>
                <c:pt idx="1">
                  <c:v>1.6147043599046285E-2</c:v>
                </c:pt>
                <c:pt idx="2">
                  <c:v>-2.8044606083976742E-2</c:v>
                </c:pt>
                <c:pt idx="3">
                  <c:v>1.3405166539603997E-2</c:v>
                </c:pt>
                <c:pt idx="4">
                  <c:v>0.12261124675250201</c:v>
                </c:pt>
                <c:pt idx="5">
                  <c:v>0.26710003349095235</c:v>
                </c:pt>
                <c:pt idx="6">
                  <c:v>0.45389275044220856</c:v>
                </c:pt>
                <c:pt idx="7">
                  <c:v>0.59497934931080909</c:v>
                </c:pt>
                <c:pt idx="8">
                  <c:v>0.70073806601831379</c:v>
                </c:pt>
                <c:pt idx="9">
                  <c:v>0.77913549079817734</c:v>
                </c:pt>
                <c:pt idx="10">
                  <c:v>0.83645110347452256</c:v>
                </c:pt>
              </c:numCache>
            </c:numRef>
          </c:val>
          <c:smooth val="0"/>
          <c:extLst>
            <c:ext xmlns:c16="http://schemas.microsoft.com/office/drawing/2014/chart" uri="{C3380CC4-5D6E-409C-BE32-E72D297353CC}">
              <c16:uniqueId val="{00000002-D6C3-4974-BA05-35C8972AE167}"/>
            </c:ext>
          </c:extLst>
        </c:ser>
        <c:ser>
          <c:idx val="3"/>
          <c:order val="3"/>
          <c:tx>
            <c:strRef>
              <c:f>tables!$A$89</c:f>
              <c:strCache>
                <c:ptCount val="1"/>
                <c:pt idx="0">
                  <c:v>Employment, Female</c:v>
                </c:pt>
              </c:strCache>
            </c:strRef>
          </c:tx>
          <c:spPr>
            <a:ln w="28575" cap="rnd">
              <a:solidFill>
                <a:schemeClr val="accent2"/>
              </a:solidFill>
              <a:round/>
            </a:ln>
            <a:effectLst/>
          </c:spPr>
          <c:marker>
            <c:symbol val="square"/>
            <c:size val="5"/>
            <c:spPr>
              <a:solidFill>
                <a:schemeClr val="accent2"/>
              </a:solidFill>
              <a:ln w="9525">
                <a:solidFill>
                  <a:schemeClr val="accent2"/>
                </a:solidFill>
              </a:ln>
              <a:effectLst/>
            </c:spPr>
          </c:marker>
          <c:cat>
            <c:numRef>
              <c:f>tables!$D$3:$N$3</c:f>
              <c:numCache>
                <c:formatCode>General</c:formatCode>
                <c:ptCount val="11"/>
                <c:pt idx="0">
                  <c:v>2020</c:v>
                </c:pt>
                <c:pt idx="1">
                  <c:v>2021</c:v>
                </c:pt>
                <c:pt idx="2">
                  <c:v>2022</c:v>
                </c:pt>
                <c:pt idx="3">
                  <c:v>2023</c:v>
                </c:pt>
                <c:pt idx="4">
                  <c:v>2024</c:v>
                </c:pt>
                <c:pt idx="5">
                  <c:v>2025</c:v>
                </c:pt>
                <c:pt idx="6">
                  <c:v>2026</c:v>
                </c:pt>
                <c:pt idx="7">
                  <c:v>2027</c:v>
                </c:pt>
                <c:pt idx="8">
                  <c:v>2028</c:v>
                </c:pt>
                <c:pt idx="9">
                  <c:v>2029</c:v>
                </c:pt>
                <c:pt idx="10">
                  <c:v>2030</c:v>
                </c:pt>
              </c:numCache>
            </c:numRef>
          </c:cat>
          <c:val>
            <c:numRef>
              <c:f>tables!$D$89:$N$89</c:f>
              <c:numCache>
                <c:formatCode>0.00</c:formatCode>
                <c:ptCount val="11"/>
                <c:pt idx="0">
                  <c:v>0</c:v>
                </c:pt>
                <c:pt idx="1">
                  <c:v>1.6002209670062939E-2</c:v>
                </c:pt>
                <c:pt idx="2">
                  <c:v>0.69168834117792066</c:v>
                </c:pt>
                <c:pt idx="3">
                  <c:v>1.4582113116520024</c:v>
                </c:pt>
                <c:pt idx="4">
                  <c:v>2.2980359022020114</c:v>
                </c:pt>
                <c:pt idx="5">
                  <c:v>3.1791258651229892</c:v>
                </c:pt>
                <c:pt idx="6">
                  <c:v>3.3649419634921074</c:v>
                </c:pt>
                <c:pt idx="7">
                  <c:v>3.5056687263440134</c:v>
                </c:pt>
                <c:pt idx="8">
                  <c:v>3.6115341629088027</c:v>
                </c:pt>
                <c:pt idx="9">
                  <c:v>3.6903424038987831</c:v>
                </c:pt>
                <c:pt idx="10">
                  <c:v>3.7482835866718522</c:v>
                </c:pt>
              </c:numCache>
            </c:numRef>
          </c:val>
          <c:smooth val="0"/>
          <c:extLst>
            <c:ext xmlns:c16="http://schemas.microsoft.com/office/drawing/2014/chart" uri="{C3380CC4-5D6E-409C-BE32-E72D297353CC}">
              <c16:uniqueId val="{00000003-D6C3-4974-BA05-35C8972AE167}"/>
            </c:ext>
          </c:extLst>
        </c:ser>
        <c:dLbls>
          <c:showLegendKey val="0"/>
          <c:showVal val="0"/>
          <c:showCatName val="0"/>
          <c:showSerName val="0"/>
          <c:showPercent val="0"/>
          <c:showBubbleSize val="0"/>
        </c:dLbls>
        <c:smooth val="0"/>
        <c:axId val="521576592"/>
        <c:axId val="521572000"/>
      </c:lineChart>
      <c:catAx>
        <c:axId val="521576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572000"/>
        <c:crosses val="autoZero"/>
        <c:auto val="1"/>
        <c:lblAlgn val="ctr"/>
        <c:lblOffset val="100"/>
        <c:noMultiLvlLbl val="0"/>
      </c:catAx>
      <c:valAx>
        <c:axId val="521572000"/>
        <c:scaling>
          <c:orientation val="minMax"/>
        </c:scaling>
        <c:delete val="0"/>
        <c:axPos val="l"/>
        <c:majorGridlines>
          <c:spPr>
            <a:ln w="9525" cap="flat" cmpd="sng" algn="ctr">
              <a:solidFill>
                <a:schemeClr val="tx1">
                  <a:lumMod val="15000"/>
                  <a:lumOff val="85000"/>
                </a:schemeClr>
              </a:solidFill>
              <a:round/>
            </a:ln>
            <a:effectLst/>
          </c:spPr>
        </c:majorGridlines>
        <c:title>
          <c:tx>
            <c:strRef>
              <c:f>tables!$B$3</c:f>
              <c:strCache>
                <c:ptCount val="1"/>
                <c:pt idx="0">
                  <c:v>percentage deviation from BASE</c:v>
                </c:pt>
              </c:strCache>
            </c:strRef>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576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tables!$C$40</c:f>
              <c:strCache>
                <c:ptCount val="1"/>
                <c:pt idx="0">
                  <c:v>Real labour income, Male</c:v>
                </c:pt>
              </c:strCache>
            </c:strRef>
          </c:tx>
          <c:spPr>
            <a:ln w="28575" cap="rnd">
              <a:solidFill>
                <a:schemeClr val="accent1"/>
              </a:solidFill>
              <a:round/>
            </a:ln>
            <a:effectLst/>
          </c:spPr>
          <c:marker>
            <c:symbol val="none"/>
          </c:marker>
          <c:cat>
            <c:numRef>
              <c:f>tables!$D$3:$N$3</c:f>
              <c:numCache>
                <c:formatCode>General</c:formatCode>
                <c:ptCount val="11"/>
                <c:pt idx="0">
                  <c:v>2020</c:v>
                </c:pt>
                <c:pt idx="1">
                  <c:v>2021</c:v>
                </c:pt>
                <c:pt idx="2">
                  <c:v>2022</c:v>
                </c:pt>
                <c:pt idx="3">
                  <c:v>2023</c:v>
                </c:pt>
                <c:pt idx="4">
                  <c:v>2024</c:v>
                </c:pt>
                <c:pt idx="5">
                  <c:v>2025</c:v>
                </c:pt>
                <c:pt idx="6">
                  <c:v>2026</c:v>
                </c:pt>
                <c:pt idx="7">
                  <c:v>2027</c:v>
                </c:pt>
                <c:pt idx="8">
                  <c:v>2028</c:v>
                </c:pt>
                <c:pt idx="9">
                  <c:v>2029</c:v>
                </c:pt>
                <c:pt idx="10">
                  <c:v>2030</c:v>
                </c:pt>
              </c:numCache>
            </c:numRef>
          </c:cat>
          <c:val>
            <c:numRef>
              <c:f>tables!$D$40:$N$40</c:f>
              <c:numCache>
                <c:formatCode>0.00</c:formatCode>
                <c:ptCount val="11"/>
                <c:pt idx="0">
                  <c:v>0</c:v>
                </c:pt>
                <c:pt idx="1">
                  <c:v>2.7816047494000351E-2</c:v>
                </c:pt>
                <c:pt idx="2">
                  <c:v>-5.7558606676844093E-2</c:v>
                </c:pt>
                <c:pt idx="3">
                  <c:v>-0.12603052254143154</c:v>
                </c:pt>
                <c:pt idx="4">
                  <c:v>-0.16777336142034249</c:v>
                </c:pt>
                <c:pt idx="5">
                  <c:v>-0.2092388786381516</c:v>
                </c:pt>
                <c:pt idx="6">
                  <c:v>-0.17213189102284199</c:v>
                </c:pt>
                <c:pt idx="7">
                  <c:v>-0.11807508445945691</c:v>
                </c:pt>
                <c:pt idx="8">
                  <c:v>-5.2964664095844771E-2</c:v>
                </c:pt>
                <c:pt idx="9">
                  <c:v>1.8484809854268924E-2</c:v>
                </c:pt>
                <c:pt idx="10">
                  <c:v>9.2750008922037885E-2</c:v>
                </c:pt>
              </c:numCache>
            </c:numRef>
          </c:val>
          <c:smooth val="0"/>
          <c:extLst>
            <c:ext xmlns:c16="http://schemas.microsoft.com/office/drawing/2014/chart" uri="{C3380CC4-5D6E-409C-BE32-E72D297353CC}">
              <c16:uniqueId val="{00000000-727E-46BC-8869-E6DD3A94814E}"/>
            </c:ext>
          </c:extLst>
        </c:ser>
        <c:ser>
          <c:idx val="1"/>
          <c:order val="1"/>
          <c:tx>
            <c:strRef>
              <c:f>tables!$C$41</c:f>
              <c:strCache>
                <c:ptCount val="1"/>
                <c:pt idx="0">
                  <c:v>Real labour income, Female</c:v>
                </c:pt>
              </c:strCache>
            </c:strRef>
          </c:tx>
          <c:spPr>
            <a:ln w="28575" cap="rnd">
              <a:solidFill>
                <a:schemeClr val="accent2"/>
              </a:solidFill>
              <a:round/>
            </a:ln>
            <a:effectLst/>
          </c:spPr>
          <c:marker>
            <c:symbol val="none"/>
          </c:marker>
          <c:cat>
            <c:numRef>
              <c:f>tables!$D$3:$N$3</c:f>
              <c:numCache>
                <c:formatCode>General</c:formatCode>
                <c:ptCount val="11"/>
                <c:pt idx="0">
                  <c:v>2020</c:v>
                </c:pt>
                <c:pt idx="1">
                  <c:v>2021</c:v>
                </c:pt>
                <c:pt idx="2">
                  <c:v>2022</c:v>
                </c:pt>
                <c:pt idx="3">
                  <c:v>2023</c:v>
                </c:pt>
                <c:pt idx="4">
                  <c:v>2024</c:v>
                </c:pt>
                <c:pt idx="5">
                  <c:v>2025</c:v>
                </c:pt>
                <c:pt idx="6">
                  <c:v>2026</c:v>
                </c:pt>
                <c:pt idx="7">
                  <c:v>2027</c:v>
                </c:pt>
                <c:pt idx="8">
                  <c:v>2028</c:v>
                </c:pt>
                <c:pt idx="9">
                  <c:v>2029</c:v>
                </c:pt>
                <c:pt idx="10">
                  <c:v>2030</c:v>
                </c:pt>
              </c:numCache>
            </c:numRef>
          </c:cat>
          <c:val>
            <c:numRef>
              <c:f>tables!$D$41:$N$41</c:f>
              <c:numCache>
                <c:formatCode>0.00</c:formatCode>
                <c:ptCount val="11"/>
                <c:pt idx="0">
                  <c:v>0</c:v>
                </c:pt>
                <c:pt idx="1">
                  <c:v>2.2556660359196457E-2</c:v>
                </c:pt>
                <c:pt idx="2">
                  <c:v>0.7946113573327418</c:v>
                </c:pt>
                <c:pt idx="3">
                  <c:v>1.5947030433295817</c:v>
                </c:pt>
                <c:pt idx="4">
                  <c:v>2.4369709566822273</c:v>
                </c:pt>
                <c:pt idx="5">
                  <c:v>3.3074456167964117</c:v>
                </c:pt>
                <c:pt idx="6">
                  <c:v>3.2921331558187106</c:v>
                </c:pt>
                <c:pt idx="7">
                  <c:v>3.3081809454708289</c:v>
                </c:pt>
                <c:pt idx="8">
                  <c:v>3.3463176466813183</c:v>
                </c:pt>
                <c:pt idx="9">
                  <c:v>3.3991560736498894</c:v>
                </c:pt>
                <c:pt idx="10">
                  <c:v>3.4611104126696102</c:v>
                </c:pt>
              </c:numCache>
            </c:numRef>
          </c:val>
          <c:smooth val="0"/>
          <c:extLst>
            <c:ext xmlns:c16="http://schemas.microsoft.com/office/drawing/2014/chart" uri="{C3380CC4-5D6E-409C-BE32-E72D297353CC}">
              <c16:uniqueId val="{00000001-727E-46BC-8869-E6DD3A94814E}"/>
            </c:ext>
          </c:extLst>
        </c:ser>
        <c:dLbls>
          <c:showLegendKey val="0"/>
          <c:showVal val="0"/>
          <c:showCatName val="0"/>
          <c:showSerName val="0"/>
          <c:showPercent val="0"/>
          <c:showBubbleSize val="0"/>
        </c:dLbls>
        <c:smooth val="0"/>
        <c:axId val="616915288"/>
        <c:axId val="616912008"/>
      </c:lineChart>
      <c:catAx>
        <c:axId val="61691528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912008"/>
        <c:crosses val="autoZero"/>
        <c:auto val="1"/>
        <c:lblAlgn val="ctr"/>
        <c:lblOffset val="100"/>
        <c:noMultiLvlLbl val="0"/>
      </c:catAx>
      <c:valAx>
        <c:axId val="616912008"/>
        <c:scaling>
          <c:orientation val="minMax"/>
        </c:scaling>
        <c:delete val="0"/>
        <c:axPos val="l"/>
        <c:majorGridlines>
          <c:spPr>
            <a:ln w="9525" cap="flat" cmpd="sng" algn="ctr">
              <a:solidFill>
                <a:schemeClr val="tx1">
                  <a:lumMod val="15000"/>
                  <a:lumOff val="85000"/>
                </a:schemeClr>
              </a:solidFill>
              <a:round/>
            </a:ln>
            <a:effectLst/>
          </c:spPr>
        </c:majorGridlines>
        <c:title>
          <c:tx>
            <c:strRef>
              <c:f>tables!$B$3</c:f>
              <c:strCache>
                <c:ptCount val="1"/>
                <c:pt idx="0">
                  <c:v>percentage deviation from BASE</c:v>
                </c:pt>
              </c:strCache>
            </c:strRef>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915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tables!$C$75</c:f>
              <c:strCache>
                <c:ptCount val="1"/>
                <c:pt idx="0">
                  <c:v>GDP</c:v>
                </c:pt>
              </c:strCache>
            </c:strRef>
          </c:tx>
          <c:spPr>
            <a:ln w="28575" cap="rnd">
              <a:solidFill>
                <a:schemeClr val="accent1"/>
              </a:solidFill>
              <a:round/>
            </a:ln>
            <a:effectLst/>
          </c:spPr>
          <c:marker>
            <c:symbol val="none"/>
          </c:marker>
          <c:cat>
            <c:numRef>
              <c:f>tables!$D$3:$N$3</c:f>
              <c:numCache>
                <c:formatCode>General</c:formatCode>
                <c:ptCount val="11"/>
                <c:pt idx="0">
                  <c:v>2020</c:v>
                </c:pt>
                <c:pt idx="1">
                  <c:v>2021</c:v>
                </c:pt>
                <c:pt idx="2">
                  <c:v>2022</c:v>
                </c:pt>
                <c:pt idx="3">
                  <c:v>2023</c:v>
                </c:pt>
                <c:pt idx="4">
                  <c:v>2024</c:v>
                </c:pt>
                <c:pt idx="5">
                  <c:v>2025</c:v>
                </c:pt>
                <c:pt idx="6">
                  <c:v>2026</c:v>
                </c:pt>
                <c:pt idx="7">
                  <c:v>2027</c:v>
                </c:pt>
                <c:pt idx="8">
                  <c:v>2028</c:v>
                </c:pt>
                <c:pt idx="9">
                  <c:v>2029</c:v>
                </c:pt>
                <c:pt idx="10">
                  <c:v>2030</c:v>
                </c:pt>
              </c:numCache>
            </c:numRef>
          </c:cat>
          <c:val>
            <c:numRef>
              <c:f>tables!$D$75:$N$75</c:f>
              <c:numCache>
                <c:formatCode>0.00</c:formatCode>
                <c:ptCount val="11"/>
                <c:pt idx="0">
                  <c:v>0</c:v>
                </c:pt>
                <c:pt idx="1">
                  <c:v>1.158064E-2</c:v>
                </c:pt>
                <c:pt idx="2">
                  <c:v>0.19700699999999999</c:v>
                </c:pt>
                <c:pt idx="3">
                  <c:v>0.44564300000000001</c:v>
                </c:pt>
                <c:pt idx="4">
                  <c:v>0.749332</c:v>
                </c:pt>
                <c:pt idx="5">
                  <c:v>1.0879399999999999</c:v>
                </c:pt>
                <c:pt idx="6">
                  <c:v>1.2395799999999999</c:v>
                </c:pt>
                <c:pt idx="7">
                  <c:v>1.3666</c:v>
                </c:pt>
                <c:pt idx="8">
                  <c:v>1.4734</c:v>
                </c:pt>
                <c:pt idx="9">
                  <c:v>1.56342</c:v>
                </c:pt>
                <c:pt idx="10">
                  <c:v>1.6395299999999999</c:v>
                </c:pt>
              </c:numCache>
            </c:numRef>
          </c:val>
          <c:smooth val="0"/>
          <c:extLst>
            <c:ext xmlns:c16="http://schemas.microsoft.com/office/drawing/2014/chart" uri="{C3380CC4-5D6E-409C-BE32-E72D297353CC}">
              <c16:uniqueId val="{00000000-9777-4A7A-B6AE-496D1D737D98}"/>
            </c:ext>
          </c:extLst>
        </c:ser>
        <c:ser>
          <c:idx val="1"/>
          <c:order val="1"/>
          <c:tx>
            <c:strRef>
              <c:f>tables!$C$76</c:f>
              <c:strCache>
                <c:ptCount val="1"/>
                <c:pt idx="0">
                  <c:v>Household expenditure</c:v>
                </c:pt>
              </c:strCache>
            </c:strRef>
          </c:tx>
          <c:spPr>
            <a:ln w="28575" cap="rnd">
              <a:solidFill>
                <a:schemeClr val="accent2"/>
              </a:solidFill>
              <a:prstDash val="sysDot"/>
              <a:round/>
            </a:ln>
            <a:effectLst/>
          </c:spPr>
          <c:marker>
            <c:symbol val="none"/>
          </c:marker>
          <c:cat>
            <c:numRef>
              <c:f>tables!$D$3:$N$3</c:f>
              <c:numCache>
                <c:formatCode>General</c:formatCode>
                <c:ptCount val="11"/>
                <c:pt idx="0">
                  <c:v>2020</c:v>
                </c:pt>
                <c:pt idx="1">
                  <c:v>2021</c:v>
                </c:pt>
                <c:pt idx="2">
                  <c:v>2022</c:v>
                </c:pt>
                <c:pt idx="3">
                  <c:v>2023</c:v>
                </c:pt>
                <c:pt idx="4">
                  <c:v>2024</c:v>
                </c:pt>
                <c:pt idx="5">
                  <c:v>2025</c:v>
                </c:pt>
                <c:pt idx="6">
                  <c:v>2026</c:v>
                </c:pt>
                <c:pt idx="7">
                  <c:v>2027</c:v>
                </c:pt>
                <c:pt idx="8">
                  <c:v>2028</c:v>
                </c:pt>
                <c:pt idx="9">
                  <c:v>2029</c:v>
                </c:pt>
                <c:pt idx="10">
                  <c:v>2030</c:v>
                </c:pt>
              </c:numCache>
            </c:numRef>
          </c:cat>
          <c:val>
            <c:numRef>
              <c:f>tables!$D$76:$N$76</c:f>
              <c:numCache>
                <c:formatCode>0.00</c:formatCode>
                <c:ptCount val="11"/>
                <c:pt idx="0">
                  <c:v>0</c:v>
                </c:pt>
                <c:pt idx="1">
                  <c:v>6.6712019999999997E-2</c:v>
                </c:pt>
                <c:pt idx="2">
                  <c:v>0.29461100000000001</c:v>
                </c:pt>
                <c:pt idx="3">
                  <c:v>0.57150199999999995</c:v>
                </c:pt>
                <c:pt idx="4">
                  <c:v>0.88717900000000005</c:v>
                </c:pt>
                <c:pt idx="5">
                  <c:v>1.1672</c:v>
                </c:pt>
                <c:pt idx="6">
                  <c:v>1.2300599999999999</c:v>
                </c:pt>
                <c:pt idx="7">
                  <c:v>1.2815700000000001</c:v>
                </c:pt>
                <c:pt idx="8">
                  <c:v>1.3267100000000001</c:v>
                </c:pt>
                <c:pt idx="9">
                  <c:v>1.3678600000000001</c:v>
                </c:pt>
                <c:pt idx="10">
                  <c:v>1.40628</c:v>
                </c:pt>
              </c:numCache>
            </c:numRef>
          </c:val>
          <c:smooth val="0"/>
          <c:extLst>
            <c:ext xmlns:c16="http://schemas.microsoft.com/office/drawing/2014/chart" uri="{C3380CC4-5D6E-409C-BE32-E72D297353CC}">
              <c16:uniqueId val="{00000001-9777-4A7A-B6AE-496D1D737D98}"/>
            </c:ext>
          </c:extLst>
        </c:ser>
        <c:ser>
          <c:idx val="2"/>
          <c:order val="2"/>
          <c:tx>
            <c:strRef>
              <c:f>tables!$C$77</c:f>
              <c:strCache>
                <c:ptCount val="1"/>
                <c:pt idx="0">
                  <c:v>Investment</c:v>
                </c:pt>
              </c:strCache>
            </c:strRef>
          </c:tx>
          <c:spPr>
            <a:ln w="28575" cap="rnd">
              <a:solidFill>
                <a:schemeClr val="accent3"/>
              </a:solidFill>
              <a:prstDash val="sysDash"/>
              <a:round/>
            </a:ln>
            <a:effectLst/>
          </c:spPr>
          <c:marker>
            <c:symbol val="none"/>
          </c:marker>
          <c:cat>
            <c:numRef>
              <c:f>tables!$D$3:$N$3</c:f>
              <c:numCache>
                <c:formatCode>General</c:formatCode>
                <c:ptCount val="11"/>
                <c:pt idx="0">
                  <c:v>2020</c:v>
                </c:pt>
                <c:pt idx="1">
                  <c:v>2021</c:v>
                </c:pt>
                <c:pt idx="2">
                  <c:v>2022</c:v>
                </c:pt>
                <c:pt idx="3">
                  <c:v>2023</c:v>
                </c:pt>
                <c:pt idx="4">
                  <c:v>2024</c:v>
                </c:pt>
                <c:pt idx="5">
                  <c:v>2025</c:v>
                </c:pt>
                <c:pt idx="6">
                  <c:v>2026</c:v>
                </c:pt>
                <c:pt idx="7">
                  <c:v>2027</c:v>
                </c:pt>
                <c:pt idx="8">
                  <c:v>2028</c:v>
                </c:pt>
                <c:pt idx="9">
                  <c:v>2029</c:v>
                </c:pt>
                <c:pt idx="10">
                  <c:v>2030</c:v>
                </c:pt>
              </c:numCache>
            </c:numRef>
          </c:cat>
          <c:val>
            <c:numRef>
              <c:f>tables!$D$77:$N$77</c:f>
              <c:numCache>
                <c:formatCode>0.00</c:formatCode>
                <c:ptCount val="11"/>
                <c:pt idx="0">
                  <c:v>0</c:v>
                </c:pt>
                <c:pt idx="1">
                  <c:v>8.0881700000000001E-2</c:v>
                </c:pt>
                <c:pt idx="2">
                  <c:v>0.24646299999999999</c:v>
                </c:pt>
                <c:pt idx="3">
                  <c:v>0.48793399999999998</c:v>
                </c:pt>
                <c:pt idx="4">
                  <c:v>0.79071000000000002</c:v>
                </c:pt>
                <c:pt idx="5">
                  <c:v>1.0410600000000001</c:v>
                </c:pt>
                <c:pt idx="6">
                  <c:v>1.2149000000000001</c:v>
                </c:pt>
                <c:pt idx="7">
                  <c:v>1.3510599999999999</c:v>
                </c:pt>
                <c:pt idx="8">
                  <c:v>1.45719</c:v>
                </c:pt>
                <c:pt idx="9">
                  <c:v>1.5394300000000001</c:v>
                </c:pt>
                <c:pt idx="10">
                  <c:v>1.60293</c:v>
                </c:pt>
              </c:numCache>
            </c:numRef>
          </c:val>
          <c:smooth val="0"/>
          <c:extLst>
            <c:ext xmlns:c16="http://schemas.microsoft.com/office/drawing/2014/chart" uri="{C3380CC4-5D6E-409C-BE32-E72D297353CC}">
              <c16:uniqueId val="{00000002-9777-4A7A-B6AE-496D1D737D98}"/>
            </c:ext>
          </c:extLst>
        </c:ser>
        <c:ser>
          <c:idx val="3"/>
          <c:order val="3"/>
          <c:tx>
            <c:strRef>
              <c:f>tables!$C$78</c:f>
              <c:strCache>
                <c:ptCount val="1"/>
                <c:pt idx="0">
                  <c:v>Exports</c:v>
                </c:pt>
              </c:strCache>
            </c:strRef>
          </c:tx>
          <c:spPr>
            <a:ln w="28575" cap="rnd">
              <a:solidFill>
                <a:schemeClr val="accent4"/>
              </a:solidFill>
              <a:round/>
            </a:ln>
            <a:effectLst/>
          </c:spPr>
          <c:marker>
            <c:symbol val="none"/>
          </c:marker>
          <c:cat>
            <c:numRef>
              <c:f>tables!$D$3:$N$3</c:f>
              <c:numCache>
                <c:formatCode>General</c:formatCode>
                <c:ptCount val="11"/>
                <c:pt idx="0">
                  <c:v>2020</c:v>
                </c:pt>
                <c:pt idx="1">
                  <c:v>2021</c:v>
                </c:pt>
                <c:pt idx="2">
                  <c:v>2022</c:v>
                </c:pt>
                <c:pt idx="3">
                  <c:v>2023</c:v>
                </c:pt>
                <c:pt idx="4">
                  <c:v>2024</c:v>
                </c:pt>
                <c:pt idx="5">
                  <c:v>2025</c:v>
                </c:pt>
                <c:pt idx="6">
                  <c:v>2026</c:v>
                </c:pt>
                <c:pt idx="7">
                  <c:v>2027</c:v>
                </c:pt>
                <c:pt idx="8">
                  <c:v>2028</c:v>
                </c:pt>
                <c:pt idx="9">
                  <c:v>2029</c:v>
                </c:pt>
                <c:pt idx="10">
                  <c:v>2030</c:v>
                </c:pt>
              </c:numCache>
            </c:numRef>
          </c:cat>
          <c:val>
            <c:numRef>
              <c:f>tables!$D$78:$N$78</c:f>
              <c:numCache>
                <c:formatCode>0.00</c:formatCode>
                <c:ptCount val="11"/>
                <c:pt idx="0">
                  <c:v>0</c:v>
                </c:pt>
                <c:pt idx="1">
                  <c:v>-0.144872</c:v>
                </c:pt>
                <c:pt idx="2">
                  <c:v>-0.30964199999999997</c:v>
                </c:pt>
                <c:pt idx="3">
                  <c:v>-0.40593200000000002</c:v>
                </c:pt>
                <c:pt idx="4">
                  <c:v>-0.440774</c:v>
                </c:pt>
                <c:pt idx="5">
                  <c:v>-0.27185500000000001</c:v>
                </c:pt>
                <c:pt idx="6">
                  <c:v>6.7271230000000001E-2</c:v>
                </c:pt>
                <c:pt idx="7">
                  <c:v>0.36201</c:v>
                </c:pt>
                <c:pt idx="8">
                  <c:v>0.61565700000000001</c:v>
                </c:pt>
                <c:pt idx="9">
                  <c:v>0.83245800000000003</c:v>
                </c:pt>
                <c:pt idx="10">
                  <c:v>1.0166999999999999</c:v>
                </c:pt>
              </c:numCache>
            </c:numRef>
          </c:val>
          <c:smooth val="0"/>
          <c:extLst>
            <c:ext xmlns:c16="http://schemas.microsoft.com/office/drawing/2014/chart" uri="{C3380CC4-5D6E-409C-BE32-E72D297353CC}">
              <c16:uniqueId val="{00000003-9777-4A7A-B6AE-496D1D737D98}"/>
            </c:ext>
          </c:extLst>
        </c:ser>
        <c:ser>
          <c:idx val="4"/>
          <c:order val="4"/>
          <c:tx>
            <c:strRef>
              <c:f>tables!$C$79</c:f>
              <c:strCache>
                <c:ptCount val="1"/>
                <c:pt idx="0">
                  <c:v>Imports</c:v>
                </c:pt>
              </c:strCache>
            </c:strRef>
          </c:tx>
          <c:spPr>
            <a:ln w="28575" cap="rnd">
              <a:solidFill>
                <a:schemeClr val="accent5"/>
              </a:solidFill>
              <a:prstDash val="dash"/>
              <a:round/>
            </a:ln>
            <a:effectLst/>
          </c:spPr>
          <c:marker>
            <c:symbol val="none"/>
          </c:marker>
          <c:cat>
            <c:numRef>
              <c:f>tables!$D$3:$N$3</c:f>
              <c:numCache>
                <c:formatCode>General</c:formatCode>
                <c:ptCount val="11"/>
                <c:pt idx="0">
                  <c:v>2020</c:v>
                </c:pt>
                <c:pt idx="1">
                  <c:v>2021</c:v>
                </c:pt>
                <c:pt idx="2">
                  <c:v>2022</c:v>
                </c:pt>
                <c:pt idx="3">
                  <c:v>2023</c:v>
                </c:pt>
                <c:pt idx="4">
                  <c:v>2024</c:v>
                </c:pt>
                <c:pt idx="5">
                  <c:v>2025</c:v>
                </c:pt>
                <c:pt idx="6">
                  <c:v>2026</c:v>
                </c:pt>
                <c:pt idx="7">
                  <c:v>2027</c:v>
                </c:pt>
                <c:pt idx="8">
                  <c:v>2028</c:v>
                </c:pt>
                <c:pt idx="9">
                  <c:v>2029</c:v>
                </c:pt>
                <c:pt idx="10">
                  <c:v>2030</c:v>
                </c:pt>
              </c:numCache>
            </c:numRef>
          </c:cat>
          <c:val>
            <c:numRef>
              <c:f>tables!$D$79:$N$79</c:f>
              <c:numCache>
                <c:formatCode>0.00</c:formatCode>
                <c:ptCount val="11"/>
                <c:pt idx="0">
                  <c:v>0</c:v>
                </c:pt>
                <c:pt idx="1">
                  <c:v>0.10181900000000001</c:v>
                </c:pt>
                <c:pt idx="2">
                  <c:v>0.362813</c:v>
                </c:pt>
                <c:pt idx="3">
                  <c:v>0.66778400000000004</c:v>
                </c:pt>
                <c:pt idx="4">
                  <c:v>1.0023200000000001</c:v>
                </c:pt>
                <c:pt idx="5">
                  <c:v>1.2451399999999999</c:v>
                </c:pt>
                <c:pt idx="6">
                  <c:v>1.2552000000000001</c:v>
                </c:pt>
                <c:pt idx="7">
                  <c:v>1.2571399999999999</c:v>
                </c:pt>
                <c:pt idx="8">
                  <c:v>1.25678</c:v>
                </c:pt>
                <c:pt idx="9">
                  <c:v>1.25661</c:v>
                </c:pt>
                <c:pt idx="10">
                  <c:v>1.2577499999999999</c:v>
                </c:pt>
              </c:numCache>
            </c:numRef>
          </c:val>
          <c:smooth val="0"/>
          <c:extLst>
            <c:ext xmlns:c16="http://schemas.microsoft.com/office/drawing/2014/chart" uri="{C3380CC4-5D6E-409C-BE32-E72D297353CC}">
              <c16:uniqueId val="{00000004-9777-4A7A-B6AE-496D1D737D98}"/>
            </c:ext>
          </c:extLst>
        </c:ser>
        <c:ser>
          <c:idx val="5"/>
          <c:order val="5"/>
          <c:tx>
            <c:strRef>
              <c:f>tables!$C$80</c:f>
              <c:strCache>
                <c:ptCount val="1"/>
                <c:pt idx="0">
                  <c:v>Public expenditure</c:v>
                </c:pt>
              </c:strCache>
            </c:strRef>
          </c:tx>
          <c:spPr>
            <a:ln w="28575" cap="rnd">
              <a:solidFill>
                <a:schemeClr val="accent6"/>
              </a:solidFill>
              <a:prstDash val="lgDash"/>
              <a:round/>
            </a:ln>
            <a:effectLst/>
          </c:spPr>
          <c:marker>
            <c:symbol val="none"/>
          </c:marker>
          <c:cat>
            <c:numRef>
              <c:f>tables!$D$3:$N$3</c:f>
              <c:numCache>
                <c:formatCode>General</c:formatCode>
                <c:ptCount val="11"/>
                <c:pt idx="0">
                  <c:v>2020</c:v>
                </c:pt>
                <c:pt idx="1">
                  <c:v>2021</c:v>
                </c:pt>
                <c:pt idx="2">
                  <c:v>2022</c:v>
                </c:pt>
                <c:pt idx="3">
                  <c:v>2023</c:v>
                </c:pt>
                <c:pt idx="4">
                  <c:v>2024</c:v>
                </c:pt>
                <c:pt idx="5">
                  <c:v>2025</c:v>
                </c:pt>
                <c:pt idx="6">
                  <c:v>2026</c:v>
                </c:pt>
                <c:pt idx="7">
                  <c:v>2027</c:v>
                </c:pt>
                <c:pt idx="8">
                  <c:v>2028</c:v>
                </c:pt>
                <c:pt idx="9">
                  <c:v>2029</c:v>
                </c:pt>
                <c:pt idx="10">
                  <c:v>2030</c:v>
                </c:pt>
              </c:numCache>
            </c:numRef>
          </c:cat>
          <c:val>
            <c:numRef>
              <c:f>tables!$D$80:$N$80</c:f>
              <c:numCache>
                <c:formatCode>0.00</c:formatCode>
                <c:ptCount val="11"/>
                <c:pt idx="0">
                  <c:v>0</c:v>
                </c:pt>
                <c:pt idx="1">
                  <c:v>0</c:v>
                </c:pt>
                <c:pt idx="2">
                  <c:v>0.59362899999999996</c:v>
                </c:pt>
                <c:pt idx="3">
                  <c:v>1.23427</c:v>
                </c:pt>
                <c:pt idx="4">
                  <c:v>1.9279599999999999</c:v>
                </c:pt>
                <c:pt idx="5">
                  <c:v>2.6832400000000001</c:v>
                </c:pt>
                <c:pt idx="6">
                  <c:v>2.6735000000000002</c:v>
                </c:pt>
                <c:pt idx="7">
                  <c:v>2.6659899999999999</c:v>
                </c:pt>
                <c:pt idx="8">
                  <c:v>2.66012</c:v>
                </c:pt>
                <c:pt idx="9">
                  <c:v>2.6554600000000002</c:v>
                </c:pt>
                <c:pt idx="10">
                  <c:v>2.6517200000000001</c:v>
                </c:pt>
              </c:numCache>
            </c:numRef>
          </c:val>
          <c:smooth val="0"/>
          <c:extLst>
            <c:ext xmlns:c16="http://schemas.microsoft.com/office/drawing/2014/chart" uri="{C3380CC4-5D6E-409C-BE32-E72D297353CC}">
              <c16:uniqueId val="{00000005-9777-4A7A-B6AE-496D1D737D98}"/>
            </c:ext>
          </c:extLst>
        </c:ser>
        <c:dLbls>
          <c:showLegendKey val="0"/>
          <c:showVal val="0"/>
          <c:showCatName val="0"/>
          <c:showSerName val="0"/>
          <c:showPercent val="0"/>
          <c:showBubbleSize val="0"/>
        </c:dLbls>
        <c:smooth val="0"/>
        <c:axId val="475775184"/>
        <c:axId val="488188128"/>
      </c:lineChart>
      <c:catAx>
        <c:axId val="47577518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8188128"/>
        <c:crosses val="autoZero"/>
        <c:auto val="1"/>
        <c:lblAlgn val="ctr"/>
        <c:lblOffset val="100"/>
        <c:noMultiLvlLbl val="0"/>
      </c:catAx>
      <c:valAx>
        <c:axId val="488188128"/>
        <c:scaling>
          <c:orientation val="minMax"/>
        </c:scaling>
        <c:delete val="0"/>
        <c:axPos val="l"/>
        <c:majorGridlines>
          <c:spPr>
            <a:ln w="9525" cap="flat" cmpd="sng" algn="ctr">
              <a:solidFill>
                <a:schemeClr val="tx1">
                  <a:lumMod val="15000"/>
                  <a:lumOff val="85000"/>
                </a:schemeClr>
              </a:solidFill>
              <a:round/>
            </a:ln>
            <a:effectLst/>
          </c:spPr>
        </c:majorGridlines>
        <c:title>
          <c:tx>
            <c:strRef>
              <c:f>tables!$B$3</c:f>
              <c:strCache>
                <c:ptCount val="1"/>
                <c:pt idx="0">
                  <c:v>percentage deviation from BASE</c:v>
                </c:pt>
              </c:strCache>
            </c:strRef>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775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tables!$C$51</c:f>
              <c:strCache>
                <c:ptCount val="1"/>
                <c:pt idx="0">
                  <c:v>Industry output</c:v>
                </c:pt>
              </c:strCache>
            </c:strRef>
          </c:tx>
          <c:spPr>
            <a:solidFill>
              <a:schemeClr val="accent1"/>
            </a:solidFill>
            <a:ln>
              <a:noFill/>
            </a:ln>
            <a:effectLst/>
          </c:spPr>
          <c:invertIfNegative val="0"/>
          <c:cat>
            <c:strRef>
              <c:f>tables!$P$52:$P$71</c:f>
              <c:strCache>
                <c:ptCount val="20"/>
                <c:pt idx="0">
                  <c:v>Agriculture</c:v>
                </c:pt>
                <c:pt idx="1">
                  <c:v>Mining</c:v>
                </c:pt>
                <c:pt idx="2">
                  <c:v>Manufacturing</c:v>
                </c:pt>
                <c:pt idx="3">
                  <c:v>Electricity, Gas, Water</c:v>
                </c:pt>
                <c:pt idx="4">
                  <c:v>Construction</c:v>
                </c:pt>
                <c:pt idx="5">
                  <c:v>Wholesale</c:v>
                </c:pt>
                <c:pt idx="6">
                  <c:v>Retail</c:v>
                </c:pt>
                <c:pt idx="7">
                  <c:v>Accommodation</c:v>
                </c:pt>
                <c:pt idx="8">
                  <c:v>Transport</c:v>
                </c:pt>
                <c:pt idx="9">
                  <c:v>Information, Communication</c:v>
                </c:pt>
                <c:pt idx="10">
                  <c:v>Finance</c:v>
                </c:pt>
                <c:pt idx="11">
                  <c:v>Rental, leasing</c:v>
                </c:pt>
                <c:pt idx="12">
                  <c:v>Professional, scientific, technical services</c:v>
                </c:pt>
                <c:pt idx="13">
                  <c:v>Administration</c:v>
                </c:pt>
                <c:pt idx="14">
                  <c:v>Public administration, safety</c:v>
                </c:pt>
                <c:pt idx="15">
                  <c:v>Education</c:v>
                </c:pt>
                <c:pt idx="16">
                  <c:v>Health care, social assistance</c:v>
                </c:pt>
                <c:pt idx="17">
                  <c:v>Arts, recreation</c:v>
                </c:pt>
                <c:pt idx="18">
                  <c:v>Other services</c:v>
                </c:pt>
                <c:pt idx="19">
                  <c:v>Ownership of dwellings</c:v>
                </c:pt>
              </c:strCache>
            </c:strRef>
          </c:cat>
          <c:val>
            <c:numRef>
              <c:f>tables!$N$52:$N$71</c:f>
              <c:numCache>
                <c:formatCode>0.00</c:formatCode>
                <c:ptCount val="20"/>
                <c:pt idx="0">
                  <c:v>1.52498</c:v>
                </c:pt>
                <c:pt idx="1">
                  <c:v>0.19816700000000001</c:v>
                </c:pt>
                <c:pt idx="2">
                  <c:v>1.7181900000000001</c:v>
                </c:pt>
                <c:pt idx="3">
                  <c:v>1.2663</c:v>
                </c:pt>
                <c:pt idx="4">
                  <c:v>1.4661299999999999</c:v>
                </c:pt>
                <c:pt idx="5">
                  <c:v>1.69547</c:v>
                </c:pt>
                <c:pt idx="6">
                  <c:v>1.36927</c:v>
                </c:pt>
                <c:pt idx="7">
                  <c:v>1.9761</c:v>
                </c:pt>
                <c:pt idx="8">
                  <c:v>1.43693</c:v>
                </c:pt>
                <c:pt idx="9">
                  <c:v>1.75658</c:v>
                </c:pt>
                <c:pt idx="10">
                  <c:v>1.6663600000000001</c:v>
                </c:pt>
                <c:pt idx="11">
                  <c:v>1.6618900000000001</c:v>
                </c:pt>
                <c:pt idx="12">
                  <c:v>1.71865</c:v>
                </c:pt>
                <c:pt idx="13">
                  <c:v>1.73716</c:v>
                </c:pt>
                <c:pt idx="14">
                  <c:v>0.24904599999999999</c:v>
                </c:pt>
                <c:pt idx="15">
                  <c:v>1.6714599999999999</c:v>
                </c:pt>
                <c:pt idx="16">
                  <c:v>6.4920999999999998</c:v>
                </c:pt>
                <c:pt idx="17">
                  <c:v>1.4871399999999999</c:v>
                </c:pt>
                <c:pt idx="18">
                  <c:v>1.6693199999999999</c:v>
                </c:pt>
                <c:pt idx="19">
                  <c:v>0.76612100000000005</c:v>
                </c:pt>
              </c:numCache>
            </c:numRef>
          </c:val>
          <c:extLst>
            <c:ext xmlns:c16="http://schemas.microsoft.com/office/drawing/2014/chart" uri="{C3380CC4-5D6E-409C-BE32-E72D297353CC}">
              <c16:uniqueId val="{00000000-4C52-4D98-BE3E-635BF3EC7475}"/>
            </c:ext>
          </c:extLst>
        </c:ser>
        <c:dLbls>
          <c:showLegendKey val="0"/>
          <c:showVal val="0"/>
          <c:showCatName val="0"/>
          <c:showSerName val="0"/>
          <c:showPercent val="0"/>
          <c:showBubbleSize val="0"/>
        </c:dLbls>
        <c:gapWidth val="219"/>
        <c:overlap val="-27"/>
        <c:axId val="360574920"/>
        <c:axId val="360573608"/>
      </c:barChart>
      <c:lineChart>
        <c:grouping val="standard"/>
        <c:varyColors val="0"/>
        <c:ser>
          <c:idx val="1"/>
          <c:order val="1"/>
          <c:tx>
            <c:strRef>
              <c:f>tables!$O$51</c:f>
              <c:strCache>
                <c:ptCount val="1"/>
                <c:pt idx="0">
                  <c:v>GDP</c:v>
                </c:pt>
              </c:strCache>
            </c:strRef>
          </c:tx>
          <c:spPr>
            <a:ln w="28575" cap="rnd">
              <a:solidFill>
                <a:schemeClr val="accent2"/>
              </a:solidFill>
              <a:prstDash val="sysDash"/>
              <a:round/>
            </a:ln>
            <a:effectLst/>
          </c:spPr>
          <c:marker>
            <c:symbol val="none"/>
          </c:marker>
          <c:cat>
            <c:strRef>
              <c:f>tables!$C$52:$C$71</c:f>
              <c:strCache>
                <c:ptCount val="20"/>
                <c:pt idx="0">
                  <c:v>Agriculture</c:v>
                </c:pt>
                <c:pt idx="1">
                  <c:v>Mining</c:v>
                </c:pt>
                <c:pt idx="2">
                  <c:v>Manufacturing</c:v>
                </c:pt>
                <c:pt idx="3">
                  <c:v>Electricity, Gas, Water</c:v>
                </c:pt>
                <c:pt idx="4">
                  <c:v>Construction</c:v>
                </c:pt>
                <c:pt idx="5">
                  <c:v>Wholesale</c:v>
                </c:pt>
                <c:pt idx="6">
                  <c:v>Retail</c:v>
                </c:pt>
                <c:pt idx="7">
                  <c:v>Accommodation</c:v>
                </c:pt>
                <c:pt idx="8">
                  <c:v>Transport</c:v>
                </c:pt>
                <c:pt idx="9">
                  <c:v>Information, Communication</c:v>
                </c:pt>
                <c:pt idx="10">
                  <c:v>Finance</c:v>
                </c:pt>
                <c:pt idx="11">
                  <c:v>Rental, leasing</c:v>
                </c:pt>
                <c:pt idx="12">
                  <c:v>Professional, scientific, technical services</c:v>
                </c:pt>
                <c:pt idx="13">
                  <c:v>Administration</c:v>
                </c:pt>
                <c:pt idx="14">
                  <c:v>Public administration, safety</c:v>
                </c:pt>
                <c:pt idx="15">
                  <c:v>Education</c:v>
                </c:pt>
                <c:pt idx="16">
                  <c:v>Health care, social assistance</c:v>
                </c:pt>
                <c:pt idx="17">
                  <c:v>Arts, recreation</c:v>
                </c:pt>
                <c:pt idx="18">
                  <c:v>Other services</c:v>
                </c:pt>
                <c:pt idx="19">
                  <c:v>Ownership of dwellings</c:v>
                </c:pt>
              </c:strCache>
            </c:strRef>
          </c:cat>
          <c:val>
            <c:numRef>
              <c:f>tables!$O$52:$O$71</c:f>
              <c:numCache>
                <c:formatCode>0.00</c:formatCode>
                <c:ptCount val="20"/>
                <c:pt idx="0">
                  <c:v>1.6395299999999999</c:v>
                </c:pt>
                <c:pt idx="1">
                  <c:v>1.6395299999999999</c:v>
                </c:pt>
                <c:pt idx="2">
                  <c:v>1.6395299999999999</c:v>
                </c:pt>
                <c:pt idx="3">
                  <c:v>1.6395299999999999</c:v>
                </c:pt>
                <c:pt idx="4">
                  <c:v>1.6395299999999999</c:v>
                </c:pt>
                <c:pt idx="5">
                  <c:v>1.6395299999999999</c:v>
                </c:pt>
                <c:pt idx="6">
                  <c:v>1.6395299999999999</c:v>
                </c:pt>
                <c:pt idx="7">
                  <c:v>1.6395299999999999</c:v>
                </c:pt>
                <c:pt idx="8">
                  <c:v>1.6395299999999999</c:v>
                </c:pt>
                <c:pt idx="9">
                  <c:v>1.6395299999999999</c:v>
                </c:pt>
                <c:pt idx="10">
                  <c:v>1.6395299999999999</c:v>
                </c:pt>
                <c:pt idx="11">
                  <c:v>1.6395299999999999</c:v>
                </c:pt>
                <c:pt idx="12">
                  <c:v>1.6395299999999999</c:v>
                </c:pt>
                <c:pt idx="13">
                  <c:v>1.6395299999999999</c:v>
                </c:pt>
                <c:pt idx="14">
                  <c:v>1.6395299999999999</c:v>
                </c:pt>
                <c:pt idx="15">
                  <c:v>1.6395299999999999</c:v>
                </c:pt>
                <c:pt idx="16">
                  <c:v>1.6395299999999999</c:v>
                </c:pt>
                <c:pt idx="17">
                  <c:v>1.6395299999999999</c:v>
                </c:pt>
                <c:pt idx="18">
                  <c:v>1.6395299999999999</c:v>
                </c:pt>
                <c:pt idx="19">
                  <c:v>1.6395299999999999</c:v>
                </c:pt>
              </c:numCache>
            </c:numRef>
          </c:val>
          <c:smooth val="0"/>
          <c:extLst>
            <c:ext xmlns:c16="http://schemas.microsoft.com/office/drawing/2014/chart" uri="{C3380CC4-5D6E-409C-BE32-E72D297353CC}">
              <c16:uniqueId val="{00000001-4C52-4D98-BE3E-635BF3EC7475}"/>
            </c:ext>
          </c:extLst>
        </c:ser>
        <c:dLbls>
          <c:showLegendKey val="0"/>
          <c:showVal val="0"/>
          <c:showCatName val="0"/>
          <c:showSerName val="0"/>
          <c:showPercent val="0"/>
          <c:showBubbleSize val="0"/>
        </c:dLbls>
        <c:marker val="1"/>
        <c:smooth val="0"/>
        <c:axId val="360574920"/>
        <c:axId val="360573608"/>
      </c:lineChart>
      <c:catAx>
        <c:axId val="360574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0573608"/>
        <c:crosses val="autoZero"/>
        <c:auto val="1"/>
        <c:lblAlgn val="ctr"/>
        <c:lblOffset val="100"/>
        <c:noMultiLvlLbl val="0"/>
      </c:catAx>
      <c:valAx>
        <c:axId val="360573608"/>
        <c:scaling>
          <c:orientation val="minMax"/>
        </c:scaling>
        <c:delete val="0"/>
        <c:axPos val="l"/>
        <c:majorGridlines>
          <c:spPr>
            <a:ln w="9525" cap="flat" cmpd="sng" algn="ctr">
              <a:solidFill>
                <a:schemeClr val="tx1">
                  <a:lumMod val="15000"/>
                  <a:lumOff val="85000"/>
                </a:schemeClr>
              </a:solidFill>
              <a:round/>
            </a:ln>
            <a:effectLst/>
          </c:spPr>
        </c:majorGridlines>
        <c:title>
          <c:tx>
            <c:strRef>
              <c:f>tables!$B$3</c:f>
              <c:strCache>
                <c:ptCount val="1"/>
                <c:pt idx="0">
                  <c:v>percentage deviation from BASE</c:v>
                </c:pt>
              </c:strCache>
            </c:strRef>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0574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tables!$C$100</c:f>
              <c:strCache>
                <c:ptCount val="1"/>
                <c:pt idx="0">
                  <c:v>Net impact on government budget balance ($m)</c:v>
                </c:pt>
              </c:strCache>
            </c:strRef>
          </c:tx>
          <c:spPr>
            <a:solidFill>
              <a:schemeClr val="accent1"/>
            </a:solidFill>
            <a:ln>
              <a:noFill/>
            </a:ln>
            <a:effectLst/>
          </c:spPr>
          <c:invertIfNegative val="0"/>
          <c:cat>
            <c:numRef>
              <c:f>tables!$D$3:$N$3</c:f>
              <c:numCache>
                <c:formatCode>General</c:formatCode>
                <c:ptCount val="11"/>
                <c:pt idx="0">
                  <c:v>2020</c:v>
                </c:pt>
                <c:pt idx="1">
                  <c:v>2021</c:v>
                </c:pt>
                <c:pt idx="2">
                  <c:v>2022</c:v>
                </c:pt>
                <c:pt idx="3">
                  <c:v>2023</c:v>
                </c:pt>
                <c:pt idx="4">
                  <c:v>2024</c:v>
                </c:pt>
                <c:pt idx="5">
                  <c:v>2025</c:v>
                </c:pt>
                <c:pt idx="6">
                  <c:v>2026</c:v>
                </c:pt>
                <c:pt idx="7">
                  <c:v>2027</c:v>
                </c:pt>
                <c:pt idx="8">
                  <c:v>2028</c:v>
                </c:pt>
                <c:pt idx="9">
                  <c:v>2029</c:v>
                </c:pt>
                <c:pt idx="10">
                  <c:v>2030</c:v>
                </c:pt>
              </c:numCache>
            </c:numRef>
          </c:cat>
          <c:val>
            <c:numRef>
              <c:f>tables!$D$97:$N$97</c:f>
              <c:numCache>
                <c:formatCode>0</c:formatCode>
                <c:ptCount val="11"/>
                <c:pt idx="0">
                  <c:v>0</c:v>
                </c:pt>
                <c:pt idx="1">
                  <c:v>-360.29</c:v>
                </c:pt>
                <c:pt idx="2">
                  <c:v>-2227.58</c:v>
                </c:pt>
                <c:pt idx="3">
                  <c:v>-3903.82</c:v>
                </c:pt>
                <c:pt idx="4">
                  <c:v>-5540.04</c:v>
                </c:pt>
                <c:pt idx="5">
                  <c:v>-6826.88</c:v>
                </c:pt>
                <c:pt idx="6">
                  <c:v>-5542.91</c:v>
                </c:pt>
                <c:pt idx="7">
                  <c:v>-4570.2</c:v>
                </c:pt>
                <c:pt idx="8">
                  <c:v>-3836.36</c:v>
                </c:pt>
                <c:pt idx="9">
                  <c:v>-3287.5</c:v>
                </c:pt>
                <c:pt idx="10">
                  <c:v>-2882.35</c:v>
                </c:pt>
              </c:numCache>
            </c:numRef>
          </c:val>
          <c:extLst>
            <c:ext xmlns:c16="http://schemas.microsoft.com/office/drawing/2014/chart" uri="{C3380CC4-5D6E-409C-BE32-E72D297353CC}">
              <c16:uniqueId val="{00000000-749A-41F2-BC32-85B67F798327}"/>
            </c:ext>
          </c:extLst>
        </c:ser>
        <c:ser>
          <c:idx val="1"/>
          <c:order val="1"/>
          <c:tx>
            <c:strRef>
              <c:f>tables!$A$103</c:f>
              <c:strCache>
                <c:ptCount val="1"/>
                <c:pt idx="0">
                  <c:v>Direct budget impact: Additional government expenditure on care services ($m)</c:v>
                </c:pt>
              </c:strCache>
            </c:strRef>
          </c:tx>
          <c:spPr>
            <a:solidFill>
              <a:schemeClr val="accent2"/>
            </a:solidFill>
            <a:ln>
              <a:noFill/>
            </a:ln>
            <a:effectLst/>
          </c:spPr>
          <c:invertIfNegative val="0"/>
          <c:cat>
            <c:numRef>
              <c:f>tables!$D$3:$N$3</c:f>
              <c:numCache>
                <c:formatCode>General</c:formatCode>
                <c:ptCount val="11"/>
                <c:pt idx="0">
                  <c:v>2020</c:v>
                </c:pt>
                <c:pt idx="1">
                  <c:v>2021</c:v>
                </c:pt>
                <c:pt idx="2">
                  <c:v>2022</c:v>
                </c:pt>
                <c:pt idx="3">
                  <c:v>2023</c:v>
                </c:pt>
                <c:pt idx="4">
                  <c:v>2024</c:v>
                </c:pt>
                <c:pt idx="5">
                  <c:v>2025</c:v>
                </c:pt>
                <c:pt idx="6">
                  <c:v>2026</c:v>
                </c:pt>
                <c:pt idx="7">
                  <c:v>2027</c:v>
                </c:pt>
                <c:pt idx="8">
                  <c:v>2028</c:v>
                </c:pt>
                <c:pt idx="9">
                  <c:v>2029</c:v>
                </c:pt>
                <c:pt idx="10">
                  <c:v>2030</c:v>
                </c:pt>
              </c:numCache>
            </c:numRef>
          </c:cat>
          <c:val>
            <c:numRef>
              <c:f>tables!$D$103:$N$103</c:f>
              <c:numCache>
                <c:formatCode>General</c:formatCode>
                <c:ptCount val="11"/>
                <c:pt idx="0">
                  <c:v>0</c:v>
                </c:pt>
                <c:pt idx="1">
                  <c:v>-6.1184690000000002</c:v>
                </c:pt>
                <c:pt idx="2">
                  <c:v>-3342.8198240000002</c:v>
                </c:pt>
                <c:pt idx="3">
                  <c:v>-7145.9770509999998</c:v>
                </c:pt>
                <c:pt idx="4">
                  <c:v>-11479.061523</c:v>
                </c:pt>
                <c:pt idx="5">
                  <c:v>-16432.404297000001</c:v>
                </c:pt>
                <c:pt idx="6">
                  <c:v>-16736.042968999998</c:v>
                </c:pt>
                <c:pt idx="7">
                  <c:v>-17101.548827999999</c:v>
                </c:pt>
                <c:pt idx="8">
                  <c:v>-17518.138672000001</c:v>
                </c:pt>
                <c:pt idx="9">
                  <c:v>-17976.833984000001</c:v>
                </c:pt>
                <c:pt idx="10">
                  <c:v>-18470.349609000001</c:v>
                </c:pt>
              </c:numCache>
            </c:numRef>
          </c:val>
          <c:extLst>
            <c:ext xmlns:c16="http://schemas.microsoft.com/office/drawing/2014/chart" uri="{C3380CC4-5D6E-409C-BE32-E72D297353CC}">
              <c16:uniqueId val="{00000001-749A-41F2-BC32-85B67F798327}"/>
            </c:ext>
          </c:extLst>
        </c:ser>
        <c:dLbls>
          <c:showLegendKey val="0"/>
          <c:showVal val="0"/>
          <c:showCatName val="0"/>
          <c:showSerName val="0"/>
          <c:showPercent val="0"/>
          <c:showBubbleSize val="0"/>
        </c:dLbls>
        <c:gapWidth val="219"/>
        <c:overlap val="-27"/>
        <c:axId val="523916832"/>
        <c:axId val="523914536"/>
      </c:barChart>
      <c:catAx>
        <c:axId val="52391683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3914536"/>
        <c:crosses val="autoZero"/>
        <c:auto val="1"/>
        <c:lblAlgn val="ctr"/>
        <c:lblOffset val="100"/>
        <c:noMultiLvlLbl val="0"/>
      </c:catAx>
      <c:valAx>
        <c:axId val="523914536"/>
        <c:scaling>
          <c:orientation val="minMax"/>
        </c:scaling>
        <c:delete val="0"/>
        <c:axPos val="l"/>
        <c:majorGridlines>
          <c:spPr>
            <a:ln w="9525" cap="flat" cmpd="sng" algn="ctr">
              <a:solidFill>
                <a:schemeClr val="tx1">
                  <a:lumMod val="15000"/>
                  <a:lumOff val="85000"/>
                </a:schemeClr>
              </a:solidFill>
              <a:round/>
            </a:ln>
            <a:effectLst/>
          </c:spPr>
        </c:majorGridlines>
        <c:title>
          <c:tx>
            <c:strRef>
              <c:f>tables!$C$99</c:f>
              <c:strCache>
                <c:ptCount val="1"/>
                <c:pt idx="0">
                  <c:v>Scenario 1 relative to base case ($m)</c:v>
                </c:pt>
              </c:strCache>
            </c:strRef>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3916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tables!$A$77</c:f>
              <c:strCache>
                <c:ptCount val="1"/>
                <c:pt idx="0">
                  <c:v>Investment, Scenario 1</c:v>
                </c:pt>
              </c:strCache>
            </c:strRef>
          </c:tx>
          <c:spPr>
            <a:ln w="28575" cap="rnd">
              <a:solidFill>
                <a:schemeClr val="accent1"/>
              </a:solidFill>
              <a:prstDash val="sysDot"/>
              <a:round/>
            </a:ln>
            <a:effectLst/>
          </c:spPr>
          <c:marker>
            <c:symbol val="none"/>
          </c:marker>
          <c:cat>
            <c:numRef>
              <c:f>tables!$D$3:$O$3</c:f>
              <c:numCache>
                <c:formatCode>General</c:formatCode>
                <c:ptCount val="12"/>
                <c:pt idx="0">
                  <c:v>2020</c:v>
                </c:pt>
                <c:pt idx="1">
                  <c:v>2021</c:v>
                </c:pt>
                <c:pt idx="2">
                  <c:v>2022</c:v>
                </c:pt>
                <c:pt idx="3">
                  <c:v>2023</c:v>
                </c:pt>
                <c:pt idx="4">
                  <c:v>2024</c:v>
                </c:pt>
                <c:pt idx="5">
                  <c:v>2025</c:v>
                </c:pt>
                <c:pt idx="6">
                  <c:v>2026</c:v>
                </c:pt>
                <c:pt idx="7">
                  <c:v>2027</c:v>
                </c:pt>
                <c:pt idx="8">
                  <c:v>2028</c:v>
                </c:pt>
                <c:pt idx="9">
                  <c:v>2029</c:v>
                </c:pt>
                <c:pt idx="10">
                  <c:v>2030</c:v>
                </c:pt>
              </c:numCache>
            </c:numRef>
          </c:cat>
          <c:val>
            <c:numRef>
              <c:f>tables!$D$77:$N$77</c:f>
              <c:numCache>
                <c:formatCode>0.00</c:formatCode>
                <c:ptCount val="11"/>
                <c:pt idx="0">
                  <c:v>0</c:v>
                </c:pt>
                <c:pt idx="1">
                  <c:v>8.0881700000000001E-2</c:v>
                </c:pt>
                <c:pt idx="2">
                  <c:v>0.24646299999999999</c:v>
                </c:pt>
                <c:pt idx="3">
                  <c:v>0.48793399999999998</c:v>
                </c:pt>
                <c:pt idx="4">
                  <c:v>0.79071000000000002</c:v>
                </c:pt>
                <c:pt idx="5">
                  <c:v>1.0410600000000001</c:v>
                </c:pt>
                <c:pt idx="6">
                  <c:v>1.2149000000000001</c:v>
                </c:pt>
                <c:pt idx="7">
                  <c:v>1.3510599999999999</c:v>
                </c:pt>
                <c:pt idx="8">
                  <c:v>1.45719</c:v>
                </c:pt>
                <c:pt idx="9">
                  <c:v>1.5394300000000001</c:v>
                </c:pt>
                <c:pt idx="10">
                  <c:v>1.60293</c:v>
                </c:pt>
              </c:numCache>
            </c:numRef>
          </c:val>
          <c:smooth val="0"/>
          <c:extLst>
            <c:ext xmlns:c16="http://schemas.microsoft.com/office/drawing/2014/chart" uri="{C3380CC4-5D6E-409C-BE32-E72D297353CC}">
              <c16:uniqueId val="{00000000-8092-4032-9D2B-EF71A186891A}"/>
            </c:ext>
          </c:extLst>
        </c:ser>
        <c:ser>
          <c:idx val="1"/>
          <c:order val="1"/>
          <c:tx>
            <c:strRef>
              <c:f>tables!$AB$77</c:f>
              <c:strCache>
                <c:ptCount val="1"/>
                <c:pt idx="0">
                  <c:v>Investment, Scenario 2</c:v>
                </c:pt>
              </c:strCache>
            </c:strRef>
          </c:tx>
          <c:spPr>
            <a:ln w="28575" cap="rnd">
              <a:solidFill>
                <a:schemeClr val="accent1"/>
              </a:solidFill>
              <a:round/>
            </a:ln>
            <a:effectLst/>
          </c:spPr>
          <c:marker>
            <c:symbol val="none"/>
          </c:marker>
          <c:cat>
            <c:numRef>
              <c:f>tables!$D$3:$O$3</c:f>
              <c:numCache>
                <c:formatCode>General</c:formatCode>
                <c:ptCount val="12"/>
                <c:pt idx="0">
                  <c:v>2020</c:v>
                </c:pt>
                <c:pt idx="1">
                  <c:v>2021</c:v>
                </c:pt>
                <c:pt idx="2">
                  <c:v>2022</c:v>
                </c:pt>
                <c:pt idx="3">
                  <c:v>2023</c:v>
                </c:pt>
                <c:pt idx="4">
                  <c:v>2024</c:v>
                </c:pt>
                <c:pt idx="5">
                  <c:v>2025</c:v>
                </c:pt>
                <c:pt idx="6">
                  <c:v>2026</c:v>
                </c:pt>
                <c:pt idx="7">
                  <c:v>2027</c:v>
                </c:pt>
                <c:pt idx="8">
                  <c:v>2028</c:v>
                </c:pt>
                <c:pt idx="9">
                  <c:v>2029</c:v>
                </c:pt>
                <c:pt idx="10">
                  <c:v>2030</c:v>
                </c:pt>
              </c:numCache>
            </c:numRef>
          </c:cat>
          <c:val>
            <c:numRef>
              <c:f>tables!$Q$77:$AA$77</c:f>
              <c:numCache>
                <c:formatCode>0.00</c:formatCode>
                <c:ptCount val="11"/>
                <c:pt idx="0">
                  <c:v>0</c:v>
                </c:pt>
                <c:pt idx="1">
                  <c:v>8.0881700000000001E-2</c:v>
                </c:pt>
                <c:pt idx="2">
                  <c:v>-0.239397</c:v>
                </c:pt>
                <c:pt idx="3">
                  <c:v>-3.492315E-2</c:v>
                </c:pt>
                <c:pt idx="4">
                  <c:v>0.241642</c:v>
                </c:pt>
                <c:pt idx="5">
                  <c:v>0.57286499999999996</c:v>
                </c:pt>
                <c:pt idx="6">
                  <c:v>0.640934</c:v>
                </c:pt>
                <c:pt idx="7">
                  <c:v>0.76397899999999996</c:v>
                </c:pt>
                <c:pt idx="8">
                  <c:v>0.85899999999999999</c:v>
                </c:pt>
                <c:pt idx="9">
                  <c:v>0.93199100000000001</c:v>
                </c:pt>
                <c:pt idx="10">
                  <c:v>0.98773699999999998</c:v>
                </c:pt>
              </c:numCache>
            </c:numRef>
          </c:val>
          <c:smooth val="0"/>
          <c:extLst>
            <c:ext xmlns:c16="http://schemas.microsoft.com/office/drawing/2014/chart" uri="{C3380CC4-5D6E-409C-BE32-E72D297353CC}">
              <c16:uniqueId val="{00000001-8092-4032-9D2B-EF71A186891A}"/>
            </c:ext>
          </c:extLst>
        </c:ser>
        <c:ser>
          <c:idx val="2"/>
          <c:order val="2"/>
          <c:tx>
            <c:strRef>
              <c:f>tables!$A$75</c:f>
              <c:strCache>
                <c:ptCount val="1"/>
                <c:pt idx="0">
                  <c:v>GDP, Scenario 1</c:v>
                </c:pt>
              </c:strCache>
            </c:strRef>
          </c:tx>
          <c:spPr>
            <a:ln w="28575" cap="rnd">
              <a:solidFill>
                <a:schemeClr val="accent2"/>
              </a:solidFill>
              <a:prstDash val="sysDot"/>
              <a:round/>
            </a:ln>
            <a:effectLst/>
          </c:spPr>
          <c:marker>
            <c:symbol val="none"/>
          </c:marker>
          <c:cat>
            <c:numRef>
              <c:f>tables!$D$3:$O$3</c:f>
              <c:numCache>
                <c:formatCode>General</c:formatCode>
                <c:ptCount val="12"/>
                <c:pt idx="0">
                  <c:v>2020</c:v>
                </c:pt>
                <c:pt idx="1">
                  <c:v>2021</c:v>
                </c:pt>
                <c:pt idx="2">
                  <c:v>2022</c:v>
                </c:pt>
                <c:pt idx="3">
                  <c:v>2023</c:v>
                </c:pt>
                <c:pt idx="4">
                  <c:v>2024</c:v>
                </c:pt>
                <c:pt idx="5">
                  <c:v>2025</c:v>
                </c:pt>
                <c:pt idx="6">
                  <c:v>2026</c:v>
                </c:pt>
                <c:pt idx="7">
                  <c:v>2027</c:v>
                </c:pt>
                <c:pt idx="8">
                  <c:v>2028</c:v>
                </c:pt>
                <c:pt idx="9">
                  <c:v>2029</c:v>
                </c:pt>
                <c:pt idx="10">
                  <c:v>2030</c:v>
                </c:pt>
              </c:numCache>
            </c:numRef>
          </c:cat>
          <c:val>
            <c:numRef>
              <c:f>tables!$D$75:$N$75</c:f>
              <c:numCache>
                <c:formatCode>0.00</c:formatCode>
                <c:ptCount val="11"/>
                <c:pt idx="0">
                  <c:v>0</c:v>
                </c:pt>
                <c:pt idx="1">
                  <c:v>1.158064E-2</c:v>
                </c:pt>
                <c:pt idx="2">
                  <c:v>0.19700699999999999</c:v>
                </c:pt>
                <c:pt idx="3">
                  <c:v>0.44564300000000001</c:v>
                </c:pt>
                <c:pt idx="4">
                  <c:v>0.749332</c:v>
                </c:pt>
                <c:pt idx="5">
                  <c:v>1.0879399999999999</c:v>
                </c:pt>
                <c:pt idx="6">
                  <c:v>1.2395799999999999</c:v>
                </c:pt>
                <c:pt idx="7">
                  <c:v>1.3666</c:v>
                </c:pt>
                <c:pt idx="8">
                  <c:v>1.4734</c:v>
                </c:pt>
                <c:pt idx="9">
                  <c:v>1.56342</c:v>
                </c:pt>
                <c:pt idx="10">
                  <c:v>1.6395299999999999</c:v>
                </c:pt>
              </c:numCache>
            </c:numRef>
          </c:val>
          <c:smooth val="0"/>
          <c:extLst>
            <c:ext xmlns:c16="http://schemas.microsoft.com/office/drawing/2014/chart" uri="{C3380CC4-5D6E-409C-BE32-E72D297353CC}">
              <c16:uniqueId val="{00000002-8092-4032-9D2B-EF71A186891A}"/>
            </c:ext>
          </c:extLst>
        </c:ser>
        <c:ser>
          <c:idx val="3"/>
          <c:order val="3"/>
          <c:tx>
            <c:strRef>
              <c:f>tables!$AB$75</c:f>
              <c:strCache>
                <c:ptCount val="1"/>
                <c:pt idx="0">
                  <c:v>GDP, Scenario 2</c:v>
                </c:pt>
              </c:strCache>
            </c:strRef>
          </c:tx>
          <c:spPr>
            <a:ln w="28575" cap="rnd">
              <a:solidFill>
                <a:schemeClr val="accent2"/>
              </a:solidFill>
              <a:round/>
            </a:ln>
            <a:effectLst/>
          </c:spPr>
          <c:marker>
            <c:symbol val="none"/>
          </c:marker>
          <c:cat>
            <c:numRef>
              <c:f>tables!$D$3:$O$3</c:f>
              <c:numCache>
                <c:formatCode>General</c:formatCode>
                <c:ptCount val="12"/>
                <c:pt idx="0">
                  <c:v>2020</c:v>
                </c:pt>
                <c:pt idx="1">
                  <c:v>2021</c:v>
                </c:pt>
                <c:pt idx="2">
                  <c:v>2022</c:v>
                </c:pt>
                <c:pt idx="3">
                  <c:v>2023</c:v>
                </c:pt>
                <c:pt idx="4">
                  <c:v>2024</c:v>
                </c:pt>
                <c:pt idx="5">
                  <c:v>2025</c:v>
                </c:pt>
                <c:pt idx="6">
                  <c:v>2026</c:v>
                </c:pt>
                <c:pt idx="7">
                  <c:v>2027</c:v>
                </c:pt>
                <c:pt idx="8">
                  <c:v>2028</c:v>
                </c:pt>
                <c:pt idx="9">
                  <c:v>2029</c:v>
                </c:pt>
                <c:pt idx="10">
                  <c:v>2030</c:v>
                </c:pt>
              </c:numCache>
            </c:numRef>
          </c:cat>
          <c:val>
            <c:numRef>
              <c:f>tables!$Q$75:$AA$75</c:f>
              <c:numCache>
                <c:formatCode>0.00</c:formatCode>
                <c:ptCount val="11"/>
                <c:pt idx="0">
                  <c:v>0</c:v>
                </c:pt>
                <c:pt idx="1">
                  <c:v>1.158064E-2</c:v>
                </c:pt>
                <c:pt idx="2">
                  <c:v>0.13822000000000001</c:v>
                </c:pt>
                <c:pt idx="3">
                  <c:v>0.37139100000000003</c:v>
                </c:pt>
                <c:pt idx="4">
                  <c:v>0.65849199999999997</c:v>
                </c:pt>
                <c:pt idx="5">
                  <c:v>0.99338599999999999</c:v>
                </c:pt>
                <c:pt idx="6">
                  <c:v>1.11385</c:v>
                </c:pt>
                <c:pt idx="7">
                  <c:v>1.2264600000000001</c:v>
                </c:pt>
                <c:pt idx="8">
                  <c:v>1.31932</c:v>
                </c:pt>
                <c:pt idx="9">
                  <c:v>1.39622</c:v>
                </c:pt>
                <c:pt idx="10">
                  <c:v>1.4601999999999999</c:v>
                </c:pt>
              </c:numCache>
            </c:numRef>
          </c:val>
          <c:smooth val="0"/>
          <c:extLst>
            <c:ext xmlns:c16="http://schemas.microsoft.com/office/drawing/2014/chart" uri="{C3380CC4-5D6E-409C-BE32-E72D297353CC}">
              <c16:uniqueId val="{00000003-8092-4032-9D2B-EF71A186891A}"/>
            </c:ext>
          </c:extLst>
        </c:ser>
        <c:dLbls>
          <c:showLegendKey val="0"/>
          <c:showVal val="0"/>
          <c:showCatName val="0"/>
          <c:showSerName val="0"/>
          <c:showPercent val="0"/>
          <c:showBubbleSize val="0"/>
        </c:dLbls>
        <c:smooth val="0"/>
        <c:axId val="536216624"/>
        <c:axId val="536214000"/>
      </c:lineChart>
      <c:catAx>
        <c:axId val="53621662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6214000"/>
        <c:crosses val="autoZero"/>
        <c:auto val="1"/>
        <c:lblAlgn val="ctr"/>
        <c:lblOffset val="100"/>
        <c:noMultiLvlLbl val="0"/>
      </c:catAx>
      <c:valAx>
        <c:axId val="536214000"/>
        <c:scaling>
          <c:orientation val="minMax"/>
        </c:scaling>
        <c:delete val="0"/>
        <c:axPos val="l"/>
        <c:majorGridlines>
          <c:spPr>
            <a:ln w="9525" cap="flat" cmpd="sng" algn="ctr">
              <a:solidFill>
                <a:schemeClr val="tx1">
                  <a:lumMod val="15000"/>
                  <a:lumOff val="85000"/>
                </a:schemeClr>
              </a:solidFill>
              <a:round/>
            </a:ln>
            <a:effectLst/>
          </c:spPr>
        </c:majorGridlines>
        <c:title>
          <c:tx>
            <c:strRef>
              <c:f>tables!$B$3</c:f>
              <c:strCache>
                <c:ptCount val="1"/>
                <c:pt idx="0">
                  <c:v>percentage deviation from BASE</c:v>
                </c:pt>
              </c:strCache>
            </c:strRef>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6216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tables!$N$51</c:f>
              <c:strCache>
                <c:ptCount val="1"/>
                <c:pt idx="0">
                  <c:v>Industry output, Scenario 1</c:v>
                </c:pt>
              </c:strCache>
            </c:strRef>
          </c:tx>
          <c:spPr>
            <a:pattFill prst="pct50">
              <a:fgClr>
                <a:schemeClr val="accent1"/>
              </a:fgClr>
              <a:bgClr>
                <a:schemeClr val="bg1"/>
              </a:bgClr>
            </a:pattFill>
            <a:ln>
              <a:noFill/>
            </a:ln>
            <a:effectLst/>
          </c:spPr>
          <c:invertIfNegative val="0"/>
          <c:cat>
            <c:strRef>
              <c:f>tables!$P$52:$P$71</c:f>
              <c:strCache>
                <c:ptCount val="20"/>
                <c:pt idx="0">
                  <c:v>Agriculture</c:v>
                </c:pt>
                <c:pt idx="1">
                  <c:v>Mining</c:v>
                </c:pt>
                <c:pt idx="2">
                  <c:v>Manufacturing</c:v>
                </c:pt>
                <c:pt idx="3">
                  <c:v>Electricity, Gas, Water</c:v>
                </c:pt>
                <c:pt idx="4">
                  <c:v>Construction</c:v>
                </c:pt>
                <c:pt idx="5">
                  <c:v>Wholesale</c:v>
                </c:pt>
                <c:pt idx="6">
                  <c:v>Retail</c:v>
                </c:pt>
                <c:pt idx="7">
                  <c:v>Accommodation</c:v>
                </c:pt>
                <c:pt idx="8">
                  <c:v>Transport</c:v>
                </c:pt>
                <c:pt idx="9">
                  <c:v>Information, Communication</c:v>
                </c:pt>
                <c:pt idx="10">
                  <c:v>Finance</c:v>
                </c:pt>
                <c:pt idx="11">
                  <c:v>Rental, leasing</c:v>
                </c:pt>
                <c:pt idx="12">
                  <c:v>Professional, scientific, technical services</c:v>
                </c:pt>
                <c:pt idx="13">
                  <c:v>Administration</c:v>
                </c:pt>
                <c:pt idx="14">
                  <c:v>Public administration, safety</c:v>
                </c:pt>
                <c:pt idx="15">
                  <c:v>Education</c:v>
                </c:pt>
                <c:pt idx="16">
                  <c:v>Health care, social assistance</c:v>
                </c:pt>
                <c:pt idx="17">
                  <c:v>Arts, recreation</c:v>
                </c:pt>
                <c:pt idx="18">
                  <c:v>Other services</c:v>
                </c:pt>
                <c:pt idx="19">
                  <c:v>Ownership of dwellings</c:v>
                </c:pt>
              </c:strCache>
            </c:strRef>
          </c:cat>
          <c:val>
            <c:numRef>
              <c:f>tables!$N$52:$N$71</c:f>
              <c:numCache>
                <c:formatCode>0.00</c:formatCode>
                <c:ptCount val="20"/>
                <c:pt idx="0">
                  <c:v>1.52498</c:v>
                </c:pt>
                <c:pt idx="1">
                  <c:v>0.19816700000000001</c:v>
                </c:pt>
                <c:pt idx="2">
                  <c:v>1.7181900000000001</c:v>
                </c:pt>
                <c:pt idx="3">
                  <c:v>1.2663</c:v>
                </c:pt>
                <c:pt idx="4">
                  <c:v>1.4661299999999999</c:v>
                </c:pt>
                <c:pt idx="5">
                  <c:v>1.69547</c:v>
                </c:pt>
                <c:pt idx="6">
                  <c:v>1.36927</c:v>
                </c:pt>
                <c:pt idx="7">
                  <c:v>1.9761</c:v>
                </c:pt>
                <c:pt idx="8">
                  <c:v>1.43693</c:v>
                </c:pt>
                <c:pt idx="9">
                  <c:v>1.75658</c:v>
                </c:pt>
                <c:pt idx="10">
                  <c:v>1.6663600000000001</c:v>
                </c:pt>
                <c:pt idx="11">
                  <c:v>1.6618900000000001</c:v>
                </c:pt>
                <c:pt idx="12">
                  <c:v>1.71865</c:v>
                </c:pt>
                <c:pt idx="13">
                  <c:v>1.73716</c:v>
                </c:pt>
                <c:pt idx="14">
                  <c:v>0.24904599999999999</c:v>
                </c:pt>
                <c:pt idx="15">
                  <c:v>1.6714599999999999</c:v>
                </c:pt>
                <c:pt idx="16">
                  <c:v>6.4920999999999998</c:v>
                </c:pt>
                <c:pt idx="17">
                  <c:v>1.4871399999999999</c:v>
                </c:pt>
                <c:pt idx="18">
                  <c:v>1.6693199999999999</c:v>
                </c:pt>
                <c:pt idx="19">
                  <c:v>0.76612100000000005</c:v>
                </c:pt>
              </c:numCache>
            </c:numRef>
          </c:val>
          <c:extLst>
            <c:ext xmlns:c16="http://schemas.microsoft.com/office/drawing/2014/chart" uri="{C3380CC4-5D6E-409C-BE32-E72D297353CC}">
              <c16:uniqueId val="{00000000-101D-4367-B29D-17E6937626C1}"/>
            </c:ext>
          </c:extLst>
        </c:ser>
        <c:ser>
          <c:idx val="1"/>
          <c:order val="1"/>
          <c:tx>
            <c:strRef>
              <c:f>tables!$AA$51</c:f>
              <c:strCache>
                <c:ptCount val="1"/>
                <c:pt idx="0">
                  <c:v>Industry output, Scenario 2</c:v>
                </c:pt>
              </c:strCache>
            </c:strRef>
          </c:tx>
          <c:spPr>
            <a:solidFill>
              <a:schemeClr val="accent1"/>
            </a:solidFill>
            <a:ln>
              <a:noFill/>
            </a:ln>
            <a:effectLst/>
          </c:spPr>
          <c:invertIfNegative val="0"/>
          <c:cat>
            <c:strRef>
              <c:f>tables!$P$52:$P$71</c:f>
              <c:strCache>
                <c:ptCount val="20"/>
                <c:pt idx="0">
                  <c:v>Agriculture</c:v>
                </c:pt>
                <c:pt idx="1">
                  <c:v>Mining</c:v>
                </c:pt>
                <c:pt idx="2">
                  <c:v>Manufacturing</c:v>
                </c:pt>
                <c:pt idx="3">
                  <c:v>Electricity, Gas, Water</c:v>
                </c:pt>
                <c:pt idx="4">
                  <c:v>Construction</c:v>
                </c:pt>
                <c:pt idx="5">
                  <c:v>Wholesale</c:v>
                </c:pt>
                <c:pt idx="6">
                  <c:v>Retail</c:v>
                </c:pt>
                <c:pt idx="7">
                  <c:v>Accommodation</c:v>
                </c:pt>
                <c:pt idx="8">
                  <c:v>Transport</c:v>
                </c:pt>
                <c:pt idx="9">
                  <c:v>Information, Communication</c:v>
                </c:pt>
                <c:pt idx="10">
                  <c:v>Finance</c:v>
                </c:pt>
                <c:pt idx="11">
                  <c:v>Rental, leasing</c:v>
                </c:pt>
                <c:pt idx="12">
                  <c:v>Professional, scientific, technical services</c:v>
                </c:pt>
                <c:pt idx="13">
                  <c:v>Administration</c:v>
                </c:pt>
                <c:pt idx="14">
                  <c:v>Public administration, safety</c:v>
                </c:pt>
                <c:pt idx="15">
                  <c:v>Education</c:v>
                </c:pt>
                <c:pt idx="16">
                  <c:v>Health care, social assistance</c:v>
                </c:pt>
                <c:pt idx="17">
                  <c:v>Arts, recreation</c:v>
                </c:pt>
                <c:pt idx="18">
                  <c:v>Other services</c:v>
                </c:pt>
                <c:pt idx="19">
                  <c:v>Ownership of dwellings</c:v>
                </c:pt>
              </c:strCache>
            </c:strRef>
          </c:cat>
          <c:val>
            <c:numRef>
              <c:f>tables!$AA$52:$AA$71</c:f>
              <c:numCache>
                <c:formatCode>0.00</c:formatCode>
                <c:ptCount val="20"/>
                <c:pt idx="0">
                  <c:v>1.5437399999999999</c:v>
                </c:pt>
                <c:pt idx="1">
                  <c:v>0.174375</c:v>
                </c:pt>
                <c:pt idx="2">
                  <c:v>1.66137</c:v>
                </c:pt>
                <c:pt idx="3">
                  <c:v>1.0643</c:v>
                </c:pt>
                <c:pt idx="4">
                  <c:v>0.966059</c:v>
                </c:pt>
                <c:pt idx="5">
                  <c:v>1.5051099999999999</c:v>
                </c:pt>
                <c:pt idx="6">
                  <c:v>1.2478800000000001</c:v>
                </c:pt>
                <c:pt idx="7">
                  <c:v>1.9602200000000001</c:v>
                </c:pt>
                <c:pt idx="8">
                  <c:v>1.39429</c:v>
                </c:pt>
                <c:pt idx="9">
                  <c:v>1.6555500000000001</c:v>
                </c:pt>
                <c:pt idx="10">
                  <c:v>1.5006900000000001</c:v>
                </c:pt>
                <c:pt idx="11">
                  <c:v>1.46817</c:v>
                </c:pt>
                <c:pt idx="12">
                  <c:v>1.4798500000000001</c:v>
                </c:pt>
                <c:pt idx="13">
                  <c:v>1.61402</c:v>
                </c:pt>
                <c:pt idx="14">
                  <c:v>0.23208000000000001</c:v>
                </c:pt>
                <c:pt idx="15">
                  <c:v>1.81975</c:v>
                </c:pt>
                <c:pt idx="16">
                  <c:v>6.4807899999999998</c:v>
                </c:pt>
                <c:pt idx="17">
                  <c:v>1.4253400000000001</c:v>
                </c:pt>
                <c:pt idx="18">
                  <c:v>1.55657</c:v>
                </c:pt>
                <c:pt idx="19">
                  <c:v>0.46622799999999998</c:v>
                </c:pt>
              </c:numCache>
            </c:numRef>
          </c:val>
          <c:extLst>
            <c:ext xmlns:c16="http://schemas.microsoft.com/office/drawing/2014/chart" uri="{C3380CC4-5D6E-409C-BE32-E72D297353CC}">
              <c16:uniqueId val="{00000001-101D-4367-B29D-17E6937626C1}"/>
            </c:ext>
          </c:extLst>
        </c:ser>
        <c:dLbls>
          <c:showLegendKey val="0"/>
          <c:showVal val="0"/>
          <c:showCatName val="0"/>
          <c:showSerName val="0"/>
          <c:showPercent val="0"/>
          <c:showBubbleSize val="0"/>
        </c:dLbls>
        <c:gapWidth val="219"/>
        <c:overlap val="-27"/>
        <c:axId val="360574920"/>
        <c:axId val="360573608"/>
      </c:barChart>
      <c:catAx>
        <c:axId val="360574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0573608"/>
        <c:crosses val="autoZero"/>
        <c:auto val="1"/>
        <c:lblAlgn val="ctr"/>
        <c:lblOffset val="100"/>
        <c:noMultiLvlLbl val="0"/>
      </c:catAx>
      <c:valAx>
        <c:axId val="360573608"/>
        <c:scaling>
          <c:orientation val="minMax"/>
        </c:scaling>
        <c:delete val="0"/>
        <c:axPos val="l"/>
        <c:majorGridlines>
          <c:spPr>
            <a:ln w="9525" cap="flat" cmpd="sng" algn="ctr">
              <a:solidFill>
                <a:schemeClr val="tx1">
                  <a:lumMod val="15000"/>
                  <a:lumOff val="85000"/>
                </a:schemeClr>
              </a:solidFill>
              <a:round/>
            </a:ln>
            <a:effectLst/>
          </c:spPr>
        </c:majorGridlines>
        <c:title>
          <c:tx>
            <c:strRef>
              <c:f>tables!$B$3</c:f>
              <c:strCache>
                <c:ptCount val="1"/>
                <c:pt idx="0">
                  <c:v>percentage deviation from BASE</c:v>
                </c:pt>
              </c:strCache>
            </c:strRef>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0574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tables!$C$98</c:f>
              <c:strCache>
                <c:ptCount val="1"/>
                <c:pt idx="0">
                  <c:v>Government budget balance, Scenario 1</c:v>
                </c:pt>
              </c:strCache>
            </c:strRef>
          </c:tx>
          <c:spPr>
            <a:pattFill prst="pct50">
              <a:fgClr>
                <a:schemeClr val="accent1"/>
              </a:fgClr>
              <a:bgClr>
                <a:schemeClr val="bg1"/>
              </a:bgClr>
            </a:pattFill>
            <a:ln>
              <a:noFill/>
            </a:ln>
            <a:effectLst/>
          </c:spPr>
          <c:invertIfNegative val="0"/>
          <c:cat>
            <c:numRef>
              <c:f>tables!$D$3:$N$3</c:f>
              <c:numCache>
                <c:formatCode>General</c:formatCode>
                <c:ptCount val="11"/>
                <c:pt idx="0">
                  <c:v>2020</c:v>
                </c:pt>
                <c:pt idx="1">
                  <c:v>2021</c:v>
                </c:pt>
                <c:pt idx="2">
                  <c:v>2022</c:v>
                </c:pt>
                <c:pt idx="3">
                  <c:v>2023</c:v>
                </c:pt>
                <c:pt idx="4">
                  <c:v>2024</c:v>
                </c:pt>
                <c:pt idx="5">
                  <c:v>2025</c:v>
                </c:pt>
                <c:pt idx="6">
                  <c:v>2026</c:v>
                </c:pt>
                <c:pt idx="7">
                  <c:v>2027</c:v>
                </c:pt>
                <c:pt idx="8">
                  <c:v>2028</c:v>
                </c:pt>
                <c:pt idx="9">
                  <c:v>2029</c:v>
                </c:pt>
                <c:pt idx="10">
                  <c:v>2030</c:v>
                </c:pt>
              </c:numCache>
            </c:numRef>
          </c:cat>
          <c:val>
            <c:numRef>
              <c:f>tables!$D$97:$N$97</c:f>
              <c:numCache>
                <c:formatCode>0</c:formatCode>
                <c:ptCount val="11"/>
                <c:pt idx="0">
                  <c:v>0</c:v>
                </c:pt>
                <c:pt idx="1">
                  <c:v>-360.29</c:v>
                </c:pt>
                <c:pt idx="2">
                  <c:v>-2227.58</c:v>
                </c:pt>
                <c:pt idx="3">
                  <c:v>-3903.82</c:v>
                </c:pt>
                <c:pt idx="4">
                  <c:v>-5540.04</c:v>
                </c:pt>
                <c:pt idx="5">
                  <c:v>-6826.88</c:v>
                </c:pt>
                <c:pt idx="6">
                  <c:v>-5542.91</c:v>
                </c:pt>
                <c:pt idx="7">
                  <c:v>-4570.2</c:v>
                </c:pt>
                <c:pt idx="8">
                  <c:v>-3836.36</c:v>
                </c:pt>
                <c:pt idx="9">
                  <c:v>-3287.5</c:v>
                </c:pt>
                <c:pt idx="10">
                  <c:v>-2882.35</c:v>
                </c:pt>
              </c:numCache>
            </c:numRef>
          </c:val>
          <c:extLst>
            <c:ext xmlns:c16="http://schemas.microsoft.com/office/drawing/2014/chart" uri="{C3380CC4-5D6E-409C-BE32-E72D297353CC}">
              <c16:uniqueId val="{00000000-8C37-45CF-BEFE-79CA68F3A5CA}"/>
            </c:ext>
          </c:extLst>
        </c:ser>
        <c:ser>
          <c:idx val="1"/>
          <c:order val="1"/>
          <c:tx>
            <c:strRef>
              <c:f>tables!$P$98</c:f>
              <c:strCache>
                <c:ptCount val="1"/>
                <c:pt idx="0">
                  <c:v>Government budget balance, Scenario 2</c:v>
                </c:pt>
              </c:strCache>
            </c:strRef>
          </c:tx>
          <c:spPr>
            <a:solidFill>
              <a:schemeClr val="accent1"/>
            </a:solidFill>
            <a:ln>
              <a:noFill/>
            </a:ln>
            <a:effectLst/>
          </c:spPr>
          <c:invertIfNegative val="0"/>
          <c:val>
            <c:numRef>
              <c:f>tables!$Q$97:$AA$97</c:f>
              <c:numCache>
                <c:formatCode>0</c:formatCode>
                <c:ptCount val="11"/>
                <c:pt idx="0">
                  <c:v>0</c:v>
                </c:pt>
                <c:pt idx="1">
                  <c:v>-360.29</c:v>
                </c:pt>
                <c:pt idx="2">
                  <c:v>1667.12</c:v>
                </c:pt>
                <c:pt idx="3">
                  <c:v>185.89</c:v>
                </c:pt>
                <c:pt idx="4">
                  <c:v>-1317.86</c:v>
                </c:pt>
                <c:pt idx="5">
                  <c:v>-2963.12</c:v>
                </c:pt>
                <c:pt idx="6">
                  <c:v>-1203.9000000000001</c:v>
                </c:pt>
                <c:pt idx="7">
                  <c:v>-164.59</c:v>
                </c:pt>
                <c:pt idx="8">
                  <c:v>622.34</c:v>
                </c:pt>
                <c:pt idx="9">
                  <c:v>1218.47</c:v>
                </c:pt>
                <c:pt idx="10">
                  <c:v>1669.91</c:v>
                </c:pt>
              </c:numCache>
            </c:numRef>
          </c:val>
          <c:extLst>
            <c:ext xmlns:c16="http://schemas.microsoft.com/office/drawing/2014/chart" uri="{C3380CC4-5D6E-409C-BE32-E72D297353CC}">
              <c16:uniqueId val="{00000001-8C37-45CF-BEFE-79CA68F3A5CA}"/>
            </c:ext>
          </c:extLst>
        </c:ser>
        <c:dLbls>
          <c:showLegendKey val="0"/>
          <c:showVal val="0"/>
          <c:showCatName val="0"/>
          <c:showSerName val="0"/>
          <c:showPercent val="0"/>
          <c:showBubbleSize val="0"/>
        </c:dLbls>
        <c:gapWidth val="219"/>
        <c:overlap val="-27"/>
        <c:axId val="523916832"/>
        <c:axId val="523914536"/>
      </c:barChart>
      <c:catAx>
        <c:axId val="52391683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3914536"/>
        <c:crosses val="autoZero"/>
        <c:auto val="1"/>
        <c:lblAlgn val="ctr"/>
        <c:lblOffset val="100"/>
        <c:noMultiLvlLbl val="0"/>
      </c:catAx>
      <c:valAx>
        <c:axId val="523914536"/>
        <c:scaling>
          <c:orientation val="minMax"/>
        </c:scaling>
        <c:delete val="0"/>
        <c:axPos val="l"/>
        <c:majorGridlines>
          <c:spPr>
            <a:ln w="9525" cap="flat" cmpd="sng" algn="ctr">
              <a:solidFill>
                <a:schemeClr val="tx1">
                  <a:lumMod val="15000"/>
                  <a:lumOff val="85000"/>
                </a:schemeClr>
              </a:solidFill>
              <a:round/>
            </a:ln>
            <a:effectLst/>
          </c:spPr>
        </c:majorGridlines>
        <c:title>
          <c:tx>
            <c:strRef>
              <c:f>tables!$C$99</c:f>
              <c:strCache>
                <c:ptCount val="1"/>
                <c:pt idx="0">
                  <c:v>Scenario 1 relative to base case ($m)</c:v>
                </c:pt>
              </c:strCache>
            </c:strRef>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3916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N/A</RoutingTargetPath>
    <IconOverlay xmlns="http://schemas.microsoft.com/sharepoint/v4" xsi:nil="true"/>
    <RoutingTargetFolder xmlns="http://schemas.microsoft.com/sharepoint/v3">N/A</RoutingTargetFolder>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2021FG-108-10131</_dlc_DocId>
    <_dlc_DocIdUrl xmlns="0f563589-9cf9-4143-b1eb-fb0534803d38">
      <Url>http://tweb/sites/fg/bpd/_layouts/15/DocIdRedir.aspx?ID=2021FG-108-10131</Url>
      <Description>2021FG-108-10131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b:Source>
    <b:Tag>Hor18</b:Tag>
    <b:SourceType>JournalArticle</b:SourceType>
    <b:Guid>{14786FDE-AA72-4DF0-99E3-A20092F06956}</b:Guid>
    <b:Title>GEMPACK manual, GEMPACK Software</b:Title>
    <b:JournalName>Centre of Policy Studies, Victoria University, Melbourne</b:JournalName>
    <b:Year>2018</b:Year>
    <b:Pages>ISBN 978-1-921654-34-3</b:Pages>
    <b:Author>
      <b:Author>
        <b:NameList>
          <b:Person>
            <b:Last>Horridge</b:Last>
            <b:Middle>M.</b:Middle>
            <b:First>J.</b:First>
          </b:Person>
          <b:Person>
            <b:Last>Jerie</b:Last>
            <b:First>M.</b:First>
          </b:Person>
          <b:Person>
            <b:Last>Mustakinov</b:Last>
            <b:First>D.</b:First>
          </b:Person>
          <b:Person>
            <b:Last>Schiffmann</b:Last>
            <b:First>F.</b:First>
          </b:Person>
        </b:NameList>
      </b:Author>
    </b:Author>
    <b:RefOrder>1</b:RefOrder>
  </b:Source>
  <b:Source>
    <b:Tag>Dix02</b:Tag>
    <b:SourceType>Book</b:SourceType>
    <b:Guid>{F400486F-06E5-44B3-B497-60B512BAFB47}</b:Guid>
    <b:Title>Dynamic General Equilibrium Modelling for Forecasting and Policy: A Practical Guide and Documentation of MONASH</b:Title>
    <b:Year>2002</b:Year>
    <b:Publisher>North Holland Publishing Company</b:Publisher>
    <b:Author>
      <b:Author>
        <b:NameList>
          <b:Person>
            <b:Last>Dixon</b:Last>
            <b:Middle>B.</b:Middle>
            <b:First>P.</b:First>
          </b:Person>
          <b:Person>
            <b:Last>Rimmer</b:Last>
            <b:Middle>T.</b:Middle>
            <b:First>M.</b:First>
          </b:Person>
        </b:NameList>
      </b:Author>
    </b:Author>
    <b:RefOrder>2</b:RefOrder>
  </b:Source>
  <b:Source>
    <b:Tag>Ada15</b:Tag>
    <b:SourceType>JournalArticle</b:SourceType>
    <b:Guid>{E104905B-F6B2-4C37-B203-9E1F88248D3D}</b:Guid>
    <b:Title>The Victoria University Regional Model (VURM): Technical Documentation, Version 1.0 </b:Title>
    <b:Year>2015</b:Year>
    <b:JournalName>Centre of Policy Studies Working Paper G-254</b:JournalName>
    <b:Author>
      <b:Author>
        <b:NameList>
          <b:Person>
            <b:Last>Adams</b:Last>
            <b:First>Philip</b:First>
          </b:Person>
          <b:Person>
            <b:Last>Dixon</b:Last>
            <b:Middle>M.</b:Middle>
            <b:First>Janine</b:First>
          </b:Person>
          <b:Person>
            <b:Last>Horridge</b:Last>
            <b:Middle>Mark</b:Middle>
            <b:First>J.</b:First>
          </b:Person>
        </b:NameList>
      </b:Author>
    </b:Author>
    <b:RefOrder>3</b:RefOrder>
  </b:Source>
  <b:Source>
    <b:Tag>Dix201</b:Tag>
    <b:SourceType>Report</b:SourceType>
    <b:Guid>{41C7D321-D7E7-4CAD-AEDB-89D3BDD76042}</b:Guid>
    <b:Title>Evaluating gender impacts in employment: A CGE framework for policy makers</b:Title>
    <b:Year>2020</b:Year>
    <b:Publisher>available from authors</b:Publisher>
    <b:Author>
      <b:Author>
        <b:NameList>
          <b:Person>
            <b:Last>Dixon</b:Last>
            <b:Middle>M.</b:Middle>
            <b:First>J.</b:First>
          </b:Person>
          <b:Person>
            <b:Last>Nassios</b:Last>
            <b:First>J.</b:First>
          </b:Person>
        </b:NameList>
      </b:Author>
    </b:Author>
    <b:RefOrder>4</b:RefOrder>
  </b:Source>
  <b:Source>
    <b:Tag>ABS201</b:Tag>
    <b:SourceType>Report</b:SourceType>
    <b:Guid>{ED856613-1DC3-41EE-A767-9E2951522B39}</b:Guid>
    <b:Author>
      <b:Author>
        <b:Corporate>ABS</b:Corporate>
      </b:Author>
    </b:Author>
    <b:Title>Barriers and Incentives to Labour Force Participation, Australia, 2018-2019, Cat. No. 6239.0 </b:Title>
    <b:Year>2020</b:Year>
    <b:Publisher>Australian Bureau of Statistics</b:Publisher>
    <b:RefOrder>5</b:RefOrder>
  </b:Source>
  <b:Source>
    <b:Tag>Del20</b:Tag>
    <b:SourceType>Report</b:SourceType>
    <b:Guid>{AFDA8F27-E58A-4583-BB94-46BE21492876}</b:Guid>
    <b:Author>
      <b:Author>
        <b:Corporate>Deloitte Access Economics</b:Corporate>
      </b:Author>
    </b:Author>
    <b:Title>The value of informal care in 2020</b:Title>
    <b:Year>2020</b:Year>
    <b:RefOrder>6</b:RefOrder>
  </b:Source>
  <b:Source>
    <b:Tag>KPM20</b:Tag>
    <b:SourceType>Report</b:SourceType>
    <b:Guid>{5D74BAF2-4C06-4A62-BCEC-43A2140FA29F}</b:Guid>
    <b:Author>
      <b:Author>
        <b:Corporate>KPMG</b:Corporate>
      </b:Author>
    </b:Author>
    <b:Title>The child care subsidy: Options for increasing support for caregivers who want to work</b:Title>
    <b:Year>2020</b:Year>
    <b:Publisher>https://assets.kpmg/content/dam/kpmg/au/pdf/2020/kpmg-child-care-subsidy-report.pdf</b:Publisher>
    <b:RefOrder>7</b:RefOrder>
  </b:Source>
</b:Sources>
</file>

<file path=customXml/item6.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7.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2C14B-A9A3-4827-9EE0-D91EDD64D334}">
  <ds:schemaRef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0f563589-9cf9-4143-b1eb-fb0534803d38"/>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5BC9D2E-ADDC-44AA-8A78-6E8412D2E8DE}">
  <ds:schemaRefs>
    <ds:schemaRef ds:uri="http://schemas.microsoft.com/sharepoint/v3/contenttype/forms"/>
  </ds:schemaRefs>
</ds:datastoreItem>
</file>

<file path=customXml/itemProps3.xml><?xml version="1.0" encoding="utf-8"?>
<ds:datastoreItem xmlns:ds="http://schemas.openxmlformats.org/officeDocument/2006/customXml" ds:itemID="{874FA047-AF93-416C-9D49-47EF1A588EE6}">
  <ds:schemaRefs>
    <ds:schemaRef ds:uri="office.server.policy"/>
  </ds:schemaRefs>
</ds:datastoreItem>
</file>

<file path=customXml/itemProps4.xml><?xml version="1.0" encoding="utf-8"?>
<ds:datastoreItem xmlns:ds="http://schemas.openxmlformats.org/officeDocument/2006/customXml" ds:itemID="{79856DD9-91AB-4F30-9418-D12B66B10A31}">
  <ds:schemaRefs>
    <ds:schemaRef ds:uri="http://schemas.microsoft.com/sharepoint/events"/>
  </ds:schemaRefs>
</ds:datastoreItem>
</file>

<file path=customXml/itemProps5.xml><?xml version="1.0" encoding="utf-8"?>
<ds:datastoreItem xmlns:ds="http://schemas.openxmlformats.org/officeDocument/2006/customXml" ds:itemID="{08B914E3-38AD-44F6-AAA5-8F0561D4029D}">
  <ds:schemaRefs>
    <ds:schemaRef ds:uri="http://schemas.openxmlformats.org/officeDocument/2006/bibliography"/>
  </ds:schemaRefs>
</ds:datastoreItem>
</file>

<file path=customXml/itemProps6.xml><?xml version="1.0" encoding="utf-8"?>
<ds:datastoreItem xmlns:ds="http://schemas.openxmlformats.org/officeDocument/2006/customXml" ds:itemID="{384D06DA-8682-45CD-8B17-75FAA01278E0}">
  <ds:schemaRefs>
    <ds:schemaRef ds:uri="Microsoft.SharePoint.Taxonomy.ContentTypeSync"/>
  </ds:schemaRefs>
</ds:datastoreItem>
</file>

<file path=customXml/itemProps7.xml><?xml version="1.0" encoding="utf-8"?>
<ds:datastoreItem xmlns:ds="http://schemas.openxmlformats.org/officeDocument/2006/customXml" ds:itemID="{BC1AEB5D-2126-4578-81C5-5D5FFE601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5576</Words>
  <Characters>29815</Characters>
  <Application>Microsoft Office Word</Application>
  <DocSecurity>0</DocSecurity>
  <Lines>1743</Lines>
  <Paragraphs>1130</Paragraphs>
  <ScaleCrop>false</ScaleCrop>
  <Company/>
  <LinksUpToDate>false</LinksUpToDate>
  <CharactersWithSpaces>34321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Foundation for Australian Women - 2021-22 Pre-Budget Submissions</dc:title>
  <dc:creator/>
  <cp:lastModifiedBy/>
  <cp:revision>1</cp:revision>
  <dcterms:created xsi:type="dcterms:W3CDTF">2021-05-06T00:45:00Z</dcterms:created>
  <dcterms:modified xsi:type="dcterms:W3CDTF">2021-05-06T00:45:00Z</dcterms:modified>
  <dc:language>English</dc:language>
</cp:coreProperties>
</file>