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C9FA7" w14:textId="7D6CF3C8" w:rsidR="00E918D1" w:rsidRDefault="00E918D1" w:rsidP="004A527E">
      <w:pPr>
        <w:pStyle w:val="Title"/>
      </w:pPr>
      <w:r>
        <w:t>MSD 202</w:t>
      </w:r>
      <w:r w:rsidR="006E7560">
        <w:t>1</w:t>
      </w:r>
      <w:r>
        <w:t>-202</w:t>
      </w:r>
      <w:r w:rsidR="006E7560">
        <w:t>2</w:t>
      </w:r>
      <w:r>
        <w:t xml:space="preserve"> Budget Submission</w:t>
      </w:r>
      <w:r w:rsidR="00033DDD">
        <w:t xml:space="preserve"> </w:t>
      </w:r>
    </w:p>
    <w:p w14:paraId="1C734F23" w14:textId="57D132F8" w:rsidR="00E918D1" w:rsidRDefault="00E918D1">
      <w:r>
        <w:t>M</w:t>
      </w:r>
      <w:r w:rsidR="004A527E">
        <w:t xml:space="preserve">erck </w:t>
      </w:r>
      <w:r>
        <w:t>S</w:t>
      </w:r>
      <w:r w:rsidR="004A527E">
        <w:t xml:space="preserve">harp &amp; </w:t>
      </w:r>
      <w:r>
        <w:t>D</w:t>
      </w:r>
      <w:r w:rsidR="004A527E">
        <w:t>ohme</w:t>
      </w:r>
      <w:r>
        <w:t xml:space="preserve"> </w:t>
      </w:r>
      <w:r w:rsidR="004A527E">
        <w:t>(</w:t>
      </w:r>
      <w:r>
        <w:t>Australia</w:t>
      </w:r>
      <w:r w:rsidR="004A527E">
        <w:t xml:space="preserve">) Pty Ltd, </w:t>
      </w:r>
      <w:r>
        <w:t>December 20</w:t>
      </w:r>
      <w:r w:rsidR="0091789E">
        <w:t>20</w:t>
      </w:r>
    </w:p>
    <w:p w14:paraId="4D7AD620" w14:textId="6ACF192F" w:rsidR="006D3D31" w:rsidRDefault="006D3D31" w:rsidP="006D3D31">
      <w:pPr>
        <w:pStyle w:val="Heading1"/>
      </w:pPr>
      <w:r>
        <w:t>SUMMARY</w:t>
      </w:r>
    </w:p>
    <w:p w14:paraId="7C7573CC" w14:textId="52776DDF" w:rsidR="006D3D31" w:rsidRDefault="006D3D31" w:rsidP="00447099">
      <w:pPr>
        <w:jc w:val="both"/>
      </w:pPr>
      <w:r>
        <w:t>MSD is passionate about improving the health of Australians</w:t>
      </w:r>
      <w:r w:rsidR="00FD6315">
        <w:t xml:space="preserve">, and has a long history of working with the Government to ensure that Australians have access to the latest innovations in medicines and vaccines. </w:t>
      </w:r>
    </w:p>
    <w:p w14:paraId="6B66DCA2" w14:textId="77777777" w:rsidR="00B12A47" w:rsidRDefault="008D41D5" w:rsidP="000D4B2F">
      <w:pPr>
        <w:jc w:val="both"/>
      </w:pPr>
      <w:r>
        <w:t>The World Health Organisation has described antimicrobial resistance (AMR) as one of the key global health issues facing our generation. If no action is taken, it has been estimated</w:t>
      </w:r>
      <w:r w:rsidRPr="001827BF">
        <w:rPr>
          <w:rStyle w:val="FootnoteReference"/>
          <w:rFonts w:cstheme="minorHAnsi"/>
          <w:color w:val="000000" w:themeColor="text1"/>
        </w:rPr>
        <w:footnoteReference w:id="1"/>
      </w:r>
      <w:r w:rsidRPr="004C07FA">
        <w:rPr>
          <w:rFonts w:cstheme="minorHAnsi"/>
          <w:color w:val="000000" w:themeColor="text1"/>
        </w:rPr>
        <w:t xml:space="preserve"> that</w:t>
      </w:r>
      <w:r>
        <w:rPr>
          <w:rFonts w:cstheme="minorHAnsi"/>
          <w:color w:val="000000" w:themeColor="text1"/>
        </w:rPr>
        <w:t xml:space="preserve"> </w:t>
      </w:r>
      <w:r w:rsidR="007C3516">
        <w:rPr>
          <w:rFonts w:cstheme="minorHAnsi"/>
          <w:color w:val="000000" w:themeColor="text1"/>
        </w:rPr>
        <w:t xml:space="preserve">by 2050, </w:t>
      </w:r>
      <w:r w:rsidRPr="004C07FA">
        <w:rPr>
          <w:rFonts w:cstheme="minorHAnsi"/>
          <w:color w:val="000000" w:themeColor="text1"/>
        </w:rPr>
        <w:t xml:space="preserve">10 million </w:t>
      </w:r>
      <w:r w:rsidR="007C3516">
        <w:rPr>
          <w:rFonts w:cstheme="minorHAnsi"/>
          <w:color w:val="000000" w:themeColor="text1"/>
        </w:rPr>
        <w:t>people could die every year</w:t>
      </w:r>
      <w:r w:rsidRPr="004C07FA">
        <w:rPr>
          <w:rFonts w:cstheme="minorHAnsi"/>
          <w:color w:val="000000" w:themeColor="text1"/>
        </w:rPr>
        <w:t xml:space="preserve"> as a result of AMR, exceeding the number of deaths caused by cancer (8.2 million). </w:t>
      </w:r>
      <w:r w:rsidR="000D4B2F">
        <w:t>The COVID-19 pandemic has highlighted the critical importance of health security, and of investing in pandemic preparedness. AMR is described by many organisations as a silent pandemic that is happening now.</w:t>
      </w:r>
      <w:r w:rsidR="00091C45">
        <w:t xml:space="preserve"> </w:t>
      </w:r>
    </w:p>
    <w:p w14:paraId="5B3B861F" w14:textId="11594D71" w:rsidR="008D41D5" w:rsidRDefault="00091C45" w:rsidP="00B12A47">
      <w:pPr>
        <w:jc w:val="both"/>
      </w:pPr>
      <w:r>
        <w:t xml:space="preserve">Australian Government’s national leadership on this issue is evidenced by a $22.5 million commitment to address priorities identified in </w:t>
      </w:r>
      <w:r>
        <w:rPr>
          <w:i/>
          <w:iCs/>
        </w:rPr>
        <w:t>Australia’s National Antimicrobial Resistance Strategy – 2020 &amp; Beyond</w:t>
      </w:r>
      <w:r>
        <w:t>, as well as the appointment of Minister for the Environment Sussan Ley to the first One Health Global Leaders Group on Antimicrobial Resistance.</w:t>
      </w:r>
      <w:r w:rsidR="00B12A47">
        <w:t xml:space="preserve"> MSD welcomes these developments, </w:t>
      </w:r>
      <w:r w:rsidR="00B03535">
        <w:t>and</w:t>
      </w:r>
      <w:r w:rsidR="00B12A47">
        <w:t xml:space="preserve"> notes that additional funding will be required to ensure that Australians have continued access to novel </w:t>
      </w:r>
      <w:r w:rsidR="005B436C">
        <w:t>antimicrobials</w:t>
      </w:r>
      <w:r w:rsidR="00B12A47">
        <w:t xml:space="preserve">. We </w:t>
      </w:r>
      <w:r w:rsidR="0071695A">
        <w:t>are</w:t>
      </w:r>
      <w:r w:rsidR="00B12A47">
        <w:t xml:space="preserve"> therefore propos</w:t>
      </w:r>
      <w:r w:rsidR="0071695A">
        <w:t>ing</w:t>
      </w:r>
      <w:r w:rsidR="00B12A47">
        <w:t xml:space="preserve"> </w:t>
      </w:r>
      <w:r w:rsidR="0032003E">
        <w:t>the establishment of</w:t>
      </w:r>
      <w:r w:rsidR="008D41D5">
        <w:t xml:space="preserve"> a </w:t>
      </w:r>
      <w:r w:rsidR="0032003E">
        <w:t xml:space="preserve">new </w:t>
      </w:r>
      <w:r w:rsidR="008D41D5">
        <w:t xml:space="preserve">pilot fund </w:t>
      </w:r>
      <w:r w:rsidR="0032003E">
        <w:t>for</w:t>
      </w:r>
      <w:r w:rsidR="008D41D5">
        <w:t xml:space="preserve"> </w:t>
      </w:r>
      <w:r w:rsidR="00B12A47">
        <w:t>these indispensable, life-saving medicines</w:t>
      </w:r>
      <w:r w:rsidR="008D41D5">
        <w:t xml:space="preserve">. </w:t>
      </w:r>
    </w:p>
    <w:p w14:paraId="551E52C1" w14:textId="77777777" w:rsidR="0071695A" w:rsidRPr="0071695A" w:rsidRDefault="0071695A" w:rsidP="0071695A">
      <w:pPr>
        <w:jc w:val="both"/>
        <w:rPr>
          <w:rFonts w:cstheme="minorHAnsi"/>
          <w:color w:val="000000" w:themeColor="text1"/>
        </w:rPr>
      </w:pPr>
      <w:r w:rsidRPr="0071695A">
        <w:rPr>
          <w:rFonts w:cstheme="minorHAnsi"/>
          <w:color w:val="000000" w:themeColor="text1"/>
        </w:rPr>
        <w:t>MSD also supports the pre-budget submission by the Australian Antimicrobial Resistance Network (AAMRNet).</w:t>
      </w:r>
    </w:p>
    <w:tbl>
      <w:tblPr>
        <w:tblStyle w:val="TableGrid"/>
        <w:tblW w:w="0" w:type="auto"/>
        <w:tblLook w:val="04A0" w:firstRow="1" w:lastRow="0" w:firstColumn="1" w:lastColumn="0" w:noHBand="0" w:noVBand="1"/>
      </w:tblPr>
      <w:tblGrid>
        <w:gridCol w:w="9736"/>
      </w:tblGrid>
      <w:tr w:rsidR="008D41D5" w14:paraId="27B964C9" w14:textId="77777777" w:rsidTr="008D41D5">
        <w:tc>
          <w:tcPr>
            <w:tcW w:w="9736" w:type="dxa"/>
            <w:shd w:val="clear" w:color="auto" w:fill="D9D9D9" w:themeFill="background1" w:themeFillShade="D9"/>
          </w:tcPr>
          <w:p w14:paraId="622B88B9" w14:textId="60F663A6" w:rsidR="008D41D5" w:rsidRDefault="008D41D5" w:rsidP="0071695A">
            <w:pPr>
              <w:spacing w:before="120" w:after="120" w:line="276" w:lineRule="auto"/>
              <w:rPr>
                <w:b/>
                <w:caps/>
              </w:rPr>
            </w:pPr>
            <w:r w:rsidRPr="00D3300E">
              <w:rPr>
                <w:b/>
                <w:caps/>
              </w:rPr>
              <w:t xml:space="preserve">Recommendation </w:t>
            </w:r>
            <w:r w:rsidR="00AE0203">
              <w:rPr>
                <w:b/>
                <w:caps/>
              </w:rPr>
              <w:t xml:space="preserve">for </w:t>
            </w:r>
            <w:r w:rsidRPr="00D3300E">
              <w:rPr>
                <w:b/>
                <w:caps/>
              </w:rPr>
              <w:t xml:space="preserve">a Pilot Fund </w:t>
            </w:r>
            <w:r w:rsidR="00AE0203">
              <w:rPr>
                <w:b/>
                <w:caps/>
              </w:rPr>
              <w:t>FOR NOVEL ANTI</w:t>
            </w:r>
            <w:r w:rsidR="0073518F">
              <w:rPr>
                <w:b/>
                <w:caps/>
              </w:rPr>
              <w:t>MICROBIALS</w:t>
            </w:r>
          </w:p>
          <w:p w14:paraId="3B29029D" w14:textId="1D878C2F" w:rsidR="008D41D5" w:rsidRDefault="008D41D5" w:rsidP="0071695A">
            <w:pPr>
              <w:spacing w:after="120"/>
              <w:jc w:val="both"/>
              <w:rPr>
                <w:rFonts w:cstheme="minorHAnsi"/>
              </w:rPr>
            </w:pPr>
            <w:r>
              <w:rPr>
                <w:rFonts w:cstheme="minorHAnsi"/>
              </w:rPr>
              <w:t>Investing</w:t>
            </w:r>
            <w:r w:rsidR="00582281">
              <w:rPr>
                <w:rFonts w:cstheme="minorHAnsi"/>
              </w:rPr>
              <w:t xml:space="preserve"> in </w:t>
            </w:r>
            <w:r>
              <w:rPr>
                <w:rFonts w:cstheme="minorHAnsi"/>
              </w:rPr>
              <w:t>an innovative</w:t>
            </w:r>
            <w:r w:rsidR="00FD146D">
              <w:rPr>
                <w:rFonts w:cstheme="minorHAnsi"/>
              </w:rPr>
              <w:t>,</w:t>
            </w:r>
            <w:r w:rsidR="00582281">
              <w:rPr>
                <w:rFonts w:cstheme="minorHAnsi"/>
              </w:rPr>
              <w:t xml:space="preserve"> three-year</w:t>
            </w:r>
            <w:r>
              <w:rPr>
                <w:rFonts w:cstheme="minorHAnsi"/>
              </w:rPr>
              <w:t xml:space="preserve"> pilot for funding </w:t>
            </w:r>
            <w:r w:rsidR="00582281">
              <w:rPr>
                <w:rFonts w:cstheme="minorHAnsi"/>
              </w:rPr>
              <w:t xml:space="preserve">up to five </w:t>
            </w:r>
            <w:r>
              <w:rPr>
                <w:rFonts w:cstheme="minorHAnsi"/>
              </w:rPr>
              <w:t xml:space="preserve">novel antimicrobials </w:t>
            </w:r>
            <w:r w:rsidR="00754446">
              <w:rPr>
                <w:rFonts w:cstheme="minorHAnsi"/>
              </w:rPr>
              <w:t xml:space="preserve">to </w:t>
            </w:r>
            <w:r w:rsidR="00E5722E">
              <w:rPr>
                <w:rFonts w:cstheme="minorHAnsi"/>
              </w:rPr>
              <w:t xml:space="preserve">help </w:t>
            </w:r>
            <w:r w:rsidR="00754446">
              <w:rPr>
                <w:rFonts w:cstheme="minorHAnsi"/>
              </w:rPr>
              <w:t xml:space="preserve">address the looming crisis posed by AMR, </w:t>
            </w:r>
            <w:r>
              <w:rPr>
                <w:rFonts w:cstheme="minorHAnsi"/>
              </w:rPr>
              <w:t xml:space="preserve">would </w:t>
            </w:r>
            <w:r w:rsidR="00025174">
              <w:rPr>
                <w:rFonts w:cstheme="minorHAnsi"/>
              </w:rPr>
              <w:t xml:space="preserve">further </w:t>
            </w:r>
            <w:r>
              <w:rPr>
                <w:rFonts w:cstheme="minorHAnsi"/>
              </w:rPr>
              <w:t xml:space="preserve">demonstrate Australia’s </w:t>
            </w:r>
            <w:r w:rsidR="00025174">
              <w:rPr>
                <w:rFonts w:cstheme="minorHAnsi"/>
              </w:rPr>
              <w:t xml:space="preserve">global </w:t>
            </w:r>
            <w:r>
              <w:rPr>
                <w:rFonts w:cstheme="minorHAnsi"/>
              </w:rPr>
              <w:t>policy leadership</w:t>
            </w:r>
            <w:r w:rsidR="00025174">
              <w:rPr>
                <w:rFonts w:cstheme="minorHAnsi"/>
              </w:rPr>
              <w:t xml:space="preserve"> </w:t>
            </w:r>
            <w:r w:rsidR="00754446">
              <w:rPr>
                <w:rFonts w:cstheme="minorHAnsi"/>
              </w:rPr>
              <w:t>following</w:t>
            </w:r>
            <w:r w:rsidR="00025174">
              <w:rPr>
                <w:rFonts w:cstheme="minorHAnsi"/>
              </w:rPr>
              <w:t xml:space="preserve"> its world-leading response to COVID-19. The pilot would also</w:t>
            </w:r>
            <w:r w:rsidR="00582281">
              <w:rPr>
                <w:rFonts w:cstheme="minorHAnsi"/>
              </w:rPr>
              <w:t xml:space="preserve"> ensure equity of access to crucial life-savings drugs not widely available in Australia</w:t>
            </w:r>
            <w:r>
              <w:rPr>
                <w:rFonts w:cstheme="minorHAnsi"/>
              </w:rPr>
              <w:t>.</w:t>
            </w:r>
          </w:p>
          <w:p w14:paraId="16154C41" w14:textId="3474020A" w:rsidR="008D41D5" w:rsidRPr="00D3300E" w:rsidRDefault="00967B22" w:rsidP="008D41D5">
            <w:pPr>
              <w:jc w:val="both"/>
              <w:rPr>
                <w:rFonts w:cstheme="minorHAnsi"/>
                <w:b/>
                <w:i/>
              </w:rPr>
            </w:pPr>
            <w:r w:rsidRPr="00D3300E">
              <w:rPr>
                <w:rFonts w:cstheme="minorHAnsi"/>
                <w:b/>
                <w:i/>
              </w:rPr>
              <w:t>Features of the Pilot</w:t>
            </w:r>
          </w:p>
          <w:p w14:paraId="0EC00FC4" w14:textId="6A3100D2" w:rsidR="008D41D5" w:rsidRDefault="007748DC" w:rsidP="008D41D5">
            <w:pPr>
              <w:pStyle w:val="ListParagraph"/>
              <w:numPr>
                <w:ilvl w:val="0"/>
                <w:numId w:val="5"/>
              </w:numPr>
              <w:jc w:val="both"/>
              <w:rPr>
                <w:rFonts w:cstheme="minorHAnsi"/>
              </w:rPr>
            </w:pPr>
            <w:r>
              <w:rPr>
                <w:rFonts w:cstheme="minorHAnsi"/>
              </w:rPr>
              <w:t>A</w:t>
            </w:r>
            <w:r w:rsidR="008B4F39">
              <w:rPr>
                <w:rFonts w:cstheme="minorHAnsi"/>
              </w:rPr>
              <w:t xml:space="preserve"> </w:t>
            </w:r>
            <w:r w:rsidR="008D41D5">
              <w:rPr>
                <w:rFonts w:cstheme="minorHAnsi"/>
              </w:rPr>
              <w:t>three-year pilot</w:t>
            </w:r>
            <w:r w:rsidR="008B4F39">
              <w:rPr>
                <w:rFonts w:cstheme="minorHAnsi"/>
              </w:rPr>
              <w:t xml:space="preserve">, using the de-linked model currently being </w:t>
            </w:r>
            <w:r w:rsidR="00C136E3">
              <w:rPr>
                <w:rFonts w:cstheme="minorHAnsi"/>
              </w:rPr>
              <w:t xml:space="preserve">piloted </w:t>
            </w:r>
            <w:r w:rsidR="00025174">
              <w:rPr>
                <w:rFonts w:cstheme="minorHAnsi"/>
              </w:rPr>
              <w:t xml:space="preserve">in </w:t>
            </w:r>
            <w:r w:rsidR="008B4F39">
              <w:rPr>
                <w:rFonts w:cstheme="minorHAnsi"/>
              </w:rPr>
              <w:t xml:space="preserve">the </w:t>
            </w:r>
            <w:r w:rsidR="00025174">
              <w:rPr>
                <w:rFonts w:cstheme="minorHAnsi"/>
              </w:rPr>
              <w:t>United Kingdom</w:t>
            </w:r>
            <w:r w:rsidR="00347907">
              <w:rPr>
                <w:rFonts w:cstheme="minorHAnsi"/>
              </w:rPr>
              <w:t>, whereby reimbursement</w:t>
            </w:r>
            <w:r w:rsidR="00025174">
              <w:rPr>
                <w:rFonts w:cstheme="minorHAnsi"/>
              </w:rPr>
              <w:t xml:space="preserve"> of novel antimicrobials</w:t>
            </w:r>
            <w:r w:rsidR="00347907">
              <w:rPr>
                <w:rFonts w:cstheme="minorHAnsi"/>
              </w:rPr>
              <w:t xml:space="preserve"> is not linked to the volume of antimicrobials sold</w:t>
            </w:r>
            <w:r>
              <w:rPr>
                <w:rFonts w:cstheme="minorHAnsi"/>
              </w:rPr>
              <w:t>.</w:t>
            </w:r>
          </w:p>
          <w:p w14:paraId="792994A9" w14:textId="6E6219C6" w:rsidR="008D41D5" w:rsidRDefault="0091789E" w:rsidP="008D41D5">
            <w:pPr>
              <w:pStyle w:val="ListParagraph"/>
              <w:numPr>
                <w:ilvl w:val="0"/>
                <w:numId w:val="5"/>
              </w:numPr>
              <w:jc w:val="both"/>
              <w:rPr>
                <w:rFonts w:cstheme="minorHAnsi"/>
              </w:rPr>
            </w:pPr>
            <w:r>
              <w:rPr>
                <w:rFonts w:cstheme="minorHAnsi"/>
              </w:rPr>
              <w:t>Up to five</w:t>
            </w:r>
            <w:r w:rsidR="008D41D5">
              <w:rPr>
                <w:rFonts w:cstheme="minorHAnsi"/>
              </w:rPr>
              <w:t xml:space="preserve"> novel antimicrobials </w:t>
            </w:r>
            <w:r w:rsidR="008B4F39">
              <w:rPr>
                <w:rFonts w:cstheme="minorHAnsi"/>
              </w:rPr>
              <w:t>selected to participate, targeting priority pathogens</w:t>
            </w:r>
            <w:r w:rsidR="003F2BAF">
              <w:rPr>
                <w:rFonts w:cstheme="minorHAnsi"/>
              </w:rPr>
              <w:t>, to be used in accordance with antimicrobial stewardship guidelines</w:t>
            </w:r>
            <w:r w:rsidR="007748DC">
              <w:rPr>
                <w:rFonts w:cstheme="minorHAnsi"/>
              </w:rPr>
              <w:t>.</w:t>
            </w:r>
          </w:p>
          <w:p w14:paraId="4B391C04" w14:textId="667C5A9F" w:rsidR="008D41D5" w:rsidRDefault="007748DC" w:rsidP="0071695A">
            <w:pPr>
              <w:pStyle w:val="ListParagraph"/>
              <w:numPr>
                <w:ilvl w:val="0"/>
                <w:numId w:val="5"/>
              </w:numPr>
              <w:spacing w:after="120"/>
              <w:ind w:left="771" w:hanging="357"/>
              <w:jc w:val="both"/>
              <w:rPr>
                <w:rFonts w:cstheme="minorHAnsi"/>
              </w:rPr>
            </w:pPr>
            <w:r>
              <w:rPr>
                <w:rFonts w:cstheme="minorHAnsi"/>
              </w:rPr>
              <w:t>A</w:t>
            </w:r>
            <w:r w:rsidR="008B4F39">
              <w:rPr>
                <w:rFonts w:cstheme="minorHAnsi"/>
              </w:rPr>
              <w:t xml:space="preserve"> </w:t>
            </w:r>
            <w:r w:rsidR="008D41D5">
              <w:rPr>
                <w:rFonts w:cstheme="minorHAnsi"/>
              </w:rPr>
              <w:t>pragmatic approach to valuation of the participating drugs</w:t>
            </w:r>
            <w:r>
              <w:rPr>
                <w:rFonts w:cstheme="minorHAnsi"/>
              </w:rPr>
              <w:t>.</w:t>
            </w:r>
          </w:p>
          <w:p w14:paraId="06F0875F" w14:textId="77777777" w:rsidR="008B4F39" w:rsidRPr="00D3300E" w:rsidRDefault="008B4F39" w:rsidP="0071695A">
            <w:pPr>
              <w:spacing w:after="60"/>
              <w:rPr>
                <w:rFonts w:cstheme="minorHAnsi"/>
                <w:b/>
                <w:i/>
              </w:rPr>
            </w:pPr>
            <w:r w:rsidRPr="00D3300E">
              <w:rPr>
                <w:rFonts w:cstheme="minorHAnsi"/>
                <w:b/>
                <w:i/>
              </w:rPr>
              <w:t>Estimated Cost of the Pilot</w:t>
            </w:r>
          </w:p>
          <w:p w14:paraId="334A79C2" w14:textId="61497B87" w:rsidR="007748DC" w:rsidRDefault="009F3E00" w:rsidP="007748DC">
            <w:pPr>
              <w:pStyle w:val="ListParagraph"/>
              <w:numPr>
                <w:ilvl w:val="0"/>
                <w:numId w:val="12"/>
              </w:numPr>
              <w:rPr>
                <w:rFonts w:cstheme="minorHAnsi"/>
              </w:rPr>
            </w:pPr>
            <w:r>
              <w:rPr>
                <w:rFonts w:cstheme="minorHAnsi"/>
              </w:rPr>
              <w:t>A</w:t>
            </w:r>
            <w:r w:rsidR="007748DC" w:rsidRPr="00D3300E">
              <w:rPr>
                <w:rFonts w:cstheme="minorHAnsi"/>
              </w:rPr>
              <w:t xml:space="preserve"> </w:t>
            </w:r>
            <w:r w:rsidR="008D41D5" w:rsidRPr="00D3300E">
              <w:rPr>
                <w:rFonts w:cstheme="minorHAnsi"/>
              </w:rPr>
              <w:t xml:space="preserve">pragmatic valuation approach </w:t>
            </w:r>
            <w:r w:rsidR="007748DC" w:rsidRPr="00D3300E">
              <w:rPr>
                <w:rFonts w:cstheme="minorHAnsi"/>
              </w:rPr>
              <w:t xml:space="preserve">shows that </w:t>
            </w:r>
            <w:r w:rsidR="008D41D5" w:rsidRPr="00D3300E">
              <w:rPr>
                <w:rFonts w:cstheme="minorHAnsi"/>
              </w:rPr>
              <w:t xml:space="preserve">funding one drug </w:t>
            </w:r>
            <w:r w:rsidR="00582281">
              <w:rPr>
                <w:rFonts w:cstheme="minorHAnsi"/>
              </w:rPr>
              <w:t xml:space="preserve">would </w:t>
            </w:r>
            <w:r w:rsidR="00B03535">
              <w:rPr>
                <w:rFonts w:cstheme="minorHAnsi"/>
              </w:rPr>
              <w:t>require</w:t>
            </w:r>
            <w:r w:rsidR="00582281">
              <w:rPr>
                <w:rFonts w:cstheme="minorHAnsi"/>
              </w:rPr>
              <w:t xml:space="preserve"> in the order of</w:t>
            </w:r>
            <w:r w:rsidR="006E7560">
              <w:rPr>
                <w:rFonts w:cstheme="minorHAnsi"/>
              </w:rPr>
              <w:t xml:space="preserve"> up to</w:t>
            </w:r>
            <w:r w:rsidR="0091789E">
              <w:rPr>
                <w:rFonts w:cstheme="minorHAnsi"/>
              </w:rPr>
              <w:t xml:space="preserve"> </w:t>
            </w:r>
            <w:r w:rsidR="008D41D5" w:rsidRPr="00D3300E">
              <w:rPr>
                <w:rFonts w:cstheme="minorHAnsi"/>
              </w:rPr>
              <w:t>$10M per year.</w:t>
            </w:r>
            <w:r w:rsidR="008B4F39" w:rsidRPr="00D3300E">
              <w:rPr>
                <w:rFonts w:cstheme="minorHAnsi"/>
              </w:rPr>
              <w:t xml:space="preserve"> </w:t>
            </w:r>
          </w:p>
          <w:p w14:paraId="0E7B304C" w14:textId="50148933" w:rsidR="008D41D5" w:rsidRPr="00D3300E" w:rsidRDefault="00B03535" w:rsidP="0071695A">
            <w:pPr>
              <w:pStyle w:val="ListParagraph"/>
              <w:numPr>
                <w:ilvl w:val="0"/>
                <w:numId w:val="12"/>
              </w:numPr>
              <w:spacing w:after="120"/>
              <w:ind w:left="714" w:hanging="357"/>
              <w:rPr>
                <w:rFonts w:cstheme="minorHAnsi"/>
              </w:rPr>
            </w:pPr>
            <w:r>
              <w:rPr>
                <w:rFonts w:cstheme="minorHAnsi"/>
              </w:rPr>
              <w:t>A pilot program for 5 drugs would require an investment of up to $50M per yea</w:t>
            </w:r>
            <w:r w:rsidR="008B4F39" w:rsidRPr="00D3300E">
              <w:rPr>
                <w:rFonts w:cstheme="minorHAnsi"/>
              </w:rPr>
              <w:t>r</w:t>
            </w:r>
            <w:r w:rsidR="00AE0203">
              <w:rPr>
                <w:rFonts w:cstheme="minorHAnsi"/>
              </w:rPr>
              <w:t>, for three years</w:t>
            </w:r>
            <w:r w:rsidR="007748DC">
              <w:rPr>
                <w:rFonts w:cstheme="minorHAnsi"/>
              </w:rPr>
              <w:t>.</w:t>
            </w:r>
            <w:r w:rsidR="008B4F39" w:rsidRPr="00D3300E">
              <w:rPr>
                <w:rFonts w:cstheme="minorHAnsi"/>
              </w:rPr>
              <w:t xml:space="preserve"> </w:t>
            </w:r>
          </w:p>
          <w:p w14:paraId="54E2F92F" w14:textId="7EC9CCFD" w:rsidR="008D41D5" w:rsidRPr="00D3300E" w:rsidRDefault="008B4F39" w:rsidP="008D41D5">
            <w:pPr>
              <w:rPr>
                <w:b/>
                <w:i/>
              </w:rPr>
            </w:pPr>
            <w:r w:rsidRPr="00D3300E">
              <w:rPr>
                <w:b/>
                <w:i/>
              </w:rPr>
              <w:t>Benefits of the Pilot</w:t>
            </w:r>
          </w:p>
          <w:p w14:paraId="6E94BFA3" w14:textId="0CC65184" w:rsidR="008D41D5" w:rsidRDefault="007748DC" w:rsidP="008D41D5">
            <w:pPr>
              <w:pStyle w:val="ListParagraph"/>
              <w:numPr>
                <w:ilvl w:val="0"/>
                <w:numId w:val="11"/>
              </w:numPr>
            </w:pPr>
            <w:r>
              <w:rPr>
                <w:u w:val="single"/>
              </w:rPr>
              <w:t>S</w:t>
            </w:r>
            <w:r w:rsidR="008B4F39" w:rsidRPr="00D3300E">
              <w:rPr>
                <w:u w:val="single"/>
              </w:rPr>
              <w:t>hort term</w:t>
            </w:r>
            <w:r w:rsidR="008D41D5">
              <w:t>:</w:t>
            </w:r>
            <w:r w:rsidR="003A7060">
              <w:t xml:space="preserve"> </w:t>
            </w:r>
            <w:r w:rsidR="0091789E">
              <w:t xml:space="preserve">up to five </w:t>
            </w:r>
            <w:r w:rsidR="008D41D5">
              <w:t>novel anti</w:t>
            </w:r>
            <w:r w:rsidR="0073518F">
              <w:t>microbial</w:t>
            </w:r>
            <w:r w:rsidR="008D41D5">
              <w:t>s</w:t>
            </w:r>
            <w:r w:rsidR="003A7060">
              <w:t xml:space="preserve">, targeting priority pathogens, would be available for clinicians to prescribe to </w:t>
            </w:r>
            <w:r w:rsidR="000F4B07">
              <w:t>the right patient at the right time</w:t>
            </w:r>
            <w:r w:rsidR="0025464F">
              <w:t xml:space="preserve">, in accordance with </w:t>
            </w:r>
            <w:r w:rsidR="005B436C">
              <w:t>clinical</w:t>
            </w:r>
            <w:r w:rsidR="0025464F">
              <w:t xml:space="preserve"> guidelines rather than hospital budgets</w:t>
            </w:r>
            <w:r>
              <w:t>.</w:t>
            </w:r>
          </w:p>
          <w:p w14:paraId="26F88956" w14:textId="3E7851E0" w:rsidR="008D41D5" w:rsidRPr="003D44A0" w:rsidRDefault="007748DC" w:rsidP="0071695A">
            <w:pPr>
              <w:pStyle w:val="ListParagraph"/>
              <w:numPr>
                <w:ilvl w:val="0"/>
                <w:numId w:val="11"/>
              </w:numPr>
              <w:spacing w:after="120"/>
              <w:ind w:left="714" w:hanging="357"/>
            </w:pPr>
            <w:r>
              <w:rPr>
                <w:u w:val="single"/>
              </w:rPr>
              <w:t>L</w:t>
            </w:r>
            <w:r w:rsidR="003A7060" w:rsidRPr="00D3300E">
              <w:rPr>
                <w:u w:val="single"/>
              </w:rPr>
              <w:t>ong term</w:t>
            </w:r>
            <w:r w:rsidR="003A7060">
              <w:t>: the pilot would encourage investment in research and development, and would also set an example for other countries to establish similar programs</w:t>
            </w:r>
            <w:r>
              <w:t>.</w:t>
            </w:r>
          </w:p>
        </w:tc>
      </w:tr>
    </w:tbl>
    <w:p w14:paraId="63B5C611" w14:textId="267BF8AB" w:rsidR="001827BF" w:rsidRPr="00F96894" w:rsidRDefault="00335647" w:rsidP="00D3300E">
      <w:pPr>
        <w:pStyle w:val="Heading1"/>
        <w:rPr>
          <w:caps/>
        </w:rPr>
      </w:pPr>
      <w:r w:rsidRPr="00F96894">
        <w:rPr>
          <w:caps/>
        </w:rPr>
        <w:lastRenderedPageBreak/>
        <w:t>Antimicrobial Resistance</w:t>
      </w:r>
      <w:r w:rsidR="00BF100B">
        <w:rPr>
          <w:caps/>
        </w:rPr>
        <w:t xml:space="preserve"> </w:t>
      </w:r>
      <w:r w:rsidR="005C5A7D" w:rsidRPr="00F96894">
        <w:rPr>
          <w:caps/>
        </w:rPr>
        <w:t>– A Growing Threat</w:t>
      </w:r>
    </w:p>
    <w:p w14:paraId="17523CEC" w14:textId="15CB3BC0" w:rsidR="005C5A7D" w:rsidRPr="00D3300E" w:rsidRDefault="005C5A7D" w:rsidP="00451DFE">
      <w:pPr>
        <w:pStyle w:val="Heading2"/>
      </w:pPr>
      <w:r w:rsidRPr="00D3300E">
        <w:t>What is AMR</w:t>
      </w:r>
      <w:r w:rsidR="00DD642D" w:rsidRPr="00D3300E">
        <w:t>?</w:t>
      </w:r>
    </w:p>
    <w:p w14:paraId="1AD3DA0F" w14:textId="6702FBA6" w:rsidR="005C5A7D" w:rsidRDefault="005C5A7D" w:rsidP="00447099">
      <w:pPr>
        <w:jc w:val="both"/>
        <w:rPr>
          <w:rFonts w:cstheme="minorHAnsi"/>
          <w:color w:val="000000" w:themeColor="text1"/>
        </w:rPr>
      </w:pPr>
      <w:r w:rsidRPr="005C5A7D">
        <w:rPr>
          <w:rFonts w:cstheme="minorHAnsi"/>
          <w:color w:val="000000" w:themeColor="text1"/>
        </w:rPr>
        <w:t xml:space="preserve">Antimicrobials are medicines </w:t>
      </w:r>
      <w:r w:rsidR="008A13DA">
        <w:rPr>
          <w:rFonts w:cstheme="minorHAnsi"/>
          <w:color w:val="000000" w:themeColor="text1"/>
        </w:rPr>
        <w:t xml:space="preserve">used </w:t>
      </w:r>
      <w:r w:rsidRPr="005C5A7D">
        <w:rPr>
          <w:rFonts w:cstheme="minorHAnsi"/>
          <w:color w:val="000000" w:themeColor="text1"/>
        </w:rPr>
        <w:t>to treat and</w:t>
      </w:r>
      <w:r>
        <w:rPr>
          <w:rFonts w:cstheme="minorHAnsi"/>
          <w:color w:val="000000" w:themeColor="text1"/>
        </w:rPr>
        <w:t xml:space="preserve"> </w:t>
      </w:r>
      <w:r w:rsidRPr="005C5A7D">
        <w:rPr>
          <w:rFonts w:cstheme="minorHAnsi"/>
          <w:color w:val="000000" w:themeColor="text1"/>
        </w:rPr>
        <w:t>prevent infectious diseases caused by</w:t>
      </w:r>
      <w:r>
        <w:rPr>
          <w:rFonts w:cstheme="minorHAnsi"/>
          <w:color w:val="000000" w:themeColor="text1"/>
        </w:rPr>
        <w:t xml:space="preserve"> </w:t>
      </w:r>
      <w:r w:rsidRPr="005C5A7D">
        <w:rPr>
          <w:rFonts w:cstheme="minorHAnsi"/>
          <w:color w:val="000000" w:themeColor="text1"/>
        </w:rPr>
        <w:t>pathogens such as bacteria, viruses,</w:t>
      </w:r>
      <w:r>
        <w:rPr>
          <w:rFonts w:cstheme="minorHAnsi"/>
          <w:color w:val="000000" w:themeColor="text1"/>
        </w:rPr>
        <w:t xml:space="preserve"> </w:t>
      </w:r>
      <w:r w:rsidRPr="005C5A7D">
        <w:rPr>
          <w:rFonts w:cstheme="minorHAnsi"/>
          <w:color w:val="000000" w:themeColor="text1"/>
        </w:rPr>
        <w:t xml:space="preserve">fungi and parasites. </w:t>
      </w:r>
      <w:r w:rsidR="00E25217">
        <w:rPr>
          <w:rFonts w:cstheme="minorHAnsi"/>
          <w:color w:val="000000" w:themeColor="text1"/>
        </w:rPr>
        <w:t>Antibiotics</w:t>
      </w:r>
      <w:r w:rsidRPr="005C5A7D">
        <w:rPr>
          <w:rFonts w:cstheme="minorHAnsi"/>
          <w:color w:val="000000" w:themeColor="text1"/>
        </w:rPr>
        <w:t>, which are</w:t>
      </w:r>
      <w:r>
        <w:rPr>
          <w:rFonts w:cstheme="minorHAnsi"/>
          <w:color w:val="000000" w:themeColor="text1"/>
        </w:rPr>
        <w:t xml:space="preserve"> </w:t>
      </w:r>
      <w:r w:rsidRPr="005C5A7D">
        <w:rPr>
          <w:rFonts w:cstheme="minorHAnsi"/>
          <w:color w:val="000000" w:themeColor="text1"/>
        </w:rPr>
        <w:t>used to treat bacterial infections, are one of</w:t>
      </w:r>
      <w:r>
        <w:rPr>
          <w:rFonts w:cstheme="minorHAnsi"/>
          <w:color w:val="000000" w:themeColor="text1"/>
        </w:rPr>
        <w:t xml:space="preserve"> </w:t>
      </w:r>
      <w:r w:rsidRPr="005C5A7D">
        <w:rPr>
          <w:rFonts w:cstheme="minorHAnsi"/>
          <w:color w:val="000000" w:themeColor="text1"/>
        </w:rPr>
        <w:t>the most important types of antimicrobials.</w:t>
      </w:r>
      <w:r>
        <w:rPr>
          <w:rFonts w:cstheme="minorHAnsi"/>
          <w:color w:val="000000" w:themeColor="text1"/>
        </w:rPr>
        <w:t xml:space="preserve"> </w:t>
      </w:r>
      <w:r w:rsidRPr="005C5A7D">
        <w:rPr>
          <w:rFonts w:cstheme="minorHAnsi"/>
          <w:color w:val="000000" w:themeColor="text1"/>
        </w:rPr>
        <w:t xml:space="preserve">AMR occurs when a pathogen evolves </w:t>
      </w:r>
      <w:r w:rsidR="00B03535">
        <w:rPr>
          <w:rFonts w:cstheme="minorHAnsi"/>
          <w:color w:val="000000" w:themeColor="text1"/>
        </w:rPr>
        <w:t xml:space="preserve">into a ‘superbug’, </w:t>
      </w:r>
      <w:r w:rsidRPr="005C5A7D">
        <w:rPr>
          <w:rFonts w:cstheme="minorHAnsi"/>
          <w:color w:val="000000" w:themeColor="text1"/>
        </w:rPr>
        <w:t>to</w:t>
      </w:r>
      <w:r>
        <w:rPr>
          <w:rFonts w:cstheme="minorHAnsi"/>
          <w:color w:val="000000" w:themeColor="text1"/>
        </w:rPr>
        <w:t xml:space="preserve"> </w:t>
      </w:r>
      <w:r w:rsidRPr="005C5A7D">
        <w:rPr>
          <w:rFonts w:cstheme="minorHAnsi"/>
          <w:color w:val="000000" w:themeColor="text1"/>
        </w:rPr>
        <w:t>survive antimicrobial treatment</w:t>
      </w:r>
      <w:r w:rsidR="005A0F7B">
        <w:rPr>
          <w:rStyle w:val="FootnoteReference"/>
          <w:rFonts w:cstheme="minorHAnsi"/>
          <w:color w:val="000000" w:themeColor="text1"/>
        </w:rPr>
        <w:footnoteReference w:id="2"/>
      </w:r>
      <w:r w:rsidRPr="005C5A7D">
        <w:rPr>
          <w:rFonts w:cstheme="minorHAnsi"/>
          <w:color w:val="000000" w:themeColor="text1"/>
        </w:rPr>
        <w:t>. While such</w:t>
      </w:r>
      <w:r>
        <w:rPr>
          <w:rFonts w:cstheme="minorHAnsi"/>
          <w:color w:val="000000" w:themeColor="text1"/>
        </w:rPr>
        <w:t xml:space="preserve"> </w:t>
      </w:r>
      <w:r w:rsidRPr="005C5A7D">
        <w:rPr>
          <w:rFonts w:cstheme="minorHAnsi"/>
          <w:color w:val="000000" w:themeColor="text1"/>
        </w:rPr>
        <w:t>evolution is inevitable, AMR is developing</w:t>
      </w:r>
      <w:r>
        <w:rPr>
          <w:rFonts w:cstheme="minorHAnsi"/>
          <w:color w:val="000000" w:themeColor="text1"/>
        </w:rPr>
        <w:t xml:space="preserve"> </w:t>
      </w:r>
      <w:r w:rsidRPr="005C5A7D">
        <w:rPr>
          <w:rFonts w:cstheme="minorHAnsi"/>
          <w:color w:val="000000" w:themeColor="text1"/>
        </w:rPr>
        <w:t>more quickly due to the inappropriate use</w:t>
      </w:r>
      <w:r>
        <w:rPr>
          <w:rFonts w:cstheme="minorHAnsi"/>
          <w:color w:val="000000" w:themeColor="text1"/>
        </w:rPr>
        <w:t xml:space="preserve"> </w:t>
      </w:r>
      <w:r w:rsidRPr="005C5A7D">
        <w:rPr>
          <w:rFonts w:cstheme="minorHAnsi"/>
          <w:color w:val="000000" w:themeColor="text1"/>
        </w:rPr>
        <w:t>of antimicrobials. Action is needed to slow</w:t>
      </w:r>
      <w:r>
        <w:rPr>
          <w:rFonts w:cstheme="minorHAnsi"/>
          <w:color w:val="000000" w:themeColor="text1"/>
        </w:rPr>
        <w:t xml:space="preserve"> </w:t>
      </w:r>
      <w:r w:rsidRPr="005C5A7D">
        <w:rPr>
          <w:rFonts w:cstheme="minorHAnsi"/>
          <w:color w:val="000000" w:themeColor="text1"/>
        </w:rPr>
        <w:t>down the development and spread of AMR</w:t>
      </w:r>
      <w:r>
        <w:rPr>
          <w:rFonts w:cstheme="minorHAnsi"/>
          <w:color w:val="000000" w:themeColor="text1"/>
        </w:rPr>
        <w:t xml:space="preserve"> </w:t>
      </w:r>
      <w:r w:rsidRPr="005C5A7D">
        <w:rPr>
          <w:rFonts w:cstheme="minorHAnsi"/>
          <w:color w:val="000000" w:themeColor="text1"/>
        </w:rPr>
        <w:t>so that the antimicrobials we have continue</w:t>
      </w:r>
      <w:r>
        <w:rPr>
          <w:rFonts w:cstheme="minorHAnsi"/>
          <w:color w:val="000000" w:themeColor="text1"/>
        </w:rPr>
        <w:t xml:space="preserve"> </w:t>
      </w:r>
      <w:r w:rsidRPr="005C5A7D">
        <w:rPr>
          <w:rFonts w:cstheme="minorHAnsi"/>
          <w:color w:val="000000" w:themeColor="text1"/>
        </w:rPr>
        <w:t>to work for as long as possible.</w:t>
      </w:r>
      <w:r w:rsidR="00D671B8" w:rsidRPr="00D671B8">
        <w:rPr>
          <w:rFonts w:cstheme="minorHAnsi"/>
          <w:color w:val="000000" w:themeColor="text1"/>
        </w:rPr>
        <w:t xml:space="preserve"> </w:t>
      </w:r>
      <w:r w:rsidR="00D671B8">
        <w:rPr>
          <w:rFonts w:cstheme="minorHAnsi"/>
          <w:color w:val="000000" w:themeColor="text1"/>
        </w:rPr>
        <w:t xml:space="preserve">This should include investment in new antimicrobials together with clinical guidelines for how and when they can be used. </w:t>
      </w:r>
    </w:p>
    <w:p w14:paraId="1D7CD326" w14:textId="2EB59D42" w:rsidR="005C5A7D" w:rsidRPr="00D3300E" w:rsidRDefault="005C5A7D" w:rsidP="00451DFE">
      <w:pPr>
        <w:pStyle w:val="Heading2"/>
      </w:pPr>
      <w:r w:rsidRPr="00D3300E">
        <w:t xml:space="preserve">Why is </w:t>
      </w:r>
      <w:r w:rsidR="00DE3D15">
        <w:t>AMR</w:t>
      </w:r>
      <w:r w:rsidRPr="00D3300E">
        <w:t xml:space="preserve"> a problem?</w:t>
      </w:r>
    </w:p>
    <w:p w14:paraId="77E03299" w14:textId="375947F7" w:rsidR="002F49E5" w:rsidRDefault="00DE3D15" w:rsidP="00447099">
      <w:pPr>
        <w:jc w:val="both"/>
        <w:rPr>
          <w:rFonts w:cstheme="minorHAnsi"/>
          <w:color w:val="000000" w:themeColor="text1"/>
        </w:rPr>
      </w:pPr>
      <w:r>
        <w:t xml:space="preserve">As explained by the Australian Group on Antimicrobial Resistance (AGAR): </w:t>
      </w:r>
      <w:r w:rsidR="000C5C29">
        <w:t>“AMR is a risk to patient safety because it reduces the range of antimicrobials available to treat infections. It also increases morbidity and mortality associated with infections caused by multidrug</w:t>
      </w:r>
      <w:r w:rsidR="005B708A">
        <w:t>-</w:t>
      </w:r>
      <w:r w:rsidR="000C5C29">
        <w:t xml:space="preserve">resistant organisms. AMR may limit future capacity to perform medical procedures such as organ transplantation, cancer chemotherapy, diabetes management and major surgery because of a lack of effective antimicrobials.” </w:t>
      </w:r>
      <w:r w:rsidR="000C5C29">
        <w:rPr>
          <w:rStyle w:val="FootnoteReference"/>
        </w:rPr>
        <w:footnoteReference w:id="3"/>
      </w:r>
      <w:r w:rsidR="002F49E5" w:rsidRPr="002F49E5">
        <w:rPr>
          <w:rFonts w:cstheme="minorHAnsi"/>
          <w:color w:val="000000" w:themeColor="text1"/>
        </w:rPr>
        <w:t xml:space="preserve"> </w:t>
      </w:r>
    </w:p>
    <w:p w14:paraId="05575AF3" w14:textId="4DF8DE7E" w:rsidR="002F49E5" w:rsidRDefault="002F49E5" w:rsidP="00447099">
      <w:pPr>
        <w:jc w:val="both"/>
        <w:rPr>
          <w:rFonts w:cstheme="minorHAnsi"/>
          <w:color w:val="000000" w:themeColor="text1"/>
        </w:rPr>
      </w:pPr>
      <w:r w:rsidRPr="00B757B2">
        <w:rPr>
          <w:rFonts w:cstheme="minorHAnsi"/>
          <w:color w:val="000000" w:themeColor="text1"/>
        </w:rPr>
        <w:t xml:space="preserve">AMR is responsible for an estimated 25,000 deaths per year in the </w:t>
      </w:r>
      <w:r w:rsidR="000D29FA" w:rsidRPr="00B757B2">
        <w:rPr>
          <w:rFonts w:cstheme="minorHAnsi"/>
          <w:color w:val="000000" w:themeColor="text1"/>
        </w:rPr>
        <w:t>EU, and</w:t>
      </w:r>
      <w:r w:rsidR="00806244" w:rsidRPr="00B757B2">
        <w:rPr>
          <w:rFonts w:cstheme="minorHAnsi"/>
          <w:color w:val="000000" w:themeColor="text1"/>
        </w:rPr>
        <w:t xml:space="preserve"> the </w:t>
      </w:r>
      <w:r w:rsidRPr="00B757B2">
        <w:rPr>
          <w:rFonts w:cstheme="minorHAnsi"/>
          <w:color w:val="000000" w:themeColor="text1"/>
        </w:rPr>
        <w:t>loss to EU health care and productivity as a result of AMR is estimated at €1.5 billion annually</w:t>
      </w:r>
      <w:r w:rsidR="00806244" w:rsidRPr="00B757B2">
        <w:rPr>
          <w:rStyle w:val="FootnoteReference"/>
          <w:rFonts w:cstheme="minorHAnsi"/>
          <w:color w:val="000000" w:themeColor="text1"/>
        </w:rPr>
        <w:footnoteReference w:id="4"/>
      </w:r>
      <w:r w:rsidRPr="00B757B2">
        <w:rPr>
          <w:rFonts w:cstheme="minorHAnsi"/>
          <w:color w:val="000000" w:themeColor="text1"/>
        </w:rPr>
        <w:t xml:space="preserve">. </w:t>
      </w:r>
      <w:r w:rsidR="0062056B" w:rsidRPr="00B757B2">
        <w:rPr>
          <w:rFonts w:cstheme="minorHAnsi"/>
          <w:color w:val="000000" w:themeColor="text1"/>
        </w:rPr>
        <w:t>The impact of AMR in</w:t>
      </w:r>
      <w:r w:rsidR="0062056B">
        <w:rPr>
          <w:rFonts w:cstheme="minorHAnsi"/>
          <w:color w:val="000000" w:themeColor="text1"/>
        </w:rPr>
        <w:t xml:space="preserve"> Australia has not been quantified in these terms, however adjusting for population and currency this would equate to</w:t>
      </w:r>
      <w:r w:rsidR="00BF100B">
        <w:rPr>
          <w:rFonts w:cstheme="minorHAnsi"/>
          <w:color w:val="000000" w:themeColor="text1"/>
        </w:rPr>
        <w:t xml:space="preserve"> roughly</w:t>
      </w:r>
      <w:r w:rsidR="0062056B">
        <w:rPr>
          <w:rFonts w:cstheme="minorHAnsi"/>
          <w:color w:val="000000" w:themeColor="text1"/>
        </w:rPr>
        <w:t xml:space="preserve"> 1,250 deaths and</w:t>
      </w:r>
      <w:r w:rsidR="00BF100B">
        <w:rPr>
          <w:rFonts w:cstheme="minorHAnsi"/>
          <w:color w:val="000000" w:themeColor="text1"/>
        </w:rPr>
        <w:t xml:space="preserve"> a</w:t>
      </w:r>
      <w:r w:rsidR="0062056B">
        <w:rPr>
          <w:rFonts w:cstheme="minorHAnsi"/>
          <w:color w:val="000000" w:themeColor="text1"/>
        </w:rPr>
        <w:t xml:space="preserve"> $12</w:t>
      </w:r>
      <w:r w:rsidR="00135CD5">
        <w:rPr>
          <w:rFonts w:cstheme="minorHAnsi"/>
          <w:color w:val="000000" w:themeColor="text1"/>
        </w:rPr>
        <w:t>0</w:t>
      </w:r>
      <w:r w:rsidR="0062056B">
        <w:rPr>
          <w:rFonts w:cstheme="minorHAnsi"/>
          <w:color w:val="000000" w:themeColor="text1"/>
        </w:rPr>
        <w:t xml:space="preserve"> million loss to healthcare and productivity annually in Australia.</w:t>
      </w:r>
      <w:r w:rsidR="005772AD">
        <w:rPr>
          <w:rFonts w:cstheme="minorHAnsi"/>
          <w:color w:val="000000" w:themeColor="text1"/>
        </w:rPr>
        <w:t xml:space="preserve"> </w:t>
      </w:r>
      <w:r w:rsidR="00A73E6C">
        <w:rPr>
          <w:rFonts w:cstheme="minorHAnsi"/>
          <w:color w:val="000000" w:themeColor="text1"/>
        </w:rPr>
        <w:t>A recent Australian study</w:t>
      </w:r>
      <w:r w:rsidR="00B344AA">
        <w:rPr>
          <w:rStyle w:val="FootnoteReference"/>
          <w:rFonts w:cstheme="minorHAnsi"/>
          <w:color w:val="000000" w:themeColor="text1"/>
        </w:rPr>
        <w:footnoteReference w:id="5"/>
      </w:r>
      <w:r w:rsidR="00A73E6C">
        <w:rPr>
          <w:rFonts w:cstheme="minorHAnsi"/>
          <w:color w:val="000000" w:themeColor="text1"/>
        </w:rPr>
        <w:t xml:space="preserve"> has found that </w:t>
      </w:r>
      <w:r w:rsidR="00A73E6C" w:rsidRPr="003C22C7">
        <w:rPr>
          <w:rFonts w:cstheme="minorHAnsi"/>
          <w:color w:val="000000" w:themeColor="text1"/>
        </w:rPr>
        <w:t>on any given day, one in every ten</w:t>
      </w:r>
      <w:r w:rsidR="00A73E6C">
        <w:rPr>
          <w:rFonts w:cstheme="minorHAnsi"/>
          <w:color w:val="000000" w:themeColor="text1"/>
        </w:rPr>
        <w:t xml:space="preserve"> </w:t>
      </w:r>
      <w:r w:rsidR="00A73E6C" w:rsidRPr="003C22C7">
        <w:rPr>
          <w:rFonts w:cstheme="minorHAnsi"/>
          <w:color w:val="000000" w:themeColor="text1"/>
        </w:rPr>
        <w:t xml:space="preserve">acute adult inpatients </w:t>
      </w:r>
      <w:r w:rsidR="00A73E6C">
        <w:rPr>
          <w:rFonts w:cstheme="minorHAnsi"/>
          <w:color w:val="000000" w:themeColor="text1"/>
        </w:rPr>
        <w:t xml:space="preserve">in </w:t>
      </w:r>
      <w:r w:rsidR="00A73E6C" w:rsidRPr="003C22C7">
        <w:rPr>
          <w:rFonts w:cstheme="minorHAnsi"/>
          <w:color w:val="000000" w:themeColor="text1"/>
        </w:rPr>
        <w:t xml:space="preserve">has at least one </w:t>
      </w:r>
      <w:r w:rsidR="00A73E6C">
        <w:rPr>
          <w:rFonts w:cstheme="minorHAnsi"/>
          <w:color w:val="000000" w:themeColor="text1"/>
        </w:rPr>
        <w:t>hospital acquired infection.</w:t>
      </w:r>
    </w:p>
    <w:p w14:paraId="5803ED09" w14:textId="6EC8562D" w:rsidR="00DD642D" w:rsidRDefault="000C5C29" w:rsidP="00447099">
      <w:pPr>
        <w:jc w:val="both"/>
        <w:rPr>
          <w:rFonts w:cstheme="minorHAnsi"/>
          <w:color w:val="000000" w:themeColor="text1"/>
        </w:rPr>
      </w:pPr>
      <w:r>
        <w:rPr>
          <w:rFonts w:cstheme="minorHAnsi"/>
          <w:color w:val="000000" w:themeColor="text1"/>
        </w:rPr>
        <w:t xml:space="preserve">AMR can be slowed down </w:t>
      </w:r>
      <w:r w:rsidR="00DE3D15">
        <w:rPr>
          <w:rFonts w:cstheme="minorHAnsi"/>
          <w:color w:val="000000" w:themeColor="text1"/>
        </w:rPr>
        <w:t xml:space="preserve">through the judicious use of antimicrobials, a practice known as </w:t>
      </w:r>
      <w:r>
        <w:rPr>
          <w:rFonts w:cstheme="minorHAnsi"/>
          <w:color w:val="000000" w:themeColor="text1"/>
        </w:rPr>
        <w:t xml:space="preserve">Antimicrobial Stewardship (AMS), but it cannot be stopped. </w:t>
      </w:r>
      <w:r w:rsidR="005C5A7D" w:rsidRPr="005C5A7D">
        <w:rPr>
          <w:rFonts w:cstheme="minorHAnsi"/>
          <w:color w:val="000000" w:themeColor="text1"/>
        </w:rPr>
        <w:t>New antibiotics are urgently needed to</w:t>
      </w:r>
      <w:r w:rsidR="005C5A7D">
        <w:rPr>
          <w:rFonts w:cstheme="minorHAnsi"/>
          <w:color w:val="000000" w:themeColor="text1"/>
        </w:rPr>
        <w:t xml:space="preserve"> </w:t>
      </w:r>
      <w:r w:rsidR="005C5A7D" w:rsidRPr="005C5A7D">
        <w:rPr>
          <w:rFonts w:cstheme="minorHAnsi"/>
          <w:color w:val="000000" w:themeColor="text1"/>
        </w:rPr>
        <w:t>address growing resistance</w:t>
      </w:r>
      <w:r w:rsidR="00BF100B">
        <w:rPr>
          <w:rFonts w:cstheme="minorHAnsi"/>
          <w:color w:val="000000" w:themeColor="text1"/>
        </w:rPr>
        <w:t>,</w:t>
      </w:r>
      <w:r w:rsidR="005C5A7D" w:rsidRPr="005C5A7D">
        <w:rPr>
          <w:rFonts w:cstheme="minorHAnsi"/>
          <w:color w:val="000000" w:themeColor="text1"/>
        </w:rPr>
        <w:t xml:space="preserve"> however</w:t>
      </w:r>
      <w:r w:rsidR="005C5A7D">
        <w:rPr>
          <w:rFonts w:cstheme="minorHAnsi"/>
          <w:color w:val="000000" w:themeColor="text1"/>
        </w:rPr>
        <w:t xml:space="preserve"> </w:t>
      </w:r>
      <w:r w:rsidR="005C5A7D" w:rsidRPr="005C5A7D">
        <w:rPr>
          <w:rFonts w:cstheme="minorHAnsi"/>
          <w:color w:val="000000" w:themeColor="text1"/>
        </w:rPr>
        <w:t>there are relatively few in development.</w:t>
      </w:r>
      <w:r w:rsidR="005C5A7D">
        <w:rPr>
          <w:rFonts w:cstheme="minorHAnsi"/>
          <w:color w:val="000000" w:themeColor="text1"/>
        </w:rPr>
        <w:t xml:space="preserve"> </w:t>
      </w:r>
      <w:r w:rsidR="005C5A7D" w:rsidRPr="005C5A7D">
        <w:rPr>
          <w:rFonts w:cstheme="minorHAnsi"/>
          <w:color w:val="000000" w:themeColor="text1"/>
        </w:rPr>
        <w:t>Over the past two decades, there has</w:t>
      </w:r>
      <w:r w:rsidR="005C5A7D">
        <w:rPr>
          <w:rFonts w:cstheme="minorHAnsi"/>
          <w:color w:val="000000" w:themeColor="text1"/>
        </w:rPr>
        <w:t xml:space="preserve"> </w:t>
      </w:r>
      <w:r w:rsidR="005C5A7D" w:rsidRPr="005C5A7D">
        <w:rPr>
          <w:rFonts w:cstheme="minorHAnsi"/>
          <w:color w:val="000000" w:themeColor="text1"/>
        </w:rPr>
        <w:t>been a significant decline in the number</w:t>
      </w:r>
      <w:r w:rsidR="005C5A7D">
        <w:rPr>
          <w:rFonts w:cstheme="minorHAnsi"/>
          <w:color w:val="000000" w:themeColor="text1"/>
        </w:rPr>
        <w:t xml:space="preserve"> </w:t>
      </w:r>
      <w:r w:rsidR="005C5A7D" w:rsidRPr="005C5A7D">
        <w:rPr>
          <w:rFonts w:cstheme="minorHAnsi"/>
          <w:color w:val="000000" w:themeColor="text1"/>
        </w:rPr>
        <w:t xml:space="preserve">of companies conducting </w:t>
      </w:r>
      <w:r w:rsidR="00BF100B">
        <w:rPr>
          <w:rFonts w:cstheme="minorHAnsi"/>
          <w:color w:val="000000" w:themeColor="text1"/>
        </w:rPr>
        <w:t>antimicrobial research and development</w:t>
      </w:r>
      <w:r w:rsidR="005C5A7D" w:rsidRPr="005C5A7D">
        <w:rPr>
          <w:rFonts w:cstheme="minorHAnsi"/>
          <w:color w:val="000000" w:themeColor="text1"/>
        </w:rPr>
        <w:t xml:space="preserve">. Today, only </w:t>
      </w:r>
      <w:r w:rsidR="00DE3D15">
        <w:rPr>
          <w:rFonts w:cstheme="minorHAnsi"/>
          <w:color w:val="000000" w:themeColor="text1"/>
        </w:rPr>
        <w:t xml:space="preserve">a handful of </w:t>
      </w:r>
      <w:r w:rsidR="005C5A7D" w:rsidRPr="005C5A7D">
        <w:rPr>
          <w:rFonts w:cstheme="minorHAnsi"/>
          <w:color w:val="000000" w:themeColor="text1"/>
        </w:rPr>
        <w:t>pharmaceutical companies</w:t>
      </w:r>
      <w:r w:rsidR="00B03535">
        <w:rPr>
          <w:rFonts w:cstheme="minorHAnsi"/>
          <w:color w:val="000000" w:themeColor="text1"/>
        </w:rPr>
        <w:t>, including MSD,</w:t>
      </w:r>
      <w:r w:rsidR="005C5A7D" w:rsidRPr="005C5A7D">
        <w:rPr>
          <w:rFonts w:cstheme="minorHAnsi"/>
          <w:color w:val="000000" w:themeColor="text1"/>
        </w:rPr>
        <w:t xml:space="preserve"> have</w:t>
      </w:r>
      <w:r w:rsidR="005C5A7D">
        <w:rPr>
          <w:rFonts w:cstheme="minorHAnsi"/>
          <w:color w:val="000000" w:themeColor="text1"/>
        </w:rPr>
        <w:t xml:space="preserve"> </w:t>
      </w:r>
      <w:r w:rsidR="005C5A7D" w:rsidRPr="005C5A7D">
        <w:rPr>
          <w:rFonts w:cstheme="minorHAnsi"/>
          <w:color w:val="000000" w:themeColor="text1"/>
        </w:rPr>
        <w:t>antibiotics in clinical development.</w:t>
      </w:r>
      <w:r w:rsidR="005C5A7D">
        <w:rPr>
          <w:rFonts w:cstheme="minorHAnsi"/>
          <w:color w:val="000000" w:themeColor="text1"/>
        </w:rPr>
        <w:t xml:space="preserve"> </w:t>
      </w:r>
    </w:p>
    <w:p w14:paraId="69A720C6" w14:textId="2006FBE8" w:rsidR="006D5F29" w:rsidRPr="00D3300E" w:rsidRDefault="002F49E5" w:rsidP="00451DFE">
      <w:pPr>
        <w:pStyle w:val="Heading2"/>
      </w:pPr>
      <w:r w:rsidRPr="00D3300E">
        <w:t>Challenges to deve</w:t>
      </w:r>
      <w:r>
        <w:t>l</w:t>
      </w:r>
      <w:r w:rsidRPr="00D3300E">
        <w:t>oping new antimicrobials</w:t>
      </w:r>
    </w:p>
    <w:p w14:paraId="5A92CB47" w14:textId="6829AE8F" w:rsidR="00876BAE" w:rsidRDefault="00EC725B" w:rsidP="00447099">
      <w:r>
        <w:rPr>
          <w:rFonts w:cstheme="minorHAnsi"/>
          <w:color w:val="000000" w:themeColor="text1"/>
        </w:rPr>
        <w:t>T</w:t>
      </w:r>
      <w:r w:rsidR="002F49E5">
        <w:rPr>
          <w:rFonts w:cstheme="minorHAnsi"/>
          <w:color w:val="000000" w:themeColor="text1"/>
        </w:rPr>
        <w:t xml:space="preserve">he market for novel antimicrobials is broken. </w:t>
      </w:r>
      <w:r w:rsidR="00876BAE">
        <w:t>In Australia there are mult</w:t>
      </w:r>
      <w:r w:rsidR="004C07FA">
        <w:t>i</w:t>
      </w:r>
      <w:r w:rsidR="00876BAE">
        <w:t>ple challenges facing companies that invest in the development of novel antimicrobials:</w:t>
      </w:r>
    </w:p>
    <w:p w14:paraId="5840C72B" w14:textId="08459999" w:rsidR="001827BF" w:rsidRPr="00002F05" w:rsidRDefault="001827BF" w:rsidP="001827BF">
      <w:pPr>
        <w:numPr>
          <w:ilvl w:val="0"/>
          <w:numId w:val="4"/>
        </w:numPr>
        <w:autoSpaceDE w:val="0"/>
        <w:autoSpaceDN w:val="0"/>
        <w:adjustRightInd w:val="0"/>
        <w:spacing w:after="0" w:line="240" w:lineRule="auto"/>
        <w:contextualSpacing/>
        <w:jc w:val="both"/>
        <w:rPr>
          <w:rFonts w:eastAsia="Calibri" w:cs="Calibri"/>
        </w:rPr>
      </w:pPr>
      <w:r w:rsidRPr="00002F05">
        <w:rPr>
          <w:rFonts w:eastAsia="Calibri" w:cs="Calibri"/>
          <w:u w:val="single"/>
        </w:rPr>
        <w:t>Uptake of novel antimicrobials is slow</w:t>
      </w:r>
      <w:r w:rsidRPr="00002F05">
        <w:rPr>
          <w:rFonts w:eastAsia="Calibri" w:cs="Calibri"/>
        </w:rPr>
        <w:t xml:space="preserve"> as they are</w:t>
      </w:r>
      <w:r w:rsidR="00876BAE">
        <w:t xml:space="preserve"> typically held in reserve by healthcare practitioners until resistance has emerged to older treatments. This immediately limits the usage of a new product and the recouping of any research and development costs.</w:t>
      </w:r>
      <w:r w:rsidRPr="00002F05">
        <w:rPr>
          <w:rFonts w:eastAsia="Calibri" w:cs="Calibri"/>
        </w:rPr>
        <w:t xml:space="preserve"> </w:t>
      </w:r>
    </w:p>
    <w:p w14:paraId="4825B09C" w14:textId="0D3E1875" w:rsidR="001827BF" w:rsidRPr="00002F05" w:rsidRDefault="001827BF" w:rsidP="001827BF">
      <w:pPr>
        <w:numPr>
          <w:ilvl w:val="0"/>
          <w:numId w:val="4"/>
        </w:numPr>
        <w:autoSpaceDE w:val="0"/>
        <w:autoSpaceDN w:val="0"/>
        <w:adjustRightInd w:val="0"/>
        <w:spacing w:after="0" w:line="240" w:lineRule="auto"/>
        <w:contextualSpacing/>
        <w:jc w:val="both"/>
        <w:rPr>
          <w:rFonts w:eastAsia="Calibri" w:cs="Calibri"/>
        </w:rPr>
      </w:pPr>
      <w:r w:rsidRPr="00002F05">
        <w:rPr>
          <w:rFonts w:eastAsia="Calibri" w:cs="Calibri"/>
          <w:u w:val="single"/>
        </w:rPr>
        <w:lastRenderedPageBreak/>
        <w:t>There is no national reimbursement system</w:t>
      </w:r>
      <w:r w:rsidRPr="00002F05">
        <w:rPr>
          <w:rFonts w:eastAsia="Calibri" w:cs="Calibri"/>
        </w:rPr>
        <w:t xml:space="preserve"> for antimicrobials in Australia. They are purchased by individual hospitals, which have highly constrained budgets</w:t>
      </w:r>
      <w:r w:rsidR="005A0F7B">
        <w:rPr>
          <w:rStyle w:val="FootnoteReference"/>
          <w:rFonts w:eastAsia="Calibri" w:cs="Calibri"/>
        </w:rPr>
        <w:footnoteReference w:id="6"/>
      </w:r>
      <w:r w:rsidRPr="00002F05">
        <w:rPr>
          <w:rFonts w:eastAsia="Calibri" w:cs="Calibri"/>
        </w:rPr>
        <w:t>.</w:t>
      </w:r>
    </w:p>
    <w:p w14:paraId="68F53167" w14:textId="582D3695" w:rsidR="001827BF" w:rsidRPr="00002F05" w:rsidRDefault="001827BF" w:rsidP="001827BF">
      <w:pPr>
        <w:numPr>
          <w:ilvl w:val="0"/>
          <w:numId w:val="4"/>
        </w:numPr>
        <w:autoSpaceDE w:val="0"/>
        <w:autoSpaceDN w:val="0"/>
        <w:adjustRightInd w:val="0"/>
        <w:spacing w:after="0" w:line="240" w:lineRule="auto"/>
        <w:contextualSpacing/>
        <w:jc w:val="both"/>
        <w:rPr>
          <w:rFonts w:eastAsia="Calibri" w:cs="Calibri"/>
        </w:rPr>
      </w:pPr>
      <w:r w:rsidRPr="00002F05">
        <w:rPr>
          <w:rFonts w:eastAsia="Calibri" w:cs="Calibri"/>
        </w:rPr>
        <w:t xml:space="preserve">The need for hospitals to manage their budgets means that </w:t>
      </w:r>
      <w:r w:rsidRPr="00002F05">
        <w:rPr>
          <w:rFonts w:eastAsia="Calibri" w:cs="Calibri"/>
          <w:u w:val="single"/>
        </w:rPr>
        <w:t xml:space="preserve">the use of novel antimicrobials </w:t>
      </w:r>
      <w:r w:rsidR="00335647">
        <w:rPr>
          <w:rFonts w:eastAsia="Calibri" w:cs="Calibri"/>
          <w:u w:val="single"/>
        </w:rPr>
        <w:t>can be</w:t>
      </w:r>
      <w:r w:rsidRPr="00002F05">
        <w:rPr>
          <w:rFonts w:eastAsia="Calibri" w:cs="Calibri"/>
          <w:u w:val="single"/>
        </w:rPr>
        <w:t xml:space="preserve"> discouraged</w:t>
      </w:r>
      <w:r w:rsidRPr="00002F05">
        <w:rPr>
          <w:rFonts w:eastAsia="Calibri" w:cs="Calibri"/>
        </w:rPr>
        <w:t>, even when they may be a more appropriate treatment for a patient than a generic antimicrobial</w:t>
      </w:r>
      <w:r w:rsidR="00BB2E77">
        <w:rPr>
          <w:rStyle w:val="FootnoteReference"/>
          <w:rFonts w:eastAsia="Calibri" w:cs="Calibri"/>
        </w:rPr>
        <w:footnoteReference w:id="7"/>
      </w:r>
      <w:r w:rsidRPr="00002F05">
        <w:rPr>
          <w:rFonts w:eastAsia="Calibri" w:cs="Calibri"/>
        </w:rPr>
        <w:t xml:space="preserve">. </w:t>
      </w:r>
    </w:p>
    <w:p w14:paraId="2175295E" w14:textId="3CB1EEC3" w:rsidR="001827BF" w:rsidRDefault="001827BF" w:rsidP="001827BF">
      <w:pPr>
        <w:numPr>
          <w:ilvl w:val="0"/>
          <w:numId w:val="4"/>
        </w:numPr>
        <w:autoSpaceDE w:val="0"/>
        <w:autoSpaceDN w:val="0"/>
        <w:adjustRightInd w:val="0"/>
        <w:spacing w:after="0" w:line="240" w:lineRule="auto"/>
        <w:contextualSpacing/>
        <w:jc w:val="both"/>
        <w:rPr>
          <w:rFonts w:eastAsia="Calibri" w:cs="Calibri"/>
        </w:rPr>
      </w:pPr>
      <w:r w:rsidRPr="00002F05">
        <w:rPr>
          <w:rFonts w:eastAsia="Calibri" w:cs="Calibri"/>
          <w:u w:val="single"/>
        </w:rPr>
        <w:t>Novel antimicrobials are generally undervalued</w:t>
      </w:r>
      <w:r w:rsidRPr="00002F05">
        <w:rPr>
          <w:rFonts w:eastAsia="Calibri" w:cs="Calibri"/>
        </w:rPr>
        <w:t xml:space="preserve"> by reimbursement systems relative to the benefits they bring to society as indispensable, life-saving drugs, because of the low cost comparator, which is often generic</w:t>
      </w:r>
      <w:r w:rsidR="00BB2E77">
        <w:rPr>
          <w:rStyle w:val="FootnoteReference"/>
          <w:rFonts w:eastAsia="Calibri" w:cs="Calibri"/>
        </w:rPr>
        <w:footnoteReference w:id="8"/>
      </w:r>
      <w:r w:rsidRPr="00002F05">
        <w:rPr>
          <w:rFonts w:eastAsia="Calibri" w:cs="Calibri"/>
        </w:rPr>
        <w:t xml:space="preserve">. </w:t>
      </w:r>
    </w:p>
    <w:p w14:paraId="03F52B99" w14:textId="39F70F33" w:rsidR="00C96586" w:rsidRDefault="00C96586" w:rsidP="00C96586">
      <w:pPr>
        <w:pStyle w:val="Heading2"/>
      </w:pPr>
      <w:r>
        <w:t>Access to novel antimicrobials in Australia is limited</w:t>
      </w:r>
    </w:p>
    <w:p w14:paraId="6F964380" w14:textId="35BB72A7" w:rsidR="00C96586" w:rsidRDefault="00C96586" w:rsidP="00C96586">
      <w:pPr>
        <w:jc w:val="both"/>
      </w:pPr>
      <w:r>
        <w:t>Of the 19 antimicrobials considered to be novel which have been registered in Europe and/or the US in the last decade, only 3 have been registered in Australia</w:t>
      </w:r>
      <w:r w:rsidR="00936132">
        <w:t xml:space="preserve">, as the cost of entering the market is </w:t>
      </w:r>
      <w:r w:rsidR="00593287">
        <w:t xml:space="preserve">often </w:t>
      </w:r>
      <w:r w:rsidR="00936132">
        <w:t>greater than the potential returns</w:t>
      </w:r>
      <w:r>
        <w:t xml:space="preserve"> (see Appendix A for details). Clinicians are desperate to access these therapies for cases where patients who have multi-drug-resistant infections do not respond to the available options. </w:t>
      </w:r>
    </w:p>
    <w:p w14:paraId="12E259F2" w14:textId="2428F861" w:rsidR="009E5E7B" w:rsidRDefault="00BF100B" w:rsidP="009E5E7B">
      <w:pPr>
        <w:pStyle w:val="Heading1"/>
      </w:pPr>
      <w:r>
        <w:t>AN AUSTRALIAN PILOT WOULD SHOW GLOBAL LEADERSHIP</w:t>
      </w:r>
    </w:p>
    <w:p w14:paraId="49325242" w14:textId="4231F04C" w:rsidR="00CF4CD8" w:rsidRDefault="00CF4CD8" w:rsidP="00451DFE">
      <w:pPr>
        <w:pStyle w:val="Heading2"/>
      </w:pPr>
      <w:r>
        <w:t>New approaches to funding antibiotics in the UK and Sweden</w:t>
      </w:r>
    </w:p>
    <w:p w14:paraId="51867F18" w14:textId="5ACE0B6F" w:rsidR="004C07FA" w:rsidRDefault="004C07FA" w:rsidP="000D1A05">
      <w:pPr>
        <w:jc w:val="both"/>
      </w:pPr>
      <w:r>
        <w:t xml:space="preserve">In order to </w:t>
      </w:r>
      <w:r w:rsidR="00335647">
        <w:t xml:space="preserve">stimulate </w:t>
      </w:r>
      <w:r w:rsidR="00B862A1">
        <w:t>the</w:t>
      </w:r>
      <w:r>
        <w:t xml:space="preserve"> ‘broken market’ a new approach to funding is required. The UK recently launched a pilot</w:t>
      </w:r>
      <w:r w:rsidR="00D33F9F">
        <w:rPr>
          <w:rStyle w:val="FootnoteReference"/>
        </w:rPr>
        <w:footnoteReference w:id="9"/>
      </w:r>
      <w:r>
        <w:t xml:space="preserve"> using a ‘de-linked’ model</w:t>
      </w:r>
      <w:r w:rsidR="00335647">
        <w:t xml:space="preserve">, in which </w:t>
      </w:r>
      <w:r>
        <w:t xml:space="preserve">companies </w:t>
      </w:r>
      <w:r w:rsidR="00335647">
        <w:t xml:space="preserve">are </w:t>
      </w:r>
      <w:r>
        <w:t xml:space="preserve">paid an annual subscription fee to </w:t>
      </w:r>
      <w:r w:rsidR="00577357">
        <w:t>supply</w:t>
      </w:r>
      <w:r>
        <w:t xml:space="preserve"> as much or as little of an antimicrobial as required</w:t>
      </w:r>
      <w:r w:rsidR="00577357">
        <w:t>. This</w:t>
      </w:r>
      <w:r>
        <w:t xml:space="preserve"> result</w:t>
      </w:r>
      <w:r w:rsidR="00577357">
        <w:t>s</w:t>
      </w:r>
      <w:r>
        <w:t xml:space="preserve"> in more pre</w:t>
      </w:r>
      <w:r w:rsidR="00894FE3">
        <w:t xml:space="preserve">dictable revenue for the manufacturer, and coverage for the </w:t>
      </w:r>
      <w:r w:rsidR="00335647">
        <w:t xml:space="preserve">health system </w:t>
      </w:r>
      <w:r w:rsidR="00894FE3">
        <w:t>in the event of disease outbreaks</w:t>
      </w:r>
      <w:r w:rsidR="00BB2E77">
        <w:rPr>
          <w:rStyle w:val="FootnoteReference"/>
        </w:rPr>
        <w:footnoteReference w:id="10"/>
      </w:r>
      <w:r w:rsidR="00894FE3">
        <w:t xml:space="preserve">. In other words, companies </w:t>
      </w:r>
      <w:r w:rsidR="00335647">
        <w:t xml:space="preserve">are paid </w:t>
      </w:r>
      <w:r w:rsidR="00894FE3">
        <w:t xml:space="preserve">for </w:t>
      </w:r>
      <w:r w:rsidR="00335647">
        <w:t>a</w:t>
      </w:r>
      <w:r w:rsidR="00894FE3">
        <w:t xml:space="preserve">ntimicrobials based on their </w:t>
      </w:r>
      <w:r w:rsidR="00894FE3" w:rsidRPr="00894FE3">
        <w:rPr>
          <w:u w:val="single"/>
        </w:rPr>
        <w:t>expected value</w:t>
      </w:r>
      <w:r w:rsidR="00894FE3">
        <w:t xml:space="preserve"> to the health system, as opposed to the </w:t>
      </w:r>
      <w:r w:rsidR="00894FE3" w:rsidRPr="00894FE3">
        <w:rPr>
          <w:u w:val="single"/>
        </w:rPr>
        <w:t>actual volume</w:t>
      </w:r>
      <w:r w:rsidR="00894FE3">
        <w:t xml:space="preserve"> used. </w:t>
      </w:r>
    </w:p>
    <w:p w14:paraId="55F89FEA" w14:textId="6FF7594D" w:rsidR="00CF4CD8" w:rsidRDefault="00CF4CD8" w:rsidP="000D1A05">
      <w:pPr>
        <w:jc w:val="both"/>
      </w:pPr>
      <w:r>
        <w:t>In Sweden a new reimbursement model is being piloted</w:t>
      </w:r>
      <w:r w:rsidR="000F1180">
        <w:rPr>
          <w:rStyle w:val="FootnoteReference"/>
        </w:rPr>
        <w:footnoteReference w:id="11"/>
      </w:r>
      <w:r>
        <w:t xml:space="preserve"> which aims to ensure the availability of new antibiotics of special medical value</w:t>
      </w:r>
      <w:r w:rsidR="006D0933">
        <w:t xml:space="preserve"> via shared payments from national and regional governments</w:t>
      </w:r>
      <w:r>
        <w:t xml:space="preserve">. </w:t>
      </w:r>
      <w:r w:rsidR="00E464C4">
        <w:t>Pharmaceutical</w:t>
      </w:r>
      <w:r>
        <w:t xml:space="preserve"> companies that </w:t>
      </w:r>
      <w:r w:rsidR="006D0933">
        <w:t>enter</w:t>
      </w:r>
      <w:r>
        <w:t xml:space="preserve"> into contracts and </w:t>
      </w:r>
      <w:r w:rsidR="003D35C5">
        <w:t xml:space="preserve">fulfil </w:t>
      </w:r>
      <w:r>
        <w:t xml:space="preserve">the requirements for availability </w:t>
      </w:r>
      <w:r w:rsidR="006D0933">
        <w:t>will be</w:t>
      </w:r>
      <w:r>
        <w:t xml:space="preserve"> guaranteed a certain annual income at the national level. Regions will continue to buy and pay as usual for the products. </w:t>
      </w:r>
      <w:r w:rsidR="00FA76FA">
        <w:t>If the actual income from regions to the companies is lower than the guaranteed income for a given year, the difference will be paid from the national level. If, on the other hand, revenue from the sales exceeds the guaranteed level for a given year, the company receive</w:t>
      </w:r>
      <w:r w:rsidR="006D0933">
        <w:t>s</w:t>
      </w:r>
      <w:r w:rsidR="00FA76FA">
        <w:t xml:space="preserve"> 10% of the value of the guaranteed annual compensation, for fulfilling availability requirements. </w:t>
      </w:r>
      <w:r>
        <w:t xml:space="preserve"> </w:t>
      </w:r>
    </w:p>
    <w:p w14:paraId="7F29DE7F" w14:textId="791F9D44" w:rsidR="00AF0D6E" w:rsidRDefault="00AF0D6E" w:rsidP="000D1A05">
      <w:pPr>
        <w:jc w:val="both"/>
      </w:pPr>
      <w:r>
        <w:t>Elements of both these new approaches could be incorporated into an Australian pilot, such as the UK’s de-linked model, and Sweden’s cost-sharing arrangements between national and regional governments.</w:t>
      </w:r>
    </w:p>
    <w:p w14:paraId="6DDE34C2" w14:textId="23E9D470" w:rsidR="004C07FA" w:rsidRDefault="000C66C2" w:rsidP="00451DFE">
      <w:pPr>
        <w:pStyle w:val="Heading2"/>
      </w:pPr>
      <w:r>
        <w:t xml:space="preserve">Principles of the </w:t>
      </w:r>
      <w:r w:rsidR="00135CD5">
        <w:t xml:space="preserve">proposed </w:t>
      </w:r>
      <w:r w:rsidR="00A54DEF">
        <w:t>p</w:t>
      </w:r>
      <w:r>
        <w:t>ilot</w:t>
      </w:r>
    </w:p>
    <w:p w14:paraId="6691E1FB" w14:textId="6F4BDA4B" w:rsidR="00EE164B" w:rsidRDefault="000C66C2" w:rsidP="000D1A05">
      <w:pPr>
        <w:jc w:val="both"/>
      </w:pPr>
      <w:r>
        <w:t xml:space="preserve">In order to </w:t>
      </w:r>
      <w:r w:rsidR="003D35C5">
        <w:t>limit</w:t>
      </w:r>
      <w:r>
        <w:t xml:space="preserve"> the </w:t>
      </w:r>
      <w:r w:rsidR="00D82683">
        <w:t>innovative</w:t>
      </w:r>
      <w:r w:rsidR="00347907">
        <w:t xml:space="preserve"> </w:t>
      </w:r>
      <w:r>
        <w:t>fund concept to a workable pilot, the following principles are proposed:</w:t>
      </w:r>
    </w:p>
    <w:p w14:paraId="0C5383B6" w14:textId="77777777" w:rsidR="00867008" w:rsidRDefault="00867008" w:rsidP="00867008">
      <w:pPr>
        <w:pStyle w:val="ListParagraph"/>
        <w:numPr>
          <w:ilvl w:val="0"/>
          <w:numId w:val="13"/>
        </w:numPr>
        <w:spacing w:line="254" w:lineRule="auto"/>
        <w:jc w:val="both"/>
      </w:pPr>
      <w:r>
        <w:t xml:space="preserve">The pilot should use the </w:t>
      </w:r>
      <w:r>
        <w:rPr>
          <w:b/>
          <w:bCs/>
        </w:rPr>
        <w:t>de-linked model</w:t>
      </w:r>
      <w:r>
        <w:t xml:space="preserve"> whereby an annual subscription fee is paid regardless of the amount of antimicrobial used. </w:t>
      </w:r>
    </w:p>
    <w:p w14:paraId="7AF09A55" w14:textId="23A9FDBD" w:rsidR="00867008" w:rsidRPr="006D0933" w:rsidRDefault="006D0933" w:rsidP="00867008">
      <w:pPr>
        <w:pStyle w:val="ListParagraph"/>
        <w:numPr>
          <w:ilvl w:val="0"/>
          <w:numId w:val="13"/>
        </w:numPr>
        <w:spacing w:line="254" w:lineRule="auto"/>
        <w:jc w:val="both"/>
      </w:pPr>
      <w:r>
        <w:t xml:space="preserve">The pilot should be </w:t>
      </w:r>
      <w:r w:rsidRPr="00936132">
        <w:rPr>
          <w:b/>
          <w:bCs/>
        </w:rPr>
        <w:t xml:space="preserve">jointly </w:t>
      </w:r>
      <w:r w:rsidR="00936132">
        <w:rPr>
          <w:b/>
          <w:bCs/>
        </w:rPr>
        <w:t>supported</w:t>
      </w:r>
      <w:r w:rsidRPr="00936132">
        <w:rPr>
          <w:b/>
          <w:bCs/>
        </w:rPr>
        <w:t xml:space="preserve"> by the</w:t>
      </w:r>
      <w:r w:rsidR="00867008" w:rsidRPr="00936132">
        <w:rPr>
          <w:b/>
          <w:bCs/>
        </w:rPr>
        <w:t xml:space="preserve"> Commonwealth and State Governments</w:t>
      </w:r>
      <w:r w:rsidR="00867008">
        <w:t xml:space="preserve">. The National Blood Authority </w:t>
      </w:r>
      <w:r w:rsidR="00936132">
        <w:t>provides an example of a joint funding model.</w:t>
      </w:r>
      <w:r w:rsidR="00867008" w:rsidRPr="006D0933">
        <w:t xml:space="preserve"> </w:t>
      </w:r>
    </w:p>
    <w:p w14:paraId="17EDF546" w14:textId="7A2299CB" w:rsidR="00EE164B" w:rsidRDefault="000C66C2" w:rsidP="000D1A05">
      <w:pPr>
        <w:pStyle w:val="ListParagraph"/>
        <w:numPr>
          <w:ilvl w:val="0"/>
          <w:numId w:val="13"/>
        </w:numPr>
        <w:spacing w:line="256" w:lineRule="auto"/>
        <w:jc w:val="both"/>
      </w:pPr>
      <w:r>
        <w:t xml:space="preserve">The pilot should be reserved for </w:t>
      </w:r>
      <w:r w:rsidR="00867008" w:rsidRPr="00936132">
        <w:rPr>
          <w:b/>
          <w:bCs/>
        </w:rPr>
        <w:t xml:space="preserve">up to five </w:t>
      </w:r>
      <w:r w:rsidRPr="00936132">
        <w:rPr>
          <w:b/>
          <w:bCs/>
        </w:rPr>
        <w:t>drugs which treat organisms for which the impact of resistance is high in the hospital setting</w:t>
      </w:r>
      <w:r>
        <w:t xml:space="preserve">. For example, carbapenem-resistant </w:t>
      </w:r>
      <w:r w:rsidRPr="00423C76">
        <w:rPr>
          <w:i/>
        </w:rPr>
        <w:t>Pseudomonas aeruginosa</w:t>
      </w:r>
      <w:r>
        <w:t xml:space="preserve"> is a priority 1 pathogen according the World Health Organisation</w:t>
      </w:r>
      <w:r>
        <w:rPr>
          <w:rStyle w:val="FootnoteReference"/>
        </w:rPr>
        <w:footnoteReference w:id="12"/>
      </w:r>
      <w:r>
        <w:t>, and is a major emerging AMR threat in Australia</w:t>
      </w:r>
      <w:r>
        <w:rPr>
          <w:rStyle w:val="FootnoteReference"/>
        </w:rPr>
        <w:footnoteReference w:id="13"/>
      </w:r>
      <w:r>
        <w:t xml:space="preserve">. Novel antibiotics to treat this pathogen are available, but they are expensive compared to cheaper generic options, so can be under-used, even when they are the most appropriate choice. </w:t>
      </w:r>
    </w:p>
    <w:p w14:paraId="1C730273" w14:textId="2A5D664C" w:rsidR="00867008" w:rsidRPr="00C136E3" w:rsidRDefault="00867008" w:rsidP="000D1A05">
      <w:pPr>
        <w:pStyle w:val="ListParagraph"/>
        <w:numPr>
          <w:ilvl w:val="0"/>
          <w:numId w:val="13"/>
        </w:numPr>
        <w:spacing w:line="256" w:lineRule="auto"/>
        <w:jc w:val="both"/>
      </w:pPr>
      <w:r w:rsidRPr="00C136E3">
        <w:t xml:space="preserve">The pilot should </w:t>
      </w:r>
      <w:r w:rsidR="00B05A26" w:rsidRPr="00936132">
        <w:t xml:space="preserve">ensure </w:t>
      </w:r>
      <w:r w:rsidR="00B05A26" w:rsidRPr="00936132">
        <w:rPr>
          <w:b/>
          <w:bCs/>
        </w:rPr>
        <w:t>equity of access</w:t>
      </w:r>
      <w:r w:rsidR="00B05A26" w:rsidRPr="00936132">
        <w:t xml:space="preserve"> to the chosen drugs across metropolitan</w:t>
      </w:r>
      <w:r w:rsidR="00134E54" w:rsidRPr="00936132">
        <w:t xml:space="preserve">, </w:t>
      </w:r>
      <w:r w:rsidR="00B027E9" w:rsidRPr="00936132">
        <w:t>rural and remote</w:t>
      </w:r>
      <w:r w:rsidR="00B05A26" w:rsidRPr="00936132">
        <w:t xml:space="preserve"> Australia</w:t>
      </w:r>
      <w:r w:rsidR="00B027E9" w:rsidRPr="00936132">
        <w:t>,</w:t>
      </w:r>
      <w:r w:rsidR="00B05A26" w:rsidRPr="00936132">
        <w:t xml:space="preserve"> in all states and </w:t>
      </w:r>
      <w:r w:rsidR="00E464C4" w:rsidRPr="00C136E3">
        <w:t>territories</w:t>
      </w:r>
      <w:r w:rsidR="00B05A26" w:rsidRPr="00936132">
        <w:t xml:space="preserve">. </w:t>
      </w:r>
    </w:p>
    <w:p w14:paraId="671AEF33" w14:textId="0AFEA479" w:rsidR="00EE164B" w:rsidRDefault="00EE164B" w:rsidP="000D1A05">
      <w:pPr>
        <w:pStyle w:val="ListParagraph"/>
        <w:numPr>
          <w:ilvl w:val="0"/>
          <w:numId w:val="13"/>
        </w:numPr>
        <w:spacing w:line="256" w:lineRule="auto"/>
        <w:jc w:val="both"/>
      </w:pPr>
      <w:r>
        <w:t xml:space="preserve">The pilot should support </w:t>
      </w:r>
      <w:r w:rsidRPr="00936132">
        <w:rPr>
          <w:b/>
          <w:bCs/>
        </w:rPr>
        <w:t>the AMS principle of using the right drug for the right patient</w:t>
      </w:r>
      <w:r>
        <w:t>, for the right organisms, at the right dose, at the right time, so that usage is always based on clinical need</w:t>
      </w:r>
      <w:r w:rsidR="00577357">
        <w:t xml:space="preserve"> and appropriate use</w:t>
      </w:r>
      <w:r>
        <w:t xml:space="preserve"> rather than the cost of an antibiotic.</w:t>
      </w:r>
    </w:p>
    <w:p w14:paraId="0F575A49" w14:textId="77777777" w:rsidR="00EE164B" w:rsidRDefault="00EE164B" w:rsidP="000D1A05">
      <w:pPr>
        <w:pStyle w:val="ListParagraph"/>
        <w:numPr>
          <w:ilvl w:val="0"/>
          <w:numId w:val="13"/>
        </w:numPr>
        <w:spacing w:line="256" w:lineRule="auto"/>
        <w:jc w:val="both"/>
      </w:pPr>
      <w:r>
        <w:t xml:space="preserve">The pilot should recognise the </w:t>
      </w:r>
      <w:r w:rsidRPr="00936132">
        <w:rPr>
          <w:b/>
          <w:bCs/>
        </w:rPr>
        <w:t>broader social value</w:t>
      </w:r>
      <w:r>
        <w:t xml:space="preserve"> of making novel antibiotics available, while at the same time preserving their use according to AMS principles. </w:t>
      </w:r>
    </w:p>
    <w:p w14:paraId="252F656F" w14:textId="77777777" w:rsidR="00EE164B" w:rsidRDefault="00EE164B" w:rsidP="000D1A05">
      <w:pPr>
        <w:pStyle w:val="ListParagraph"/>
        <w:numPr>
          <w:ilvl w:val="0"/>
          <w:numId w:val="13"/>
        </w:numPr>
        <w:spacing w:line="256" w:lineRule="auto"/>
        <w:jc w:val="both"/>
      </w:pPr>
      <w:r>
        <w:t xml:space="preserve">The pilot should act as a signal to industry that the government is willing to create a </w:t>
      </w:r>
      <w:r w:rsidRPr="00936132">
        <w:rPr>
          <w:b/>
          <w:bCs/>
        </w:rPr>
        <w:t>stable market for novel antimicrobials</w:t>
      </w:r>
      <w:r>
        <w:t>.</w:t>
      </w:r>
    </w:p>
    <w:p w14:paraId="4DC96528" w14:textId="19F33D4B" w:rsidR="00E252B9" w:rsidRDefault="00EE164B" w:rsidP="000D1A05">
      <w:pPr>
        <w:pStyle w:val="ListParagraph"/>
        <w:numPr>
          <w:ilvl w:val="0"/>
          <w:numId w:val="13"/>
        </w:numPr>
        <w:spacing w:line="256" w:lineRule="auto"/>
        <w:jc w:val="both"/>
      </w:pPr>
      <w:r>
        <w:t xml:space="preserve">The pilot </w:t>
      </w:r>
      <w:r w:rsidR="00B15516">
        <w:t>will</w:t>
      </w:r>
      <w:r>
        <w:t xml:space="preserve"> establish </w:t>
      </w:r>
      <w:r w:rsidRPr="00936132">
        <w:rPr>
          <w:b/>
          <w:bCs/>
        </w:rPr>
        <w:t>Australia as a</w:t>
      </w:r>
      <w:r w:rsidR="000C66C2" w:rsidRPr="00936132">
        <w:rPr>
          <w:b/>
          <w:bCs/>
        </w:rPr>
        <w:t xml:space="preserve">n </w:t>
      </w:r>
      <w:r w:rsidR="00A54DEF" w:rsidRPr="00936132">
        <w:rPr>
          <w:b/>
          <w:bCs/>
        </w:rPr>
        <w:t xml:space="preserve">AMR </w:t>
      </w:r>
      <w:r w:rsidR="000C66C2" w:rsidRPr="00936132">
        <w:rPr>
          <w:b/>
          <w:bCs/>
        </w:rPr>
        <w:t>policy</w:t>
      </w:r>
      <w:r w:rsidRPr="00936132">
        <w:rPr>
          <w:b/>
          <w:bCs/>
        </w:rPr>
        <w:t xml:space="preserve"> leader</w:t>
      </w:r>
      <w:r>
        <w:t xml:space="preserve"> by providing an example for other countries to follow to help address the growing, global threat of AMR.</w:t>
      </w:r>
    </w:p>
    <w:p w14:paraId="258679C7" w14:textId="09E37284" w:rsidR="00A54DEF" w:rsidRDefault="00A54DEF" w:rsidP="00A54DEF">
      <w:pPr>
        <w:pStyle w:val="Heading2"/>
      </w:pPr>
      <w:r>
        <w:t>How the pilot would work</w:t>
      </w:r>
    </w:p>
    <w:p w14:paraId="6FE06C96" w14:textId="6FE31BD3" w:rsidR="002134FD" w:rsidRDefault="002134FD" w:rsidP="000D1A05">
      <w:pPr>
        <w:jc w:val="both"/>
      </w:pPr>
      <w:r w:rsidRPr="002134FD">
        <w:t xml:space="preserve">MSD </w:t>
      </w:r>
      <w:r w:rsidR="00B862A1">
        <w:t>is proposing</w:t>
      </w:r>
      <w:r>
        <w:t xml:space="preserve"> a three-year pilot which </w:t>
      </w:r>
      <w:r w:rsidR="00B862A1">
        <w:t xml:space="preserve">would </w:t>
      </w:r>
      <w:r>
        <w:t xml:space="preserve">fund </w:t>
      </w:r>
      <w:r w:rsidR="00386AF5">
        <w:t xml:space="preserve">up to five </w:t>
      </w:r>
      <w:r>
        <w:t xml:space="preserve">novel antimicrobials, structured as </w:t>
      </w:r>
      <w:r w:rsidR="00FC259D">
        <w:t>shown in Figure 1</w:t>
      </w:r>
      <w:r>
        <w:t>.</w:t>
      </w:r>
      <w:r w:rsidR="00FC259D">
        <w:t xml:space="preserve"> </w:t>
      </w:r>
    </w:p>
    <w:p w14:paraId="76AF6CE1" w14:textId="600FD95A" w:rsidR="00D374AA" w:rsidRDefault="00AD36CB" w:rsidP="000D1A05">
      <w:pPr>
        <w:jc w:val="both"/>
      </w:pPr>
      <w:r>
        <w:rPr>
          <w:noProof/>
          <w:lang w:eastAsia="en-AU"/>
        </w:rPr>
        <w:drawing>
          <wp:inline distT="0" distB="0" distL="0" distR="0" wp14:anchorId="4023F82D" wp14:editId="052F20AC">
            <wp:extent cx="6191250" cy="283842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11295" cy="2847619"/>
                    </a:xfrm>
                    <a:prstGeom prst="rect">
                      <a:avLst/>
                    </a:prstGeom>
                    <a:noFill/>
                  </pic:spPr>
                </pic:pic>
              </a:graphicData>
            </a:graphic>
          </wp:inline>
        </w:drawing>
      </w:r>
    </w:p>
    <w:p w14:paraId="12A32B9C" w14:textId="2FDAA40B" w:rsidR="00EE164B" w:rsidRPr="007227FB" w:rsidRDefault="00EE164B" w:rsidP="00EE164B">
      <w:pPr>
        <w:jc w:val="center"/>
        <w:rPr>
          <w:b/>
          <w:i/>
        </w:rPr>
      </w:pPr>
      <w:r w:rsidRPr="007227FB">
        <w:rPr>
          <w:b/>
          <w:i/>
        </w:rPr>
        <w:t>Figure 1 – Pilot Structure</w:t>
      </w:r>
    </w:p>
    <w:p w14:paraId="548F14B6" w14:textId="77777777" w:rsidR="00A54DEF" w:rsidRDefault="00A54DEF" w:rsidP="00A54DEF">
      <w:pPr>
        <w:pStyle w:val="ListParagraph"/>
        <w:numPr>
          <w:ilvl w:val="0"/>
          <w:numId w:val="14"/>
        </w:numPr>
        <w:spacing w:line="256" w:lineRule="auto"/>
        <w:jc w:val="both"/>
      </w:pPr>
      <w:r>
        <w:t xml:space="preserve">A pre-pilot phase would establish: </w:t>
      </w:r>
    </w:p>
    <w:p w14:paraId="101A6A8E" w14:textId="77777777" w:rsidR="00A54DEF" w:rsidRDefault="00A54DEF" w:rsidP="00A54DEF">
      <w:pPr>
        <w:pStyle w:val="ListParagraph"/>
        <w:numPr>
          <w:ilvl w:val="1"/>
          <w:numId w:val="14"/>
        </w:numPr>
        <w:spacing w:line="256" w:lineRule="auto"/>
        <w:jc w:val="both"/>
      </w:pPr>
      <w:r>
        <w:t xml:space="preserve">a review panel </w:t>
      </w:r>
    </w:p>
    <w:p w14:paraId="6076744B" w14:textId="77777777" w:rsidR="00A54DEF" w:rsidRDefault="00A54DEF" w:rsidP="00A54DEF">
      <w:pPr>
        <w:pStyle w:val="ListParagraph"/>
        <w:numPr>
          <w:ilvl w:val="1"/>
          <w:numId w:val="14"/>
        </w:numPr>
        <w:spacing w:line="256" w:lineRule="auto"/>
        <w:jc w:val="both"/>
      </w:pPr>
      <w:r>
        <w:t>selection criteria for drugs entering the pilot</w:t>
      </w:r>
    </w:p>
    <w:p w14:paraId="3B584F9E" w14:textId="77777777" w:rsidR="00A54DEF" w:rsidRDefault="00A54DEF" w:rsidP="00A54DEF">
      <w:pPr>
        <w:pStyle w:val="ListParagraph"/>
        <w:numPr>
          <w:ilvl w:val="1"/>
          <w:numId w:val="14"/>
        </w:numPr>
        <w:spacing w:line="256" w:lineRule="auto"/>
        <w:jc w:val="both"/>
      </w:pPr>
      <w:r>
        <w:t>a ‘pragmatic’ valuation approach for the drugs entering the pilot</w:t>
      </w:r>
    </w:p>
    <w:p w14:paraId="45F3293B" w14:textId="77777777" w:rsidR="00A54DEF" w:rsidRDefault="00A54DEF" w:rsidP="00A54DEF">
      <w:pPr>
        <w:pStyle w:val="ListParagraph"/>
        <w:numPr>
          <w:ilvl w:val="1"/>
          <w:numId w:val="14"/>
        </w:numPr>
        <w:spacing w:line="256" w:lineRule="auto"/>
        <w:jc w:val="both"/>
      </w:pPr>
      <w:r>
        <w:t>success criteria for the pilot</w:t>
      </w:r>
    </w:p>
    <w:p w14:paraId="1C818531" w14:textId="77777777" w:rsidR="00A54DEF" w:rsidRDefault="00A54DEF" w:rsidP="00A54DEF">
      <w:pPr>
        <w:pStyle w:val="ListParagraph"/>
        <w:numPr>
          <w:ilvl w:val="1"/>
          <w:numId w:val="14"/>
        </w:numPr>
        <w:spacing w:line="256" w:lineRule="auto"/>
        <w:jc w:val="both"/>
      </w:pPr>
      <w:r>
        <w:t>surveillance and measurement requirements</w:t>
      </w:r>
    </w:p>
    <w:p w14:paraId="2FDF6A97" w14:textId="4A7469C4" w:rsidR="00A54DEF" w:rsidRDefault="00A54DEF" w:rsidP="00A54DEF">
      <w:pPr>
        <w:pStyle w:val="ListParagraph"/>
        <w:numPr>
          <w:ilvl w:val="0"/>
          <w:numId w:val="14"/>
        </w:numPr>
        <w:spacing w:line="256" w:lineRule="auto"/>
        <w:jc w:val="both"/>
      </w:pPr>
      <w:r>
        <w:t xml:space="preserve">Sponsors would apply to enter the pilot, and the review panel would select </w:t>
      </w:r>
      <w:r w:rsidR="00386AF5">
        <w:t xml:space="preserve">up to five </w:t>
      </w:r>
      <w:r>
        <w:t>drugs according to the agreed selection criteria, for example:</w:t>
      </w:r>
    </w:p>
    <w:p w14:paraId="2908E8C4" w14:textId="77777777" w:rsidR="00A54DEF" w:rsidRDefault="00A54DEF" w:rsidP="00A54DEF">
      <w:pPr>
        <w:pStyle w:val="ListParagraph"/>
        <w:numPr>
          <w:ilvl w:val="1"/>
          <w:numId w:val="14"/>
        </w:numPr>
        <w:spacing w:line="256" w:lineRule="auto"/>
        <w:jc w:val="both"/>
      </w:pPr>
      <w:r>
        <w:t>the drug targets a priority pathogen</w:t>
      </w:r>
    </w:p>
    <w:p w14:paraId="55D66CBC" w14:textId="6F0A4EC1" w:rsidR="00A54DEF" w:rsidRDefault="00A54DEF" w:rsidP="00A54DEF">
      <w:pPr>
        <w:pStyle w:val="ListParagraph"/>
        <w:numPr>
          <w:ilvl w:val="1"/>
          <w:numId w:val="14"/>
        </w:numPr>
        <w:spacing w:line="256" w:lineRule="auto"/>
        <w:jc w:val="both"/>
      </w:pPr>
      <w:r>
        <w:t xml:space="preserve">susceptibility rates, resistance trends and </w:t>
      </w:r>
      <w:r w:rsidR="00D543DF">
        <w:t xml:space="preserve">real world evidence </w:t>
      </w:r>
      <w:r>
        <w:t>for the drug are available</w:t>
      </w:r>
    </w:p>
    <w:p w14:paraId="1E1657B8" w14:textId="77777777" w:rsidR="00A54DEF" w:rsidRDefault="00A54DEF" w:rsidP="00A54DEF">
      <w:pPr>
        <w:pStyle w:val="ListParagraph"/>
        <w:numPr>
          <w:ilvl w:val="1"/>
          <w:numId w:val="14"/>
        </w:numPr>
        <w:spacing w:line="256" w:lineRule="auto"/>
        <w:jc w:val="both"/>
      </w:pPr>
      <w:r>
        <w:t>the drug has the ability to overcome mechanisms of resistance</w:t>
      </w:r>
    </w:p>
    <w:p w14:paraId="5A2FE524" w14:textId="77777777" w:rsidR="00A54DEF" w:rsidRDefault="00A54DEF" w:rsidP="00A54DEF">
      <w:pPr>
        <w:pStyle w:val="ListParagraph"/>
        <w:numPr>
          <w:ilvl w:val="1"/>
          <w:numId w:val="14"/>
        </w:numPr>
        <w:spacing w:line="256" w:lineRule="auto"/>
        <w:jc w:val="both"/>
      </w:pPr>
      <w:r>
        <w:t>the drug is a new class or an extension of existing class</w:t>
      </w:r>
    </w:p>
    <w:p w14:paraId="7A7671DD" w14:textId="77777777" w:rsidR="00A54DEF" w:rsidRDefault="00A54DEF" w:rsidP="00A54DEF">
      <w:pPr>
        <w:pStyle w:val="ListParagraph"/>
        <w:numPr>
          <w:ilvl w:val="1"/>
          <w:numId w:val="14"/>
        </w:numPr>
        <w:spacing w:line="256" w:lineRule="auto"/>
        <w:jc w:val="both"/>
      </w:pPr>
      <w:r>
        <w:t>the sponsoring company has the ability to engage with the process over time</w:t>
      </w:r>
    </w:p>
    <w:p w14:paraId="2CFB18AF" w14:textId="77777777" w:rsidR="00A54DEF" w:rsidRDefault="00A54DEF" w:rsidP="00A54DEF">
      <w:pPr>
        <w:pStyle w:val="ListParagraph"/>
        <w:numPr>
          <w:ilvl w:val="1"/>
          <w:numId w:val="14"/>
        </w:numPr>
        <w:spacing w:line="256" w:lineRule="auto"/>
        <w:jc w:val="both"/>
      </w:pPr>
      <w:r>
        <w:t>the sponsoring company can meet social responsibility and stewardship commitments</w:t>
      </w:r>
    </w:p>
    <w:p w14:paraId="37EEAC8B" w14:textId="0A007561" w:rsidR="00A54DEF" w:rsidRDefault="00A54DEF" w:rsidP="00A54DEF">
      <w:pPr>
        <w:pStyle w:val="ListParagraph"/>
        <w:numPr>
          <w:ilvl w:val="0"/>
          <w:numId w:val="14"/>
        </w:numPr>
        <w:spacing w:line="256" w:lineRule="auto"/>
        <w:jc w:val="both"/>
      </w:pPr>
      <w:r>
        <w:t xml:space="preserve">For the chosen drugs, a set fee would be paid annually to the sponsor. The fee would be determined based on a pragmatic approach to valuing the drug (see the next section – note that the fee may be different for each drug chosen). The company would ensure that sufficient drug is made available to manage all anticipated infections within the established framework. </w:t>
      </w:r>
    </w:p>
    <w:p w14:paraId="5A5E2876" w14:textId="77777777" w:rsidR="00A54DEF" w:rsidRDefault="00A54DEF" w:rsidP="00A54DEF">
      <w:pPr>
        <w:pStyle w:val="ListParagraph"/>
        <w:numPr>
          <w:ilvl w:val="0"/>
          <w:numId w:val="14"/>
        </w:numPr>
        <w:spacing w:line="256" w:lineRule="auto"/>
        <w:jc w:val="both"/>
      </w:pPr>
      <w:r>
        <w:t>The pilot would run for three years. During this time a more sophisticated valuation approach for the permanent fund would be developed.</w:t>
      </w:r>
    </w:p>
    <w:p w14:paraId="69431A25" w14:textId="77777777" w:rsidR="00A54DEF" w:rsidRDefault="00A54DEF" w:rsidP="00A54DEF">
      <w:pPr>
        <w:pStyle w:val="ListParagraph"/>
        <w:numPr>
          <w:ilvl w:val="0"/>
          <w:numId w:val="14"/>
        </w:numPr>
        <w:spacing w:line="256" w:lineRule="auto"/>
        <w:jc w:val="both"/>
      </w:pPr>
      <w:r>
        <w:t>A post-pilot review would be held, to inform the establishment of a permanent fund.</w:t>
      </w:r>
    </w:p>
    <w:p w14:paraId="1C1D254B" w14:textId="6F415552" w:rsidR="00E42C77" w:rsidRDefault="001C66D5" w:rsidP="000D1A05">
      <w:pPr>
        <w:jc w:val="both"/>
      </w:pPr>
      <w:r>
        <w:t xml:space="preserve">The short term benefit of this pilot is that </w:t>
      </w:r>
      <w:r w:rsidR="006E7560">
        <w:t xml:space="preserve">up to five </w:t>
      </w:r>
      <w:r>
        <w:t xml:space="preserve">novel antibiotics would be available for </w:t>
      </w:r>
      <w:r w:rsidR="00E42C77">
        <w:t xml:space="preserve">clinicians to prescribe to the right patient at the right time, </w:t>
      </w:r>
      <w:r w:rsidR="0025464F">
        <w:t xml:space="preserve">in accordance with </w:t>
      </w:r>
      <w:r w:rsidR="005B436C">
        <w:t>clinical</w:t>
      </w:r>
      <w:r w:rsidR="0025464F">
        <w:t xml:space="preserve"> guidelines rather than hospital budgets</w:t>
      </w:r>
      <w:r w:rsidR="00E42C77">
        <w:t>.</w:t>
      </w:r>
    </w:p>
    <w:p w14:paraId="573B8F9B" w14:textId="1566998B" w:rsidR="001C66D5" w:rsidRDefault="001C66D5" w:rsidP="000D1A05">
      <w:pPr>
        <w:jc w:val="both"/>
      </w:pPr>
      <w:r>
        <w:t xml:space="preserve">The long term benefit of this pilot is that it would send a strong signal to the market that there is a reliable return for investing in research and development decisions, and would also set an example for other countries to do the same. </w:t>
      </w:r>
    </w:p>
    <w:p w14:paraId="58A37E11" w14:textId="7D552787" w:rsidR="006E6401" w:rsidRPr="00F96894" w:rsidRDefault="00E45D4B" w:rsidP="00F96894">
      <w:pPr>
        <w:pStyle w:val="Heading1"/>
        <w:rPr>
          <w:caps/>
        </w:rPr>
      </w:pPr>
      <w:r w:rsidRPr="00F96894">
        <w:rPr>
          <w:caps/>
        </w:rPr>
        <w:t xml:space="preserve">A Pragmatic </w:t>
      </w:r>
      <w:r w:rsidR="002134FD" w:rsidRPr="00F96894">
        <w:rPr>
          <w:caps/>
        </w:rPr>
        <w:t>Valuation Approach</w:t>
      </w:r>
    </w:p>
    <w:p w14:paraId="650BAC48" w14:textId="77777777" w:rsidR="00282767" w:rsidRDefault="00282767" w:rsidP="000D1A05">
      <w:pPr>
        <w:jc w:val="both"/>
      </w:pPr>
      <w:r>
        <w:t>The UK has already spent several years developing a workable model to determine the expected value</w:t>
      </w:r>
      <w:r>
        <w:rPr>
          <w:rStyle w:val="FootnoteReference"/>
        </w:rPr>
        <w:footnoteReference w:id="14"/>
      </w:r>
      <w:r>
        <w:t xml:space="preserve"> which takes into account their full value to society, including transmission value, insurance value, diversity value, enablement value, novel action value and spectrum value. This work is ongoing, as they are trying to establish a balance between the difficulty of the task, the complexity of the modelling required, and the use of expert opinion.  </w:t>
      </w:r>
    </w:p>
    <w:p w14:paraId="2DA83CD1" w14:textId="7FA724E6" w:rsidR="00940D66" w:rsidRDefault="00691C30" w:rsidP="000D1A05">
      <w:pPr>
        <w:jc w:val="both"/>
      </w:pPr>
      <w:r>
        <w:t xml:space="preserve">The purpose of this Australian pilot is not to develop an HTA approach to valuing novel antimicrobials, but rather to provide an opportunity for Government, clinicians and industry to work together on practical solutions for a pressing health issue. </w:t>
      </w:r>
      <w:r w:rsidR="004E61FB">
        <w:t xml:space="preserve">A simple, </w:t>
      </w:r>
      <w:r w:rsidR="00940D66">
        <w:t>pragmatic approach</w:t>
      </w:r>
      <w:r>
        <w:t xml:space="preserve"> </w:t>
      </w:r>
      <w:r w:rsidR="00D543DF">
        <w:t xml:space="preserve">should </w:t>
      </w:r>
      <w:r w:rsidR="004E61FB">
        <w:t xml:space="preserve">be taken </w:t>
      </w:r>
      <w:r>
        <w:t>to determining a value for the pilot</w:t>
      </w:r>
      <w:r w:rsidR="00940D66">
        <w:t xml:space="preserve">, which would enable </w:t>
      </w:r>
      <w:r w:rsidR="00C61A4C">
        <w:t>a</w:t>
      </w:r>
      <w:r w:rsidR="00940D66">
        <w:t xml:space="preserve"> pilot to commence whilst a more sophisticated </w:t>
      </w:r>
      <w:r w:rsidR="00C61A4C">
        <w:t>valuation</w:t>
      </w:r>
      <w:r w:rsidR="00940D66">
        <w:t xml:space="preserve"> approach could be developed over the three years of the pilot. </w:t>
      </w:r>
    </w:p>
    <w:p w14:paraId="2ABBCA0E" w14:textId="2DB6E1C6" w:rsidR="00505C41" w:rsidRDefault="00D543DF" w:rsidP="000D1A05">
      <w:pPr>
        <w:jc w:val="both"/>
      </w:pPr>
      <w:r>
        <w:t>A recent report which</w:t>
      </w:r>
      <w:r w:rsidR="006E7560">
        <w:t xml:space="preserve"> review</w:t>
      </w:r>
      <w:r>
        <w:t xml:space="preserve">s the </w:t>
      </w:r>
      <w:r w:rsidR="006E7560">
        <w:t>available data</w:t>
      </w:r>
      <w:r w:rsidR="00386AF5">
        <w:t xml:space="preserve"> </w:t>
      </w:r>
      <w:r>
        <w:t xml:space="preserve">on the burden of AMR </w:t>
      </w:r>
      <w:r w:rsidR="00505C41">
        <w:t xml:space="preserve">estimates that </w:t>
      </w:r>
      <w:r>
        <w:t xml:space="preserve">$10M per year </w:t>
      </w:r>
      <w:r w:rsidR="00A51031">
        <w:t xml:space="preserve">would be appropriate </w:t>
      </w:r>
      <w:r>
        <w:t xml:space="preserve">to fund a novel antimicrobial for the pilot </w:t>
      </w:r>
      <w:r w:rsidR="00B91C2E">
        <w:t xml:space="preserve">(see Appendix </w:t>
      </w:r>
      <w:r w:rsidR="006E7560">
        <w:t>B</w:t>
      </w:r>
      <w:r w:rsidR="00B91C2E">
        <w:t>)</w:t>
      </w:r>
      <w:r w:rsidR="00505C41">
        <w:t xml:space="preserve">. </w:t>
      </w:r>
    </w:p>
    <w:p w14:paraId="41731436" w14:textId="20162DE0" w:rsidR="00C27F76" w:rsidRDefault="001E5EBD" w:rsidP="00C27F76">
      <w:pPr>
        <w:pStyle w:val="Heading1"/>
      </w:pPr>
      <w:r>
        <w:t>ABOUT MSD</w:t>
      </w:r>
    </w:p>
    <w:p w14:paraId="638A10EC" w14:textId="366640A4" w:rsidR="00613C30" w:rsidRDefault="00613C30" w:rsidP="000D1A05">
      <w:pPr>
        <w:jc w:val="both"/>
        <w:rPr>
          <w:bCs/>
        </w:rPr>
      </w:pPr>
      <w:r w:rsidRPr="00613C30">
        <w:rPr>
          <w:bCs/>
        </w:rPr>
        <w:t xml:space="preserve">For more than a century, MSD, a leading global biopharmaceutical company, has been inventing for life, bringing forward medicines and vaccines for the world’s most challenging diseases. MSD is a trade name of Merck &amp; Co., Inc., with headquarters in Kenilworth, N.J., U.S.A. Through our prescription medicines, vaccines, biologic therapies and animal health products, we work with customers and operate in more than 140 countries to deliver innovative health solutions. We also demonstrate our commitment to increasing access to health care through far-reaching policies, programs and partnerships. Today, MSD continues to be at the forefront of research to advance the prevention and treatment of diseases that threaten people and communities around the world - including cancer, cardio-metabolic diseases, emerging animal diseases, Alzheimer’s disease and infectious diseases including HIV and Ebola. </w:t>
      </w:r>
    </w:p>
    <w:p w14:paraId="1D31F516" w14:textId="74C28A45" w:rsidR="001B0259" w:rsidRPr="00BE4368" w:rsidRDefault="00BE4368" w:rsidP="005B436C">
      <w:pPr>
        <w:autoSpaceDE w:val="0"/>
        <w:autoSpaceDN w:val="0"/>
        <w:adjustRightInd w:val="0"/>
        <w:jc w:val="both"/>
        <w:rPr>
          <w:bCs/>
        </w:rPr>
      </w:pPr>
      <w:r w:rsidRPr="005B436C">
        <w:rPr>
          <w:bCs/>
        </w:rPr>
        <w:t xml:space="preserve">MSD is one of the few remaining large pharmaceutical companies investing in antimicrobial research and </w:t>
      </w:r>
      <w:r w:rsidR="001B0259" w:rsidRPr="005B436C">
        <w:rPr>
          <w:bCs/>
        </w:rPr>
        <w:t xml:space="preserve"> development</w:t>
      </w:r>
      <w:r w:rsidR="00B716AD" w:rsidRPr="005B436C">
        <w:rPr>
          <w:bCs/>
        </w:rPr>
        <w:t>. As part of our global commitment to tackling AMR we have contributed USD$100 million to the AMR Action Fund: a</w:t>
      </w:r>
      <w:r w:rsidR="001B0259" w:rsidRPr="005B436C">
        <w:rPr>
          <w:bCs/>
        </w:rPr>
        <w:t xml:space="preserve"> coalition of over 20 biopharmaceutical companies which </w:t>
      </w:r>
      <w:r w:rsidR="00B716AD" w:rsidRPr="005B436C">
        <w:rPr>
          <w:bCs/>
        </w:rPr>
        <w:t>aims to bring</w:t>
      </w:r>
      <w:r w:rsidR="001B0259" w:rsidRPr="005B436C">
        <w:rPr>
          <w:bCs/>
        </w:rPr>
        <w:t xml:space="preserve"> 2-4 new </w:t>
      </w:r>
      <w:r w:rsidR="00B716AD" w:rsidRPr="005B436C">
        <w:rPr>
          <w:bCs/>
        </w:rPr>
        <w:t>antimicrobials</w:t>
      </w:r>
      <w:r w:rsidR="001B0259" w:rsidRPr="005B436C">
        <w:rPr>
          <w:bCs/>
        </w:rPr>
        <w:t xml:space="preserve"> to market by 2030. </w:t>
      </w:r>
      <w:r w:rsidR="005B436C" w:rsidRPr="005B436C">
        <w:t xml:space="preserve">Our CEO Kenneth </w:t>
      </w:r>
      <w:r w:rsidR="00AF0D6E" w:rsidRPr="005B436C">
        <w:t>Frazier</w:t>
      </w:r>
      <w:r w:rsidR="005B436C" w:rsidRPr="005B436C">
        <w:t xml:space="preserve"> has been appointed to the first One Health Global Leaders Group on Antimicrobial Resistance, alongside Minister for the Environment Sussan Ley. </w:t>
      </w:r>
      <w:r w:rsidR="005B436C" w:rsidRPr="005B436C">
        <w:rPr>
          <w:bCs/>
        </w:rPr>
        <w:t xml:space="preserve">MSD has a </w:t>
      </w:r>
      <w:r w:rsidR="005B436C" w:rsidRPr="005B436C">
        <w:t xml:space="preserve">footprint in both human and animal health, which uniquely positions us to contribute to the One Health approach in </w:t>
      </w:r>
      <w:r w:rsidR="005B436C" w:rsidRPr="005B436C">
        <w:rPr>
          <w:i/>
          <w:iCs/>
        </w:rPr>
        <w:t>Australia’s National Antimicrobial Resistance Strategy – 2020 and Beyond</w:t>
      </w:r>
      <w:r w:rsidR="005B436C" w:rsidRPr="005B436C">
        <w:t xml:space="preserve">. </w:t>
      </w:r>
      <w:r w:rsidR="00B716AD" w:rsidRPr="005B436C">
        <w:rPr>
          <w:bCs/>
        </w:rPr>
        <w:t xml:space="preserve">In Australia our investment in research and development includes </w:t>
      </w:r>
      <w:r w:rsidR="001B0259" w:rsidRPr="005B436C">
        <w:rPr>
          <w:bCs/>
        </w:rPr>
        <w:t>158 clinical trials, with 2,950 participants.</w:t>
      </w:r>
      <w:r w:rsidR="001B0259">
        <w:rPr>
          <w:bCs/>
        </w:rPr>
        <w:t xml:space="preserve"> </w:t>
      </w:r>
    </w:p>
    <w:p w14:paraId="4F881EBD" w14:textId="4CA18FC6" w:rsidR="00C27F76" w:rsidRDefault="00C27F76" w:rsidP="000D1A05">
      <w:pPr>
        <w:jc w:val="both"/>
      </w:pPr>
      <w:r>
        <w:t xml:space="preserve">For more information visit </w:t>
      </w:r>
      <w:hyperlink r:id="rId16" w:history="1">
        <w:r w:rsidR="00613C30">
          <w:rPr>
            <w:rStyle w:val="Hyperlink"/>
          </w:rPr>
          <w:t>www.msd-australia.com.au</w:t>
        </w:r>
      </w:hyperlink>
      <w:r>
        <w:t xml:space="preserve"> </w:t>
      </w:r>
    </w:p>
    <w:p w14:paraId="1F600562" w14:textId="77777777" w:rsidR="001B0259" w:rsidRDefault="001B0259" w:rsidP="000D1A05">
      <w:pPr>
        <w:jc w:val="both"/>
      </w:pPr>
    </w:p>
    <w:p w14:paraId="6AB066FE" w14:textId="4AC9160E" w:rsidR="00C27F76" w:rsidRDefault="00C27F76" w:rsidP="000D1A05">
      <w:pPr>
        <w:jc w:val="both"/>
      </w:pPr>
      <w:r>
        <w:t>For further information in relation to this submission please contact:</w:t>
      </w:r>
    </w:p>
    <w:p w14:paraId="2986CF41" w14:textId="25FDC1B0" w:rsidR="00C27F76" w:rsidRDefault="001A61AC" w:rsidP="000D1A05">
      <w:pPr>
        <w:spacing w:after="0"/>
        <w:jc w:val="both"/>
      </w:pPr>
      <w:r>
        <w:t>Megan Bohensky</w:t>
      </w:r>
      <w:r w:rsidR="00C27F76">
        <w:t xml:space="preserve">, </w:t>
      </w:r>
      <w:r>
        <w:t>Head, Policy &amp; Access Strategy</w:t>
      </w:r>
      <w:r w:rsidR="009A1475">
        <w:t xml:space="preserve">, MSD </w:t>
      </w:r>
    </w:p>
    <w:p w14:paraId="33C9BD91" w14:textId="77777777" w:rsidR="00C27F76" w:rsidRDefault="00C27F76" w:rsidP="000D1A05">
      <w:pPr>
        <w:spacing w:after="0"/>
        <w:jc w:val="both"/>
      </w:pPr>
      <w:r>
        <w:t>26 Talavera Road, Macquarie Park, NSW 2113</w:t>
      </w:r>
    </w:p>
    <w:p w14:paraId="5D7A2C0E" w14:textId="189C1A9B" w:rsidR="00C27F76" w:rsidRDefault="00C27F76" w:rsidP="000D1A05">
      <w:pPr>
        <w:spacing w:after="0"/>
        <w:jc w:val="both"/>
      </w:pPr>
      <w:r>
        <w:t xml:space="preserve">Telephone: +61 </w:t>
      </w:r>
      <w:r w:rsidR="001A61AC">
        <w:t>414 795 031</w:t>
      </w:r>
    </w:p>
    <w:p w14:paraId="32F900C2" w14:textId="4954646F" w:rsidR="00C27F76" w:rsidRDefault="00C27F76" w:rsidP="000D1A05">
      <w:pPr>
        <w:spacing w:after="0"/>
        <w:jc w:val="both"/>
      </w:pPr>
      <w:r>
        <w:t xml:space="preserve">Email: </w:t>
      </w:r>
      <w:hyperlink r:id="rId17" w:history="1">
        <w:r w:rsidR="001A61AC">
          <w:rPr>
            <w:rStyle w:val="Hyperlink"/>
          </w:rPr>
          <w:t>megan.</w:t>
        </w:r>
      </w:hyperlink>
      <w:r w:rsidR="001A61AC">
        <w:rPr>
          <w:rStyle w:val="Hyperlink"/>
        </w:rPr>
        <w:t>bohensky@msd.com</w:t>
      </w:r>
      <w:r>
        <w:t xml:space="preserve"> </w:t>
      </w:r>
    </w:p>
    <w:p w14:paraId="7225A7B5" w14:textId="7609A872" w:rsidR="00613C30" w:rsidRDefault="00613C30">
      <w:r>
        <w:br w:type="page"/>
      </w:r>
    </w:p>
    <w:p w14:paraId="6165CE08" w14:textId="1B0896B1" w:rsidR="00134E54" w:rsidRPr="001E5EBD" w:rsidRDefault="00134E54" w:rsidP="00134E54">
      <w:pPr>
        <w:pStyle w:val="Heading1"/>
        <w:rPr>
          <w:caps/>
        </w:rPr>
      </w:pPr>
      <w:r w:rsidRPr="001E5EBD">
        <w:rPr>
          <w:caps/>
        </w:rPr>
        <w:t>Appendix A</w:t>
      </w:r>
      <w:r>
        <w:rPr>
          <w:caps/>
        </w:rPr>
        <w:t xml:space="preserve"> – ACCESS TO</w:t>
      </w:r>
      <w:r w:rsidRPr="001E5EBD">
        <w:rPr>
          <w:caps/>
        </w:rPr>
        <w:t xml:space="preserve"> Novel </w:t>
      </w:r>
      <w:r>
        <w:rPr>
          <w:caps/>
        </w:rPr>
        <w:t>ANTIMICROBIALS in australia</w:t>
      </w:r>
    </w:p>
    <w:p w14:paraId="1A04F281" w14:textId="46779294" w:rsidR="00134E54" w:rsidRDefault="002703E1">
      <w:r>
        <w:t xml:space="preserve">The </w:t>
      </w:r>
      <w:r w:rsidR="00983B6A">
        <w:t>following</w:t>
      </w:r>
      <w:r>
        <w:t xml:space="preserve"> table shows that of the 19 antimicrobials considered to be novel which have been registered in Europe and/or the US in the last decade, only 3 have been registered in Australia.</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0"/>
        <w:gridCol w:w="1920"/>
        <w:gridCol w:w="2815"/>
        <w:gridCol w:w="1420"/>
        <w:gridCol w:w="1560"/>
        <w:gridCol w:w="1511"/>
      </w:tblGrid>
      <w:tr w:rsidR="008259FC" w14:paraId="448B1559" w14:textId="77777777" w:rsidTr="00116E25">
        <w:trPr>
          <w:trHeight w:val="344"/>
        </w:trPr>
        <w:tc>
          <w:tcPr>
            <w:tcW w:w="257" w:type="pct"/>
            <w:tcMar>
              <w:top w:w="0" w:type="dxa"/>
              <w:left w:w="108" w:type="dxa"/>
              <w:bottom w:w="0" w:type="dxa"/>
              <w:right w:w="108" w:type="dxa"/>
            </w:tcMar>
          </w:tcPr>
          <w:p w14:paraId="4806DF2C" w14:textId="77777777" w:rsidR="00134E54" w:rsidRPr="00D374AA" w:rsidRDefault="00134E54" w:rsidP="00D374AA">
            <w:pPr>
              <w:spacing w:after="0"/>
              <w:rPr>
                <w:rFonts w:cstheme="minorHAnsi"/>
                <w:b/>
                <w:bCs/>
                <w:sz w:val="20"/>
                <w:szCs w:val="20"/>
              </w:rPr>
            </w:pPr>
          </w:p>
        </w:tc>
        <w:tc>
          <w:tcPr>
            <w:tcW w:w="987" w:type="pct"/>
            <w:tcMar>
              <w:top w:w="0" w:type="dxa"/>
              <w:left w:w="108" w:type="dxa"/>
              <w:bottom w:w="0" w:type="dxa"/>
              <w:right w:w="108" w:type="dxa"/>
            </w:tcMar>
            <w:hideMark/>
          </w:tcPr>
          <w:p w14:paraId="4AAC8455" w14:textId="77777777" w:rsidR="00134E54" w:rsidRPr="00D374AA" w:rsidRDefault="00134E54" w:rsidP="00D374AA">
            <w:pPr>
              <w:spacing w:after="0"/>
              <w:rPr>
                <w:rFonts w:cstheme="minorHAnsi"/>
                <w:b/>
                <w:bCs/>
                <w:sz w:val="20"/>
                <w:szCs w:val="20"/>
              </w:rPr>
            </w:pPr>
            <w:r w:rsidRPr="00D374AA">
              <w:rPr>
                <w:rFonts w:cstheme="minorHAnsi"/>
                <w:b/>
                <w:bCs/>
                <w:sz w:val="20"/>
                <w:szCs w:val="20"/>
              </w:rPr>
              <w:t>Antibacterial</w:t>
            </w:r>
            <w:r w:rsidRPr="00D374AA">
              <w:rPr>
                <w:rFonts w:cstheme="minorHAnsi"/>
                <w:b/>
                <w:bCs/>
                <w:sz w:val="20"/>
                <w:szCs w:val="20"/>
                <w:vertAlign w:val="superscript"/>
              </w:rPr>
              <w:t>1,2</w:t>
            </w:r>
          </w:p>
        </w:tc>
        <w:tc>
          <w:tcPr>
            <w:tcW w:w="1447" w:type="pct"/>
            <w:tcMar>
              <w:top w:w="0" w:type="dxa"/>
              <w:left w:w="108" w:type="dxa"/>
              <w:bottom w:w="0" w:type="dxa"/>
              <w:right w:w="108" w:type="dxa"/>
            </w:tcMar>
            <w:hideMark/>
          </w:tcPr>
          <w:p w14:paraId="575D998D" w14:textId="70850349" w:rsidR="00134E54" w:rsidRPr="00D374AA" w:rsidRDefault="00134E54" w:rsidP="00D374AA">
            <w:pPr>
              <w:spacing w:after="0"/>
              <w:rPr>
                <w:rFonts w:cstheme="minorHAnsi"/>
                <w:b/>
                <w:bCs/>
                <w:sz w:val="20"/>
                <w:szCs w:val="20"/>
              </w:rPr>
            </w:pPr>
            <w:r w:rsidRPr="00D374AA">
              <w:rPr>
                <w:rFonts w:cstheme="minorHAnsi"/>
                <w:b/>
                <w:bCs/>
                <w:sz w:val="20"/>
                <w:szCs w:val="20"/>
              </w:rPr>
              <w:t>AMR activity (Enzyme)</w:t>
            </w:r>
            <w:r w:rsidRPr="00D374AA">
              <w:rPr>
                <w:rFonts w:cstheme="minorHAnsi"/>
                <w:b/>
                <w:bCs/>
                <w:sz w:val="20"/>
                <w:szCs w:val="20"/>
                <w:vertAlign w:val="superscript"/>
              </w:rPr>
              <w:t>2,</w:t>
            </w:r>
            <w:r w:rsidR="00F67B5E">
              <w:rPr>
                <w:rFonts w:cstheme="minorHAnsi"/>
                <w:b/>
                <w:bCs/>
                <w:sz w:val="20"/>
                <w:szCs w:val="20"/>
                <w:vertAlign w:val="superscript"/>
              </w:rPr>
              <w:t>4</w:t>
            </w:r>
            <w:r w:rsidRPr="00D374AA">
              <w:rPr>
                <w:rFonts w:cstheme="minorHAnsi"/>
                <w:b/>
                <w:bCs/>
                <w:sz w:val="20"/>
                <w:szCs w:val="20"/>
                <w:vertAlign w:val="superscript"/>
              </w:rPr>
              <w:t>,</w:t>
            </w:r>
            <w:r w:rsidR="00F67B5E">
              <w:rPr>
                <w:rFonts w:cstheme="minorHAnsi"/>
                <w:b/>
                <w:bCs/>
                <w:sz w:val="20"/>
                <w:szCs w:val="20"/>
                <w:vertAlign w:val="superscript"/>
              </w:rPr>
              <w:t>5</w:t>
            </w:r>
            <w:r w:rsidRPr="00D374AA">
              <w:rPr>
                <w:rFonts w:cstheme="minorHAnsi"/>
                <w:b/>
                <w:bCs/>
                <w:sz w:val="20"/>
                <w:szCs w:val="20"/>
                <w:vertAlign w:val="superscript"/>
              </w:rPr>
              <w:t>,</w:t>
            </w:r>
            <w:r w:rsidR="00F67B5E">
              <w:rPr>
                <w:rFonts w:cstheme="minorHAnsi"/>
                <w:b/>
                <w:bCs/>
                <w:sz w:val="20"/>
                <w:szCs w:val="20"/>
                <w:vertAlign w:val="superscript"/>
              </w:rPr>
              <w:t>6</w:t>
            </w:r>
          </w:p>
        </w:tc>
        <w:tc>
          <w:tcPr>
            <w:tcW w:w="730" w:type="pct"/>
            <w:tcMar>
              <w:top w:w="0" w:type="dxa"/>
              <w:left w:w="108" w:type="dxa"/>
              <w:bottom w:w="0" w:type="dxa"/>
              <w:right w:w="108" w:type="dxa"/>
            </w:tcMar>
            <w:hideMark/>
          </w:tcPr>
          <w:p w14:paraId="5F6E35B1" w14:textId="60F7CE8E" w:rsidR="00134E54" w:rsidRPr="00D374AA" w:rsidRDefault="00134E54" w:rsidP="00D374AA">
            <w:pPr>
              <w:spacing w:after="0"/>
              <w:rPr>
                <w:rFonts w:cstheme="minorHAnsi"/>
                <w:b/>
                <w:bCs/>
                <w:sz w:val="20"/>
                <w:szCs w:val="20"/>
              </w:rPr>
            </w:pPr>
            <w:r w:rsidRPr="00D374AA">
              <w:rPr>
                <w:rFonts w:cstheme="minorHAnsi"/>
                <w:b/>
                <w:bCs/>
                <w:sz w:val="20"/>
                <w:szCs w:val="20"/>
              </w:rPr>
              <w:t>Registered in USA</w:t>
            </w:r>
            <w:r w:rsidRPr="00D374AA">
              <w:rPr>
                <w:rFonts w:cstheme="minorHAnsi"/>
                <w:b/>
                <w:bCs/>
                <w:sz w:val="20"/>
                <w:szCs w:val="20"/>
                <w:vertAlign w:val="superscript"/>
              </w:rPr>
              <w:t>1</w:t>
            </w:r>
          </w:p>
        </w:tc>
        <w:tc>
          <w:tcPr>
            <w:tcW w:w="802" w:type="pct"/>
            <w:tcMar>
              <w:top w:w="0" w:type="dxa"/>
              <w:left w:w="108" w:type="dxa"/>
              <w:bottom w:w="0" w:type="dxa"/>
              <w:right w:w="108" w:type="dxa"/>
            </w:tcMar>
            <w:hideMark/>
          </w:tcPr>
          <w:p w14:paraId="220EB958" w14:textId="3550FDF8" w:rsidR="00134E54" w:rsidRPr="00D374AA" w:rsidRDefault="00134E54" w:rsidP="00D374AA">
            <w:pPr>
              <w:spacing w:after="0"/>
              <w:rPr>
                <w:rFonts w:cstheme="minorHAnsi"/>
                <w:b/>
                <w:bCs/>
                <w:sz w:val="20"/>
                <w:szCs w:val="20"/>
              </w:rPr>
            </w:pPr>
            <w:r w:rsidRPr="00D374AA">
              <w:rPr>
                <w:rFonts w:cstheme="minorHAnsi"/>
                <w:b/>
                <w:bCs/>
                <w:sz w:val="20"/>
                <w:szCs w:val="20"/>
              </w:rPr>
              <w:t>Registered in  Europe</w:t>
            </w:r>
            <w:r w:rsidRPr="00D374AA">
              <w:rPr>
                <w:rFonts w:cstheme="minorHAnsi"/>
                <w:b/>
                <w:bCs/>
                <w:sz w:val="20"/>
                <w:szCs w:val="20"/>
                <w:vertAlign w:val="superscript"/>
              </w:rPr>
              <w:t>1</w:t>
            </w:r>
            <w:r w:rsidR="00060E0C">
              <w:rPr>
                <w:rFonts w:cstheme="minorHAnsi"/>
                <w:b/>
                <w:bCs/>
                <w:sz w:val="20"/>
                <w:szCs w:val="20"/>
                <w:vertAlign w:val="superscript"/>
              </w:rPr>
              <w:t xml:space="preserve">, </w:t>
            </w:r>
            <w:r w:rsidR="00F67B5E">
              <w:rPr>
                <w:rFonts w:cstheme="minorHAnsi"/>
                <w:b/>
                <w:bCs/>
                <w:sz w:val="20"/>
                <w:szCs w:val="20"/>
                <w:vertAlign w:val="superscript"/>
              </w:rPr>
              <w:t>7</w:t>
            </w:r>
          </w:p>
        </w:tc>
        <w:tc>
          <w:tcPr>
            <w:tcW w:w="777" w:type="pct"/>
            <w:tcMar>
              <w:top w:w="0" w:type="dxa"/>
              <w:left w:w="108" w:type="dxa"/>
              <w:bottom w:w="0" w:type="dxa"/>
              <w:right w:w="108" w:type="dxa"/>
            </w:tcMar>
            <w:hideMark/>
          </w:tcPr>
          <w:p w14:paraId="29E929FB" w14:textId="4FFCEFE5" w:rsidR="00134E54" w:rsidRPr="00D374AA" w:rsidRDefault="002C27CA" w:rsidP="00D374AA">
            <w:pPr>
              <w:spacing w:after="0"/>
              <w:rPr>
                <w:rFonts w:cstheme="minorHAnsi"/>
                <w:b/>
                <w:bCs/>
                <w:sz w:val="20"/>
                <w:szCs w:val="20"/>
                <w:vertAlign w:val="superscript"/>
              </w:rPr>
            </w:pPr>
            <w:r w:rsidRPr="00D374AA">
              <w:rPr>
                <w:rFonts w:cstheme="minorHAnsi"/>
                <w:b/>
                <w:bCs/>
                <w:sz w:val="20"/>
                <w:szCs w:val="20"/>
              </w:rPr>
              <w:t>Registered in Australia</w:t>
            </w:r>
            <w:r w:rsidR="00134E54" w:rsidRPr="00D374AA">
              <w:rPr>
                <w:rFonts w:cstheme="minorHAnsi"/>
                <w:b/>
                <w:bCs/>
                <w:sz w:val="20"/>
                <w:szCs w:val="20"/>
                <w:vertAlign w:val="superscript"/>
              </w:rPr>
              <w:t>3</w:t>
            </w:r>
          </w:p>
        </w:tc>
      </w:tr>
      <w:tr w:rsidR="008259FC" w14:paraId="03350C55" w14:textId="77777777" w:rsidTr="00116E25">
        <w:tc>
          <w:tcPr>
            <w:tcW w:w="257" w:type="pct"/>
            <w:shd w:val="clear" w:color="auto" w:fill="92D050"/>
            <w:tcMar>
              <w:top w:w="0" w:type="dxa"/>
              <w:left w:w="108" w:type="dxa"/>
              <w:bottom w:w="0" w:type="dxa"/>
              <w:right w:w="108" w:type="dxa"/>
            </w:tcMar>
            <w:hideMark/>
          </w:tcPr>
          <w:p w14:paraId="26BEDDFC" w14:textId="77777777" w:rsidR="00134E54" w:rsidRPr="00D374AA" w:rsidRDefault="00134E54" w:rsidP="00D374AA">
            <w:pPr>
              <w:spacing w:after="0"/>
              <w:rPr>
                <w:rFonts w:cstheme="minorHAnsi"/>
                <w:sz w:val="20"/>
                <w:szCs w:val="20"/>
              </w:rPr>
            </w:pPr>
            <w:r w:rsidRPr="00D374AA">
              <w:rPr>
                <w:rFonts w:cstheme="minorHAnsi"/>
                <w:sz w:val="20"/>
                <w:szCs w:val="20"/>
              </w:rPr>
              <w:t>1</w:t>
            </w:r>
          </w:p>
        </w:tc>
        <w:tc>
          <w:tcPr>
            <w:tcW w:w="987" w:type="pct"/>
            <w:shd w:val="clear" w:color="auto" w:fill="92D050"/>
            <w:tcMar>
              <w:top w:w="0" w:type="dxa"/>
              <w:left w:w="108" w:type="dxa"/>
              <w:bottom w:w="0" w:type="dxa"/>
              <w:right w:w="108" w:type="dxa"/>
            </w:tcMar>
            <w:hideMark/>
          </w:tcPr>
          <w:p w14:paraId="0356E08C" w14:textId="77777777" w:rsidR="00134E54" w:rsidRPr="00D374AA" w:rsidRDefault="00134E54" w:rsidP="00D374AA">
            <w:pPr>
              <w:spacing w:after="0"/>
              <w:rPr>
                <w:rFonts w:cstheme="minorHAnsi"/>
                <w:sz w:val="20"/>
                <w:szCs w:val="20"/>
              </w:rPr>
            </w:pPr>
            <w:r w:rsidRPr="00D374AA">
              <w:rPr>
                <w:rFonts w:cstheme="minorHAnsi"/>
                <w:sz w:val="20"/>
                <w:szCs w:val="20"/>
              </w:rPr>
              <w:t>Fidaxomicin</w:t>
            </w:r>
          </w:p>
        </w:tc>
        <w:tc>
          <w:tcPr>
            <w:tcW w:w="1447" w:type="pct"/>
            <w:shd w:val="clear" w:color="auto" w:fill="92D050"/>
            <w:tcMar>
              <w:top w:w="0" w:type="dxa"/>
              <w:left w:w="108" w:type="dxa"/>
              <w:bottom w:w="0" w:type="dxa"/>
              <w:right w:w="108" w:type="dxa"/>
            </w:tcMar>
            <w:hideMark/>
          </w:tcPr>
          <w:p w14:paraId="36F0FFBA" w14:textId="77777777" w:rsidR="00134E54" w:rsidRPr="00D374AA" w:rsidRDefault="00134E54" w:rsidP="00D374AA">
            <w:pPr>
              <w:spacing w:after="0"/>
              <w:rPr>
                <w:rFonts w:cstheme="minorHAnsi"/>
                <w:sz w:val="20"/>
                <w:szCs w:val="20"/>
              </w:rPr>
            </w:pPr>
            <w:r w:rsidRPr="00D374AA">
              <w:rPr>
                <w:rFonts w:cstheme="minorHAnsi"/>
                <w:sz w:val="20"/>
                <w:szCs w:val="20"/>
              </w:rPr>
              <w:t>N/A</w:t>
            </w:r>
          </w:p>
        </w:tc>
        <w:tc>
          <w:tcPr>
            <w:tcW w:w="730" w:type="pct"/>
            <w:shd w:val="clear" w:color="auto" w:fill="92D050"/>
            <w:tcMar>
              <w:top w:w="0" w:type="dxa"/>
              <w:left w:w="108" w:type="dxa"/>
              <w:bottom w:w="0" w:type="dxa"/>
              <w:right w:w="108" w:type="dxa"/>
            </w:tcMar>
            <w:hideMark/>
          </w:tcPr>
          <w:p w14:paraId="5135A3B8" w14:textId="77777777" w:rsidR="00134E54" w:rsidRPr="00D374AA" w:rsidRDefault="00134E54" w:rsidP="00D374AA">
            <w:pPr>
              <w:spacing w:after="0"/>
              <w:rPr>
                <w:rFonts w:cstheme="minorHAnsi"/>
                <w:sz w:val="20"/>
                <w:szCs w:val="20"/>
              </w:rPr>
            </w:pPr>
            <w:r w:rsidRPr="00D374AA">
              <w:rPr>
                <w:rFonts w:cstheme="minorHAnsi"/>
                <w:sz w:val="20"/>
                <w:szCs w:val="20"/>
              </w:rPr>
              <w:t>2011</w:t>
            </w:r>
          </w:p>
        </w:tc>
        <w:tc>
          <w:tcPr>
            <w:tcW w:w="802" w:type="pct"/>
            <w:shd w:val="clear" w:color="auto" w:fill="92D050"/>
            <w:tcMar>
              <w:top w:w="0" w:type="dxa"/>
              <w:left w:w="108" w:type="dxa"/>
              <w:bottom w:w="0" w:type="dxa"/>
              <w:right w:w="108" w:type="dxa"/>
            </w:tcMar>
          </w:tcPr>
          <w:p w14:paraId="11D69BBE" w14:textId="1D375DE6" w:rsidR="00134E54" w:rsidRPr="00D374AA" w:rsidRDefault="003D35C5" w:rsidP="00D374AA">
            <w:pPr>
              <w:spacing w:after="0"/>
              <w:rPr>
                <w:rFonts w:cstheme="minorHAnsi"/>
                <w:sz w:val="20"/>
                <w:szCs w:val="20"/>
              </w:rPr>
            </w:pPr>
            <w:r>
              <w:rPr>
                <w:rFonts w:cstheme="minorHAnsi"/>
                <w:sz w:val="20"/>
                <w:szCs w:val="20"/>
              </w:rPr>
              <w:t>2011</w:t>
            </w:r>
          </w:p>
        </w:tc>
        <w:tc>
          <w:tcPr>
            <w:tcW w:w="777" w:type="pct"/>
            <w:shd w:val="clear" w:color="auto" w:fill="92D050"/>
            <w:tcMar>
              <w:top w:w="0" w:type="dxa"/>
              <w:left w:w="108" w:type="dxa"/>
              <w:bottom w:w="0" w:type="dxa"/>
              <w:right w:w="108" w:type="dxa"/>
            </w:tcMar>
            <w:hideMark/>
          </w:tcPr>
          <w:p w14:paraId="71218FF4" w14:textId="7A233C4E" w:rsidR="00134E54" w:rsidRPr="00D374AA" w:rsidRDefault="003D35C5" w:rsidP="00D374AA">
            <w:pPr>
              <w:spacing w:after="0"/>
              <w:rPr>
                <w:rFonts w:cstheme="minorHAnsi"/>
                <w:sz w:val="20"/>
                <w:szCs w:val="20"/>
              </w:rPr>
            </w:pPr>
            <w:r>
              <w:rPr>
                <w:rFonts w:cstheme="minorHAnsi"/>
                <w:sz w:val="20"/>
                <w:szCs w:val="20"/>
              </w:rPr>
              <w:t>2013</w:t>
            </w:r>
          </w:p>
        </w:tc>
      </w:tr>
      <w:tr w:rsidR="008259FC" w14:paraId="5066FA71" w14:textId="77777777" w:rsidTr="00116E25">
        <w:tc>
          <w:tcPr>
            <w:tcW w:w="257" w:type="pct"/>
            <w:tcMar>
              <w:top w:w="0" w:type="dxa"/>
              <w:left w:w="108" w:type="dxa"/>
              <w:bottom w:w="0" w:type="dxa"/>
              <w:right w:w="108" w:type="dxa"/>
            </w:tcMar>
            <w:hideMark/>
          </w:tcPr>
          <w:p w14:paraId="2526B7D4" w14:textId="77777777" w:rsidR="00134E54" w:rsidRPr="00D374AA" w:rsidRDefault="00134E54" w:rsidP="00D374AA">
            <w:pPr>
              <w:spacing w:after="0"/>
              <w:rPr>
                <w:rFonts w:cstheme="minorHAnsi"/>
                <w:b/>
                <w:bCs/>
                <w:sz w:val="20"/>
                <w:szCs w:val="20"/>
              </w:rPr>
            </w:pPr>
            <w:r w:rsidRPr="00D374AA">
              <w:rPr>
                <w:rFonts w:cstheme="minorHAnsi"/>
                <w:b/>
                <w:bCs/>
                <w:sz w:val="20"/>
                <w:szCs w:val="20"/>
              </w:rPr>
              <w:t>2</w:t>
            </w:r>
          </w:p>
        </w:tc>
        <w:tc>
          <w:tcPr>
            <w:tcW w:w="987" w:type="pct"/>
            <w:tcMar>
              <w:top w:w="0" w:type="dxa"/>
              <w:left w:w="108" w:type="dxa"/>
              <w:bottom w:w="0" w:type="dxa"/>
              <w:right w:w="108" w:type="dxa"/>
            </w:tcMar>
            <w:hideMark/>
          </w:tcPr>
          <w:p w14:paraId="5966F42B" w14:textId="77777777" w:rsidR="00134E54" w:rsidRPr="00D374AA" w:rsidRDefault="00134E54" w:rsidP="00D374AA">
            <w:pPr>
              <w:spacing w:after="0"/>
              <w:rPr>
                <w:rFonts w:cstheme="minorHAnsi"/>
                <w:b/>
                <w:bCs/>
                <w:sz w:val="20"/>
                <w:szCs w:val="20"/>
              </w:rPr>
            </w:pPr>
            <w:r w:rsidRPr="00D374AA">
              <w:rPr>
                <w:rFonts w:cstheme="minorHAnsi"/>
                <w:b/>
                <w:bCs/>
                <w:sz w:val="20"/>
                <w:szCs w:val="20"/>
              </w:rPr>
              <w:t>Bedaquiline</w:t>
            </w:r>
          </w:p>
        </w:tc>
        <w:tc>
          <w:tcPr>
            <w:tcW w:w="1447" w:type="pct"/>
            <w:tcMar>
              <w:top w:w="0" w:type="dxa"/>
              <w:left w:w="108" w:type="dxa"/>
              <w:bottom w:w="0" w:type="dxa"/>
              <w:right w:w="108" w:type="dxa"/>
            </w:tcMar>
            <w:hideMark/>
          </w:tcPr>
          <w:p w14:paraId="5DB1F048" w14:textId="77777777" w:rsidR="00134E54" w:rsidRPr="00D374AA" w:rsidRDefault="00134E54" w:rsidP="00D374AA">
            <w:pPr>
              <w:spacing w:after="0"/>
              <w:rPr>
                <w:rFonts w:cstheme="minorHAnsi"/>
                <w:b/>
                <w:bCs/>
                <w:i/>
                <w:iCs/>
                <w:sz w:val="20"/>
                <w:szCs w:val="20"/>
              </w:rPr>
            </w:pPr>
            <w:r w:rsidRPr="00D374AA">
              <w:rPr>
                <w:rFonts w:cstheme="minorHAnsi"/>
                <w:b/>
                <w:bCs/>
                <w:i/>
                <w:iCs/>
                <w:sz w:val="20"/>
                <w:szCs w:val="20"/>
              </w:rPr>
              <w:t>Mycobacterium tuberculosis</w:t>
            </w:r>
          </w:p>
        </w:tc>
        <w:tc>
          <w:tcPr>
            <w:tcW w:w="730" w:type="pct"/>
            <w:tcMar>
              <w:top w:w="0" w:type="dxa"/>
              <w:left w:w="108" w:type="dxa"/>
              <w:bottom w:w="0" w:type="dxa"/>
              <w:right w:w="108" w:type="dxa"/>
            </w:tcMar>
            <w:hideMark/>
          </w:tcPr>
          <w:p w14:paraId="78643B51" w14:textId="77777777" w:rsidR="00134E54" w:rsidRPr="00D374AA" w:rsidRDefault="00134E54" w:rsidP="00D374AA">
            <w:pPr>
              <w:spacing w:after="0"/>
              <w:rPr>
                <w:rFonts w:cstheme="minorHAnsi"/>
                <w:b/>
                <w:bCs/>
                <w:sz w:val="20"/>
                <w:szCs w:val="20"/>
              </w:rPr>
            </w:pPr>
            <w:r w:rsidRPr="00D374AA">
              <w:rPr>
                <w:rFonts w:cstheme="minorHAnsi"/>
                <w:b/>
                <w:bCs/>
                <w:sz w:val="20"/>
                <w:szCs w:val="20"/>
              </w:rPr>
              <w:t>2012</w:t>
            </w:r>
          </w:p>
        </w:tc>
        <w:tc>
          <w:tcPr>
            <w:tcW w:w="802" w:type="pct"/>
            <w:tcMar>
              <w:top w:w="0" w:type="dxa"/>
              <w:left w:w="108" w:type="dxa"/>
              <w:bottom w:w="0" w:type="dxa"/>
              <w:right w:w="108" w:type="dxa"/>
            </w:tcMar>
          </w:tcPr>
          <w:p w14:paraId="38448B23" w14:textId="69E36F88" w:rsidR="002C27CA" w:rsidRPr="00D374AA" w:rsidRDefault="003D35C5" w:rsidP="00D374AA">
            <w:pPr>
              <w:spacing w:after="0"/>
              <w:rPr>
                <w:rFonts w:cstheme="minorHAnsi"/>
                <w:b/>
                <w:bCs/>
                <w:sz w:val="20"/>
                <w:szCs w:val="20"/>
              </w:rPr>
            </w:pPr>
            <w:r>
              <w:rPr>
                <w:rFonts w:cstheme="minorHAnsi"/>
                <w:b/>
                <w:bCs/>
                <w:sz w:val="20"/>
                <w:szCs w:val="20"/>
              </w:rPr>
              <w:t>2014</w:t>
            </w:r>
          </w:p>
        </w:tc>
        <w:tc>
          <w:tcPr>
            <w:tcW w:w="777" w:type="pct"/>
            <w:tcMar>
              <w:top w:w="0" w:type="dxa"/>
              <w:left w:w="108" w:type="dxa"/>
              <w:bottom w:w="0" w:type="dxa"/>
              <w:right w:w="108" w:type="dxa"/>
            </w:tcMar>
          </w:tcPr>
          <w:p w14:paraId="389A892B" w14:textId="17755586" w:rsidR="00134E54" w:rsidRPr="00D374AA" w:rsidRDefault="008259FC" w:rsidP="00D374AA">
            <w:pPr>
              <w:spacing w:after="0"/>
              <w:rPr>
                <w:rFonts w:cstheme="minorHAnsi"/>
                <w:b/>
                <w:bCs/>
                <w:sz w:val="20"/>
                <w:szCs w:val="20"/>
              </w:rPr>
            </w:pPr>
            <w:r>
              <w:rPr>
                <w:rFonts w:cstheme="minorHAnsi"/>
                <w:b/>
                <w:bCs/>
                <w:sz w:val="20"/>
                <w:szCs w:val="20"/>
              </w:rPr>
              <w:t>Not Registered</w:t>
            </w:r>
          </w:p>
        </w:tc>
      </w:tr>
      <w:tr w:rsidR="00116E25" w14:paraId="5CB0146C" w14:textId="77777777" w:rsidTr="00116E25">
        <w:tc>
          <w:tcPr>
            <w:tcW w:w="257" w:type="pct"/>
            <w:tcMar>
              <w:top w:w="0" w:type="dxa"/>
              <w:left w:w="108" w:type="dxa"/>
              <w:bottom w:w="0" w:type="dxa"/>
              <w:right w:w="108" w:type="dxa"/>
            </w:tcMar>
            <w:hideMark/>
          </w:tcPr>
          <w:p w14:paraId="19A2A4C8" w14:textId="77777777" w:rsidR="00134E54" w:rsidRPr="00D374AA" w:rsidRDefault="00134E54" w:rsidP="00D374AA">
            <w:pPr>
              <w:spacing w:after="0"/>
              <w:rPr>
                <w:rFonts w:cstheme="minorHAnsi"/>
                <w:sz w:val="20"/>
                <w:szCs w:val="20"/>
              </w:rPr>
            </w:pPr>
            <w:r w:rsidRPr="00D374AA">
              <w:rPr>
                <w:rFonts w:cstheme="minorHAnsi"/>
                <w:sz w:val="20"/>
                <w:szCs w:val="20"/>
              </w:rPr>
              <w:t>3</w:t>
            </w:r>
          </w:p>
        </w:tc>
        <w:tc>
          <w:tcPr>
            <w:tcW w:w="987" w:type="pct"/>
            <w:tcMar>
              <w:top w:w="0" w:type="dxa"/>
              <w:left w:w="108" w:type="dxa"/>
              <w:bottom w:w="0" w:type="dxa"/>
              <w:right w:w="108" w:type="dxa"/>
            </w:tcMar>
            <w:hideMark/>
          </w:tcPr>
          <w:p w14:paraId="0F985D6F" w14:textId="77777777" w:rsidR="00134E54" w:rsidRPr="00D374AA" w:rsidRDefault="00134E54" w:rsidP="00D374AA">
            <w:pPr>
              <w:spacing w:after="0"/>
              <w:rPr>
                <w:rFonts w:cstheme="minorHAnsi"/>
                <w:sz w:val="20"/>
                <w:szCs w:val="20"/>
              </w:rPr>
            </w:pPr>
            <w:r w:rsidRPr="00D374AA">
              <w:rPr>
                <w:rFonts w:cstheme="minorHAnsi"/>
                <w:sz w:val="20"/>
                <w:szCs w:val="20"/>
              </w:rPr>
              <w:t>Dalbavancin</w:t>
            </w:r>
          </w:p>
        </w:tc>
        <w:tc>
          <w:tcPr>
            <w:tcW w:w="1447" w:type="pct"/>
            <w:tcMar>
              <w:top w:w="0" w:type="dxa"/>
              <w:left w:w="108" w:type="dxa"/>
              <w:bottom w:w="0" w:type="dxa"/>
              <w:right w:w="108" w:type="dxa"/>
            </w:tcMar>
          </w:tcPr>
          <w:p w14:paraId="63451775" w14:textId="69A343AF" w:rsidR="00134E54" w:rsidRPr="00D374AA" w:rsidRDefault="002C27CA" w:rsidP="00D374AA">
            <w:pPr>
              <w:spacing w:after="0"/>
              <w:rPr>
                <w:rFonts w:cstheme="minorHAnsi"/>
                <w:sz w:val="20"/>
                <w:szCs w:val="20"/>
              </w:rPr>
            </w:pPr>
            <w:r>
              <w:rPr>
                <w:rFonts w:cstheme="minorHAnsi"/>
                <w:sz w:val="20"/>
                <w:szCs w:val="20"/>
              </w:rPr>
              <w:t>-</w:t>
            </w:r>
          </w:p>
        </w:tc>
        <w:tc>
          <w:tcPr>
            <w:tcW w:w="730" w:type="pct"/>
            <w:tcMar>
              <w:top w:w="0" w:type="dxa"/>
              <w:left w:w="108" w:type="dxa"/>
              <w:bottom w:w="0" w:type="dxa"/>
              <w:right w:w="108" w:type="dxa"/>
            </w:tcMar>
            <w:hideMark/>
          </w:tcPr>
          <w:p w14:paraId="13D58B8D" w14:textId="77777777" w:rsidR="00134E54" w:rsidRPr="00D374AA" w:rsidRDefault="00134E54" w:rsidP="00D374AA">
            <w:pPr>
              <w:spacing w:after="0"/>
              <w:rPr>
                <w:rFonts w:cstheme="minorHAnsi"/>
                <w:sz w:val="20"/>
                <w:szCs w:val="20"/>
              </w:rPr>
            </w:pPr>
            <w:r w:rsidRPr="00D374AA">
              <w:rPr>
                <w:rFonts w:cstheme="minorHAnsi"/>
                <w:sz w:val="20"/>
                <w:szCs w:val="20"/>
              </w:rPr>
              <w:t>2014</w:t>
            </w:r>
          </w:p>
        </w:tc>
        <w:tc>
          <w:tcPr>
            <w:tcW w:w="802" w:type="pct"/>
            <w:tcMar>
              <w:top w:w="0" w:type="dxa"/>
              <w:left w:w="108" w:type="dxa"/>
              <w:bottom w:w="0" w:type="dxa"/>
              <w:right w:w="108" w:type="dxa"/>
            </w:tcMar>
          </w:tcPr>
          <w:p w14:paraId="025749D0" w14:textId="2C5517A4" w:rsidR="00134E54" w:rsidRPr="00D374AA" w:rsidRDefault="003D35C5" w:rsidP="00D374AA">
            <w:pPr>
              <w:spacing w:after="0"/>
              <w:rPr>
                <w:rFonts w:cstheme="minorHAnsi"/>
                <w:sz w:val="20"/>
                <w:szCs w:val="20"/>
              </w:rPr>
            </w:pPr>
            <w:r>
              <w:rPr>
                <w:rFonts w:cstheme="minorHAnsi"/>
                <w:sz w:val="20"/>
                <w:szCs w:val="20"/>
              </w:rPr>
              <w:t>2015</w:t>
            </w:r>
          </w:p>
        </w:tc>
        <w:tc>
          <w:tcPr>
            <w:tcW w:w="777" w:type="pct"/>
            <w:shd w:val="clear" w:color="auto" w:fill="auto"/>
            <w:tcMar>
              <w:top w:w="0" w:type="dxa"/>
              <w:left w:w="108" w:type="dxa"/>
              <w:bottom w:w="0" w:type="dxa"/>
              <w:right w:w="108" w:type="dxa"/>
            </w:tcMar>
            <w:hideMark/>
          </w:tcPr>
          <w:p w14:paraId="69B75CC5" w14:textId="25B3976B" w:rsidR="00134E54" w:rsidRPr="00D374AA" w:rsidRDefault="008259FC" w:rsidP="00D374AA">
            <w:pPr>
              <w:spacing w:after="0"/>
              <w:rPr>
                <w:rFonts w:cstheme="minorHAnsi"/>
                <w:sz w:val="20"/>
                <w:szCs w:val="20"/>
              </w:rPr>
            </w:pPr>
            <w:r>
              <w:rPr>
                <w:rFonts w:cstheme="minorHAnsi"/>
                <w:sz w:val="20"/>
                <w:szCs w:val="20"/>
              </w:rPr>
              <w:t>Not Registered</w:t>
            </w:r>
          </w:p>
        </w:tc>
      </w:tr>
      <w:tr w:rsidR="00116E25" w14:paraId="66086B82" w14:textId="77777777" w:rsidTr="00116E25">
        <w:tc>
          <w:tcPr>
            <w:tcW w:w="257" w:type="pct"/>
            <w:tcMar>
              <w:top w:w="0" w:type="dxa"/>
              <w:left w:w="108" w:type="dxa"/>
              <w:bottom w:w="0" w:type="dxa"/>
              <w:right w:w="108" w:type="dxa"/>
            </w:tcMar>
            <w:hideMark/>
          </w:tcPr>
          <w:p w14:paraId="6A0C6280" w14:textId="77777777" w:rsidR="00134E54" w:rsidRPr="00D374AA" w:rsidRDefault="00134E54" w:rsidP="00D374AA">
            <w:pPr>
              <w:spacing w:after="0"/>
              <w:rPr>
                <w:rFonts w:cstheme="minorHAnsi"/>
                <w:sz w:val="20"/>
                <w:szCs w:val="20"/>
              </w:rPr>
            </w:pPr>
            <w:r w:rsidRPr="00D374AA">
              <w:rPr>
                <w:rFonts w:cstheme="minorHAnsi"/>
                <w:sz w:val="20"/>
                <w:szCs w:val="20"/>
              </w:rPr>
              <w:t>4</w:t>
            </w:r>
          </w:p>
        </w:tc>
        <w:tc>
          <w:tcPr>
            <w:tcW w:w="987" w:type="pct"/>
            <w:tcMar>
              <w:top w:w="0" w:type="dxa"/>
              <w:left w:w="108" w:type="dxa"/>
              <w:bottom w:w="0" w:type="dxa"/>
              <w:right w:w="108" w:type="dxa"/>
            </w:tcMar>
            <w:hideMark/>
          </w:tcPr>
          <w:p w14:paraId="782BBE95" w14:textId="77777777" w:rsidR="00134E54" w:rsidRPr="00D374AA" w:rsidRDefault="00134E54" w:rsidP="00D374AA">
            <w:pPr>
              <w:spacing w:after="0"/>
              <w:rPr>
                <w:rFonts w:cstheme="minorHAnsi"/>
                <w:sz w:val="20"/>
                <w:szCs w:val="20"/>
              </w:rPr>
            </w:pPr>
            <w:r w:rsidRPr="00D374AA">
              <w:rPr>
                <w:rFonts w:cstheme="minorHAnsi"/>
                <w:sz w:val="20"/>
                <w:szCs w:val="20"/>
              </w:rPr>
              <w:t>Oritavancin</w:t>
            </w:r>
          </w:p>
        </w:tc>
        <w:tc>
          <w:tcPr>
            <w:tcW w:w="1447" w:type="pct"/>
            <w:tcMar>
              <w:top w:w="0" w:type="dxa"/>
              <w:left w:w="108" w:type="dxa"/>
              <w:bottom w:w="0" w:type="dxa"/>
              <w:right w:w="108" w:type="dxa"/>
            </w:tcMar>
          </w:tcPr>
          <w:p w14:paraId="413B6486" w14:textId="1A84D88F" w:rsidR="00134E54" w:rsidRPr="00D374AA" w:rsidRDefault="002C27CA" w:rsidP="00D374AA">
            <w:pPr>
              <w:spacing w:after="0"/>
              <w:rPr>
                <w:rFonts w:cstheme="minorHAnsi"/>
                <w:sz w:val="20"/>
                <w:szCs w:val="20"/>
              </w:rPr>
            </w:pPr>
            <w:r>
              <w:rPr>
                <w:rFonts w:cstheme="minorHAnsi"/>
                <w:sz w:val="20"/>
                <w:szCs w:val="20"/>
              </w:rPr>
              <w:t>-</w:t>
            </w:r>
          </w:p>
        </w:tc>
        <w:tc>
          <w:tcPr>
            <w:tcW w:w="730" w:type="pct"/>
            <w:tcMar>
              <w:top w:w="0" w:type="dxa"/>
              <w:left w:w="108" w:type="dxa"/>
              <w:bottom w:w="0" w:type="dxa"/>
              <w:right w:w="108" w:type="dxa"/>
            </w:tcMar>
            <w:hideMark/>
          </w:tcPr>
          <w:p w14:paraId="02F55B9E" w14:textId="77777777" w:rsidR="00134E54" w:rsidRPr="00D374AA" w:rsidRDefault="00134E54" w:rsidP="00D374AA">
            <w:pPr>
              <w:spacing w:after="0"/>
              <w:rPr>
                <w:rFonts w:cstheme="minorHAnsi"/>
                <w:sz w:val="20"/>
                <w:szCs w:val="20"/>
              </w:rPr>
            </w:pPr>
            <w:r w:rsidRPr="00D374AA">
              <w:rPr>
                <w:rFonts w:cstheme="minorHAnsi"/>
                <w:sz w:val="20"/>
                <w:szCs w:val="20"/>
              </w:rPr>
              <w:t>2014</w:t>
            </w:r>
          </w:p>
        </w:tc>
        <w:tc>
          <w:tcPr>
            <w:tcW w:w="802" w:type="pct"/>
            <w:tcMar>
              <w:top w:w="0" w:type="dxa"/>
              <w:left w:w="108" w:type="dxa"/>
              <w:bottom w:w="0" w:type="dxa"/>
              <w:right w:w="108" w:type="dxa"/>
            </w:tcMar>
          </w:tcPr>
          <w:p w14:paraId="19C86CBB" w14:textId="642D5F59" w:rsidR="00134E54" w:rsidRPr="00D374AA" w:rsidRDefault="003D35C5" w:rsidP="00D374AA">
            <w:pPr>
              <w:spacing w:after="0"/>
              <w:rPr>
                <w:rFonts w:cstheme="minorHAnsi"/>
                <w:sz w:val="20"/>
                <w:szCs w:val="20"/>
              </w:rPr>
            </w:pPr>
            <w:r>
              <w:rPr>
                <w:rFonts w:cstheme="minorHAnsi"/>
                <w:sz w:val="20"/>
                <w:szCs w:val="20"/>
              </w:rPr>
              <w:t>2015</w:t>
            </w:r>
          </w:p>
        </w:tc>
        <w:tc>
          <w:tcPr>
            <w:tcW w:w="777" w:type="pct"/>
            <w:shd w:val="clear" w:color="auto" w:fill="auto"/>
            <w:tcMar>
              <w:top w:w="0" w:type="dxa"/>
              <w:left w:w="108" w:type="dxa"/>
              <w:bottom w:w="0" w:type="dxa"/>
              <w:right w:w="108" w:type="dxa"/>
            </w:tcMar>
            <w:hideMark/>
          </w:tcPr>
          <w:p w14:paraId="38FFFB7B" w14:textId="64AA8D1F" w:rsidR="00134E54" w:rsidRPr="00D374AA" w:rsidRDefault="008259FC" w:rsidP="00D374AA">
            <w:pPr>
              <w:spacing w:after="0"/>
              <w:rPr>
                <w:rFonts w:cstheme="minorHAnsi"/>
                <w:sz w:val="20"/>
                <w:szCs w:val="20"/>
              </w:rPr>
            </w:pPr>
            <w:r>
              <w:rPr>
                <w:rFonts w:cstheme="minorHAnsi"/>
                <w:sz w:val="20"/>
                <w:szCs w:val="20"/>
              </w:rPr>
              <w:t>Not Registered</w:t>
            </w:r>
          </w:p>
        </w:tc>
      </w:tr>
      <w:tr w:rsidR="00116E25" w14:paraId="4EFCB263" w14:textId="77777777" w:rsidTr="00116E25">
        <w:tc>
          <w:tcPr>
            <w:tcW w:w="257" w:type="pct"/>
            <w:tcMar>
              <w:top w:w="0" w:type="dxa"/>
              <w:left w:w="108" w:type="dxa"/>
              <w:bottom w:w="0" w:type="dxa"/>
              <w:right w:w="108" w:type="dxa"/>
            </w:tcMar>
            <w:hideMark/>
          </w:tcPr>
          <w:p w14:paraId="6C113B8E" w14:textId="77777777" w:rsidR="00134E54" w:rsidRPr="00D374AA" w:rsidRDefault="00134E54" w:rsidP="00D374AA">
            <w:pPr>
              <w:spacing w:after="0"/>
              <w:rPr>
                <w:rFonts w:cstheme="minorHAnsi"/>
                <w:sz w:val="20"/>
                <w:szCs w:val="20"/>
              </w:rPr>
            </w:pPr>
            <w:r w:rsidRPr="00D374AA">
              <w:rPr>
                <w:rFonts w:cstheme="minorHAnsi"/>
                <w:sz w:val="20"/>
                <w:szCs w:val="20"/>
              </w:rPr>
              <w:t>5</w:t>
            </w:r>
          </w:p>
        </w:tc>
        <w:tc>
          <w:tcPr>
            <w:tcW w:w="987" w:type="pct"/>
            <w:tcMar>
              <w:top w:w="0" w:type="dxa"/>
              <w:left w:w="108" w:type="dxa"/>
              <w:bottom w:w="0" w:type="dxa"/>
              <w:right w:w="108" w:type="dxa"/>
            </w:tcMar>
            <w:hideMark/>
          </w:tcPr>
          <w:p w14:paraId="6C26B4EA" w14:textId="77777777" w:rsidR="00134E54" w:rsidRPr="00D374AA" w:rsidRDefault="00134E54" w:rsidP="00D374AA">
            <w:pPr>
              <w:spacing w:after="0"/>
              <w:rPr>
                <w:rFonts w:cstheme="minorHAnsi"/>
                <w:sz w:val="20"/>
                <w:szCs w:val="20"/>
              </w:rPr>
            </w:pPr>
            <w:r w:rsidRPr="00D374AA">
              <w:rPr>
                <w:rFonts w:cstheme="minorHAnsi"/>
                <w:sz w:val="20"/>
                <w:szCs w:val="20"/>
              </w:rPr>
              <w:t>Tedizolid phosphate</w:t>
            </w:r>
          </w:p>
        </w:tc>
        <w:tc>
          <w:tcPr>
            <w:tcW w:w="1447" w:type="pct"/>
            <w:tcMar>
              <w:top w:w="0" w:type="dxa"/>
              <w:left w:w="108" w:type="dxa"/>
              <w:bottom w:w="0" w:type="dxa"/>
              <w:right w:w="108" w:type="dxa"/>
            </w:tcMar>
          </w:tcPr>
          <w:p w14:paraId="23F75871" w14:textId="239E2C2B" w:rsidR="00134E54" w:rsidRPr="00D374AA" w:rsidRDefault="002C27CA" w:rsidP="00D374AA">
            <w:pPr>
              <w:spacing w:after="0"/>
              <w:rPr>
                <w:rFonts w:cstheme="minorHAnsi"/>
                <w:sz w:val="20"/>
                <w:szCs w:val="20"/>
              </w:rPr>
            </w:pPr>
            <w:r>
              <w:rPr>
                <w:rFonts w:cstheme="minorHAnsi"/>
                <w:sz w:val="20"/>
                <w:szCs w:val="20"/>
              </w:rPr>
              <w:t>-</w:t>
            </w:r>
          </w:p>
        </w:tc>
        <w:tc>
          <w:tcPr>
            <w:tcW w:w="730" w:type="pct"/>
            <w:tcMar>
              <w:top w:w="0" w:type="dxa"/>
              <w:left w:w="108" w:type="dxa"/>
              <w:bottom w:w="0" w:type="dxa"/>
              <w:right w:w="108" w:type="dxa"/>
            </w:tcMar>
            <w:hideMark/>
          </w:tcPr>
          <w:p w14:paraId="5C567C20" w14:textId="77777777" w:rsidR="00134E54" w:rsidRPr="00D374AA" w:rsidRDefault="00134E54" w:rsidP="00D374AA">
            <w:pPr>
              <w:spacing w:after="0"/>
              <w:rPr>
                <w:rFonts w:cstheme="minorHAnsi"/>
                <w:sz w:val="20"/>
                <w:szCs w:val="20"/>
              </w:rPr>
            </w:pPr>
            <w:r w:rsidRPr="00D374AA">
              <w:rPr>
                <w:rFonts w:cstheme="minorHAnsi"/>
                <w:sz w:val="20"/>
                <w:szCs w:val="20"/>
              </w:rPr>
              <w:t>2014</w:t>
            </w:r>
          </w:p>
        </w:tc>
        <w:tc>
          <w:tcPr>
            <w:tcW w:w="802" w:type="pct"/>
            <w:tcMar>
              <w:top w:w="0" w:type="dxa"/>
              <w:left w:w="108" w:type="dxa"/>
              <w:bottom w:w="0" w:type="dxa"/>
              <w:right w:w="108" w:type="dxa"/>
            </w:tcMar>
          </w:tcPr>
          <w:p w14:paraId="7CE4D1AE" w14:textId="40B139E9" w:rsidR="00134E54" w:rsidRPr="00D374AA" w:rsidRDefault="003D35C5" w:rsidP="00D374AA">
            <w:pPr>
              <w:spacing w:after="0"/>
              <w:rPr>
                <w:rFonts w:cstheme="minorHAnsi"/>
                <w:sz w:val="20"/>
                <w:szCs w:val="20"/>
              </w:rPr>
            </w:pPr>
            <w:r>
              <w:rPr>
                <w:rFonts w:cstheme="minorHAnsi"/>
                <w:sz w:val="20"/>
                <w:szCs w:val="20"/>
              </w:rPr>
              <w:t>2015</w:t>
            </w:r>
          </w:p>
        </w:tc>
        <w:tc>
          <w:tcPr>
            <w:tcW w:w="777" w:type="pct"/>
            <w:shd w:val="clear" w:color="auto" w:fill="auto"/>
            <w:tcMar>
              <w:top w:w="0" w:type="dxa"/>
              <w:left w:w="108" w:type="dxa"/>
              <w:bottom w:w="0" w:type="dxa"/>
              <w:right w:w="108" w:type="dxa"/>
            </w:tcMar>
            <w:hideMark/>
          </w:tcPr>
          <w:p w14:paraId="714CFC4A" w14:textId="66EE4655" w:rsidR="00134E54" w:rsidRPr="00D374AA" w:rsidRDefault="008259FC" w:rsidP="00D374AA">
            <w:pPr>
              <w:spacing w:after="0"/>
              <w:rPr>
                <w:rFonts w:cstheme="minorHAnsi"/>
                <w:sz w:val="20"/>
                <w:szCs w:val="20"/>
              </w:rPr>
            </w:pPr>
            <w:r>
              <w:rPr>
                <w:rFonts w:cstheme="minorHAnsi"/>
                <w:sz w:val="20"/>
                <w:szCs w:val="20"/>
              </w:rPr>
              <w:t>Not Registered</w:t>
            </w:r>
          </w:p>
        </w:tc>
      </w:tr>
      <w:tr w:rsidR="00116E25" w14:paraId="3D7C1231" w14:textId="77777777" w:rsidTr="00116E25">
        <w:tc>
          <w:tcPr>
            <w:tcW w:w="257" w:type="pct"/>
            <w:tcMar>
              <w:top w:w="0" w:type="dxa"/>
              <w:left w:w="108" w:type="dxa"/>
              <w:bottom w:w="0" w:type="dxa"/>
              <w:right w:w="108" w:type="dxa"/>
            </w:tcMar>
            <w:hideMark/>
          </w:tcPr>
          <w:p w14:paraId="4F546FD5" w14:textId="77777777" w:rsidR="00134E54" w:rsidRPr="00D374AA" w:rsidRDefault="00134E54" w:rsidP="00D374AA">
            <w:pPr>
              <w:spacing w:after="0"/>
              <w:rPr>
                <w:rFonts w:cstheme="minorHAnsi"/>
                <w:sz w:val="20"/>
                <w:szCs w:val="20"/>
              </w:rPr>
            </w:pPr>
            <w:r w:rsidRPr="00D374AA">
              <w:rPr>
                <w:rFonts w:cstheme="minorHAnsi"/>
                <w:sz w:val="20"/>
                <w:szCs w:val="20"/>
              </w:rPr>
              <w:t>6</w:t>
            </w:r>
          </w:p>
        </w:tc>
        <w:tc>
          <w:tcPr>
            <w:tcW w:w="987" w:type="pct"/>
            <w:tcMar>
              <w:top w:w="0" w:type="dxa"/>
              <w:left w:w="108" w:type="dxa"/>
              <w:bottom w:w="0" w:type="dxa"/>
              <w:right w:w="108" w:type="dxa"/>
            </w:tcMar>
            <w:hideMark/>
          </w:tcPr>
          <w:p w14:paraId="75531F7C" w14:textId="77777777" w:rsidR="00134E54" w:rsidRPr="00D374AA" w:rsidRDefault="00134E54" w:rsidP="00D374AA">
            <w:pPr>
              <w:spacing w:after="0"/>
              <w:rPr>
                <w:rFonts w:cstheme="minorHAnsi"/>
                <w:sz w:val="20"/>
                <w:szCs w:val="20"/>
              </w:rPr>
            </w:pPr>
            <w:r w:rsidRPr="00D374AA">
              <w:rPr>
                <w:rFonts w:cstheme="minorHAnsi"/>
                <w:sz w:val="20"/>
                <w:szCs w:val="20"/>
              </w:rPr>
              <w:t>Finafloxacin</w:t>
            </w:r>
          </w:p>
        </w:tc>
        <w:tc>
          <w:tcPr>
            <w:tcW w:w="1447" w:type="pct"/>
            <w:tcMar>
              <w:top w:w="0" w:type="dxa"/>
              <w:left w:w="108" w:type="dxa"/>
              <w:bottom w:w="0" w:type="dxa"/>
              <w:right w:w="108" w:type="dxa"/>
            </w:tcMar>
          </w:tcPr>
          <w:p w14:paraId="10EBC179" w14:textId="039DF467" w:rsidR="00134E54" w:rsidRPr="00D374AA" w:rsidRDefault="002C27CA" w:rsidP="00D374AA">
            <w:pPr>
              <w:spacing w:after="0"/>
              <w:rPr>
                <w:rFonts w:cstheme="minorHAnsi"/>
                <w:sz w:val="20"/>
                <w:szCs w:val="20"/>
              </w:rPr>
            </w:pPr>
            <w:r>
              <w:rPr>
                <w:rFonts w:cstheme="minorHAnsi"/>
                <w:sz w:val="20"/>
                <w:szCs w:val="20"/>
              </w:rPr>
              <w:t>-</w:t>
            </w:r>
          </w:p>
        </w:tc>
        <w:tc>
          <w:tcPr>
            <w:tcW w:w="730" w:type="pct"/>
            <w:tcMar>
              <w:top w:w="0" w:type="dxa"/>
              <w:left w:w="108" w:type="dxa"/>
              <w:bottom w:w="0" w:type="dxa"/>
              <w:right w:w="108" w:type="dxa"/>
            </w:tcMar>
            <w:hideMark/>
          </w:tcPr>
          <w:p w14:paraId="61CDB83B" w14:textId="77777777" w:rsidR="00134E54" w:rsidRPr="00D374AA" w:rsidRDefault="00134E54" w:rsidP="00D374AA">
            <w:pPr>
              <w:spacing w:after="0"/>
              <w:rPr>
                <w:rFonts w:cstheme="minorHAnsi"/>
                <w:sz w:val="20"/>
                <w:szCs w:val="20"/>
              </w:rPr>
            </w:pPr>
            <w:r w:rsidRPr="00D374AA">
              <w:rPr>
                <w:rFonts w:cstheme="minorHAnsi"/>
                <w:sz w:val="20"/>
                <w:szCs w:val="20"/>
              </w:rPr>
              <w:t>2014</w:t>
            </w:r>
          </w:p>
        </w:tc>
        <w:tc>
          <w:tcPr>
            <w:tcW w:w="802" w:type="pct"/>
            <w:tcMar>
              <w:top w:w="0" w:type="dxa"/>
              <w:left w:w="108" w:type="dxa"/>
              <w:bottom w:w="0" w:type="dxa"/>
              <w:right w:w="108" w:type="dxa"/>
            </w:tcMar>
          </w:tcPr>
          <w:p w14:paraId="2C21A11A" w14:textId="397D10B8" w:rsidR="00134E54" w:rsidRPr="00D374AA" w:rsidRDefault="00116E25" w:rsidP="00D374AA">
            <w:pPr>
              <w:spacing w:after="0"/>
              <w:rPr>
                <w:rFonts w:cstheme="minorHAnsi"/>
                <w:sz w:val="20"/>
                <w:szCs w:val="20"/>
              </w:rPr>
            </w:pPr>
            <w:r>
              <w:rPr>
                <w:rFonts w:cstheme="minorHAnsi"/>
                <w:sz w:val="20"/>
                <w:szCs w:val="20"/>
              </w:rPr>
              <w:t>Not Registered</w:t>
            </w:r>
          </w:p>
        </w:tc>
        <w:tc>
          <w:tcPr>
            <w:tcW w:w="777" w:type="pct"/>
            <w:shd w:val="clear" w:color="auto" w:fill="auto"/>
            <w:tcMar>
              <w:top w:w="0" w:type="dxa"/>
              <w:left w:w="108" w:type="dxa"/>
              <w:bottom w:w="0" w:type="dxa"/>
              <w:right w:w="108" w:type="dxa"/>
            </w:tcMar>
            <w:hideMark/>
          </w:tcPr>
          <w:p w14:paraId="212E2AFA" w14:textId="302BEC32" w:rsidR="00134E54" w:rsidRPr="00D374AA" w:rsidRDefault="008259FC" w:rsidP="00D374AA">
            <w:pPr>
              <w:spacing w:after="0"/>
              <w:rPr>
                <w:rFonts w:cstheme="minorHAnsi"/>
                <w:sz w:val="20"/>
                <w:szCs w:val="20"/>
              </w:rPr>
            </w:pPr>
            <w:r>
              <w:rPr>
                <w:rFonts w:cstheme="minorHAnsi"/>
                <w:sz w:val="20"/>
                <w:szCs w:val="20"/>
              </w:rPr>
              <w:t>Not Registered</w:t>
            </w:r>
          </w:p>
        </w:tc>
      </w:tr>
      <w:tr w:rsidR="00116E25" w14:paraId="1B334AD7" w14:textId="77777777" w:rsidTr="00116E25">
        <w:tc>
          <w:tcPr>
            <w:tcW w:w="257" w:type="pct"/>
            <w:tcMar>
              <w:top w:w="0" w:type="dxa"/>
              <w:left w:w="108" w:type="dxa"/>
              <w:bottom w:w="0" w:type="dxa"/>
              <w:right w:w="108" w:type="dxa"/>
            </w:tcMar>
            <w:hideMark/>
          </w:tcPr>
          <w:p w14:paraId="5BD2A60F" w14:textId="77777777" w:rsidR="00134E54" w:rsidRPr="00D374AA" w:rsidRDefault="00134E54" w:rsidP="00D374AA">
            <w:pPr>
              <w:spacing w:after="0"/>
              <w:rPr>
                <w:rFonts w:cstheme="minorHAnsi"/>
                <w:sz w:val="20"/>
                <w:szCs w:val="20"/>
              </w:rPr>
            </w:pPr>
            <w:r w:rsidRPr="00D374AA">
              <w:rPr>
                <w:rFonts w:cstheme="minorHAnsi"/>
                <w:sz w:val="20"/>
                <w:szCs w:val="20"/>
              </w:rPr>
              <w:t>7</w:t>
            </w:r>
          </w:p>
        </w:tc>
        <w:tc>
          <w:tcPr>
            <w:tcW w:w="987" w:type="pct"/>
            <w:tcMar>
              <w:top w:w="0" w:type="dxa"/>
              <w:left w:w="108" w:type="dxa"/>
              <w:bottom w:w="0" w:type="dxa"/>
              <w:right w:w="108" w:type="dxa"/>
            </w:tcMar>
            <w:hideMark/>
          </w:tcPr>
          <w:p w14:paraId="3B39797F" w14:textId="77777777" w:rsidR="00134E54" w:rsidRPr="00D374AA" w:rsidRDefault="00134E54" w:rsidP="00D374AA">
            <w:pPr>
              <w:spacing w:after="0"/>
              <w:rPr>
                <w:rFonts w:cstheme="minorHAnsi"/>
                <w:sz w:val="20"/>
                <w:szCs w:val="20"/>
              </w:rPr>
            </w:pPr>
            <w:r w:rsidRPr="00D374AA">
              <w:rPr>
                <w:rFonts w:cstheme="minorHAnsi"/>
                <w:sz w:val="20"/>
                <w:szCs w:val="20"/>
              </w:rPr>
              <w:t>Delaminid</w:t>
            </w:r>
          </w:p>
        </w:tc>
        <w:tc>
          <w:tcPr>
            <w:tcW w:w="1447" w:type="pct"/>
            <w:tcMar>
              <w:top w:w="0" w:type="dxa"/>
              <w:left w:w="108" w:type="dxa"/>
              <w:bottom w:w="0" w:type="dxa"/>
              <w:right w:w="108" w:type="dxa"/>
            </w:tcMar>
          </w:tcPr>
          <w:p w14:paraId="26F6D421" w14:textId="235845FB" w:rsidR="00134E54" w:rsidRPr="00D374AA" w:rsidRDefault="002C27CA" w:rsidP="00D374AA">
            <w:pPr>
              <w:spacing w:after="0"/>
              <w:rPr>
                <w:rFonts w:cstheme="minorHAnsi"/>
                <w:sz w:val="20"/>
                <w:szCs w:val="20"/>
              </w:rPr>
            </w:pPr>
            <w:r>
              <w:rPr>
                <w:rFonts w:cstheme="minorHAnsi"/>
                <w:sz w:val="20"/>
                <w:szCs w:val="20"/>
              </w:rPr>
              <w:t>-</w:t>
            </w:r>
          </w:p>
        </w:tc>
        <w:tc>
          <w:tcPr>
            <w:tcW w:w="730" w:type="pct"/>
            <w:tcMar>
              <w:top w:w="0" w:type="dxa"/>
              <w:left w:w="108" w:type="dxa"/>
              <w:bottom w:w="0" w:type="dxa"/>
              <w:right w:w="108" w:type="dxa"/>
            </w:tcMar>
          </w:tcPr>
          <w:p w14:paraId="126C3152" w14:textId="6190CE3F" w:rsidR="00134E54" w:rsidRPr="00D374AA" w:rsidRDefault="00116E25" w:rsidP="00D374AA">
            <w:pPr>
              <w:spacing w:after="0"/>
              <w:rPr>
                <w:rFonts w:cstheme="minorHAnsi"/>
                <w:sz w:val="20"/>
                <w:szCs w:val="20"/>
              </w:rPr>
            </w:pPr>
            <w:r>
              <w:rPr>
                <w:rFonts w:cstheme="minorHAnsi"/>
                <w:sz w:val="20"/>
                <w:szCs w:val="20"/>
              </w:rPr>
              <w:t>Not registered</w:t>
            </w:r>
          </w:p>
        </w:tc>
        <w:tc>
          <w:tcPr>
            <w:tcW w:w="802" w:type="pct"/>
            <w:tcMar>
              <w:top w:w="0" w:type="dxa"/>
              <w:left w:w="108" w:type="dxa"/>
              <w:bottom w:w="0" w:type="dxa"/>
              <w:right w:w="108" w:type="dxa"/>
            </w:tcMar>
            <w:hideMark/>
          </w:tcPr>
          <w:p w14:paraId="5BACD6C7" w14:textId="77777777" w:rsidR="00134E54" w:rsidRPr="00D374AA" w:rsidRDefault="00134E54" w:rsidP="00D374AA">
            <w:pPr>
              <w:spacing w:after="0"/>
              <w:rPr>
                <w:rFonts w:cstheme="minorHAnsi"/>
                <w:sz w:val="20"/>
                <w:szCs w:val="20"/>
              </w:rPr>
            </w:pPr>
            <w:r w:rsidRPr="00D374AA">
              <w:rPr>
                <w:rFonts w:cstheme="minorHAnsi"/>
                <w:sz w:val="20"/>
                <w:szCs w:val="20"/>
              </w:rPr>
              <w:t>2014</w:t>
            </w:r>
          </w:p>
        </w:tc>
        <w:tc>
          <w:tcPr>
            <w:tcW w:w="777" w:type="pct"/>
            <w:shd w:val="clear" w:color="auto" w:fill="auto"/>
            <w:tcMar>
              <w:top w:w="0" w:type="dxa"/>
              <w:left w:w="108" w:type="dxa"/>
              <w:bottom w:w="0" w:type="dxa"/>
              <w:right w:w="108" w:type="dxa"/>
            </w:tcMar>
            <w:hideMark/>
          </w:tcPr>
          <w:p w14:paraId="10B86EC8" w14:textId="462DF7A2" w:rsidR="00134E54" w:rsidRPr="00D374AA" w:rsidRDefault="008259FC" w:rsidP="00D374AA">
            <w:pPr>
              <w:spacing w:after="0"/>
              <w:rPr>
                <w:rFonts w:cstheme="minorHAnsi"/>
                <w:sz w:val="20"/>
                <w:szCs w:val="20"/>
              </w:rPr>
            </w:pPr>
            <w:r>
              <w:rPr>
                <w:rFonts w:cstheme="minorHAnsi"/>
                <w:sz w:val="20"/>
                <w:szCs w:val="20"/>
              </w:rPr>
              <w:t>Not Registered</w:t>
            </w:r>
          </w:p>
        </w:tc>
      </w:tr>
      <w:tr w:rsidR="008259FC" w14:paraId="2E9A382B" w14:textId="77777777" w:rsidTr="00116E25">
        <w:tc>
          <w:tcPr>
            <w:tcW w:w="257" w:type="pct"/>
            <w:shd w:val="clear" w:color="auto" w:fill="92D050"/>
            <w:tcMar>
              <w:top w:w="0" w:type="dxa"/>
              <w:left w:w="108" w:type="dxa"/>
              <w:bottom w:w="0" w:type="dxa"/>
              <w:right w:w="108" w:type="dxa"/>
            </w:tcMar>
            <w:hideMark/>
          </w:tcPr>
          <w:p w14:paraId="19CACB56" w14:textId="77777777" w:rsidR="00134E54" w:rsidRPr="00D374AA" w:rsidRDefault="00134E54" w:rsidP="00D374AA">
            <w:pPr>
              <w:spacing w:after="0"/>
              <w:rPr>
                <w:rFonts w:cstheme="minorHAnsi"/>
                <w:b/>
                <w:bCs/>
                <w:sz w:val="20"/>
                <w:szCs w:val="20"/>
              </w:rPr>
            </w:pPr>
            <w:r w:rsidRPr="00D374AA">
              <w:rPr>
                <w:rFonts w:cstheme="minorHAnsi"/>
                <w:b/>
                <w:bCs/>
                <w:sz w:val="20"/>
                <w:szCs w:val="20"/>
              </w:rPr>
              <w:t>8</w:t>
            </w:r>
          </w:p>
        </w:tc>
        <w:tc>
          <w:tcPr>
            <w:tcW w:w="987" w:type="pct"/>
            <w:shd w:val="clear" w:color="auto" w:fill="92D050"/>
            <w:tcMar>
              <w:top w:w="0" w:type="dxa"/>
              <w:left w:w="108" w:type="dxa"/>
              <w:bottom w:w="0" w:type="dxa"/>
              <w:right w:w="108" w:type="dxa"/>
            </w:tcMar>
            <w:hideMark/>
          </w:tcPr>
          <w:p w14:paraId="13E762AF" w14:textId="767186D9" w:rsidR="00134E54" w:rsidRPr="00D374AA" w:rsidRDefault="00134E54" w:rsidP="00D374AA">
            <w:pPr>
              <w:spacing w:after="0"/>
              <w:rPr>
                <w:rFonts w:cstheme="minorHAnsi"/>
                <w:b/>
                <w:bCs/>
                <w:sz w:val="20"/>
                <w:szCs w:val="20"/>
              </w:rPr>
            </w:pPr>
            <w:r w:rsidRPr="00D374AA">
              <w:rPr>
                <w:rFonts w:cstheme="minorHAnsi"/>
                <w:b/>
                <w:bCs/>
                <w:sz w:val="20"/>
                <w:szCs w:val="20"/>
              </w:rPr>
              <w:t>Ceftolozane/</w:t>
            </w:r>
            <w:r w:rsidRPr="00C136E3">
              <w:rPr>
                <w:rFonts w:cstheme="minorHAnsi"/>
                <w:b/>
                <w:bCs/>
                <w:sz w:val="20"/>
                <w:szCs w:val="20"/>
              </w:rPr>
              <w:t xml:space="preserve"> </w:t>
            </w:r>
            <w:r w:rsidRPr="00D374AA">
              <w:rPr>
                <w:rFonts w:cstheme="minorHAnsi"/>
                <w:b/>
                <w:bCs/>
                <w:sz w:val="20"/>
                <w:szCs w:val="20"/>
              </w:rPr>
              <w:t>tazobactam</w:t>
            </w:r>
          </w:p>
        </w:tc>
        <w:tc>
          <w:tcPr>
            <w:tcW w:w="1447" w:type="pct"/>
            <w:shd w:val="clear" w:color="auto" w:fill="92D050"/>
            <w:tcMar>
              <w:top w:w="0" w:type="dxa"/>
              <w:left w:w="108" w:type="dxa"/>
              <w:bottom w:w="0" w:type="dxa"/>
              <w:right w:w="108" w:type="dxa"/>
            </w:tcMar>
            <w:hideMark/>
          </w:tcPr>
          <w:p w14:paraId="2EC18F25" w14:textId="77777777" w:rsidR="00134E54" w:rsidRPr="00D374AA" w:rsidRDefault="00134E54" w:rsidP="00D374AA">
            <w:pPr>
              <w:spacing w:after="0"/>
              <w:rPr>
                <w:rFonts w:cstheme="minorHAnsi"/>
                <w:b/>
                <w:bCs/>
                <w:sz w:val="20"/>
                <w:szCs w:val="20"/>
              </w:rPr>
            </w:pPr>
            <w:r w:rsidRPr="00D374AA">
              <w:rPr>
                <w:rFonts w:cstheme="minorHAnsi"/>
                <w:b/>
                <w:bCs/>
                <w:sz w:val="20"/>
                <w:szCs w:val="20"/>
              </w:rPr>
              <w:t xml:space="preserve">Yes (ESBLs; </w:t>
            </w:r>
            <w:r w:rsidRPr="00D374AA">
              <w:rPr>
                <w:rFonts w:cstheme="minorHAnsi"/>
                <w:b/>
                <w:bCs/>
                <w:i/>
                <w:iCs/>
                <w:sz w:val="20"/>
                <w:szCs w:val="20"/>
              </w:rPr>
              <w:t>P. aeruginosa</w:t>
            </w:r>
            <w:r w:rsidRPr="00D374AA">
              <w:rPr>
                <w:rFonts w:cstheme="minorHAnsi"/>
                <w:b/>
                <w:bCs/>
                <w:sz w:val="20"/>
                <w:szCs w:val="20"/>
              </w:rPr>
              <w:t>)</w:t>
            </w:r>
          </w:p>
        </w:tc>
        <w:tc>
          <w:tcPr>
            <w:tcW w:w="730" w:type="pct"/>
            <w:shd w:val="clear" w:color="auto" w:fill="92D050"/>
            <w:tcMar>
              <w:top w:w="0" w:type="dxa"/>
              <w:left w:w="108" w:type="dxa"/>
              <w:bottom w:w="0" w:type="dxa"/>
              <w:right w:w="108" w:type="dxa"/>
            </w:tcMar>
            <w:hideMark/>
          </w:tcPr>
          <w:p w14:paraId="75E3DB45" w14:textId="77777777" w:rsidR="00134E54" w:rsidRPr="00D374AA" w:rsidRDefault="00134E54" w:rsidP="00D374AA">
            <w:pPr>
              <w:spacing w:after="0"/>
              <w:rPr>
                <w:rFonts w:cstheme="minorHAnsi"/>
                <w:b/>
                <w:bCs/>
                <w:sz w:val="20"/>
                <w:szCs w:val="20"/>
              </w:rPr>
            </w:pPr>
            <w:r w:rsidRPr="00D374AA">
              <w:rPr>
                <w:rFonts w:cstheme="minorHAnsi"/>
                <w:b/>
                <w:bCs/>
                <w:sz w:val="20"/>
                <w:szCs w:val="20"/>
              </w:rPr>
              <w:t>2014</w:t>
            </w:r>
          </w:p>
        </w:tc>
        <w:tc>
          <w:tcPr>
            <w:tcW w:w="802" w:type="pct"/>
            <w:shd w:val="clear" w:color="auto" w:fill="92D050"/>
            <w:tcMar>
              <w:top w:w="0" w:type="dxa"/>
              <w:left w:w="108" w:type="dxa"/>
              <w:bottom w:w="0" w:type="dxa"/>
              <w:right w:w="108" w:type="dxa"/>
            </w:tcMar>
          </w:tcPr>
          <w:p w14:paraId="415FDCC1" w14:textId="3DC7DFBD" w:rsidR="00134E54" w:rsidRPr="00D374AA" w:rsidRDefault="003D35C5" w:rsidP="00D374AA">
            <w:pPr>
              <w:spacing w:after="0"/>
              <w:rPr>
                <w:rFonts w:cstheme="minorHAnsi"/>
                <w:b/>
                <w:bCs/>
                <w:sz w:val="20"/>
                <w:szCs w:val="20"/>
              </w:rPr>
            </w:pPr>
            <w:r>
              <w:rPr>
                <w:rFonts w:cstheme="minorHAnsi"/>
                <w:b/>
                <w:bCs/>
                <w:sz w:val="20"/>
                <w:szCs w:val="20"/>
              </w:rPr>
              <w:t>2015</w:t>
            </w:r>
          </w:p>
        </w:tc>
        <w:tc>
          <w:tcPr>
            <w:tcW w:w="777" w:type="pct"/>
            <w:shd w:val="clear" w:color="auto" w:fill="92D050"/>
            <w:tcMar>
              <w:top w:w="0" w:type="dxa"/>
              <w:left w:w="108" w:type="dxa"/>
              <w:bottom w:w="0" w:type="dxa"/>
              <w:right w:w="108" w:type="dxa"/>
            </w:tcMar>
            <w:hideMark/>
          </w:tcPr>
          <w:p w14:paraId="15A4A72A" w14:textId="2FA358A3" w:rsidR="00134E54" w:rsidRPr="00D374AA" w:rsidRDefault="003D35C5" w:rsidP="00D374AA">
            <w:pPr>
              <w:spacing w:after="0"/>
              <w:rPr>
                <w:rFonts w:cstheme="minorHAnsi"/>
                <w:b/>
                <w:bCs/>
                <w:sz w:val="20"/>
                <w:szCs w:val="20"/>
              </w:rPr>
            </w:pPr>
            <w:r>
              <w:rPr>
                <w:rFonts w:cstheme="minorHAnsi"/>
                <w:b/>
                <w:bCs/>
                <w:sz w:val="20"/>
                <w:szCs w:val="20"/>
              </w:rPr>
              <w:t>2015</w:t>
            </w:r>
          </w:p>
        </w:tc>
      </w:tr>
      <w:tr w:rsidR="008259FC" w14:paraId="2931DB02" w14:textId="77777777" w:rsidTr="00116E25">
        <w:tc>
          <w:tcPr>
            <w:tcW w:w="257" w:type="pct"/>
            <w:shd w:val="clear" w:color="auto" w:fill="92D050"/>
            <w:tcMar>
              <w:top w:w="0" w:type="dxa"/>
              <w:left w:w="108" w:type="dxa"/>
              <w:bottom w:w="0" w:type="dxa"/>
              <w:right w:w="108" w:type="dxa"/>
            </w:tcMar>
            <w:hideMark/>
          </w:tcPr>
          <w:p w14:paraId="6D699DC3" w14:textId="77777777" w:rsidR="00134E54" w:rsidRPr="00D374AA" w:rsidRDefault="00134E54" w:rsidP="00D374AA">
            <w:pPr>
              <w:spacing w:after="0"/>
              <w:rPr>
                <w:rFonts w:cstheme="minorHAnsi"/>
                <w:b/>
                <w:bCs/>
                <w:sz w:val="20"/>
                <w:szCs w:val="20"/>
              </w:rPr>
            </w:pPr>
            <w:r w:rsidRPr="00D374AA">
              <w:rPr>
                <w:rFonts w:cstheme="minorHAnsi"/>
                <w:b/>
                <w:bCs/>
                <w:sz w:val="20"/>
                <w:szCs w:val="20"/>
              </w:rPr>
              <w:t>9</w:t>
            </w:r>
          </w:p>
        </w:tc>
        <w:tc>
          <w:tcPr>
            <w:tcW w:w="987" w:type="pct"/>
            <w:shd w:val="clear" w:color="auto" w:fill="92D050"/>
            <w:tcMar>
              <w:top w:w="0" w:type="dxa"/>
              <w:left w:w="108" w:type="dxa"/>
              <w:bottom w:w="0" w:type="dxa"/>
              <w:right w:w="108" w:type="dxa"/>
            </w:tcMar>
            <w:hideMark/>
          </w:tcPr>
          <w:p w14:paraId="07D6415F" w14:textId="545E7273" w:rsidR="00134E54" w:rsidRPr="00D374AA" w:rsidRDefault="00134E54" w:rsidP="00D374AA">
            <w:pPr>
              <w:spacing w:after="0"/>
              <w:rPr>
                <w:rFonts w:cstheme="minorHAnsi"/>
                <w:b/>
                <w:bCs/>
                <w:sz w:val="20"/>
                <w:szCs w:val="20"/>
              </w:rPr>
            </w:pPr>
            <w:r w:rsidRPr="00D374AA">
              <w:rPr>
                <w:rFonts w:cstheme="minorHAnsi"/>
                <w:b/>
                <w:bCs/>
                <w:sz w:val="20"/>
                <w:szCs w:val="20"/>
              </w:rPr>
              <w:t>Ceftazidime/</w:t>
            </w:r>
            <w:r w:rsidRPr="00C136E3">
              <w:rPr>
                <w:rFonts w:cstheme="minorHAnsi"/>
                <w:b/>
                <w:bCs/>
                <w:sz w:val="20"/>
                <w:szCs w:val="20"/>
              </w:rPr>
              <w:t xml:space="preserve"> </w:t>
            </w:r>
            <w:r w:rsidRPr="00D374AA">
              <w:rPr>
                <w:rFonts w:cstheme="minorHAnsi"/>
                <w:b/>
                <w:bCs/>
                <w:sz w:val="20"/>
                <w:szCs w:val="20"/>
              </w:rPr>
              <w:t>avibactam</w:t>
            </w:r>
          </w:p>
        </w:tc>
        <w:tc>
          <w:tcPr>
            <w:tcW w:w="1447" w:type="pct"/>
            <w:shd w:val="clear" w:color="auto" w:fill="92D050"/>
            <w:tcMar>
              <w:top w:w="0" w:type="dxa"/>
              <w:left w:w="108" w:type="dxa"/>
              <w:bottom w:w="0" w:type="dxa"/>
              <w:right w:w="108" w:type="dxa"/>
            </w:tcMar>
            <w:hideMark/>
          </w:tcPr>
          <w:p w14:paraId="419692FB" w14:textId="77777777" w:rsidR="00134E54" w:rsidRPr="00D374AA" w:rsidRDefault="00134E54" w:rsidP="00D374AA">
            <w:pPr>
              <w:spacing w:after="0"/>
              <w:rPr>
                <w:rFonts w:cstheme="minorHAnsi"/>
                <w:b/>
                <w:bCs/>
                <w:sz w:val="20"/>
                <w:szCs w:val="20"/>
              </w:rPr>
            </w:pPr>
            <w:r w:rsidRPr="00D374AA">
              <w:rPr>
                <w:rFonts w:cstheme="minorHAnsi"/>
                <w:b/>
                <w:bCs/>
                <w:sz w:val="20"/>
                <w:szCs w:val="20"/>
              </w:rPr>
              <w:t xml:space="preserve">Yes (ESBLs, KPC; OXA-48; </w:t>
            </w:r>
            <w:r w:rsidRPr="00D374AA">
              <w:rPr>
                <w:rFonts w:cstheme="minorHAnsi"/>
                <w:b/>
                <w:bCs/>
                <w:i/>
                <w:iCs/>
                <w:sz w:val="20"/>
                <w:szCs w:val="20"/>
              </w:rPr>
              <w:t>P. aeruginosa</w:t>
            </w:r>
            <w:r w:rsidRPr="00D374AA">
              <w:rPr>
                <w:rFonts w:cstheme="minorHAnsi"/>
                <w:b/>
                <w:bCs/>
                <w:sz w:val="20"/>
                <w:szCs w:val="20"/>
              </w:rPr>
              <w:t>)</w:t>
            </w:r>
          </w:p>
        </w:tc>
        <w:tc>
          <w:tcPr>
            <w:tcW w:w="730" w:type="pct"/>
            <w:shd w:val="clear" w:color="auto" w:fill="92D050"/>
            <w:tcMar>
              <w:top w:w="0" w:type="dxa"/>
              <w:left w:w="108" w:type="dxa"/>
              <w:bottom w:w="0" w:type="dxa"/>
              <w:right w:w="108" w:type="dxa"/>
            </w:tcMar>
            <w:hideMark/>
          </w:tcPr>
          <w:p w14:paraId="12E41FC6" w14:textId="77777777" w:rsidR="00134E54" w:rsidRPr="00D374AA" w:rsidRDefault="00134E54" w:rsidP="00D374AA">
            <w:pPr>
              <w:spacing w:after="0"/>
              <w:rPr>
                <w:rFonts w:cstheme="minorHAnsi"/>
                <w:b/>
                <w:bCs/>
                <w:sz w:val="20"/>
                <w:szCs w:val="20"/>
              </w:rPr>
            </w:pPr>
            <w:r w:rsidRPr="00D374AA">
              <w:rPr>
                <w:rFonts w:cstheme="minorHAnsi"/>
                <w:b/>
                <w:bCs/>
                <w:sz w:val="20"/>
                <w:szCs w:val="20"/>
              </w:rPr>
              <w:t>2015</w:t>
            </w:r>
          </w:p>
        </w:tc>
        <w:tc>
          <w:tcPr>
            <w:tcW w:w="802" w:type="pct"/>
            <w:shd w:val="clear" w:color="auto" w:fill="92D050"/>
            <w:tcMar>
              <w:top w:w="0" w:type="dxa"/>
              <w:left w:w="108" w:type="dxa"/>
              <w:bottom w:w="0" w:type="dxa"/>
              <w:right w:w="108" w:type="dxa"/>
            </w:tcMar>
          </w:tcPr>
          <w:p w14:paraId="54A3B4C3" w14:textId="517CC361" w:rsidR="00134E54" w:rsidRPr="00D374AA" w:rsidRDefault="003D35C5" w:rsidP="00D374AA">
            <w:pPr>
              <w:spacing w:after="0"/>
              <w:rPr>
                <w:rFonts w:cstheme="minorHAnsi"/>
                <w:b/>
                <w:bCs/>
                <w:sz w:val="20"/>
                <w:szCs w:val="20"/>
              </w:rPr>
            </w:pPr>
            <w:r>
              <w:rPr>
                <w:rFonts w:cstheme="minorHAnsi"/>
                <w:b/>
                <w:bCs/>
                <w:sz w:val="20"/>
                <w:szCs w:val="20"/>
              </w:rPr>
              <w:t>2016</w:t>
            </w:r>
          </w:p>
        </w:tc>
        <w:tc>
          <w:tcPr>
            <w:tcW w:w="777" w:type="pct"/>
            <w:shd w:val="clear" w:color="auto" w:fill="92D050"/>
            <w:tcMar>
              <w:top w:w="0" w:type="dxa"/>
              <w:left w:w="108" w:type="dxa"/>
              <w:bottom w:w="0" w:type="dxa"/>
              <w:right w:w="108" w:type="dxa"/>
            </w:tcMar>
            <w:hideMark/>
          </w:tcPr>
          <w:p w14:paraId="275A81C5" w14:textId="77777777" w:rsidR="00134E54" w:rsidRPr="00D374AA" w:rsidRDefault="00134E54" w:rsidP="00D374AA">
            <w:pPr>
              <w:spacing w:after="0"/>
              <w:rPr>
                <w:rFonts w:cstheme="minorHAnsi"/>
                <w:b/>
                <w:bCs/>
                <w:sz w:val="20"/>
                <w:szCs w:val="20"/>
              </w:rPr>
            </w:pPr>
            <w:r w:rsidRPr="00D374AA">
              <w:rPr>
                <w:rFonts w:cstheme="minorHAnsi"/>
                <w:b/>
                <w:bCs/>
                <w:sz w:val="20"/>
                <w:szCs w:val="20"/>
              </w:rPr>
              <w:t>2019</w:t>
            </w:r>
          </w:p>
        </w:tc>
      </w:tr>
      <w:tr w:rsidR="00116E25" w14:paraId="06F49CCC" w14:textId="77777777" w:rsidTr="00116E25">
        <w:tc>
          <w:tcPr>
            <w:tcW w:w="257" w:type="pct"/>
            <w:tcMar>
              <w:top w:w="0" w:type="dxa"/>
              <w:left w:w="108" w:type="dxa"/>
              <w:bottom w:w="0" w:type="dxa"/>
              <w:right w:w="108" w:type="dxa"/>
            </w:tcMar>
            <w:hideMark/>
          </w:tcPr>
          <w:p w14:paraId="78ABB75C" w14:textId="77777777" w:rsidR="00134E54" w:rsidRPr="00D374AA" w:rsidRDefault="00134E54" w:rsidP="00D374AA">
            <w:pPr>
              <w:spacing w:after="0"/>
              <w:rPr>
                <w:rFonts w:cstheme="minorHAnsi"/>
                <w:sz w:val="20"/>
                <w:szCs w:val="20"/>
              </w:rPr>
            </w:pPr>
            <w:r w:rsidRPr="00D374AA">
              <w:rPr>
                <w:rFonts w:cstheme="minorHAnsi"/>
                <w:sz w:val="20"/>
                <w:szCs w:val="20"/>
              </w:rPr>
              <w:t>10</w:t>
            </w:r>
          </w:p>
        </w:tc>
        <w:tc>
          <w:tcPr>
            <w:tcW w:w="987" w:type="pct"/>
            <w:tcMar>
              <w:top w:w="0" w:type="dxa"/>
              <w:left w:w="108" w:type="dxa"/>
              <w:bottom w:w="0" w:type="dxa"/>
              <w:right w:w="108" w:type="dxa"/>
            </w:tcMar>
            <w:hideMark/>
          </w:tcPr>
          <w:p w14:paraId="6EA64A3E" w14:textId="77777777" w:rsidR="00134E54" w:rsidRPr="00D374AA" w:rsidRDefault="00134E54" w:rsidP="00D374AA">
            <w:pPr>
              <w:spacing w:after="0"/>
              <w:rPr>
                <w:rFonts w:cstheme="minorHAnsi"/>
                <w:sz w:val="20"/>
                <w:szCs w:val="20"/>
              </w:rPr>
            </w:pPr>
            <w:r w:rsidRPr="00D374AA">
              <w:rPr>
                <w:rFonts w:cstheme="minorHAnsi"/>
                <w:sz w:val="20"/>
                <w:szCs w:val="20"/>
              </w:rPr>
              <w:t>Delafloxacin</w:t>
            </w:r>
          </w:p>
        </w:tc>
        <w:tc>
          <w:tcPr>
            <w:tcW w:w="1447" w:type="pct"/>
            <w:tcMar>
              <w:top w:w="0" w:type="dxa"/>
              <w:left w:w="108" w:type="dxa"/>
              <w:bottom w:w="0" w:type="dxa"/>
              <w:right w:w="108" w:type="dxa"/>
            </w:tcMar>
          </w:tcPr>
          <w:p w14:paraId="7C7B163E" w14:textId="48D341D2" w:rsidR="00134E54" w:rsidRPr="00D374AA" w:rsidRDefault="002C27CA" w:rsidP="00D374AA">
            <w:pPr>
              <w:spacing w:after="0"/>
              <w:rPr>
                <w:rFonts w:cstheme="minorHAnsi"/>
                <w:sz w:val="20"/>
                <w:szCs w:val="20"/>
              </w:rPr>
            </w:pPr>
            <w:r>
              <w:rPr>
                <w:rFonts w:cstheme="minorHAnsi"/>
                <w:sz w:val="20"/>
                <w:szCs w:val="20"/>
              </w:rPr>
              <w:t>-</w:t>
            </w:r>
          </w:p>
        </w:tc>
        <w:tc>
          <w:tcPr>
            <w:tcW w:w="730" w:type="pct"/>
            <w:tcMar>
              <w:top w:w="0" w:type="dxa"/>
              <w:left w:w="108" w:type="dxa"/>
              <w:bottom w:w="0" w:type="dxa"/>
              <w:right w:w="108" w:type="dxa"/>
            </w:tcMar>
            <w:hideMark/>
          </w:tcPr>
          <w:p w14:paraId="48D4C5A9" w14:textId="77777777" w:rsidR="00134E54" w:rsidRPr="00D374AA" w:rsidRDefault="00134E54" w:rsidP="00D374AA">
            <w:pPr>
              <w:spacing w:after="0"/>
              <w:rPr>
                <w:rFonts w:cstheme="minorHAnsi"/>
                <w:sz w:val="20"/>
                <w:szCs w:val="20"/>
              </w:rPr>
            </w:pPr>
            <w:r w:rsidRPr="00D374AA">
              <w:rPr>
                <w:rFonts w:cstheme="minorHAnsi"/>
                <w:sz w:val="20"/>
                <w:szCs w:val="20"/>
              </w:rPr>
              <w:t>2017</w:t>
            </w:r>
          </w:p>
        </w:tc>
        <w:tc>
          <w:tcPr>
            <w:tcW w:w="802" w:type="pct"/>
            <w:tcMar>
              <w:top w:w="0" w:type="dxa"/>
              <w:left w:w="108" w:type="dxa"/>
              <w:bottom w:w="0" w:type="dxa"/>
              <w:right w:w="108" w:type="dxa"/>
            </w:tcMar>
          </w:tcPr>
          <w:p w14:paraId="25AFB82B" w14:textId="7F7F59CE" w:rsidR="00134E54" w:rsidRPr="00D374AA" w:rsidRDefault="003D35C5" w:rsidP="00D374AA">
            <w:pPr>
              <w:spacing w:after="0"/>
              <w:rPr>
                <w:rFonts w:cstheme="minorHAnsi"/>
                <w:sz w:val="20"/>
                <w:szCs w:val="20"/>
              </w:rPr>
            </w:pPr>
            <w:r>
              <w:rPr>
                <w:rFonts w:cstheme="minorHAnsi"/>
                <w:sz w:val="20"/>
                <w:szCs w:val="20"/>
              </w:rPr>
              <w:t>2019</w:t>
            </w:r>
          </w:p>
        </w:tc>
        <w:tc>
          <w:tcPr>
            <w:tcW w:w="777" w:type="pct"/>
            <w:shd w:val="clear" w:color="auto" w:fill="auto"/>
            <w:tcMar>
              <w:top w:w="0" w:type="dxa"/>
              <w:left w:w="108" w:type="dxa"/>
              <w:bottom w:w="0" w:type="dxa"/>
              <w:right w:w="108" w:type="dxa"/>
            </w:tcMar>
            <w:hideMark/>
          </w:tcPr>
          <w:p w14:paraId="6138FFF1" w14:textId="02BFB5AA" w:rsidR="00134E54" w:rsidRPr="00D374AA" w:rsidRDefault="008259FC" w:rsidP="00D374AA">
            <w:pPr>
              <w:spacing w:after="0"/>
              <w:rPr>
                <w:rFonts w:cstheme="minorHAnsi"/>
                <w:sz w:val="20"/>
                <w:szCs w:val="20"/>
              </w:rPr>
            </w:pPr>
            <w:r>
              <w:rPr>
                <w:rFonts w:cstheme="minorHAnsi"/>
                <w:sz w:val="20"/>
                <w:szCs w:val="20"/>
              </w:rPr>
              <w:t>Not registered</w:t>
            </w:r>
          </w:p>
        </w:tc>
      </w:tr>
      <w:tr w:rsidR="00116E25" w14:paraId="1D4A68E6" w14:textId="77777777" w:rsidTr="00116E25">
        <w:tc>
          <w:tcPr>
            <w:tcW w:w="257" w:type="pct"/>
            <w:tcMar>
              <w:top w:w="0" w:type="dxa"/>
              <w:left w:w="108" w:type="dxa"/>
              <w:bottom w:w="0" w:type="dxa"/>
              <w:right w:w="108" w:type="dxa"/>
            </w:tcMar>
            <w:hideMark/>
          </w:tcPr>
          <w:p w14:paraId="712FF747" w14:textId="77777777" w:rsidR="00134E54" w:rsidRPr="00D374AA" w:rsidRDefault="00134E54" w:rsidP="00D374AA">
            <w:pPr>
              <w:spacing w:after="0"/>
              <w:rPr>
                <w:rFonts w:cstheme="minorHAnsi"/>
                <w:b/>
                <w:bCs/>
                <w:sz w:val="20"/>
                <w:szCs w:val="20"/>
              </w:rPr>
            </w:pPr>
            <w:r w:rsidRPr="00D374AA">
              <w:rPr>
                <w:rFonts w:cstheme="minorHAnsi"/>
                <w:b/>
                <w:bCs/>
                <w:sz w:val="20"/>
                <w:szCs w:val="20"/>
              </w:rPr>
              <w:t>11</w:t>
            </w:r>
          </w:p>
        </w:tc>
        <w:tc>
          <w:tcPr>
            <w:tcW w:w="987" w:type="pct"/>
            <w:tcMar>
              <w:top w:w="0" w:type="dxa"/>
              <w:left w:w="108" w:type="dxa"/>
              <w:bottom w:w="0" w:type="dxa"/>
              <w:right w:w="108" w:type="dxa"/>
            </w:tcMar>
            <w:hideMark/>
          </w:tcPr>
          <w:p w14:paraId="582E4F56" w14:textId="4A757909" w:rsidR="00134E54" w:rsidRPr="00D374AA" w:rsidRDefault="00134E54" w:rsidP="00D374AA">
            <w:pPr>
              <w:spacing w:after="0"/>
              <w:rPr>
                <w:rFonts w:cstheme="minorHAnsi"/>
                <w:b/>
                <w:bCs/>
                <w:sz w:val="20"/>
                <w:szCs w:val="20"/>
              </w:rPr>
            </w:pPr>
            <w:r w:rsidRPr="00D374AA">
              <w:rPr>
                <w:rFonts w:cstheme="minorHAnsi"/>
                <w:b/>
                <w:bCs/>
                <w:sz w:val="20"/>
                <w:szCs w:val="20"/>
              </w:rPr>
              <w:t>Meropenem/</w:t>
            </w:r>
            <w:r w:rsidRPr="00C136E3">
              <w:rPr>
                <w:rFonts w:cstheme="minorHAnsi"/>
                <w:b/>
                <w:bCs/>
                <w:sz w:val="20"/>
                <w:szCs w:val="20"/>
              </w:rPr>
              <w:t xml:space="preserve"> </w:t>
            </w:r>
            <w:r w:rsidRPr="00D374AA">
              <w:rPr>
                <w:rFonts w:cstheme="minorHAnsi"/>
                <w:b/>
                <w:bCs/>
                <w:sz w:val="20"/>
                <w:szCs w:val="20"/>
              </w:rPr>
              <w:t>vaborbactam</w:t>
            </w:r>
          </w:p>
        </w:tc>
        <w:tc>
          <w:tcPr>
            <w:tcW w:w="1447" w:type="pct"/>
            <w:tcMar>
              <w:top w:w="0" w:type="dxa"/>
              <w:left w:w="108" w:type="dxa"/>
              <w:bottom w:w="0" w:type="dxa"/>
              <w:right w:w="108" w:type="dxa"/>
            </w:tcMar>
            <w:hideMark/>
          </w:tcPr>
          <w:p w14:paraId="03A6697E" w14:textId="77777777" w:rsidR="00134E54" w:rsidRPr="00D374AA" w:rsidRDefault="00134E54" w:rsidP="00D374AA">
            <w:pPr>
              <w:spacing w:after="0"/>
              <w:rPr>
                <w:rFonts w:cstheme="minorHAnsi"/>
                <w:b/>
                <w:bCs/>
                <w:sz w:val="20"/>
                <w:szCs w:val="20"/>
              </w:rPr>
            </w:pPr>
            <w:r w:rsidRPr="00D374AA">
              <w:rPr>
                <w:rFonts w:cstheme="minorHAnsi"/>
                <w:b/>
                <w:bCs/>
                <w:sz w:val="20"/>
                <w:szCs w:val="20"/>
              </w:rPr>
              <w:t>Yes (ESBLs; KPC)</w:t>
            </w:r>
          </w:p>
        </w:tc>
        <w:tc>
          <w:tcPr>
            <w:tcW w:w="730" w:type="pct"/>
            <w:tcMar>
              <w:top w:w="0" w:type="dxa"/>
              <w:left w:w="108" w:type="dxa"/>
              <w:bottom w:w="0" w:type="dxa"/>
              <w:right w:w="108" w:type="dxa"/>
            </w:tcMar>
            <w:hideMark/>
          </w:tcPr>
          <w:p w14:paraId="34B8A7FC" w14:textId="77777777" w:rsidR="00134E54" w:rsidRPr="00D374AA" w:rsidRDefault="00134E54" w:rsidP="00D374AA">
            <w:pPr>
              <w:spacing w:after="0"/>
              <w:rPr>
                <w:rFonts w:cstheme="minorHAnsi"/>
                <w:b/>
                <w:bCs/>
                <w:sz w:val="20"/>
                <w:szCs w:val="20"/>
              </w:rPr>
            </w:pPr>
            <w:r w:rsidRPr="00D374AA">
              <w:rPr>
                <w:rFonts w:cstheme="minorHAnsi"/>
                <w:b/>
                <w:bCs/>
                <w:sz w:val="20"/>
                <w:szCs w:val="20"/>
              </w:rPr>
              <w:t>2017</w:t>
            </w:r>
          </w:p>
        </w:tc>
        <w:tc>
          <w:tcPr>
            <w:tcW w:w="802" w:type="pct"/>
            <w:tcMar>
              <w:top w:w="0" w:type="dxa"/>
              <w:left w:w="108" w:type="dxa"/>
              <w:bottom w:w="0" w:type="dxa"/>
              <w:right w:w="108" w:type="dxa"/>
            </w:tcMar>
            <w:hideMark/>
          </w:tcPr>
          <w:p w14:paraId="2B11422B" w14:textId="4D2C1FB9" w:rsidR="00134E54" w:rsidRPr="00D374AA" w:rsidRDefault="003D35C5" w:rsidP="00D374AA">
            <w:pPr>
              <w:spacing w:after="0"/>
              <w:rPr>
                <w:rFonts w:cstheme="minorHAnsi"/>
                <w:b/>
                <w:bCs/>
                <w:sz w:val="20"/>
                <w:szCs w:val="20"/>
              </w:rPr>
            </w:pPr>
            <w:r>
              <w:rPr>
                <w:rFonts w:cstheme="minorHAnsi"/>
                <w:b/>
                <w:bCs/>
                <w:sz w:val="20"/>
                <w:szCs w:val="20"/>
              </w:rPr>
              <w:t>2018</w:t>
            </w:r>
          </w:p>
        </w:tc>
        <w:tc>
          <w:tcPr>
            <w:tcW w:w="777" w:type="pct"/>
            <w:shd w:val="clear" w:color="auto" w:fill="auto"/>
            <w:tcMar>
              <w:top w:w="0" w:type="dxa"/>
              <w:left w:w="108" w:type="dxa"/>
              <w:bottom w:w="0" w:type="dxa"/>
              <w:right w:w="108" w:type="dxa"/>
            </w:tcMar>
            <w:hideMark/>
          </w:tcPr>
          <w:p w14:paraId="50243A5F" w14:textId="4699D694" w:rsidR="00134E54" w:rsidRPr="00D374AA" w:rsidRDefault="008259FC" w:rsidP="00D374AA">
            <w:pPr>
              <w:spacing w:after="0"/>
              <w:rPr>
                <w:rFonts w:cstheme="minorHAnsi"/>
                <w:b/>
                <w:bCs/>
                <w:sz w:val="20"/>
                <w:szCs w:val="20"/>
              </w:rPr>
            </w:pPr>
            <w:r>
              <w:rPr>
                <w:rFonts w:cstheme="minorHAnsi"/>
                <w:b/>
                <w:bCs/>
                <w:sz w:val="20"/>
                <w:szCs w:val="20"/>
              </w:rPr>
              <w:t>Not Registered</w:t>
            </w:r>
          </w:p>
        </w:tc>
      </w:tr>
      <w:tr w:rsidR="00116E25" w14:paraId="7AC01DE6" w14:textId="77777777" w:rsidTr="00116E25">
        <w:tc>
          <w:tcPr>
            <w:tcW w:w="257" w:type="pct"/>
            <w:tcMar>
              <w:top w:w="0" w:type="dxa"/>
              <w:left w:w="108" w:type="dxa"/>
              <w:bottom w:w="0" w:type="dxa"/>
              <w:right w:w="108" w:type="dxa"/>
            </w:tcMar>
            <w:hideMark/>
          </w:tcPr>
          <w:p w14:paraId="4AA6FB6C" w14:textId="77777777" w:rsidR="00134E54" w:rsidRPr="00D374AA" w:rsidRDefault="00134E54" w:rsidP="00D374AA">
            <w:pPr>
              <w:spacing w:after="0"/>
              <w:rPr>
                <w:rFonts w:cstheme="minorHAnsi"/>
                <w:b/>
                <w:bCs/>
                <w:sz w:val="20"/>
                <w:szCs w:val="20"/>
              </w:rPr>
            </w:pPr>
            <w:r w:rsidRPr="00D374AA">
              <w:rPr>
                <w:rFonts w:cstheme="minorHAnsi"/>
                <w:b/>
                <w:bCs/>
                <w:sz w:val="20"/>
                <w:szCs w:val="20"/>
              </w:rPr>
              <w:t>12</w:t>
            </w:r>
          </w:p>
        </w:tc>
        <w:tc>
          <w:tcPr>
            <w:tcW w:w="987" w:type="pct"/>
            <w:tcMar>
              <w:top w:w="0" w:type="dxa"/>
              <w:left w:w="108" w:type="dxa"/>
              <w:bottom w:w="0" w:type="dxa"/>
              <w:right w:w="108" w:type="dxa"/>
            </w:tcMar>
            <w:hideMark/>
          </w:tcPr>
          <w:p w14:paraId="03083D19" w14:textId="77777777" w:rsidR="00134E54" w:rsidRPr="00D374AA" w:rsidRDefault="00134E54" w:rsidP="00D374AA">
            <w:pPr>
              <w:spacing w:after="0"/>
              <w:rPr>
                <w:rFonts w:cstheme="minorHAnsi"/>
                <w:b/>
                <w:bCs/>
                <w:sz w:val="20"/>
                <w:szCs w:val="20"/>
              </w:rPr>
            </w:pPr>
            <w:r w:rsidRPr="00D374AA">
              <w:rPr>
                <w:rFonts w:cstheme="minorHAnsi"/>
                <w:b/>
                <w:bCs/>
                <w:sz w:val="20"/>
                <w:szCs w:val="20"/>
              </w:rPr>
              <w:t>Plazomicin</w:t>
            </w:r>
          </w:p>
        </w:tc>
        <w:tc>
          <w:tcPr>
            <w:tcW w:w="1447" w:type="pct"/>
            <w:tcMar>
              <w:top w:w="0" w:type="dxa"/>
              <w:left w:w="108" w:type="dxa"/>
              <w:bottom w:w="0" w:type="dxa"/>
              <w:right w:w="108" w:type="dxa"/>
            </w:tcMar>
            <w:hideMark/>
          </w:tcPr>
          <w:p w14:paraId="6E1C99E8" w14:textId="77777777" w:rsidR="00134E54" w:rsidRPr="00D374AA" w:rsidRDefault="00134E54" w:rsidP="00D374AA">
            <w:pPr>
              <w:spacing w:after="0"/>
              <w:rPr>
                <w:rFonts w:cstheme="minorHAnsi"/>
                <w:b/>
                <w:bCs/>
                <w:sz w:val="20"/>
                <w:szCs w:val="20"/>
              </w:rPr>
            </w:pPr>
            <w:r w:rsidRPr="00D374AA">
              <w:rPr>
                <w:rFonts w:cstheme="minorHAnsi"/>
                <w:b/>
                <w:bCs/>
                <w:sz w:val="20"/>
                <w:szCs w:val="20"/>
              </w:rPr>
              <w:t>Yes (ESBLs; KPC; MBL – variable; OXA-48; P. aeruginosa – variable)</w:t>
            </w:r>
          </w:p>
        </w:tc>
        <w:tc>
          <w:tcPr>
            <w:tcW w:w="730" w:type="pct"/>
            <w:tcMar>
              <w:top w:w="0" w:type="dxa"/>
              <w:left w:w="108" w:type="dxa"/>
              <w:bottom w:w="0" w:type="dxa"/>
              <w:right w:w="108" w:type="dxa"/>
            </w:tcMar>
            <w:hideMark/>
          </w:tcPr>
          <w:p w14:paraId="49C740A2" w14:textId="77777777" w:rsidR="00134E54" w:rsidRPr="00D374AA" w:rsidRDefault="00134E54" w:rsidP="00D374AA">
            <w:pPr>
              <w:spacing w:after="0"/>
              <w:rPr>
                <w:rFonts w:cstheme="minorHAnsi"/>
                <w:b/>
                <w:bCs/>
                <w:sz w:val="20"/>
                <w:szCs w:val="20"/>
              </w:rPr>
            </w:pPr>
            <w:r w:rsidRPr="00D374AA">
              <w:rPr>
                <w:rFonts w:cstheme="minorHAnsi"/>
                <w:b/>
                <w:bCs/>
                <w:sz w:val="20"/>
                <w:szCs w:val="20"/>
              </w:rPr>
              <w:t>2018</w:t>
            </w:r>
          </w:p>
        </w:tc>
        <w:tc>
          <w:tcPr>
            <w:tcW w:w="802" w:type="pct"/>
            <w:tcMar>
              <w:top w:w="0" w:type="dxa"/>
              <w:left w:w="108" w:type="dxa"/>
              <w:bottom w:w="0" w:type="dxa"/>
              <w:right w:w="108" w:type="dxa"/>
            </w:tcMar>
            <w:hideMark/>
          </w:tcPr>
          <w:p w14:paraId="7C077119" w14:textId="2A32A072" w:rsidR="00134E54" w:rsidRPr="00D374AA" w:rsidRDefault="008259FC" w:rsidP="00D374AA">
            <w:pPr>
              <w:spacing w:after="0"/>
              <w:rPr>
                <w:rFonts w:cstheme="minorHAnsi"/>
                <w:b/>
                <w:bCs/>
                <w:sz w:val="20"/>
                <w:szCs w:val="20"/>
              </w:rPr>
            </w:pPr>
            <w:r w:rsidRPr="008259FC">
              <w:rPr>
                <w:rFonts w:cstheme="minorHAnsi"/>
                <w:b/>
                <w:bCs/>
                <w:sz w:val="20"/>
                <w:szCs w:val="20"/>
              </w:rPr>
              <w:t>Not Registered</w:t>
            </w:r>
            <w:r w:rsidRPr="008259FC">
              <w:rPr>
                <w:rFonts w:cstheme="minorHAnsi"/>
                <w:b/>
                <w:bCs/>
                <w:sz w:val="16"/>
                <w:szCs w:val="16"/>
              </w:rPr>
              <w:t xml:space="preserve"> </w:t>
            </w:r>
            <w:r w:rsidRPr="008259FC">
              <w:rPr>
                <w:rFonts w:cstheme="minorHAnsi"/>
                <w:sz w:val="16"/>
                <w:szCs w:val="16"/>
              </w:rPr>
              <w:t>(</w:t>
            </w:r>
            <w:r w:rsidR="003D35C5" w:rsidRPr="008259FC">
              <w:rPr>
                <w:rFonts w:cstheme="minorHAnsi"/>
                <w:sz w:val="16"/>
                <w:szCs w:val="16"/>
              </w:rPr>
              <w:t>Authorised 2018, Withdrawn 2020</w:t>
            </w:r>
            <w:r w:rsidRPr="008259FC">
              <w:rPr>
                <w:rFonts w:cstheme="minorHAnsi"/>
                <w:sz w:val="16"/>
                <w:szCs w:val="16"/>
              </w:rPr>
              <w:t>)</w:t>
            </w:r>
          </w:p>
        </w:tc>
        <w:tc>
          <w:tcPr>
            <w:tcW w:w="777" w:type="pct"/>
            <w:shd w:val="clear" w:color="auto" w:fill="auto"/>
            <w:tcMar>
              <w:top w:w="0" w:type="dxa"/>
              <w:left w:w="108" w:type="dxa"/>
              <w:bottom w:w="0" w:type="dxa"/>
              <w:right w:w="108" w:type="dxa"/>
            </w:tcMar>
            <w:hideMark/>
          </w:tcPr>
          <w:p w14:paraId="448ABBA6" w14:textId="3964EED0" w:rsidR="00134E54" w:rsidRPr="00D374AA" w:rsidRDefault="008259FC" w:rsidP="00D374AA">
            <w:pPr>
              <w:spacing w:after="0"/>
              <w:rPr>
                <w:rFonts w:cstheme="minorHAnsi"/>
                <w:b/>
                <w:bCs/>
                <w:sz w:val="20"/>
                <w:szCs w:val="20"/>
              </w:rPr>
            </w:pPr>
            <w:r>
              <w:rPr>
                <w:rFonts w:cstheme="minorHAnsi"/>
                <w:b/>
                <w:bCs/>
                <w:sz w:val="20"/>
                <w:szCs w:val="20"/>
              </w:rPr>
              <w:t>Not Registered</w:t>
            </w:r>
          </w:p>
        </w:tc>
      </w:tr>
      <w:tr w:rsidR="00116E25" w14:paraId="3C21BB22" w14:textId="77777777" w:rsidTr="00116E25">
        <w:tc>
          <w:tcPr>
            <w:tcW w:w="257" w:type="pct"/>
            <w:tcMar>
              <w:top w:w="0" w:type="dxa"/>
              <w:left w:w="108" w:type="dxa"/>
              <w:bottom w:w="0" w:type="dxa"/>
              <w:right w:w="108" w:type="dxa"/>
            </w:tcMar>
            <w:hideMark/>
          </w:tcPr>
          <w:p w14:paraId="37480195" w14:textId="77777777" w:rsidR="00134E54" w:rsidRPr="00D374AA" w:rsidRDefault="00134E54" w:rsidP="00D374AA">
            <w:pPr>
              <w:spacing w:after="0"/>
              <w:rPr>
                <w:rFonts w:cstheme="minorHAnsi"/>
                <w:b/>
                <w:bCs/>
                <w:sz w:val="20"/>
                <w:szCs w:val="20"/>
              </w:rPr>
            </w:pPr>
            <w:r w:rsidRPr="00D374AA">
              <w:rPr>
                <w:rFonts w:cstheme="minorHAnsi"/>
                <w:b/>
                <w:bCs/>
                <w:sz w:val="20"/>
                <w:szCs w:val="20"/>
              </w:rPr>
              <w:t>13</w:t>
            </w:r>
          </w:p>
        </w:tc>
        <w:tc>
          <w:tcPr>
            <w:tcW w:w="987" w:type="pct"/>
            <w:tcMar>
              <w:top w:w="0" w:type="dxa"/>
              <w:left w:w="108" w:type="dxa"/>
              <w:bottom w:w="0" w:type="dxa"/>
              <w:right w:w="108" w:type="dxa"/>
            </w:tcMar>
            <w:hideMark/>
          </w:tcPr>
          <w:p w14:paraId="607182E0" w14:textId="77777777" w:rsidR="00134E54" w:rsidRPr="00D374AA" w:rsidRDefault="00134E54" w:rsidP="00D374AA">
            <w:pPr>
              <w:spacing w:after="0"/>
              <w:rPr>
                <w:rFonts w:cstheme="minorHAnsi"/>
                <w:b/>
                <w:bCs/>
                <w:sz w:val="20"/>
                <w:szCs w:val="20"/>
              </w:rPr>
            </w:pPr>
            <w:r w:rsidRPr="00D374AA">
              <w:rPr>
                <w:rFonts w:cstheme="minorHAnsi"/>
                <w:b/>
                <w:bCs/>
                <w:sz w:val="20"/>
                <w:szCs w:val="20"/>
              </w:rPr>
              <w:t>Eravacycline</w:t>
            </w:r>
          </w:p>
        </w:tc>
        <w:tc>
          <w:tcPr>
            <w:tcW w:w="1447" w:type="pct"/>
            <w:tcMar>
              <w:top w:w="0" w:type="dxa"/>
              <w:left w:w="108" w:type="dxa"/>
              <w:bottom w:w="0" w:type="dxa"/>
              <w:right w:w="108" w:type="dxa"/>
            </w:tcMar>
            <w:hideMark/>
          </w:tcPr>
          <w:p w14:paraId="7DB6ABBB" w14:textId="77777777" w:rsidR="00134E54" w:rsidRPr="00D374AA" w:rsidRDefault="00134E54" w:rsidP="00D374AA">
            <w:pPr>
              <w:spacing w:after="0"/>
              <w:rPr>
                <w:rFonts w:cstheme="minorHAnsi"/>
                <w:b/>
                <w:bCs/>
                <w:sz w:val="20"/>
                <w:szCs w:val="20"/>
              </w:rPr>
            </w:pPr>
            <w:r w:rsidRPr="00D374AA">
              <w:rPr>
                <w:rFonts w:cstheme="minorHAnsi"/>
                <w:b/>
                <w:bCs/>
                <w:sz w:val="20"/>
                <w:szCs w:val="20"/>
              </w:rPr>
              <w:t xml:space="preserve">Yes (ESBLs; KPC; MBL; OXA-48; </w:t>
            </w:r>
            <w:r w:rsidRPr="00D374AA">
              <w:rPr>
                <w:rFonts w:cstheme="minorHAnsi"/>
                <w:b/>
                <w:bCs/>
                <w:i/>
                <w:iCs/>
                <w:sz w:val="20"/>
                <w:szCs w:val="20"/>
              </w:rPr>
              <w:t>S. maltophilia</w:t>
            </w:r>
            <w:r w:rsidRPr="00D374AA">
              <w:rPr>
                <w:rFonts w:cstheme="minorHAnsi"/>
                <w:b/>
                <w:bCs/>
                <w:sz w:val="20"/>
                <w:szCs w:val="20"/>
              </w:rPr>
              <w:t>)</w:t>
            </w:r>
          </w:p>
        </w:tc>
        <w:tc>
          <w:tcPr>
            <w:tcW w:w="730" w:type="pct"/>
            <w:tcMar>
              <w:top w:w="0" w:type="dxa"/>
              <w:left w:w="108" w:type="dxa"/>
              <w:bottom w:w="0" w:type="dxa"/>
              <w:right w:w="108" w:type="dxa"/>
            </w:tcMar>
            <w:hideMark/>
          </w:tcPr>
          <w:p w14:paraId="332CDC9F" w14:textId="77777777" w:rsidR="00134E54" w:rsidRPr="00D374AA" w:rsidRDefault="00134E54" w:rsidP="00D374AA">
            <w:pPr>
              <w:spacing w:after="0"/>
              <w:rPr>
                <w:rFonts w:cstheme="minorHAnsi"/>
                <w:b/>
                <w:bCs/>
                <w:sz w:val="20"/>
                <w:szCs w:val="20"/>
              </w:rPr>
            </w:pPr>
            <w:r w:rsidRPr="00D374AA">
              <w:rPr>
                <w:rFonts w:cstheme="minorHAnsi"/>
                <w:b/>
                <w:bCs/>
                <w:sz w:val="20"/>
                <w:szCs w:val="20"/>
              </w:rPr>
              <w:t>2018</w:t>
            </w:r>
          </w:p>
        </w:tc>
        <w:tc>
          <w:tcPr>
            <w:tcW w:w="802" w:type="pct"/>
            <w:tcMar>
              <w:top w:w="0" w:type="dxa"/>
              <w:left w:w="108" w:type="dxa"/>
              <w:bottom w:w="0" w:type="dxa"/>
              <w:right w:w="108" w:type="dxa"/>
            </w:tcMar>
            <w:hideMark/>
          </w:tcPr>
          <w:p w14:paraId="5B188F2F" w14:textId="77777777" w:rsidR="00134E54" w:rsidRPr="00D374AA" w:rsidRDefault="00134E54" w:rsidP="00D374AA">
            <w:pPr>
              <w:spacing w:after="0"/>
              <w:rPr>
                <w:rFonts w:cstheme="minorHAnsi"/>
                <w:b/>
                <w:bCs/>
                <w:sz w:val="20"/>
                <w:szCs w:val="20"/>
              </w:rPr>
            </w:pPr>
            <w:r w:rsidRPr="00D374AA">
              <w:rPr>
                <w:rFonts w:cstheme="minorHAnsi"/>
                <w:b/>
                <w:bCs/>
                <w:sz w:val="20"/>
                <w:szCs w:val="20"/>
              </w:rPr>
              <w:t>2018</w:t>
            </w:r>
          </w:p>
        </w:tc>
        <w:tc>
          <w:tcPr>
            <w:tcW w:w="777" w:type="pct"/>
            <w:shd w:val="clear" w:color="auto" w:fill="auto"/>
            <w:tcMar>
              <w:top w:w="0" w:type="dxa"/>
              <w:left w:w="108" w:type="dxa"/>
              <w:bottom w:w="0" w:type="dxa"/>
              <w:right w:w="108" w:type="dxa"/>
            </w:tcMar>
            <w:hideMark/>
          </w:tcPr>
          <w:p w14:paraId="5839EC98" w14:textId="1E42EA4B" w:rsidR="00134E54" w:rsidRPr="00D374AA" w:rsidRDefault="008259FC" w:rsidP="00D374AA">
            <w:pPr>
              <w:spacing w:after="0"/>
              <w:rPr>
                <w:rFonts w:cstheme="minorHAnsi"/>
                <w:b/>
                <w:bCs/>
                <w:sz w:val="20"/>
                <w:szCs w:val="20"/>
              </w:rPr>
            </w:pPr>
            <w:r>
              <w:rPr>
                <w:rFonts w:cstheme="minorHAnsi"/>
                <w:b/>
                <w:bCs/>
                <w:sz w:val="20"/>
                <w:szCs w:val="20"/>
              </w:rPr>
              <w:t>Not Registered</w:t>
            </w:r>
          </w:p>
        </w:tc>
      </w:tr>
      <w:tr w:rsidR="00116E25" w14:paraId="1A8123CA" w14:textId="77777777" w:rsidTr="00116E25">
        <w:tc>
          <w:tcPr>
            <w:tcW w:w="257" w:type="pct"/>
            <w:tcMar>
              <w:top w:w="0" w:type="dxa"/>
              <w:left w:w="108" w:type="dxa"/>
              <w:bottom w:w="0" w:type="dxa"/>
              <w:right w:w="108" w:type="dxa"/>
            </w:tcMar>
            <w:hideMark/>
          </w:tcPr>
          <w:p w14:paraId="7514EC94" w14:textId="77777777" w:rsidR="00134E54" w:rsidRPr="00D374AA" w:rsidRDefault="00134E54" w:rsidP="00D374AA">
            <w:pPr>
              <w:spacing w:after="0"/>
              <w:rPr>
                <w:rFonts w:cstheme="minorHAnsi"/>
                <w:sz w:val="20"/>
                <w:szCs w:val="20"/>
              </w:rPr>
            </w:pPr>
            <w:r w:rsidRPr="00D374AA">
              <w:rPr>
                <w:rFonts w:cstheme="minorHAnsi"/>
                <w:sz w:val="20"/>
                <w:szCs w:val="20"/>
              </w:rPr>
              <w:t>14</w:t>
            </w:r>
          </w:p>
        </w:tc>
        <w:tc>
          <w:tcPr>
            <w:tcW w:w="987" w:type="pct"/>
            <w:tcMar>
              <w:top w:w="0" w:type="dxa"/>
              <w:left w:w="108" w:type="dxa"/>
              <w:bottom w:w="0" w:type="dxa"/>
              <w:right w:w="108" w:type="dxa"/>
            </w:tcMar>
            <w:hideMark/>
          </w:tcPr>
          <w:p w14:paraId="3EC4D2D1" w14:textId="77777777" w:rsidR="00134E54" w:rsidRPr="00D374AA" w:rsidRDefault="00134E54" w:rsidP="00D374AA">
            <w:pPr>
              <w:spacing w:after="0"/>
              <w:rPr>
                <w:rFonts w:cstheme="minorHAnsi"/>
                <w:sz w:val="20"/>
                <w:szCs w:val="20"/>
              </w:rPr>
            </w:pPr>
            <w:r w:rsidRPr="00D374AA">
              <w:rPr>
                <w:rFonts w:cstheme="minorHAnsi"/>
                <w:sz w:val="20"/>
                <w:szCs w:val="20"/>
              </w:rPr>
              <w:t>Omadacycline</w:t>
            </w:r>
          </w:p>
        </w:tc>
        <w:tc>
          <w:tcPr>
            <w:tcW w:w="1447" w:type="pct"/>
            <w:tcMar>
              <w:top w:w="0" w:type="dxa"/>
              <w:left w:w="108" w:type="dxa"/>
              <w:bottom w:w="0" w:type="dxa"/>
              <w:right w:w="108" w:type="dxa"/>
            </w:tcMar>
          </w:tcPr>
          <w:p w14:paraId="1FD868E1" w14:textId="5F663507" w:rsidR="00134E54" w:rsidRPr="00D374AA" w:rsidRDefault="002C27CA" w:rsidP="00D374AA">
            <w:pPr>
              <w:spacing w:after="0"/>
              <w:rPr>
                <w:rFonts w:cstheme="minorHAnsi"/>
                <w:sz w:val="20"/>
                <w:szCs w:val="20"/>
              </w:rPr>
            </w:pPr>
            <w:r>
              <w:rPr>
                <w:rFonts w:cstheme="minorHAnsi"/>
                <w:sz w:val="20"/>
                <w:szCs w:val="20"/>
              </w:rPr>
              <w:t>-</w:t>
            </w:r>
          </w:p>
        </w:tc>
        <w:tc>
          <w:tcPr>
            <w:tcW w:w="730" w:type="pct"/>
            <w:tcMar>
              <w:top w:w="0" w:type="dxa"/>
              <w:left w:w="108" w:type="dxa"/>
              <w:bottom w:w="0" w:type="dxa"/>
              <w:right w:w="108" w:type="dxa"/>
            </w:tcMar>
            <w:hideMark/>
          </w:tcPr>
          <w:p w14:paraId="3FA79292" w14:textId="77777777" w:rsidR="00134E54" w:rsidRPr="00D374AA" w:rsidRDefault="00134E54" w:rsidP="00D374AA">
            <w:pPr>
              <w:spacing w:after="0"/>
              <w:rPr>
                <w:rFonts w:cstheme="minorHAnsi"/>
                <w:sz w:val="20"/>
                <w:szCs w:val="20"/>
              </w:rPr>
            </w:pPr>
            <w:r w:rsidRPr="00D374AA">
              <w:rPr>
                <w:rFonts w:cstheme="minorHAnsi"/>
                <w:sz w:val="20"/>
                <w:szCs w:val="20"/>
              </w:rPr>
              <w:t>2018</w:t>
            </w:r>
          </w:p>
        </w:tc>
        <w:tc>
          <w:tcPr>
            <w:tcW w:w="802" w:type="pct"/>
            <w:tcMar>
              <w:top w:w="0" w:type="dxa"/>
              <w:left w:w="108" w:type="dxa"/>
              <w:bottom w:w="0" w:type="dxa"/>
              <w:right w:w="108" w:type="dxa"/>
            </w:tcMar>
          </w:tcPr>
          <w:p w14:paraId="0F596449" w14:textId="77777777" w:rsidR="008259FC" w:rsidRDefault="008259FC" w:rsidP="00D374AA">
            <w:pPr>
              <w:spacing w:after="0"/>
              <w:rPr>
                <w:rFonts w:cstheme="minorHAnsi"/>
                <w:sz w:val="20"/>
                <w:szCs w:val="20"/>
              </w:rPr>
            </w:pPr>
            <w:r>
              <w:rPr>
                <w:rFonts w:cstheme="minorHAnsi"/>
                <w:sz w:val="20"/>
                <w:szCs w:val="20"/>
              </w:rPr>
              <w:t>Not Registered</w:t>
            </w:r>
          </w:p>
          <w:p w14:paraId="1AAEC58E" w14:textId="1B46F719" w:rsidR="00134E54" w:rsidRPr="00D374AA" w:rsidRDefault="008259FC" w:rsidP="00D374AA">
            <w:pPr>
              <w:spacing w:after="0"/>
              <w:rPr>
                <w:rFonts w:cstheme="minorHAnsi"/>
                <w:sz w:val="20"/>
                <w:szCs w:val="20"/>
              </w:rPr>
            </w:pPr>
            <w:r w:rsidRPr="008259FC">
              <w:rPr>
                <w:rFonts w:cstheme="minorHAnsi"/>
                <w:sz w:val="16"/>
                <w:szCs w:val="16"/>
              </w:rPr>
              <w:t>(Withdrawn 2019)</w:t>
            </w:r>
          </w:p>
        </w:tc>
        <w:tc>
          <w:tcPr>
            <w:tcW w:w="777" w:type="pct"/>
            <w:shd w:val="clear" w:color="auto" w:fill="auto"/>
            <w:tcMar>
              <w:top w:w="0" w:type="dxa"/>
              <w:left w:w="108" w:type="dxa"/>
              <w:bottom w:w="0" w:type="dxa"/>
              <w:right w:w="108" w:type="dxa"/>
            </w:tcMar>
            <w:hideMark/>
          </w:tcPr>
          <w:p w14:paraId="3DDD9C3F" w14:textId="01CE8F1A" w:rsidR="00134E54" w:rsidRPr="00D374AA" w:rsidRDefault="008259FC" w:rsidP="00D374AA">
            <w:pPr>
              <w:spacing w:after="0"/>
              <w:rPr>
                <w:rFonts w:cstheme="minorHAnsi"/>
                <w:sz w:val="20"/>
                <w:szCs w:val="20"/>
              </w:rPr>
            </w:pPr>
            <w:r>
              <w:rPr>
                <w:rFonts w:cstheme="minorHAnsi"/>
                <w:sz w:val="20"/>
                <w:szCs w:val="20"/>
              </w:rPr>
              <w:t>Not Registered</w:t>
            </w:r>
          </w:p>
        </w:tc>
      </w:tr>
      <w:tr w:rsidR="00116E25" w14:paraId="087E4A29" w14:textId="77777777" w:rsidTr="00116E25">
        <w:tc>
          <w:tcPr>
            <w:tcW w:w="257" w:type="pct"/>
            <w:tcMar>
              <w:top w:w="0" w:type="dxa"/>
              <w:left w:w="108" w:type="dxa"/>
              <w:bottom w:w="0" w:type="dxa"/>
              <w:right w:w="108" w:type="dxa"/>
            </w:tcMar>
            <w:hideMark/>
          </w:tcPr>
          <w:p w14:paraId="6746AF55" w14:textId="77777777" w:rsidR="00134E54" w:rsidRPr="00D374AA" w:rsidRDefault="00134E54" w:rsidP="00D374AA">
            <w:pPr>
              <w:spacing w:after="0"/>
              <w:rPr>
                <w:rFonts w:cstheme="minorHAnsi"/>
                <w:sz w:val="20"/>
                <w:szCs w:val="20"/>
              </w:rPr>
            </w:pPr>
            <w:r w:rsidRPr="00D374AA">
              <w:rPr>
                <w:rFonts w:cstheme="minorHAnsi"/>
                <w:sz w:val="20"/>
                <w:szCs w:val="20"/>
              </w:rPr>
              <w:t>15</w:t>
            </w:r>
          </w:p>
        </w:tc>
        <w:tc>
          <w:tcPr>
            <w:tcW w:w="987" w:type="pct"/>
            <w:tcMar>
              <w:top w:w="0" w:type="dxa"/>
              <w:left w:w="108" w:type="dxa"/>
              <w:bottom w:w="0" w:type="dxa"/>
              <w:right w:w="108" w:type="dxa"/>
            </w:tcMar>
            <w:hideMark/>
          </w:tcPr>
          <w:p w14:paraId="1DC13D80" w14:textId="77777777" w:rsidR="00134E54" w:rsidRPr="00D374AA" w:rsidRDefault="00134E54" w:rsidP="00D374AA">
            <w:pPr>
              <w:spacing w:after="0"/>
              <w:rPr>
                <w:rFonts w:cstheme="minorHAnsi"/>
                <w:sz w:val="20"/>
                <w:szCs w:val="20"/>
              </w:rPr>
            </w:pPr>
            <w:r w:rsidRPr="00D374AA">
              <w:rPr>
                <w:rFonts w:cstheme="minorHAnsi"/>
                <w:sz w:val="20"/>
                <w:szCs w:val="20"/>
              </w:rPr>
              <w:t>Sarecycline</w:t>
            </w:r>
          </w:p>
        </w:tc>
        <w:tc>
          <w:tcPr>
            <w:tcW w:w="1447" w:type="pct"/>
            <w:tcMar>
              <w:top w:w="0" w:type="dxa"/>
              <w:left w:w="108" w:type="dxa"/>
              <w:bottom w:w="0" w:type="dxa"/>
              <w:right w:w="108" w:type="dxa"/>
            </w:tcMar>
          </w:tcPr>
          <w:p w14:paraId="19612760" w14:textId="2C821DD3" w:rsidR="00134E54" w:rsidRPr="00D374AA" w:rsidRDefault="002C27CA" w:rsidP="00D374AA">
            <w:pPr>
              <w:spacing w:after="0"/>
              <w:rPr>
                <w:rFonts w:cstheme="minorHAnsi"/>
                <w:sz w:val="20"/>
                <w:szCs w:val="20"/>
              </w:rPr>
            </w:pPr>
            <w:r>
              <w:rPr>
                <w:rFonts w:cstheme="minorHAnsi"/>
                <w:sz w:val="20"/>
                <w:szCs w:val="20"/>
              </w:rPr>
              <w:t>-</w:t>
            </w:r>
          </w:p>
        </w:tc>
        <w:tc>
          <w:tcPr>
            <w:tcW w:w="730" w:type="pct"/>
            <w:tcMar>
              <w:top w:w="0" w:type="dxa"/>
              <w:left w:w="108" w:type="dxa"/>
              <w:bottom w:w="0" w:type="dxa"/>
              <w:right w:w="108" w:type="dxa"/>
            </w:tcMar>
            <w:hideMark/>
          </w:tcPr>
          <w:p w14:paraId="3CE581BA" w14:textId="77777777" w:rsidR="00134E54" w:rsidRPr="00D374AA" w:rsidRDefault="00134E54" w:rsidP="00D374AA">
            <w:pPr>
              <w:spacing w:after="0"/>
              <w:rPr>
                <w:rFonts w:cstheme="minorHAnsi"/>
                <w:sz w:val="20"/>
                <w:szCs w:val="20"/>
              </w:rPr>
            </w:pPr>
            <w:r w:rsidRPr="00D374AA">
              <w:rPr>
                <w:rFonts w:cstheme="minorHAnsi"/>
                <w:sz w:val="20"/>
                <w:szCs w:val="20"/>
              </w:rPr>
              <w:t>2018</w:t>
            </w:r>
          </w:p>
        </w:tc>
        <w:tc>
          <w:tcPr>
            <w:tcW w:w="802" w:type="pct"/>
            <w:tcMar>
              <w:top w:w="0" w:type="dxa"/>
              <w:left w:w="108" w:type="dxa"/>
              <w:bottom w:w="0" w:type="dxa"/>
              <w:right w:w="108" w:type="dxa"/>
            </w:tcMar>
          </w:tcPr>
          <w:p w14:paraId="4BAE7F55" w14:textId="0B954D07" w:rsidR="00134E54" w:rsidRPr="00D374AA" w:rsidRDefault="008259FC" w:rsidP="00D374AA">
            <w:pPr>
              <w:spacing w:after="0"/>
              <w:rPr>
                <w:rFonts w:cstheme="minorHAnsi"/>
                <w:sz w:val="20"/>
                <w:szCs w:val="20"/>
              </w:rPr>
            </w:pPr>
            <w:r>
              <w:rPr>
                <w:rFonts w:cstheme="minorHAnsi"/>
                <w:sz w:val="20"/>
                <w:szCs w:val="20"/>
              </w:rPr>
              <w:t>Not Registered</w:t>
            </w:r>
          </w:p>
        </w:tc>
        <w:tc>
          <w:tcPr>
            <w:tcW w:w="777" w:type="pct"/>
            <w:shd w:val="clear" w:color="auto" w:fill="auto"/>
            <w:tcMar>
              <w:top w:w="0" w:type="dxa"/>
              <w:left w:w="108" w:type="dxa"/>
              <w:bottom w:w="0" w:type="dxa"/>
              <w:right w:w="108" w:type="dxa"/>
            </w:tcMar>
            <w:hideMark/>
          </w:tcPr>
          <w:p w14:paraId="0057B3A7" w14:textId="58D11E50" w:rsidR="00134E54" w:rsidRPr="00D374AA" w:rsidRDefault="008259FC" w:rsidP="00D374AA">
            <w:pPr>
              <w:spacing w:after="0"/>
              <w:rPr>
                <w:rFonts w:cstheme="minorHAnsi"/>
                <w:sz w:val="20"/>
                <w:szCs w:val="20"/>
              </w:rPr>
            </w:pPr>
            <w:r>
              <w:rPr>
                <w:rFonts w:cstheme="minorHAnsi"/>
                <w:sz w:val="20"/>
                <w:szCs w:val="20"/>
              </w:rPr>
              <w:t>Not Registered</w:t>
            </w:r>
          </w:p>
        </w:tc>
      </w:tr>
      <w:tr w:rsidR="00116E25" w14:paraId="0EF2FA26" w14:textId="77777777" w:rsidTr="00116E25">
        <w:tc>
          <w:tcPr>
            <w:tcW w:w="257" w:type="pct"/>
            <w:tcMar>
              <w:top w:w="0" w:type="dxa"/>
              <w:left w:w="108" w:type="dxa"/>
              <w:bottom w:w="0" w:type="dxa"/>
              <w:right w:w="108" w:type="dxa"/>
            </w:tcMar>
            <w:hideMark/>
          </w:tcPr>
          <w:p w14:paraId="6FEFB832" w14:textId="77777777" w:rsidR="00134E54" w:rsidRPr="00D374AA" w:rsidRDefault="00134E54" w:rsidP="00D374AA">
            <w:pPr>
              <w:spacing w:after="0"/>
              <w:rPr>
                <w:rFonts w:cstheme="minorHAnsi"/>
                <w:b/>
                <w:bCs/>
                <w:sz w:val="20"/>
                <w:szCs w:val="20"/>
              </w:rPr>
            </w:pPr>
            <w:r w:rsidRPr="00D374AA">
              <w:rPr>
                <w:rFonts w:cstheme="minorHAnsi"/>
                <w:b/>
                <w:bCs/>
                <w:sz w:val="20"/>
                <w:szCs w:val="20"/>
              </w:rPr>
              <w:t>16</w:t>
            </w:r>
          </w:p>
        </w:tc>
        <w:tc>
          <w:tcPr>
            <w:tcW w:w="987" w:type="pct"/>
            <w:tcMar>
              <w:top w:w="0" w:type="dxa"/>
              <w:left w:w="108" w:type="dxa"/>
              <w:bottom w:w="0" w:type="dxa"/>
              <w:right w:w="108" w:type="dxa"/>
            </w:tcMar>
            <w:hideMark/>
          </w:tcPr>
          <w:p w14:paraId="5A7A43EF" w14:textId="77777777" w:rsidR="00134E54" w:rsidRPr="00D374AA" w:rsidRDefault="00134E54" w:rsidP="00D374AA">
            <w:pPr>
              <w:spacing w:after="0"/>
              <w:rPr>
                <w:rFonts w:cstheme="minorHAnsi"/>
                <w:b/>
                <w:bCs/>
                <w:sz w:val="20"/>
                <w:szCs w:val="20"/>
              </w:rPr>
            </w:pPr>
            <w:r w:rsidRPr="00D374AA">
              <w:rPr>
                <w:rFonts w:cstheme="minorHAnsi"/>
                <w:b/>
                <w:bCs/>
                <w:sz w:val="20"/>
                <w:szCs w:val="20"/>
              </w:rPr>
              <w:t>Pretomanid</w:t>
            </w:r>
          </w:p>
        </w:tc>
        <w:tc>
          <w:tcPr>
            <w:tcW w:w="1447" w:type="pct"/>
            <w:tcMar>
              <w:top w:w="0" w:type="dxa"/>
              <w:left w:w="108" w:type="dxa"/>
              <w:bottom w:w="0" w:type="dxa"/>
              <w:right w:w="108" w:type="dxa"/>
            </w:tcMar>
            <w:hideMark/>
          </w:tcPr>
          <w:p w14:paraId="1F8D05B6" w14:textId="77777777" w:rsidR="00134E54" w:rsidRPr="00D374AA" w:rsidRDefault="00134E54" w:rsidP="00D374AA">
            <w:pPr>
              <w:spacing w:after="0"/>
              <w:rPr>
                <w:rFonts w:cstheme="minorHAnsi"/>
                <w:b/>
                <w:bCs/>
                <w:sz w:val="20"/>
                <w:szCs w:val="20"/>
              </w:rPr>
            </w:pPr>
            <w:r w:rsidRPr="00D374AA">
              <w:rPr>
                <w:rFonts w:cstheme="minorHAnsi"/>
                <w:b/>
                <w:bCs/>
                <w:sz w:val="20"/>
                <w:szCs w:val="20"/>
              </w:rPr>
              <w:t xml:space="preserve">Yes; XDR </w:t>
            </w:r>
            <w:r w:rsidRPr="00D374AA">
              <w:rPr>
                <w:rFonts w:cstheme="minorHAnsi"/>
                <w:b/>
                <w:bCs/>
                <w:i/>
                <w:iCs/>
                <w:sz w:val="20"/>
                <w:szCs w:val="20"/>
              </w:rPr>
              <w:t xml:space="preserve">M. tuberculosis </w:t>
            </w:r>
            <w:r w:rsidRPr="00D374AA">
              <w:rPr>
                <w:rFonts w:cstheme="minorHAnsi"/>
                <w:b/>
                <w:bCs/>
                <w:sz w:val="20"/>
                <w:szCs w:val="20"/>
              </w:rPr>
              <w:t>in combination</w:t>
            </w:r>
          </w:p>
        </w:tc>
        <w:tc>
          <w:tcPr>
            <w:tcW w:w="730" w:type="pct"/>
            <w:tcMar>
              <w:top w:w="0" w:type="dxa"/>
              <w:left w:w="108" w:type="dxa"/>
              <w:bottom w:w="0" w:type="dxa"/>
              <w:right w:w="108" w:type="dxa"/>
            </w:tcMar>
            <w:hideMark/>
          </w:tcPr>
          <w:p w14:paraId="0875B373" w14:textId="77777777" w:rsidR="00134E54" w:rsidRPr="00D374AA" w:rsidRDefault="00134E54" w:rsidP="00D374AA">
            <w:pPr>
              <w:spacing w:after="0"/>
              <w:rPr>
                <w:rFonts w:cstheme="minorHAnsi"/>
                <w:b/>
                <w:bCs/>
                <w:sz w:val="20"/>
                <w:szCs w:val="20"/>
              </w:rPr>
            </w:pPr>
            <w:r w:rsidRPr="00D374AA">
              <w:rPr>
                <w:rFonts w:cstheme="minorHAnsi"/>
                <w:b/>
                <w:bCs/>
                <w:sz w:val="20"/>
                <w:szCs w:val="20"/>
              </w:rPr>
              <w:t>2019</w:t>
            </w:r>
          </w:p>
        </w:tc>
        <w:tc>
          <w:tcPr>
            <w:tcW w:w="802" w:type="pct"/>
            <w:tcMar>
              <w:top w:w="0" w:type="dxa"/>
              <w:left w:w="108" w:type="dxa"/>
              <w:bottom w:w="0" w:type="dxa"/>
              <w:right w:w="108" w:type="dxa"/>
            </w:tcMar>
          </w:tcPr>
          <w:p w14:paraId="2671FEE0" w14:textId="4BB121F4" w:rsidR="00134E54" w:rsidRPr="00D374AA" w:rsidRDefault="008259FC" w:rsidP="00D374AA">
            <w:pPr>
              <w:spacing w:after="0"/>
              <w:rPr>
                <w:rFonts w:cstheme="minorHAnsi"/>
                <w:b/>
                <w:bCs/>
                <w:sz w:val="20"/>
                <w:szCs w:val="20"/>
              </w:rPr>
            </w:pPr>
            <w:r>
              <w:rPr>
                <w:rFonts w:cstheme="minorHAnsi"/>
                <w:b/>
                <w:bCs/>
                <w:sz w:val="20"/>
                <w:szCs w:val="20"/>
              </w:rPr>
              <w:t>2020</w:t>
            </w:r>
          </w:p>
        </w:tc>
        <w:tc>
          <w:tcPr>
            <w:tcW w:w="777" w:type="pct"/>
            <w:shd w:val="clear" w:color="auto" w:fill="auto"/>
            <w:tcMar>
              <w:top w:w="0" w:type="dxa"/>
              <w:left w:w="108" w:type="dxa"/>
              <w:bottom w:w="0" w:type="dxa"/>
              <w:right w:w="108" w:type="dxa"/>
            </w:tcMar>
            <w:hideMark/>
          </w:tcPr>
          <w:p w14:paraId="7E4B8CC9" w14:textId="0F559DB4" w:rsidR="00134E54" w:rsidRPr="00D374AA" w:rsidRDefault="008259FC" w:rsidP="00D374AA">
            <w:pPr>
              <w:spacing w:after="0"/>
              <w:rPr>
                <w:rFonts w:cstheme="minorHAnsi"/>
                <w:b/>
                <w:bCs/>
                <w:sz w:val="20"/>
                <w:szCs w:val="20"/>
              </w:rPr>
            </w:pPr>
            <w:r>
              <w:rPr>
                <w:rFonts w:cstheme="minorHAnsi"/>
                <w:b/>
                <w:bCs/>
                <w:sz w:val="20"/>
                <w:szCs w:val="20"/>
              </w:rPr>
              <w:t>Not Registered</w:t>
            </w:r>
          </w:p>
        </w:tc>
      </w:tr>
      <w:tr w:rsidR="00116E25" w14:paraId="3C057C62" w14:textId="77777777" w:rsidTr="00116E25">
        <w:tc>
          <w:tcPr>
            <w:tcW w:w="257" w:type="pct"/>
            <w:tcMar>
              <w:top w:w="0" w:type="dxa"/>
              <w:left w:w="108" w:type="dxa"/>
              <w:bottom w:w="0" w:type="dxa"/>
              <w:right w:w="108" w:type="dxa"/>
            </w:tcMar>
            <w:hideMark/>
          </w:tcPr>
          <w:p w14:paraId="1A734E36" w14:textId="77777777" w:rsidR="00134E54" w:rsidRPr="00D374AA" w:rsidRDefault="00134E54" w:rsidP="00D374AA">
            <w:pPr>
              <w:spacing w:after="0"/>
              <w:rPr>
                <w:rFonts w:cstheme="minorHAnsi"/>
                <w:sz w:val="20"/>
                <w:szCs w:val="20"/>
              </w:rPr>
            </w:pPr>
            <w:r w:rsidRPr="00D374AA">
              <w:rPr>
                <w:rFonts w:cstheme="minorHAnsi"/>
                <w:sz w:val="20"/>
                <w:szCs w:val="20"/>
              </w:rPr>
              <w:t>17</w:t>
            </w:r>
          </w:p>
        </w:tc>
        <w:tc>
          <w:tcPr>
            <w:tcW w:w="987" w:type="pct"/>
            <w:tcMar>
              <w:top w:w="0" w:type="dxa"/>
              <w:left w:w="108" w:type="dxa"/>
              <w:bottom w:w="0" w:type="dxa"/>
              <w:right w:w="108" w:type="dxa"/>
            </w:tcMar>
            <w:hideMark/>
          </w:tcPr>
          <w:p w14:paraId="548C2F41" w14:textId="77777777" w:rsidR="00134E54" w:rsidRPr="00D374AA" w:rsidRDefault="00134E54" w:rsidP="00D374AA">
            <w:pPr>
              <w:spacing w:after="0"/>
              <w:rPr>
                <w:rFonts w:cstheme="minorHAnsi"/>
                <w:sz w:val="20"/>
                <w:szCs w:val="20"/>
              </w:rPr>
            </w:pPr>
            <w:r w:rsidRPr="00D374AA">
              <w:rPr>
                <w:rFonts w:cstheme="minorHAnsi"/>
                <w:sz w:val="20"/>
                <w:szCs w:val="20"/>
              </w:rPr>
              <w:t>Lefamulin</w:t>
            </w:r>
          </w:p>
        </w:tc>
        <w:tc>
          <w:tcPr>
            <w:tcW w:w="1447" w:type="pct"/>
            <w:tcMar>
              <w:top w:w="0" w:type="dxa"/>
              <w:left w:w="108" w:type="dxa"/>
              <w:bottom w:w="0" w:type="dxa"/>
              <w:right w:w="108" w:type="dxa"/>
            </w:tcMar>
          </w:tcPr>
          <w:p w14:paraId="20FDAEF3" w14:textId="77777777" w:rsidR="00134E54" w:rsidRPr="00D374AA" w:rsidRDefault="00134E54" w:rsidP="00D374AA">
            <w:pPr>
              <w:spacing w:after="0"/>
              <w:rPr>
                <w:rFonts w:cstheme="minorHAnsi"/>
                <w:sz w:val="20"/>
                <w:szCs w:val="20"/>
              </w:rPr>
            </w:pPr>
          </w:p>
        </w:tc>
        <w:tc>
          <w:tcPr>
            <w:tcW w:w="730" w:type="pct"/>
            <w:tcMar>
              <w:top w:w="0" w:type="dxa"/>
              <w:left w:w="108" w:type="dxa"/>
              <w:bottom w:w="0" w:type="dxa"/>
              <w:right w:w="108" w:type="dxa"/>
            </w:tcMar>
            <w:hideMark/>
          </w:tcPr>
          <w:p w14:paraId="4CE3D764" w14:textId="77777777" w:rsidR="00134E54" w:rsidRPr="00D374AA" w:rsidRDefault="00134E54" w:rsidP="00D374AA">
            <w:pPr>
              <w:spacing w:after="0"/>
              <w:rPr>
                <w:rFonts w:cstheme="minorHAnsi"/>
                <w:sz w:val="20"/>
                <w:szCs w:val="20"/>
              </w:rPr>
            </w:pPr>
            <w:r w:rsidRPr="00D374AA">
              <w:rPr>
                <w:rFonts w:cstheme="minorHAnsi"/>
                <w:sz w:val="20"/>
                <w:szCs w:val="20"/>
              </w:rPr>
              <w:t>2019</w:t>
            </w:r>
          </w:p>
        </w:tc>
        <w:tc>
          <w:tcPr>
            <w:tcW w:w="802" w:type="pct"/>
            <w:tcMar>
              <w:top w:w="0" w:type="dxa"/>
              <w:left w:w="108" w:type="dxa"/>
              <w:bottom w:w="0" w:type="dxa"/>
              <w:right w:w="108" w:type="dxa"/>
            </w:tcMar>
            <w:hideMark/>
          </w:tcPr>
          <w:p w14:paraId="5BCAFC08" w14:textId="764C6650" w:rsidR="00134E54" w:rsidRPr="00D374AA" w:rsidRDefault="008259FC" w:rsidP="00D374AA">
            <w:pPr>
              <w:spacing w:after="0"/>
              <w:rPr>
                <w:rFonts w:cstheme="minorHAnsi"/>
                <w:sz w:val="20"/>
                <w:szCs w:val="20"/>
              </w:rPr>
            </w:pPr>
            <w:r>
              <w:rPr>
                <w:rFonts w:cstheme="minorHAnsi"/>
                <w:sz w:val="20"/>
                <w:szCs w:val="20"/>
              </w:rPr>
              <w:t>2020</w:t>
            </w:r>
          </w:p>
        </w:tc>
        <w:tc>
          <w:tcPr>
            <w:tcW w:w="777" w:type="pct"/>
            <w:shd w:val="clear" w:color="auto" w:fill="auto"/>
            <w:tcMar>
              <w:top w:w="0" w:type="dxa"/>
              <w:left w:w="108" w:type="dxa"/>
              <w:bottom w:w="0" w:type="dxa"/>
              <w:right w:w="108" w:type="dxa"/>
            </w:tcMar>
            <w:hideMark/>
          </w:tcPr>
          <w:p w14:paraId="15339D8B" w14:textId="719F617C" w:rsidR="00134E54" w:rsidRPr="00D374AA" w:rsidRDefault="008259FC" w:rsidP="00D374AA">
            <w:pPr>
              <w:spacing w:after="0"/>
              <w:rPr>
                <w:rFonts w:cstheme="minorHAnsi"/>
                <w:sz w:val="20"/>
                <w:szCs w:val="20"/>
              </w:rPr>
            </w:pPr>
            <w:r>
              <w:rPr>
                <w:rFonts w:cstheme="minorHAnsi"/>
                <w:sz w:val="20"/>
                <w:szCs w:val="20"/>
              </w:rPr>
              <w:t>Not Registered</w:t>
            </w:r>
          </w:p>
        </w:tc>
      </w:tr>
      <w:tr w:rsidR="00116E25" w14:paraId="77FEE864" w14:textId="77777777" w:rsidTr="00116E25">
        <w:tc>
          <w:tcPr>
            <w:tcW w:w="257" w:type="pct"/>
            <w:tcMar>
              <w:top w:w="0" w:type="dxa"/>
              <w:left w:w="108" w:type="dxa"/>
              <w:bottom w:w="0" w:type="dxa"/>
              <w:right w:w="108" w:type="dxa"/>
            </w:tcMar>
            <w:hideMark/>
          </w:tcPr>
          <w:p w14:paraId="3981931E" w14:textId="77777777" w:rsidR="00134E54" w:rsidRPr="00D374AA" w:rsidRDefault="00134E54" w:rsidP="00D374AA">
            <w:pPr>
              <w:spacing w:after="0"/>
              <w:rPr>
                <w:rFonts w:cstheme="minorHAnsi"/>
                <w:b/>
                <w:bCs/>
                <w:sz w:val="20"/>
                <w:szCs w:val="20"/>
              </w:rPr>
            </w:pPr>
            <w:r w:rsidRPr="00D374AA">
              <w:rPr>
                <w:rFonts w:cstheme="minorHAnsi"/>
                <w:b/>
                <w:bCs/>
                <w:sz w:val="20"/>
                <w:szCs w:val="20"/>
              </w:rPr>
              <w:t>18</w:t>
            </w:r>
          </w:p>
        </w:tc>
        <w:tc>
          <w:tcPr>
            <w:tcW w:w="987" w:type="pct"/>
            <w:tcMar>
              <w:top w:w="0" w:type="dxa"/>
              <w:left w:w="108" w:type="dxa"/>
              <w:bottom w:w="0" w:type="dxa"/>
              <w:right w:w="108" w:type="dxa"/>
            </w:tcMar>
            <w:hideMark/>
          </w:tcPr>
          <w:p w14:paraId="3AF5C5BB" w14:textId="77777777" w:rsidR="00134E54" w:rsidRPr="00D374AA" w:rsidRDefault="00134E54" w:rsidP="00D374AA">
            <w:pPr>
              <w:spacing w:after="0"/>
              <w:rPr>
                <w:rFonts w:cstheme="minorHAnsi"/>
                <w:b/>
                <w:bCs/>
                <w:sz w:val="20"/>
                <w:szCs w:val="20"/>
              </w:rPr>
            </w:pPr>
            <w:r w:rsidRPr="00D374AA">
              <w:rPr>
                <w:rFonts w:cstheme="minorHAnsi"/>
                <w:b/>
                <w:bCs/>
                <w:sz w:val="20"/>
                <w:szCs w:val="20"/>
              </w:rPr>
              <w:t>Cefiderocol</w:t>
            </w:r>
          </w:p>
        </w:tc>
        <w:tc>
          <w:tcPr>
            <w:tcW w:w="1447" w:type="pct"/>
            <w:tcMar>
              <w:top w:w="0" w:type="dxa"/>
              <w:left w:w="108" w:type="dxa"/>
              <w:bottom w:w="0" w:type="dxa"/>
              <w:right w:w="108" w:type="dxa"/>
            </w:tcMar>
            <w:hideMark/>
          </w:tcPr>
          <w:p w14:paraId="01AF7CFD" w14:textId="77777777" w:rsidR="00134E54" w:rsidRPr="00D374AA" w:rsidRDefault="00134E54" w:rsidP="00D374AA">
            <w:pPr>
              <w:spacing w:after="0"/>
              <w:rPr>
                <w:rFonts w:cstheme="minorHAnsi"/>
                <w:b/>
                <w:bCs/>
                <w:sz w:val="20"/>
                <w:szCs w:val="20"/>
              </w:rPr>
            </w:pPr>
            <w:r w:rsidRPr="00D374AA">
              <w:rPr>
                <w:rFonts w:cstheme="minorHAnsi"/>
                <w:b/>
                <w:bCs/>
                <w:sz w:val="20"/>
                <w:szCs w:val="20"/>
              </w:rPr>
              <w:t xml:space="preserve">Yes (ESBLs; KPC; MBL - variable; OXA-48; </w:t>
            </w:r>
            <w:r w:rsidRPr="00D374AA">
              <w:rPr>
                <w:rFonts w:cstheme="minorHAnsi"/>
                <w:b/>
                <w:bCs/>
                <w:i/>
                <w:iCs/>
                <w:sz w:val="20"/>
                <w:szCs w:val="20"/>
              </w:rPr>
              <w:t>P. aeruginosa; A. baumannii; S. maltophilia</w:t>
            </w:r>
            <w:r w:rsidRPr="00D374AA">
              <w:rPr>
                <w:rFonts w:cstheme="minorHAnsi"/>
                <w:b/>
                <w:bCs/>
                <w:sz w:val="20"/>
                <w:szCs w:val="20"/>
              </w:rPr>
              <w:t>)</w:t>
            </w:r>
          </w:p>
        </w:tc>
        <w:tc>
          <w:tcPr>
            <w:tcW w:w="730" w:type="pct"/>
            <w:tcMar>
              <w:top w:w="0" w:type="dxa"/>
              <w:left w:w="108" w:type="dxa"/>
              <w:bottom w:w="0" w:type="dxa"/>
              <w:right w:w="108" w:type="dxa"/>
            </w:tcMar>
            <w:hideMark/>
          </w:tcPr>
          <w:p w14:paraId="6765B283" w14:textId="77777777" w:rsidR="00134E54" w:rsidRPr="00D374AA" w:rsidRDefault="00134E54" w:rsidP="00D374AA">
            <w:pPr>
              <w:spacing w:after="0"/>
              <w:rPr>
                <w:rFonts w:cstheme="minorHAnsi"/>
                <w:b/>
                <w:bCs/>
                <w:sz w:val="20"/>
                <w:szCs w:val="20"/>
              </w:rPr>
            </w:pPr>
            <w:r w:rsidRPr="00D374AA">
              <w:rPr>
                <w:rFonts w:cstheme="minorHAnsi"/>
                <w:b/>
                <w:bCs/>
                <w:sz w:val="20"/>
                <w:szCs w:val="20"/>
              </w:rPr>
              <w:t>2019</w:t>
            </w:r>
          </w:p>
        </w:tc>
        <w:tc>
          <w:tcPr>
            <w:tcW w:w="802" w:type="pct"/>
            <w:tcMar>
              <w:top w:w="0" w:type="dxa"/>
              <w:left w:w="108" w:type="dxa"/>
              <w:bottom w:w="0" w:type="dxa"/>
              <w:right w:w="108" w:type="dxa"/>
            </w:tcMar>
          </w:tcPr>
          <w:p w14:paraId="437E4785" w14:textId="41F1A307" w:rsidR="00134E54" w:rsidRPr="00D374AA" w:rsidRDefault="008259FC" w:rsidP="00D374AA">
            <w:pPr>
              <w:spacing w:after="0"/>
              <w:rPr>
                <w:rFonts w:cstheme="minorHAnsi"/>
                <w:b/>
                <w:bCs/>
                <w:sz w:val="20"/>
                <w:szCs w:val="20"/>
              </w:rPr>
            </w:pPr>
            <w:r>
              <w:rPr>
                <w:rFonts w:cstheme="minorHAnsi"/>
                <w:b/>
                <w:bCs/>
                <w:sz w:val="20"/>
                <w:szCs w:val="20"/>
              </w:rPr>
              <w:t>2020</w:t>
            </w:r>
          </w:p>
        </w:tc>
        <w:tc>
          <w:tcPr>
            <w:tcW w:w="777" w:type="pct"/>
            <w:shd w:val="clear" w:color="auto" w:fill="auto"/>
            <w:tcMar>
              <w:top w:w="0" w:type="dxa"/>
              <w:left w:w="108" w:type="dxa"/>
              <w:bottom w:w="0" w:type="dxa"/>
              <w:right w:w="108" w:type="dxa"/>
            </w:tcMar>
            <w:hideMark/>
          </w:tcPr>
          <w:p w14:paraId="5E8AA3CA" w14:textId="04AC19F3" w:rsidR="00134E54" w:rsidRPr="00D374AA" w:rsidRDefault="008259FC" w:rsidP="00D374AA">
            <w:pPr>
              <w:spacing w:after="0"/>
              <w:rPr>
                <w:rFonts w:cstheme="minorHAnsi"/>
                <w:b/>
                <w:bCs/>
                <w:sz w:val="20"/>
                <w:szCs w:val="20"/>
              </w:rPr>
            </w:pPr>
            <w:r>
              <w:rPr>
                <w:rFonts w:cstheme="minorHAnsi"/>
                <w:b/>
                <w:bCs/>
                <w:sz w:val="20"/>
                <w:szCs w:val="20"/>
              </w:rPr>
              <w:t>Not Registered</w:t>
            </w:r>
          </w:p>
        </w:tc>
      </w:tr>
      <w:tr w:rsidR="00116E25" w14:paraId="4F9D96E3" w14:textId="77777777" w:rsidTr="00116E25">
        <w:tc>
          <w:tcPr>
            <w:tcW w:w="257" w:type="pct"/>
            <w:tcMar>
              <w:top w:w="0" w:type="dxa"/>
              <w:left w:w="108" w:type="dxa"/>
              <w:bottom w:w="0" w:type="dxa"/>
              <w:right w:w="108" w:type="dxa"/>
            </w:tcMar>
            <w:hideMark/>
          </w:tcPr>
          <w:p w14:paraId="09264E46" w14:textId="77777777" w:rsidR="00134E54" w:rsidRPr="00D374AA" w:rsidRDefault="00134E54" w:rsidP="00D374AA">
            <w:pPr>
              <w:spacing w:after="0"/>
              <w:rPr>
                <w:rFonts w:cstheme="minorHAnsi"/>
                <w:b/>
                <w:bCs/>
                <w:sz w:val="20"/>
                <w:szCs w:val="20"/>
              </w:rPr>
            </w:pPr>
            <w:r w:rsidRPr="00D374AA">
              <w:rPr>
                <w:rFonts w:cstheme="minorHAnsi"/>
                <w:b/>
                <w:bCs/>
                <w:sz w:val="20"/>
                <w:szCs w:val="20"/>
              </w:rPr>
              <w:t>19</w:t>
            </w:r>
          </w:p>
        </w:tc>
        <w:tc>
          <w:tcPr>
            <w:tcW w:w="987" w:type="pct"/>
            <w:tcMar>
              <w:top w:w="0" w:type="dxa"/>
              <w:left w:w="108" w:type="dxa"/>
              <w:bottom w:w="0" w:type="dxa"/>
              <w:right w:w="108" w:type="dxa"/>
            </w:tcMar>
            <w:hideMark/>
          </w:tcPr>
          <w:p w14:paraId="1D959658" w14:textId="51D4492A" w:rsidR="00134E54" w:rsidRPr="00D374AA" w:rsidRDefault="00134E54" w:rsidP="00D374AA">
            <w:pPr>
              <w:spacing w:after="0"/>
              <w:rPr>
                <w:rFonts w:cstheme="minorHAnsi"/>
                <w:b/>
                <w:bCs/>
                <w:sz w:val="20"/>
                <w:szCs w:val="20"/>
              </w:rPr>
            </w:pPr>
            <w:r w:rsidRPr="00D374AA">
              <w:rPr>
                <w:rFonts w:cstheme="minorHAnsi"/>
                <w:b/>
                <w:bCs/>
                <w:sz w:val="20"/>
                <w:szCs w:val="20"/>
              </w:rPr>
              <w:t>Imipenem/</w:t>
            </w:r>
            <w:r w:rsidRPr="00C136E3">
              <w:rPr>
                <w:rFonts w:cstheme="minorHAnsi"/>
                <w:b/>
                <w:bCs/>
                <w:sz w:val="20"/>
                <w:szCs w:val="20"/>
              </w:rPr>
              <w:t xml:space="preserve"> </w:t>
            </w:r>
            <w:r w:rsidRPr="00D374AA">
              <w:rPr>
                <w:rFonts w:cstheme="minorHAnsi"/>
                <w:b/>
                <w:bCs/>
                <w:sz w:val="20"/>
                <w:szCs w:val="20"/>
              </w:rPr>
              <w:t>relebactam</w:t>
            </w:r>
          </w:p>
        </w:tc>
        <w:tc>
          <w:tcPr>
            <w:tcW w:w="1447" w:type="pct"/>
            <w:tcMar>
              <w:top w:w="0" w:type="dxa"/>
              <w:left w:w="108" w:type="dxa"/>
              <w:bottom w:w="0" w:type="dxa"/>
              <w:right w:w="108" w:type="dxa"/>
            </w:tcMar>
            <w:hideMark/>
          </w:tcPr>
          <w:p w14:paraId="0EB56951" w14:textId="77777777" w:rsidR="00134E54" w:rsidRPr="00D374AA" w:rsidRDefault="00134E54" w:rsidP="00D374AA">
            <w:pPr>
              <w:spacing w:after="0"/>
              <w:rPr>
                <w:rFonts w:cstheme="minorHAnsi"/>
                <w:b/>
                <w:bCs/>
                <w:sz w:val="20"/>
                <w:szCs w:val="20"/>
              </w:rPr>
            </w:pPr>
            <w:r w:rsidRPr="00D374AA">
              <w:rPr>
                <w:rFonts w:cstheme="minorHAnsi"/>
                <w:b/>
                <w:bCs/>
                <w:sz w:val="20"/>
                <w:szCs w:val="20"/>
              </w:rPr>
              <w:t xml:space="preserve">Yes (ESBLs; KPC; </w:t>
            </w:r>
            <w:r w:rsidRPr="00D374AA">
              <w:rPr>
                <w:rFonts w:cstheme="minorHAnsi"/>
                <w:b/>
                <w:bCs/>
                <w:i/>
                <w:iCs/>
                <w:sz w:val="20"/>
                <w:szCs w:val="20"/>
              </w:rPr>
              <w:t>P. aeruginosa</w:t>
            </w:r>
            <w:r w:rsidRPr="00D374AA">
              <w:rPr>
                <w:rFonts w:cstheme="minorHAnsi"/>
                <w:b/>
                <w:bCs/>
                <w:sz w:val="20"/>
                <w:szCs w:val="20"/>
              </w:rPr>
              <w:t>)</w:t>
            </w:r>
          </w:p>
        </w:tc>
        <w:tc>
          <w:tcPr>
            <w:tcW w:w="730" w:type="pct"/>
            <w:tcMar>
              <w:top w:w="0" w:type="dxa"/>
              <w:left w:w="108" w:type="dxa"/>
              <w:bottom w:w="0" w:type="dxa"/>
              <w:right w:w="108" w:type="dxa"/>
            </w:tcMar>
            <w:hideMark/>
          </w:tcPr>
          <w:p w14:paraId="741EA7E6" w14:textId="77777777" w:rsidR="00134E54" w:rsidRPr="00D374AA" w:rsidRDefault="00134E54" w:rsidP="00D374AA">
            <w:pPr>
              <w:spacing w:after="0"/>
              <w:rPr>
                <w:rFonts w:cstheme="minorHAnsi"/>
                <w:b/>
                <w:bCs/>
                <w:sz w:val="20"/>
                <w:szCs w:val="20"/>
              </w:rPr>
            </w:pPr>
            <w:r w:rsidRPr="00D374AA">
              <w:rPr>
                <w:rFonts w:cstheme="minorHAnsi"/>
                <w:b/>
                <w:bCs/>
                <w:sz w:val="20"/>
                <w:szCs w:val="20"/>
              </w:rPr>
              <w:t>2019</w:t>
            </w:r>
          </w:p>
        </w:tc>
        <w:tc>
          <w:tcPr>
            <w:tcW w:w="802" w:type="pct"/>
            <w:tcMar>
              <w:top w:w="0" w:type="dxa"/>
              <w:left w:w="108" w:type="dxa"/>
              <w:bottom w:w="0" w:type="dxa"/>
              <w:right w:w="108" w:type="dxa"/>
            </w:tcMar>
          </w:tcPr>
          <w:p w14:paraId="571C181E" w14:textId="55715871" w:rsidR="00134E54" w:rsidRPr="00D374AA" w:rsidRDefault="008259FC" w:rsidP="00D374AA">
            <w:pPr>
              <w:spacing w:after="0"/>
              <w:rPr>
                <w:rFonts w:cstheme="minorHAnsi"/>
                <w:b/>
                <w:bCs/>
                <w:sz w:val="20"/>
                <w:szCs w:val="20"/>
              </w:rPr>
            </w:pPr>
            <w:r>
              <w:rPr>
                <w:rFonts w:cstheme="minorHAnsi"/>
                <w:b/>
                <w:bCs/>
                <w:sz w:val="20"/>
                <w:szCs w:val="20"/>
              </w:rPr>
              <w:t>2020</w:t>
            </w:r>
          </w:p>
        </w:tc>
        <w:tc>
          <w:tcPr>
            <w:tcW w:w="777" w:type="pct"/>
            <w:shd w:val="clear" w:color="auto" w:fill="auto"/>
            <w:tcMar>
              <w:top w:w="0" w:type="dxa"/>
              <w:left w:w="108" w:type="dxa"/>
              <w:bottom w:w="0" w:type="dxa"/>
              <w:right w:w="108" w:type="dxa"/>
            </w:tcMar>
          </w:tcPr>
          <w:p w14:paraId="6BD61096" w14:textId="67CBD2F6" w:rsidR="00134E54" w:rsidRPr="00D374AA" w:rsidRDefault="008259FC" w:rsidP="00D374AA">
            <w:pPr>
              <w:spacing w:after="0"/>
              <w:rPr>
                <w:rFonts w:cstheme="minorHAnsi"/>
                <w:b/>
                <w:bCs/>
                <w:sz w:val="20"/>
                <w:szCs w:val="20"/>
              </w:rPr>
            </w:pPr>
            <w:r>
              <w:rPr>
                <w:rFonts w:cstheme="minorHAnsi"/>
                <w:b/>
                <w:bCs/>
                <w:sz w:val="20"/>
                <w:szCs w:val="20"/>
              </w:rPr>
              <w:t>Not Registered</w:t>
            </w:r>
          </w:p>
        </w:tc>
      </w:tr>
    </w:tbl>
    <w:p w14:paraId="5D0BDD33" w14:textId="60F1D64E" w:rsidR="00134E54" w:rsidRPr="00D374AA" w:rsidRDefault="00134E54" w:rsidP="00C136E3">
      <w:pPr>
        <w:rPr>
          <w:rFonts w:cstheme="minorHAnsi"/>
        </w:rPr>
      </w:pPr>
      <w:r w:rsidRPr="00D374AA">
        <w:rPr>
          <w:u w:val="single"/>
        </w:rPr>
        <w:t>Note</w:t>
      </w:r>
      <w:r w:rsidRPr="00D374AA">
        <w:t xml:space="preserve">: agents with activity against priority pathogens are shown in </w:t>
      </w:r>
      <w:r w:rsidRPr="00D374AA">
        <w:rPr>
          <w:b/>
          <w:bCs/>
        </w:rPr>
        <w:t>bold</w:t>
      </w:r>
      <w:r w:rsidRPr="00D374AA">
        <w:t xml:space="preserve">; includes ‘Urgent’ and ‘Serious’ </w:t>
      </w:r>
      <w:r w:rsidRPr="00D374AA">
        <w:rPr>
          <w:rFonts w:cstheme="minorHAnsi"/>
        </w:rPr>
        <w:t>threats in the USA and “Critical’ and ‘High’ based on WHO ratings for R&amp;D</w:t>
      </w:r>
      <w:r w:rsidR="006D6229">
        <w:rPr>
          <w:rFonts w:cstheme="minorHAnsi"/>
        </w:rPr>
        <w:t>.</w:t>
      </w:r>
    </w:p>
    <w:p w14:paraId="7580311F" w14:textId="328E15B1" w:rsidR="00C15262" w:rsidRPr="00D374AA" w:rsidRDefault="00C15262" w:rsidP="003735DF">
      <w:pPr>
        <w:spacing w:after="0" w:line="240" w:lineRule="auto"/>
        <w:rPr>
          <w:rFonts w:eastAsia="Times New Roman" w:cstheme="minorHAnsi"/>
          <w:color w:val="212121"/>
          <w:sz w:val="18"/>
          <w:szCs w:val="18"/>
          <w:shd w:val="clear" w:color="auto" w:fill="FFFFFF"/>
        </w:rPr>
      </w:pPr>
      <w:r w:rsidRPr="00D374AA">
        <w:rPr>
          <w:rFonts w:eastAsia="Times New Roman" w:cstheme="minorHAnsi"/>
          <w:color w:val="212121"/>
          <w:sz w:val="18"/>
          <w:szCs w:val="18"/>
          <w:shd w:val="clear" w:color="auto" w:fill="FFFFFF"/>
          <w:vertAlign w:val="superscript"/>
        </w:rPr>
        <w:t xml:space="preserve">1 </w:t>
      </w:r>
      <w:r w:rsidRPr="00D374AA">
        <w:rPr>
          <w:rFonts w:eastAsia="Times New Roman" w:cstheme="minorHAnsi"/>
          <w:color w:val="212121"/>
          <w:sz w:val="18"/>
          <w:szCs w:val="18"/>
          <w:shd w:val="clear" w:color="auto" w:fill="FFFFFF"/>
        </w:rPr>
        <w:t>Butler MS, Paterson DL. Antibiotics in the clinical pipeline in October 2019. J Antibiot (Tokyo). 2020 Jun;73(6):329-364. doi: 10.1038/s41429-020-0291-8. Epub 2020 Mar 10. PMID: 32152527; PMCID: PMC7223789.</w:t>
      </w:r>
    </w:p>
    <w:p w14:paraId="089C003B" w14:textId="1DBC730B" w:rsidR="00134E54" w:rsidRPr="00D374AA" w:rsidRDefault="00C15262" w:rsidP="00D374AA">
      <w:pPr>
        <w:spacing w:after="0" w:line="240" w:lineRule="auto"/>
        <w:rPr>
          <w:rFonts w:eastAsia="Times New Roman" w:cstheme="minorHAnsi"/>
          <w:color w:val="212121"/>
          <w:sz w:val="18"/>
          <w:szCs w:val="18"/>
          <w:shd w:val="clear" w:color="auto" w:fill="FFFFFF"/>
        </w:rPr>
      </w:pPr>
      <w:r w:rsidRPr="00D374AA">
        <w:rPr>
          <w:rFonts w:eastAsia="Times New Roman" w:cstheme="minorHAnsi"/>
          <w:color w:val="212121"/>
          <w:sz w:val="18"/>
          <w:szCs w:val="18"/>
          <w:shd w:val="clear" w:color="auto" w:fill="FFFFFF"/>
          <w:vertAlign w:val="superscript"/>
        </w:rPr>
        <w:t>2</w:t>
      </w:r>
      <w:r w:rsidRPr="00D374AA">
        <w:rPr>
          <w:rFonts w:eastAsia="Times New Roman" w:cstheme="minorHAnsi"/>
          <w:color w:val="212121"/>
          <w:sz w:val="18"/>
          <w:szCs w:val="18"/>
          <w:shd w:val="clear" w:color="auto" w:fill="FFFFFF"/>
        </w:rPr>
        <w:t xml:space="preserve"> </w:t>
      </w:r>
      <w:r w:rsidR="00134E54" w:rsidRPr="00D374AA">
        <w:rPr>
          <w:rFonts w:eastAsia="Times New Roman" w:cstheme="minorHAnsi"/>
          <w:color w:val="212121"/>
          <w:sz w:val="18"/>
          <w:szCs w:val="18"/>
          <w:shd w:val="clear" w:color="auto" w:fill="FFFFFF"/>
        </w:rPr>
        <w:t>Paterson DL, Isler B, Stewart A. New treatment options for multiresistant gram negatives. Curr Opin Infect Dis. 2020 Apr;33(2):214-223. doi: 10.1097/QCO.0000000000000627. PMID: 32068644.</w:t>
      </w:r>
    </w:p>
    <w:p w14:paraId="63C1886F" w14:textId="134D56A6" w:rsidR="00134E54" w:rsidRPr="00D374AA" w:rsidRDefault="00C15262" w:rsidP="00D374AA">
      <w:pPr>
        <w:shd w:val="clear" w:color="auto" w:fill="FFFFFF"/>
        <w:spacing w:after="0" w:line="240" w:lineRule="auto"/>
        <w:rPr>
          <w:rFonts w:eastAsia="Times New Roman" w:cstheme="minorHAnsi"/>
          <w:color w:val="212121"/>
          <w:sz w:val="18"/>
          <w:szCs w:val="18"/>
          <w:lang w:eastAsia="en-AU"/>
        </w:rPr>
      </w:pPr>
      <w:r w:rsidRPr="00D374AA">
        <w:rPr>
          <w:rFonts w:eastAsia="Times New Roman" w:cstheme="minorHAnsi"/>
          <w:color w:val="212121"/>
          <w:sz w:val="18"/>
          <w:szCs w:val="18"/>
          <w:vertAlign w:val="superscript"/>
          <w:lang w:eastAsia="en-AU"/>
        </w:rPr>
        <w:t>3</w:t>
      </w:r>
      <w:r w:rsidRPr="00D374AA">
        <w:rPr>
          <w:rFonts w:eastAsia="Times New Roman" w:cstheme="minorHAnsi"/>
          <w:color w:val="212121"/>
          <w:sz w:val="18"/>
          <w:szCs w:val="18"/>
          <w:lang w:eastAsia="en-AU"/>
        </w:rPr>
        <w:t xml:space="preserve"> </w:t>
      </w:r>
      <w:r w:rsidR="00134E54" w:rsidRPr="00D374AA">
        <w:rPr>
          <w:rFonts w:eastAsia="Times New Roman" w:cstheme="minorHAnsi"/>
          <w:color w:val="212121"/>
          <w:sz w:val="18"/>
          <w:szCs w:val="18"/>
          <w:lang w:eastAsia="en-AU"/>
        </w:rPr>
        <w:t xml:space="preserve">TGA </w:t>
      </w:r>
    </w:p>
    <w:p w14:paraId="7AAFA375" w14:textId="58D9229C" w:rsidR="00134E54" w:rsidRPr="00D374AA" w:rsidRDefault="00F67B5E" w:rsidP="00D374AA">
      <w:pPr>
        <w:shd w:val="clear" w:color="auto" w:fill="FFFFFF"/>
        <w:spacing w:after="0" w:line="240" w:lineRule="auto"/>
        <w:rPr>
          <w:rFonts w:eastAsia="Times New Roman" w:cstheme="minorHAnsi"/>
          <w:color w:val="212121"/>
          <w:sz w:val="18"/>
          <w:szCs w:val="18"/>
          <w:lang w:eastAsia="en-AU"/>
        </w:rPr>
      </w:pPr>
      <w:r>
        <w:rPr>
          <w:rFonts w:eastAsia="Times New Roman" w:cstheme="minorHAnsi"/>
          <w:color w:val="000000"/>
          <w:sz w:val="18"/>
          <w:szCs w:val="18"/>
          <w:vertAlign w:val="superscript"/>
        </w:rPr>
        <w:t>4</w:t>
      </w:r>
      <w:r w:rsidR="00C15262" w:rsidRPr="00D374AA">
        <w:rPr>
          <w:rFonts w:eastAsia="Times New Roman" w:cstheme="minorHAnsi"/>
          <w:color w:val="000000"/>
          <w:sz w:val="18"/>
          <w:szCs w:val="18"/>
        </w:rPr>
        <w:t xml:space="preserve"> </w:t>
      </w:r>
      <w:r w:rsidR="00134E54" w:rsidRPr="00D374AA">
        <w:rPr>
          <w:rFonts w:eastAsia="Times New Roman" w:cstheme="minorHAnsi"/>
          <w:color w:val="000000"/>
          <w:sz w:val="18"/>
          <w:szCs w:val="18"/>
        </w:rPr>
        <w:t xml:space="preserve">Doi, Y. Treatment Options for Carbapenem-resistant Gram-negative Bacterial Infections 2019:69 CID </w:t>
      </w:r>
    </w:p>
    <w:p w14:paraId="3F1EB2BE" w14:textId="190E80A6" w:rsidR="00134E54" w:rsidRPr="00D374AA" w:rsidRDefault="00F67B5E" w:rsidP="00D374AA">
      <w:pPr>
        <w:shd w:val="clear" w:color="auto" w:fill="FFFFFF"/>
        <w:spacing w:after="0" w:line="240" w:lineRule="auto"/>
        <w:rPr>
          <w:rFonts w:eastAsia="Times New Roman" w:cstheme="minorHAnsi"/>
          <w:color w:val="212121"/>
          <w:sz w:val="18"/>
          <w:szCs w:val="18"/>
          <w:lang w:eastAsia="en-AU"/>
        </w:rPr>
      </w:pPr>
      <w:r>
        <w:rPr>
          <w:rFonts w:eastAsia="Times New Roman" w:cstheme="minorHAnsi"/>
          <w:color w:val="000000"/>
          <w:sz w:val="18"/>
          <w:szCs w:val="18"/>
          <w:vertAlign w:val="superscript"/>
        </w:rPr>
        <w:t>5</w:t>
      </w:r>
      <w:r w:rsidR="00C15262" w:rsidRPr="00D374AA">
        <w:rPr>
          <w:rFonts w:eastAsia="Times New Roman" w:cstheme="minorHAnsi"/>
          <w:color w:val="000000"/>
          <w:sz w:val="18"/>
          <w:szCs w:val="18"/>
        </w:rPr>
        <w:t xml:space="preserve"> </w:t>
      </w:r>
      <w:r w:rsidR="00134E54" w:rsidRPr="00D374AA">
        <w:rPr>
          <w:rFonts w:eastAsia="Times New Roman" w:cstheme="minorHAnsi"/>
          <w:color w:val="000000"/>
          <w:sz w:val="18"/>
          <w:szCs w:val="18"/>
        </w:rPr>
        <w:t xml:space="preserve">2019 AR Treats Report </w:t>
      </w:r>
      <w:hyperlink r:id="rId18" w:history="1">
        <w:r w:rsidR="00134E54" w:rsidRPr="00D374AA">
          <w:rPr>
            <w:rStyle w:val="Hyperlink"/>
            <w:rFonts w:eastAsia="Times New Roman" w:cstheme="minorHAnsi"/>
            <w:sz w:val="18"/>
            <w:szCs w:val="18"/>
          </w:rPr>
          <w:t>https://www.cdc.gov/drugresistance/biggest-threats.html</w:t>
        </w:r>
      </w:hyperlink>
      <w:r w:rsidR="00134E54" w:rsidRPr="00D374AA">
        <w:rPr>
          <w:rFonts w:eastAsia="Times New Roman" w:cstheme="minorHAnsi"/>
          <w:color w:val="000000"/>
          <w:sz w:val="18"/>
          <w:szCs w:val="18"/>
        </w:rPr>
        <w:t xml:space="preserve"> ; </w:t>
      </w:r>
      <w:r w:rsidR="00C15262" w:rsidRPr="00D374AA">
        <w:rPr>
          <w:rFonts w:eastAsia="Times New Roman" w:cstheme="minorHAnsi"/>
          <w:color w:val="000000"/>
          <w:sz w:val="18"/>
          <w:szCs w:val="18"/>
        </w:rPr>
        <w:t xml:space="preserve">  </w:t>
      </w:r>
      <w:hyperlink r:id="rId19" w:history="1">
        <w:r w:rsidR="00C15262" w:rsidRPr="00D374AA">
          <w:rPr>
            <w:rStyle w:val="Hyperlink"/>
            <w:rFonts w:eastAsia="Times New Roman" w:cstheme="minorHAnsi"/>
            <w:sz w:val="18"/>
            <w:szCs w:val="18"/>
          </w:rPr>
          <w:t>https://www.cdc.gov/drugresistance/pdf/threats-report/2019-ar-threats-report-508.pdf</w:t>
        </w:r>
      </w:hyperlink>
    </w:p>
    <w:p w14:paraId="17BC0AF4" w14:textId="47AB66C4" w:rsidR="00134E54" w:rsidRPr="0025464F" w:rsidRDefault="00F67B5E" w:rsidP="00D374AA">
      <w:pPr>
        <w:shd w:val="clear" w:color="auto" w:fill="FFFFFF"/>
        <w:spacing w:after="0" w:line="240" w:lineRule="auto"/>
        <w:rPr>
          <w:rFonts w:eastAsia="Times New Roman" w:cstheme="minorHAnsi"/>
          <w:color w:val="212121"/>
          <w:sz w:val="18"/>
          <w:szCs w:val="18"/>
          <w:lang w:eastAsia="en-AU"/>
        </w:rPr>
      </w:pPr>
      <w:r>
        <w:rPr>
          <w:rFonts w:eastAsia="Times New Roman" w:cstheme="minorHAnsi"/>
          <w:color w:val="212121"/>
          <w:sz w:val="18"/>
          <w:szCs w:val="18"/>
          <w:vertAlign w:val="superscript"/>
          <w:lang w:eastAsia="en-AU"/>
        </w:rPr>
        <w:t>6</w:t>
      </w:r>
      <w:r w:rsidR="00C15262" w:rsidRPr="0025464F">
        <w:rPr>
          <w:rFonts w:eastAsia="Times New Roman" w:cstheme="minorHAnsi"/>
          <w:color w:val="212121"/>
          <w:sz w:val="18"/>
          <w:szCs w:val="18"/>
          <w:lang w:eastAsia="en-AU"/>
        </w:rPr>
        <w:t xml:space="preserve"> </w:t>
      </w:r>
      <w:hyperlink r:id="rId20" w:history="1">
        <w:r w:rsidR="00C15262" w:rsidRPr="0025464F">
          <w:rPr>
            <w:rStyle w:val="Hyperlink"/>
            <w:rFonts w:eastAsia="Times New Roman" w:cstheme="minorHAnsi"/>
            <w:sz w:val="18"/>
            <w:szCs w:val="18"/>
            <w:lang w:eastAsia="en-AU"/>
          </w:rPr>
          <w:t>https://www.who.int/medicines/publications/WHO-PPL-Short_Summary_25Feb-ET_NM_WHO.pdf</w:t>
        </w:r>
      </w:hyperlink>
      <w:r w:rsidR="00134E54" w:rsidRPr="0025464F">
        <w:rPr>
          <w:rFonts w:eastAsia="Times New Roman" w:cstheme="minorHAnsi"/>
          <w:color w:val="212121"/>
          <w:sz w:val="18"/>
          <w:szCs w:val="18"/>
          <w:lang w:eastAsia="en-AU"/>
        </w:rPr>
        <w:t xml:space="preserve"> </w:t>
      </w:r>
    </w:p>
    <w:p w14:paraId="20C90433" w14:textId="59FDD6BB" w:rsidR="00060E0C" w:rsidRPr="002138A3" w:rsidRDefault="00F67B5E" w:rsidP="00060E0C">
      <w:pPr>
        <w:rPr>
          <w:sz w:val="20"/>
          <w:szCs w:val="20"/>
        </w:rPr>
      </w:pPr>
      <w:r>
        <w:rPr>
          <w:rFonts w:eastAsia="Times New Roman" w:cstheme="minorHAnsi"/>
          <w:color w:val="000000"/>
          <w:sz w:val="18"/>
          <w:szCs w:val="18"/>
          <w:vertAlign w:val="superscript"/>
        </w:rPr>
        <w:t>7</w:t>
      </w:r>
      <w:r w:rsidR="00060E0C" w:rsidRPr="002138A3">
        <w:rPr>
          <w:rFonts w:eastAsia="Times New Roman" w:cstheme="minorHAnsi"/>
          <w:color w:val="000000"/>
          <w:sz w:val="18"/>
          <w:szCs w:val="18"/>
          <w:vertAlign w:val="superscript"/>
        </w:rPr>
        <w:t xml:space="preserve"> </w:t>
      </w:r>
      <w:r w:rsidR="00060E0C">
        <w:rPr>
          <w:sz w:val="20"/>
          <w:szCs w:val="20"/>
        </w:rPr>
        <w:t xml:space="preserve">Rex </w:t>
      </w:r>
      <w:hyperlink r:id="rId21" w:history="1">
        <w:r w:rsidR="00060E0C" w:rsidRPr="005E738B">
          <w:rPr>
            <w:rStyle w:val="Hyperlink"/>
            <w:sz w:val="20"/>
            <w:szCs w:val="20"/>
          </w:rPr>
          <w:t>https://amr.solutions/2020/09/07/new-antibiotics-are-not-being-registered-or-sold-in-europe-in-a-timely-manner/</w:t>
        </w:r>
      </w:hyperlink>
    </w:p>
    <w:p w14:paraId="686AA309" w14:textId="77777777" w:rsidR="00060E0C" w:rsidRDefault="00060E0C" w:rsidP="003735DF">
      <w:pPr>
        <w:rPr>
          <w:caps/>
          <w:sz w:val="20"/>
          <w:szCs w:val="20"/>
        </w:rPr>
      </w:pPr>
    </w:p>
    <w:p w14:paraId="5DFD707A" w14:textId="745D8798" w:rsidR="003735DF" w:rsidRPr="003735DF" w:rsidRDefault="003735DF" w:rsidP="003735DF">
      <w:pPr>
        <w:spacing w:after="0"/>
        <w:rPr>
          <w:sz w:val="18"/>
          <w:szCs w:val="18"/>
        </w:rPr>
      </w:pPr>
      <w:r w:rsidRPr="003735DF">
        <w:rPr>
          <w:sz w:val="18"/>
          <w:szCs w:val="18"/>
        </w:rPr>
        <w:t xml:space="preserve">Fidaxomicin: </w:t>
      </w:r>
      <w:hyperlink r:id="rId22" w:history="1">
        <w:r w:rsidRPr="004A5792">
          <w:rPr>
            <w:rStyle w:val="Hyperlink"/>
            <w:sz w:val="18"/>
            <w:szCs w:val="18"/>
          </w:rPr>
          <w:t>https://www.ema.europa.eu/en/medicines/human/EPAR/dificlir</w:t>
        </w:r>
      </w:hyperlink>
      <w:r>
        <w:rPr>
          <w:sz w:val="18"/>
          <w:szCs w:val="18"/>
        </w:rPr>
        <w:t xml:space="preserve"> </w:t>
      </w:r>
    </w:p>
    <w:p w14:paraId="5ED0DAD9" w14:textId="0904C18E" w:rsidR="003735DF" w:rsidRPr="003735DF" w:rsidRDefault="003735DF" w:rsidP="003735DF">
      <w:pPr>
        <w:spacing w:after="0"/>
        <w:rPr>
          <w:sz w:val="18"/>
          <w:szCs w:val="18"/>
        </w:rPr>
      </w:pPr>
      <w:r w:rsidRPr="003735DF">
        <w:rPr>
          <w:sz w:val="18"/>
          <w:szCs w:val="18"/>
        </w:rPr>
        <w:t xml:space="preserve">Bedaquiline: </w:t>
      </w:r>
      <w:hyperlink r:id="rId23" w:history="1">
        <w:r w:rsidRPr="004A5792">
          <w:rPr>
            <w:rStyle w:val="Hyperlink"/>
            <w:sz w:val="18"/>
            <w:szCs w:val="18"/>
          </w:rPr>
          <w:t>https://www.ema.europa.eu/en/medicines/human/EPAR/sirturo</w:t>
        </w:r>
      </w:hyperlink>
      <w:r>
        <w:rPr>
          <w:sz w:val="18"/>
          <w:szCs w:val="18"/>
        </w:rPr>
        <w:t xml:space="preserve"> </w:t>
      </w:r>
    </w:p>
    <w:p w14:paraId="0D68B191" w14:textId="4AFC790E" w:rsidR="003735DF" w:rsidRPr="003735DF" w:rsidRDefault="003735DF" w:rsidP="003735DF">
      <w:pPr>
        <w:spacing w:after="0"/>
        <w:rPr>
          <w:sz w:val="18"/>
          <w:szCs w:val="18"/>
        </w:rPr>
      </w:pPr>
      <w:r w:rsidRPr="003735DF">
        <w:rPr>
          <w:sz w:val="18"/>
          <w:szCs w:val="18"/>
        </w:rPr>
        <w:t xml:space="preserve">Dalbavancin: </w:t>
      </w:r>
      <w:hyperlink r:id="rId24" w:history="1">
        <w:r w:rsidRPr="004A5792">
          <w:rPr>
            <w:rStyle w:val="Hyperlink"/>
            <w:sz w:val="18"/>
            <w:szCs w:val="18"/>
          </w:rPr>
          <w:t>https://www.ema.europa.eu/en/medicines/human/EPAR/xydalba</w:t>
        </w:r>
      </w:hyperlink>
      <w:r>
        <w:rPr>
          <w:sz w:val="18"/>
          <w:szCs w:val="18"/>
        </w:rPr>
        <w:t xml:space="preserve"> </w:t>
      </w:r>
    </w:p>
    <w:p w14:paraId="0470CF63" w14:textId="239E588A" w:rsidR="003735DF" w:rsidRPr="003735DF" w:rsidRDefault="003735DF" w:rsidP="003735DF">
      <w:pPr>
        <w:spacing w:after="0"/>
        <w:rPr>
          <w:sz w:val="18"/>
          <w:szCs w:val="18"/>
        </w:rPr>
      </w:pPr>
      <w:r w:rsidRPr="003735DF">
        <w:rPr>
          <w:sz w:val="18"/>
          <w:szCs w:val="18"/>
        </w:rPr>
        <w:t xml:space="preserve">Oritavancin: </w:t>
      </w:r>
      <w:hyperlink r:id="rId25" w:history="1">
        <w:r w:rsidRPr="004A5792">
          <w:rPr>
            <w:rStyle w:val="Hyperlink"/>
            <w:sz w:val="18"/>
            <w:szCs w:val="18"/>
          </w:rPr>
          <w:t>https://www.ema.europa.eu/en/medicines/human/EPAR/orbactiv</w:t>
        </w:r>
      </w:hyperlink>
      <w:r>
        <w:rPr>
          <w:sz w:val="18"/>
          <w:szCs w:val="18"/>
        </w:rPr>
        <w:t xml:space="preserve"> </w:t>
      </w:r>
    </w:p>
    <w:p w14:paraId="76D0B5EB" w14:textId="2701A7E5" w:rsidR="003735DF" w:rsidRPr="003735DF" w:rsidRDefault="003735DF" w:rsidP="003735DF">
      <w:pPr>
        <w:spacing w:after="0"/>
        <w:rPr>
          <w:sz w:val="18"/>
          <w:szCs w:val="18"/>
        </w:rPr>
      </w:pPr>
      <w:r w:rsidRPr="003735DF">
        <w:rPr>
          <w:sz w:val="18"/>
          <w:szCs w:val="18"/>
        </w:rPr>
        <w:t>Tedizolid</w:t>
      </w:r>
      <w:r>
        <w:rPr>
          <w:sz w:val="18"/>
          <w:szCs w:val="18"/>
        </w:rPr>
        <w:t xml:space="preserve"> phosphate</w:t>
      </w:r>
      <w:r w:rsidRPr="003735DF">
        <w:rPr>
          <w:sz w:val="18"/>
          <w:szCs w:val="18"/>
        </w:rPr>
        <w:t xml:space="preserve">: </w:t>
      </w:r>
      <w:hyperlink r:id="rId26" w:history="1">
        <w:r w:rsidRPr="004A5792">
          <w:rPr>
            <w:rStyle w:val="Hyperlink"/>
            <w:sz w:val="18"/>
            <w:szCs w:val="18"/>
          </w:rPr>
          <w:t>https://www.ema.europa.eu/en/medicines/human/EPAR/sivextro</w:t>
        </w:r>
      </w:hyperlink>
      <w:r>
        <w:rPr>
          <w:sz w:val="18"/>
          <w:szCs w:val="18"/>
        </w:rPr>
        <w:t xml:space="preserve"> </w:t>
      </w:r>
      <w:r w:rsidRPr="003735DF">
        <w:rPr>
          <w:sz w:val="18"/>
          <w:szCs w:val="18"/>
        </w:rPr>
        <w:br/>
        <w:t xml:space="preserve">Delamanid: </w:t>
      </w:r>
      <w:hyperlink r:id="rId27" w:history="1">
        <w:r w:rsidRPr="004A5792">
          <w:rPr>
            <w:rStyle w:val="Hyperlink"/>
            <w:sz w:val="18"/>
            <w:szCs w:val="18"/>
          </w:rPr>
          <w:t>https://www.ema.europa.eu/en/medicines/human/EPAR/deltyba</w:t>
        </w:r>
      </w:hyperlink>
      <w:r>
        <w:rPr>
          <w:sz w:val="18"/>
          <w:szCs w:val="18"/>
        </w:rPr>
        <w:t xml:space="preserve"> </w:t>
      </w:r>
      <w:r w:rsidRPr="003735DF">
        <w:rPr>
          <w:sz w:val="18"/>
          <w:szCs w:val="18"/>
        </w:rPr>
        <w:t xml:space="preserve"> </w:t>
      </w:r>
      <w:r>
        <w:rPr>
          <w:sz w:val="18"/>
          <w:szCs w:val="18"/>
        </w:rPr>
        <w:t xml:space="preserve"> </w:t>
      </w:r>
    </w:p>
    <w:p w14:paraId="3FDFF7F9" w14:textId="20482B18" w:rsidR="003735DF" w:rsidRPr="003735DF" w:rsidRDefault="003735DF" w:rsidP="003735DF">
      <w:pPr>
        <w:spacing w:after="0"/>
        <w:rPr>
          <w:sz w:val="18"/>
          <w:szCs w:val="18"/>
        </w:rPr>
      </w:pPr>
      <w:r w:rsidRPr="003735DF">
        <w:rPr>
          <w:sz w:val="18"/>
          <w:szCs w:val="18"/>
        </w:rPr>
        <w:t>C</w:t>
      </w:r>
      <w:r>
        <w:rPr>
          <w:sz w:val="18"/>
          <w:szCs w:val="18"/>
        </w:rPr>
        <w:t>eftolozane</w:t>
      </w:r>
      <w:r w:rsidRPr="003735DF">
        <w:rPr>
          <w:sz w:val="18"/>
          <w:szCs w:val="18"/>
        </w:rPr>
        <w:t>/</w:t>
      </w:r>
      <w:r>
        <w:rPr>
          <w:sz w:val="18"/>
          <w:szCs w:val="18"/>
        </w:rPr>
        <w:t>tazobactam</w:t>
      </w:r>
      <w:r w:rsidRPr="003735DF">
        <w:rPr>
          <w:sz w:val="18"/>
          <w:szCs w:val="18"/>
        </w:rPr>
        <w:t xml:space="preserve">:  </w:t>
      </w:r>
      <w:hyperlink r:id="rId28" w:history="1">
        <w:r w:rsidRPr="004A5792">
          <w:rPr>
            <w:rStyle w:val="Hyperlink"/>
            <w:sz w:val="18"/>
            <w:szCs w:val="18"/>
          </w:rPr>
          <w:t>https://www.ema.europa.eu/en/medicines/human/EPAR/zerbaxa</w:t>
        </w:r>
      </w:hyperlink>
      <w:r>
        <w:rPr>
          <w:sz w:val="18"/>
          <w:szCs w:val="18"/>
        </w:rPr>
        <w:t xml:space="preserve"> </w:t>
      </w:r>
    </w:p>
    <w:p w14:paraId="0E38F230" w14:textId="73AB8957" w:rsidR="003735DF" w:rsidRPr="003735DF" w:rsidRDefault="003735DF" w:rsidP="003735DF">
      <w:pPr>
        <w:spacing w:after="0"/>
        <w:rPr>
          <w:sz w:val="18"/>
          <w:szCs w:val="18"/>
        </w:rPr>
      </w:pPr>
      <w:r w:rsidRPr="003735DF">
        <w:rPr>
          <w:sz w:val="18"/>
          <w:szCs w:val="18"/>
        </w:rPr>
        <w:t>C</w:t>
      </w:r>
      <w:r>
        <w:rPr>
          <w:sz w:val="18"/>
          <w:szCs w:val="18"/>
        </w:rPr>
        <w:t>eftazidime</w:t>
      </w:r>
      <w:r w:rsidRPr="003735DF">
        <w:rPr>
          <w:sz w:val="18"/>
          <w:szCs w:val="18"/>
        </w:rPr>
        <w:t>/</w:t>
      </w:r>
      <w:r>
        <w:rPr>
          <w:sz w:val="18"/>
          <w:szCs w:val="18"/>
        </w:rPr>
        <w:t>avibactam</w:t>
      </w:r>
      <w:r w:rsidRPr="003735DF">
        <w:rPr>
          <w:sz w:val="18"/>
          <w:szCs w:val="18"/>
        </w:rPr>
        <w:t xml:space="preserve">: </w:t>
      </w:r>
      <w:hyperlink r:id="rId29" w:history="1">
        <w:r w:rsidRPr="004A5792">
          <w:rPr>
            <w:rStyle w:val="Hyperlink"/>
            <w:sz w:val="18"/>
            <w:szCs w:val="18"/>
          </w:rPr>
          <w:t>https://www.ema.europa.eu/en/medicines/human/EPAR/zavicefta</w:t>
        </w:r>
      </w:hyperlink>
      <w:r>
        <w:rPr>
          <w:sz w:val="18"/>
          <w:szCs w:val="18"/>
        </w:rPr>
        <w:t xml:space="preserve"> </w:t>
      </w:r>
    </w:p>
    <w:p w14:paraId="39AFD00A" w14:textId="49AA14A3" w:rsidR="003735DF" w:rsidRPr="003735DF" w:rsidRDefault="003735DF" w:rsidP="003735DF">
      <w:pPr>
        <w:spacing w:after="0"/>
        <w:rPr>
          <w:sz w:val="18"/>
          <w:szCs w:val="18"/>
        </w:rPr>
      </w:pPr>
      <w:r w:rsidRPr="003735DF">
        <w:rPr>
          <w:sz w:val="18"/>
          <w:szCs w:val="18"/>
        </w:rPr>
        <w:t xml:space="preserve">Delafloxacin: </w:t>
      </w:r>
      <w:hyperlink r:id="rId30" w:history="1">
        <w:r w:rsidRPr="004A5792">
          <w:rPr>
            <w:rStyle w:val="Hyperlink"/>
            <w:sz w:val="18"/>
            <w:szCs w:val="18"/>
          </w:rPr>
          <w:t>https://www.ema.europa.eu/en/medicines/human/EPAR/quofenix</w:t>
        </w:r>
      </w:hyperlink>
      <w:r>
        <w:rPr>
          <w:sz w:val="18"/>
          <w:szCs w:val="18"/>
        </w:rPr>
        <w:t xml:space="preserve"> </w:t>
      </w:r>
    </w:p>
    <w:p w14:paraId="28CCD6BE" w14:textId="489779DC" w:rsidR="003735DF" w:rsidRPr="003735DF" w:rsidRDefault="003735DF" w:rsidP="003735DF">
      <w:pPr>
        <w:spacing w:after="0"/>
        <w:rPr>
          <w:sz w:val="18"/>
          <w:szCs w:val="18"/>
        </w:rPr>
      </w:pPr>
      <w:r w:rsidRPr="003735DF">
        <w:rPr>
          <w:sz w:val="18"/>
          <w:szCs w:val="18"/>
        </w:rPr>
        <w:t>M</w:t>
      </w:r>
      <w:r>
        <w:rPr>
          <w:sz w:val="18"/>
          <w:szCs w:val="18"/>
        </w:rPr>
        <w:t>eropenem</w:t>
      </w:r>
      <w:r w:rsidRPr="003735DF">
        <w:rPr>
          <w:sz w:val="18"/>
          <w:szCs w:val="18"/>
        </w:rPr>
        <w:t>/</w:t>
      </w:r>
      <w:r>
        <w:rPr>
          <w:sz w:val="18"/>
          <w:szCs w:val="18"/>
        </w:rPr>
        <w:t>vaborbactam</w:t>
      </w:r>
      <w:r w:rsidRPr="003735DF">
        <w:rPr>
          <w:sz w:val="18"/>
          <w:szCs w:val="18"/>
        </w:rPr>
        <w:t xml:space="preserve">: </w:t>
      </w:r>
      <w:hyperlink r:id="rId31" w:history="1">
        <w:r w:rsidRPr="004A5792">
          <w:rPr>
            <w:rStyle w:val="Hyperlink"/>
            <w:sz w:val="18"/>
            <w:szCs w:val="18"/>
          </w:rPr>
          <w:t>https://www.ema.europa.eu/en/medicines/human/EPAR/vaborem</w:t>
        </w:r>
      </w:hyperlink>
      <w:r>
        <w:rPr>
          <w:sz w:val="18"/>
          <w:szCs w:val="18"/>
        </w:rPr>
        <w:t xml:space="preserve"> </w:t>
      </w:r>
      <w:r w:rsidRPr="003735DF">
        <w:rPr>
          <w:sz w:val="18"/>
          <w:szCs w:val="18"/>
        </w:rPr>
        <w:t xml:space="preserve"> </w:t>
      </w:r>
      <w:r>
        <w:rPr>
          <w:sz w:val="18"/>
          <w:szCs w:val="18"/>
        </w:rPr>
        <w:t xml:space="preserve"> </w:t>
      </w:r>
    </w:p>
    <w:p w14:paraId="5556F8F6" w14:textId="77777777" w:rsidR="003735DF" w:rsidRPr="003735DF" w:rsidRDefault="003735DF" w:rsidP="003735DF">
      <w:pPr>
        <w:spacing w:after="0"/>
        <w:rPr>
          <w:sz w:val="18"/>
          <w:szCs w:val="18"/>
        </w:rPr>
      </w:pPr>
      <w:r w:rsidRPr="003735DF">
        <w:rPr>
          <w:sz w:val="18"/>
          <w:szCs w:val="18"/>
        </w:rPr>
        <w:t xml:space="preserve">Plazomicin: </w:t>
      </w:r>
      <w:hyperlink r:id="rId32" w:history="1">
        <w:r w:rsidRPr="003735DF">
          <w:rPr>
            <w:rStyle w:val="Hyperlink"/>
            <w:sz w:val="18"/>
            <w:szCs w:val="18"/>
          </w:rPr>
          <w:t>https://www.ema.europa.eu/en/medicines/human/withdrawn-applications/zemdri</w:t>
        </w:r>
      </w:hyperlink>
    </w:p>
    <w:p w14:paraId="0499C937" w14:textId="77777777" w:rsidR="003735DF" w:rsidRPr="003735DF" w:rsidRDefault="003735DF" w:rsidP="003735DF">
      <w:pPr>
        <w:spacing w:after="0"/>
        <w:rPr>
          <w:sz w:val="18"/>
          <w:szCs w:val="18"/>
        </w:rPr>
      </w:pPr>
      <w:r w:rsidRPr="003735DF">
        <w:rPr>
          <w:sz w:val="18"/>
          <w:szCs w:val="18"/>
        </w:rPr>
        <w:t xml:space="preserve">Eravacycline: </w:t>
      </w:r>
      <w:hyperlink r:id="rId33" w:history="1">
        <w:r w:rsidRPr="003735DF">
          <w:rPr>
            <w:rStyle w:val="Hyperlink"/>
            <w:sz w:val="18"/>
            <w:szCs w:val="18"/>
          </w:rPr>
          <w:t>https://www.ema.europa.eu/en/medicines/human/EPAR/xerava</w:t>
        </w:r>
      </w:hyperlink>
    </w:p>
    <w:p w14:paraId="1AC90046" w14:textId="77777777" w:rsidR="003735DF" w:rsidRPr="003735DF" w:rsidRDefault="003735DF" w:rsidP="003735DF">
      <w:pPr>
        <w:spacing w:after="0"/>
        <w:rPr>
          <w:sz w:val="18"/>
          <w:szCs w:val="18"/>
        </w:rPr>
      </w:pPr>
      <w:r w:rsidRPr="003735DF">
        <w:rPr>
          <w:sz w:val="18"/>
          <w:szCs w:val="18"/>
        </w:rPr>
        <w:t xml:space="preserve">Omadacycline: </w:t>
      </w:r>
      <w:hyperlink r:id="rId34" w:history="1">
        <w:r w:rsidRPr="003735DF">
          <w:rPr>
            <w:rStyle w:val="Hyperlink"/>
            <w:sz w:val="18"/>
            <w:szCs w:val="18"/>
          </w:rPr>
          <w:t>https://www.ema.europa.eu/en/medicines/human/withdrawn-applications/nuzyra</w:t>
        </w:r>
      </w:hyperlink>
    </w:p>
    <w:p w14:paraId="2C1C473C" w14:textId="3B5A2C2D" w:rsidR="003735DF" w:rsidRPr="003735DF" w:rsidRDefault="003735DF" w:rsidP="003735DF">
      <w:pPr>
        <w:spacing w:after="0"/>
        <w:rPr>
          <w:sz w:val="18"/>
          <w:szCs w:val="18"/>
        </w:rPr>
      </w:pPr>
      <w:r w:rsidRPr="003735DF">
        <w:rPr>
          <w:sz w:val="18"/>
          <w:szCs w:val="18"/>
        </w:rPr>
        <w:t xml:space="preserve">Pretomanid: </w:t>
      </w:r>
      <w:hyperlink r:id="rId35" w:history="1">
        <w:r w:rsidRPr="004A5792">
          <w:rPr>
            <w:rStyle w:val="Hyperlink"/>
            <w:sz w:val="18"/>
            <w:szCs w:val="18"/>
          </w:rPr>
          <w:t>https://www.ema.europa.eu/en/medicines/human/EPAR/pretomanid-fgk</w:t>
        </w:r>
      </w:hyperlink>
      <w:r>
        <w:rPr>
          <w:sz w:val="18"/>
          <w:szCs w:val="18"/>
        </w:rPr>
        <w:t xml:space="preserve"> </w:t>
      </w:r>
      <w:r w:rsidRPr="003735DF">
        <w:rPr>
          <w:sz w:val="18"/>
          <w:szCs w:val="18"/>
        </w:rPr>
        <w:t xml:space="preserve"> </w:t>
      </w:r>
    </w:p>
    <w:p w14:paraId="53E59F6A" w14:textId="09643746" w:rsidR="003735DF" w:rsidRPr="003735DF" w:rsidRDefault="003735DF" w:rsidP="003735DF">
      <w:pPr>
        <w:spacing w:after="0"/>
        <w:rPr>
          <w:sz w:val="18"/>
          <w:szCs w:val="18"/>
        </w:rPr>
      </w:pPr>
      <w:r w:rsidRPr="003735DF">
        <w:rPr>
          <w:sz w:val="18"/>
          <w:szCs w:val="18"/>
        </w:rPr>
        <w:t xml:space="preserve">Cefiderocol: </w:t>
      </w:r>
      <w:hyperlink r:id="rId36" w:history="1">
        <w:r w:rsidRPr="004A5792">
          <w:rPr>
            <w:rStyle w:val="Hyperlink"/>
            <w:sz w:val="18"/>
            <w:szCs w:val="18"/>
          </w:rPr>
          <w:t>https://www.ema.europa.eu/en/medicines/human/EPAR/fetcroja</w:t>
        </w:r>
      </w:hyperlink>
      <w:r>
        <w:rPr>
          <w:sz w:val="18"/>
          <w:szCs w:val="18"/>
        </w:rPr>
        <w:t xml:space="preserve"> </w:t>
      </w:r>
    </w:p>
    <w:p w14:paraId="2B217E73" w14:textId="587B1636" w:rsidR="003735DF" w:rsidRPr="003735DF" w:rsidRDefault="003735DF" w:rsidP="003735DF">
      <w:pPr>
        <w:spacing w:after="0"/>
        <w:rPr>
          <w:sz w:val="18"/>
          <w:szCs w:val="18"/>
        </w:rPr>
      </w:pPr>
      <w:r w:rsidRPr="003735DF">
        <w:rPr>
          <w:sz w:val="18"/>
          <w:szCs w:val="18"/>
        </w:rPr>
        <w:t>I</w:t>
      </w:r>
      <w:r>
        <w:rPr>
          <w:sz w:val="18"/>
          <w:szCs w:val="18"/>
        </w:rPr>
        <w:t>mipenem</w:t>
      </w:r>
      <w:r w:rsidRPr="003735DF">
        <w:rPr>
          <w:sz w:val="18"/>
          <w:szCs w:val="18"/>
        </w:rPr>
        <w:t>/</w:t>
      </w:r>
      <w:r>
        <w:rPr>
          <w:sz w:val="18"/>
          <w:szCs w:val="18"/>
        </w:rPr>
        <w:t>relebactam:</w:t>
      </w:r>
      <w:r w:rsidRPr="003735DF">
        <w:rPr>
          <w:sz w:val="18"/>
          <w:szCs w:val="18"/>
        </w:rPr>
        <w:t xml:space="preserve"> </w:t>
      </w:r>
      <w:hyperlink r:id="rId37" w:history="1">
        <w:r w:rsidRPr="003735DF">
          <w:rPr>
            <w:rStyle w:val="Hyperlink"/>
            <w:sz w:val="18"/>
            <w:szCs w:val="18"/>
          </w:rPr>
          <w:t>https://www.ema.europa.eu/en/medicines/human/EPAR/recarbrio</w:t>
        </w:r>
      </w:hyperlink>
    </w:p>
    <w:p w14:paraId="4CB8C74C" w14:textId="322C4BF4" w:rsidR="003735DF" w:rsidRPr="003735DF" w:rsidRDefault="003735DF" w:rsidP="00325C10">
      <w:pPr>
        <w:spacing w:after="0"/>
        <w:rPr>
          <w:caps/>
          <w:sz w:val="18"/>
          <w:szCs w:val="18"/>
        </w:rPr>
        <w:sectPr w:rsidR="003735DF" w:rsidRPr="003735DF" w:rsidSect="006E7560">
          <w:headerReference w:type="default" r:id="rId38"/>
          <w:footerReference w:type="default" r:id="rId39"/>
          <w:pgSz w:w="11906" w:h="16838"/>
          <w:pgMar w:top="1440" w:right="1080" w:bottom="1440" w:left="1080" w:header="708" w:footer="708" w:gutter="0"/>
          <w:cols w:space="708"/>
          <w:docGrid w:linePitch="360"/>
        </w:sectPr>
      </w:pPr>
    </w:p>
    <w:p w14:paraId="6B900304" w14:textId="0660FD99" w:rsidR="00D728C2" w:rsidRPr="001E5EBD" w:rsidRDefault="00613C30" w:rsidP="00613C30">
      <w:pPr>
        <w:pStyle w:val="Heading1"/>
        <w:rPr>
          <w:caps/>
        </w:rPr>
      </w:pPr>
      <w:r w:rsidRPr="001E5EBD">
        <w:rPr>
          <w:caps/>
        </w:rPr>
        <w:t xml:space="preserve">Appendix </w:t>
      </w:r>
      <w:r w:rsidR="00C15262">
        <w:rPr>
          <w:caps/>
        </w:rPr>
        <w:t>B</w:t>
      </w:r>
      <w:r w:rsidR="00A525C9">
        <w:rPr>
          <w:caps/>
        </w:rPr>
        <w:t xml:space="preserve"> – PRAGMATIC </w:t>
      </w:r>
      <w:r w:rsidR="00C271E7" w:rsidRPr="001E5EBD">
        <w:rPr>
          <w:caps/>
        </w:rPr>
        <w:t>Valuation Approach for Pilot Fund</w:t>
      </w:r>
      <w:r w:rsidR="00F85490" w:rsidRPr="001E5EBD">
        <w:rPr>
          <w:caps/>
        </w:rPr>
        <w:t xml:space="preserve"> for Novel </w:t>
      </w:r>
      <w:r w:rsidR="008E0DF4">
        <w:rPr>
          <w:caps/>
        </w:rPr>
        <w:t>ANTIMICROBIALS</w:t>
      </w:r>
    </w:p>
    <w:p w14:paraId="2BEE64BB" w14:textId="6721DC9C" w:rsidR="00613C30" w:rsidRDefault="00F34933" w:rsidP="00C271E7">
      <w:r>
        <w:t xml:space="preserve">This extract is from a report by Health Technology Analysts entitled </w:t>
      </w:r>
      <w:r w:rsidRPr="0025464F">
        <w:rPr>
          <w:i/>
          <w:iCs/>
        </w:rPr>
        <w:t>Federal Fund for Novel Antimicrobials</w:t>
      </w:r>
      <w:r>
        <w:t xml:space="preserve"> (2020).</w:t>
      </w:r>
    </w:p>
    <w:p w14:paraId="1919435C" w14:textId="14A2A4C8" w:rsidR="00B60DC9" w:rsidRDefault="00B60DC9" w:rsidP="00C271E7">
      <w:r>
        <w:rPr>
          <w:noProof/>
          <w:lang w:eastAsia="en-AU"/>
        </w:rPr>
        <w:drawing>
          <wp:inline distT="0" distB="0" distL="0" distR="0" wp14:anchorId="3E984407" wp14:editId="69FA43CC">
            <wp:extent cx="8863330" cy="467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8863330" cy="4676775"/>
                    </a:xfrm>
                    <a:prstGeom prst="rect">
                      <a:avLst/>
                    </a:prstGeom>
                  </pic:spPr>
                </pic:pic>
              </a:graphicData>
            </a:graphic>
          </wp:inline>
        </w:drawing>
      </w:r>
    </w:p>
    <w:p w14:paraId="6DAF3932" w14:textId="4107E5B7" w:rsidR="00D543DF" w:rsidRPr="00D728C2" w:rsidRDefault="00D543DF" w:rsidP="00C271E7"/>
    <w:sectPr w:rsidR="00D543DF" w:rsidRPr="00D728C2" w:rsidSect="0025464F">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043AD" w14:textId="77777777" w:rsidR="00FE42E4" w:rsidRDefault="00FE42E4" w:rsidP="00E918D1">
      <w:pPr>
        <w:spacing w:after="0" w:line="240" w:lineRule="auto"/>
      </w:pPr>
      <w:r>
        <w:separator/>
      </w:r>
    </w:p>
  </w:endnote>
  <w:endnote w:type="continuationSeparator" w:id="0">
    <w:p w14:paraId="4C65F5E2" w14:textId="77777777" w:rsidR="00FE42E4" w:rsidRDefault="00FE42E4" w:rsidP="00E9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3D90" w14:textId="57064B21" w:rsidR="00FE42E4" w:rsidRPr="0078641D" w:rsidRDefault="00FE42E4" w:rsidP="0078641D">
    <w:pPr>
      <w:pStyle w:val="Footer"/>
      <w:jc w:val="right"/>
      <w:rPr>
        <w:i/>
      </w:rPr>
    </w:pPr>
    <w:r w:rsidRPr="0078641D">
      <w:rPr>
        <w:i/>
      </w:rPr>
      <w:t xml:space="preserve">Page </w:t>
    </w:r>
    <w:r w:rsidRPr="0078641D">
      <w:rPr>
        <w:i/>
      </w:rPr>
      <w:fldChar w:fldCharType="begin"/>
    </w:r>
    <w:r w:rsidRPr="0078641D">
      <w:rPr>
        <w:i/>
      </w:rPr>
      <w:instrText xml:space="preserve"> PAGE   \* MERGEFORMAT </w:instrText>
    </w:r>
    <w:r w:rsidRPr="0078641D">
      <w:rPr>
        <w:i/>
      </w:rPr>
      <w:fldChar w:fldCharType="separate"/>
    </w:r>
    <w:r w:rsidR="00C945EF">
      <w:rPr>
        <w:i/>
        <w:noProof/>
      </w:rPr>
      <w:t>8</w:t>
    </w:r>
    <w:r w:rsidRPr="0078641D">
      <w:rPr>
        <w:i/>
      </w:rPr>
      <w:fldChar w:fldCharType="end"/>
    </w:r>
    <w:r w:rsidRPr="0078641D">
      <w:rPr>
        <w:i/>
      </w:rPr>
      <w:t xml:space="preserve"> of </w:t>
    </w:r>
    <w:r w:rsidR="00F34933">
      <w:rPr>
        <w:i/>
      </w:rPr>
      <w:fldChar w:fldCharType="begin"/>
    </w:r>
    <w:r w:rsidR="00F34933">
      <w:rPr>
        <w:i/>
      </w:rPr>
      <w:instrText xml:space="preserve"> NUMPAGES   \* MERGEFORMAT </w:instrText>
    </w:r>
    <w:r w:rsidR="00F34933">
      <w:rPr>
        <w:i/>
      </w:rPr>
      <w:fldChar w:fldCharType="separate"/>
    </w:r>
    <w:r w:rsidR="00C945EF">
      <w:rPr>
        <w:i/>
        <w:noProof/>
      </w:rPr>
      <w:t>9</w:t>
    </w:r>
    <w:r w:rsidR="00F34933">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5A165" w14:textId="77777777" w:rsidR="00FE42E4" w:rsidRDefault="00FE42E4" w:rsidP="00E918D1">
      <w:pPr>
        <w:spacing w:after="0" w:line="240" w:lineRule="auto"/>
      </w:pPr>
      <w:r>
        <w:separator/>
      </w:r>
    </w:p>
  </w:footnote>
  <w:footnote w:type="continuationSeparator" w:id="0">
    <w:p w14:paraId="25E575BB" w14:textId="77777777" w:rsidR="00FE42E4" w:rsidRDefault="00FE42E4" w:rsidP="00E918D1">
      <w:pPr>
        <w:spacing w:after="0" w:line="240" w:lineRule="auto"/>
      </w:pPr>
      <w:r>
        <w:continuationSeparator/>
      </w:r>
    </w:p>
  </w:footnote>
  <w:footnote w:id="1">
    <w:p w14:paraId="15953F03" w14:textId="19676937" w:rsidR="00FE42E4" w:rsidRPr="00CF7E1F" w:rsidRDefault="00FE42E4" w:rsidP="008D41D5">
      <w:pPr>
        <w:pStyle w:val="FootnoteText"/>
        <w:rPr>
          <w:lang w:val="en-AU"/>
        </w:rPr>
      </w:pPr>
      <w:r>
        <w:rPr>
          <w:rStyle w:val="FootnoteReference"/>
        </w:rPr>
        <w:footnoteRef/>
      </w:r>
      <w:r>
        <w:t xml:space="preserve"> </w:t>
      </w:r>
      <w:r w:rsidRPr="00483C8D">
        <w:t>Jim O’Neill,</w:t>
      </w:r>
      <w:r>
        <w:t xml:space="preserve"> 2014,</w:t>
      </w:r>
      <w:r w:rsidRPr="00483C8D">
        <w:t xml:space="preserve"> </w:t>
      </w:r>
      <w:r w:rsidRPr="00312617">
        <w:rPr>
          <w:i/>
        </w:rPr>
        <w:t>Review on Antimicrobial Resistance. Antimicrobial Resistance: Tackling a Crisis for the Health and Wealth of Nations</w:t>
      </w:r>
    </w:p>
  </w:footnote>
  <w:footnote w:id="2">
    <w:p w14:paraId="787CF6B4" w14:textId="013945F9" w:rsidR="005A0F7B" w:rsidRPr="005A0F7B" w:rsidRDefault="005A0F7B">
      <w:pPr>
        <w:pStyle w:val="FootnoteText"/>
        <w:rPr>
          <w:lang w:val="en-AU"/>
        </w:rPr>
      </w:pPr>
      <w:r>
        <w:rPr>
          <w:rStyle w:val="FootnoteReference"/>
        </w:rPr>
        <w:footnoteRef/>
      </w:r>
      <w:r>
        <w:t xml:space="preserve"> </w:t>
      </w:r>
      <w:r w:rsidRPr="00483C8D">
        <w:t>Jim O’Neill,</w:t>
      </w:r>
      <w:r>
        <w:t xml:space="preserve"> 2014,</w:t>
      </w:r>
      <w:r w:rsidRPr="00483C8D">
        <w:t xml:space="preserve"> </w:t>
      </w:r>
      <w:r w:rsidRPr="00312617">
        <w:rPr>
          <w:i/>
        </w:rPr>
        <w:t>Review on Antimicrobial Resistance. Antimicrobial Resistance: Tackling a Crisis for the Health and Wealth of Nations</w:t>
      </w:r>
    </w:p>
  </w:footnote>
  <w:footnote w:id="3">
    <w:p w14:paraId="7E26FE71" w14:textId="77777777" w:rsidR="00FE42E4" w:rsidRPr="00557562" w:rsidRDefault="00FE42E4" w:rsidP="000C5C29">
      <w:pPr>
        <w:pStyle w:val="FootnoteText"/>
        <w:rPr>
          <w:lang w:val="en-AU"/>
        </w:rPr>
      </w:pPr>
      <w:r>
        <w:rPr>
          <w:rStyle w:val="FootnoteReference"/>
        </w:rPr>
        <w:footnoteRef/>
      </w:r>
      <w:r>
        <w:t xml:space="preserve"> </w:t>
      </w:r>
      <w:r>
        <w:rPr>
          <w:lang w:val="en-AU"/>
        </w:rPr>
        <w:t xml:space="preserve">Australian Group on Antimicrobial Resistance; </w:t>
      </w:r>
      <w:r w:rsidRPr="00192FEA">
        <w:rPr>
          <w:i/>
          <w:lang w:val="en-AU"/>
        </w:rPr>
        <w:t>Sepsis Outcome Programs, 2018 Report</w:t>
      </w:r>
    </w:p>
  </w:footnote>
  <w:footnote w:id="4">
    <w:p w14:paraId="6B2338C3" w14:textId="19654426" w:rsidR="00FE42E4" w:rsidRPr="00806244" w:rsidRDefault="00FE42E4">
      <w:pPr>
        <w:pStyle w:val="FootnoteText"/>
        <w:rPr>
          <w:lang w:val="en-AU"/>
        </w:rPr>
      </w:pPr>
      <w:r>
        <w:rPr>
          <w:rStyle w:val="FootnoteReference"/>
        </w:rPr>
        <w:footnoteRef/>
      </w:r>
      <w:r>
        <w:t xml:space="preserve"> </w:t>
      </w:r>
      <w:r>
        <w:rPr>
          <w:lang w:val="en-AU"/>
        </w:rPr>
        <w:t xml:space="preserve">European Medicines Agency, European Centre for Disease Prevention and Control, 2009, </w:t>
      </w:r>
      <w:r w:rsidRPr="00806244">
        <w:rPr>
          <w:i/>
          <w:lang w:val="en-AU"/>
        </w:rPr>
        <w:t>Joint technical report: The bacterial challenge: time to react</w:t>
      </w:r>
      <w:r>
        <w:rPr>
          <w:lang w:val="en-AU"/>
        </w:rPr>
        <w:t>, viewed 16 December 2019 &lt;</w:t>
      </w:r>
      <w:hyperlink r:id="rId1" w:history="1">
        <w:r>
          <w:rPr>
            <w:rStyle w:val="Hyperlink"/>
          </w:rPr>
          <w:t>https://www.ecdc.europa.eu/sites/portal/files/media/en/publications/Publications/0909_TER_The_Bacterial_Challenge_Time_to_React.pdf</w:t>
        </w:r>
      </w:hyperlink>
      <w:r>
        <w:t>&gt;</w:t>
      </w:r>
    </w:p>
  </w:footnote>
  <w:footnote w:id="5">
    <w:p w14:paraId="5F7C6A01" w14:textId="21A7E261" w:rsidR="00B344AA" w:rsidRPr="00B344AA" w:rsidRDefault="00B344AA">
      <w:pPr>
        <w:pStyle w:val="FootnoteText"/>
        <w:rPr>
          <w:lang w:val="en-AU"/>
        </w:rPr>
      </w:pPr>
      <w:r>
        <w:rPr>
          <w:rStyle w:val="FootnoteReference"/>
        </w:rPr>
        <w:footnoteRef/>
      </w:r>
      <w:r>
        <w:t xml:space="preserve"> </w:t>
      </w:r>
      <w:r>
        <w:rPr>
          <w:lang w:val="en-AU"/>
        </w:rPr>
        <w:t xml:space="preserve">Philip L. Russo et.al 2019, </w:t>
      </w:r>
      <w:r>
        <w:rPr>
          <w:i/>
          <w:lang w:val="en-AU"/>
        </w:rPr>
        <w:t>The prevalence of healthcare associated infections among adult inpatients at nineteen large Australian acute-care public hospitals: a point prevalence survey</w:t>
      </w:r>
      <w:r>
        <w:rPr>
          <w:lang w:val="en-AU"/>
        </w:rPr>
        <w:t>, Antimicrobial Resistance and Infection Control</w:t>
      </w:r>
    </w:p>
  </w:footnote>
  <w:footnote w:id="6">
    <w:p w14:paraId="223D006C" w14:textId="228FFE3C" w:rsidR="005A0F7B" w:rsidRPr="005A0F7B" w:rsidRDefault="005A0F7B">
      <w:pPr>
        <w:pStyle w:val="FootnoteText"/>
        <w:rPr>
          <w:i/>
          <w:iCs/>
          <w:lang w:val="en-AU"/>
        </w:rPr>
      </w:pPr>
      <w:r>
        <w:rPr>
          <w:rStyle w:val="FootnoteReference"/>
        </w:rPr>
        <w:footnoteRef/>
      </w:r>
      <w:r>
        <w:t xml:space="preserve"> </w:t>
      </w:r>
      <w:r>
        <w:rPr>
          <w:lang w:val="en-AU"/>
        </w:rPr>
        <w:t xml:space="preserve">Department of Health and Agriculture, </w:t>
      </w:r>
      <w:r>
        <w:rPr>
          <w:i/>
          <w:iCs/>
          <w:lang w:val="en-AU"/>
        </w:rPr>
        <w:t>Responding to the Threat of Antimicrobial Resistance: Australia’s First National Antimicrobial Resistance Strategy 2015-2019</w:t>
      </w:r>
    </w:p>
  </w:footnote>
  <w:footnote w:id="7">
    <w:p w14:paraId="5993DB54" w14:textId="0F47486B" w:rsidR="00BB2E77" w:rsidRPr="00BB2E77" w:rsidRDefault="00BB2E77">
      <w:pPr>
        <w:pStyle w:val="FootnoteText"/>
        <w:rPr>
          <w:lang w:val="en-AU"/>
        </w:rPr>
      </w:pPr>
      <w:r>
        <w:rPr>
          <w:rStyle w:val="FootnoteReference"/>
        </w:rPr>
        <w:footnoteRef/>
      </w:r>
      <w:r>
        <w:t xml:space="preserve"> </w:t>
      </w:r>
      <w:r>
        <w:rPr>
          <w:lang w:val="en-AU"/>
        </w:rPr>
        <w:t xml:space="preserve">Bhatti T et al 2018, </w:t>
      </w:r>
      <w:r>
        <w:rPr>
          <w:i/>
          <w:iCs/>
          <w:lang w:val="en-AU"/>
        </w:rPr>
        <w:t>A Perspective on Incentives for Novel Inpatient Antibiotics: No One-Size-Fits-All</w:t>
      </w:r>
      <w:r>
        <w:rPr>
          <w:lang w:val="en-AU"/>
        </w:rPr>
        <w:t>, Journal of Law, Medicine and Ethics, p60</w:t>
      </w:r>
    </w:p>
  </w:footnote>
  <w:footnote w:id="8">
    <w:p w14:paraId="11218A08" w14:textId="53B2EDB0" w:rsidR="00BB2E77" w:rsidRPr="00BB2E77" w:rsidRDefault="00BB2E77">
      <w:pPr>
        <w:pStyle w:val="FootnoteText"/>
        <w:rPr>
          <w:lang w:val="en-AU"/>
        </w:rPr>
      </w:pPr>
      <w:r>
        <w:rPr>
          <w:rStyle w:val="FootnoteReference"/>
        </w:rPr>
        <w:footnoteRef/>
      </w:r>
      <w:r>
        <w:t xml:space="preserve"> </w:t>
      </w:r>
      <w:r>
        <w:rPr>
          <w:lang w:val="en-AU"/>
        </w:rPr>
        <w:t xml:space="preserve">Neri, M., Hampson, G., Henshall, C., and Towse, A., 2019. </w:t>
      </w:r>
      <w:r>
        <w:rPr>
          <w:i/>
          <w:iCs/>
          <w:lang w:val="en-AU"/>
        </w:rPr>
        <w:t xml:space="preserve">HTA and payment mechanisms for new drugs to </w:t>
      </w:r>
      <w:r w:rsidR="00F7545E">
        <w:rPr>
          <w:i/>
          <w:iCs/>
          <w:lang w:val="en-AU"/>
        </w:rPr>
        <w:t>tackle</w:t>
      </w:r>
      <w:r>
        <w:rPr>
          <w:i/>
          <w:iCs/>
          <w:lang w:val="en-AU"/>
        </w:rPr>
        <w:t xml:space="preserve"> AMR.</w:t>
      </w:r>
      <w:r>
        <w:rPr>
          <w:lang w:val="en-AU"/>
        </w:rPr>
        <w:t xml:space="preserve"> OHE Research Paper, London: Office of Health Economics</w:t>
      </w:r>
    </w:p>
  </w:footnote>
  <w:footnote w:id="9">
    <w:p w14:paraId="681C2320" w14:textId="110BC792" w:rsidR="00FE42E4" w:rsidRPr="0025464F" w:rsidRDefault="00FE42E4">
      <w:pPr>
        <w:pStyle w:val="FootnoteText"/>
        <w:rPr>
          <w:rStyle w:val="Hyperlink"/>
        </w:rPr>
      </w:pPr>
      <w:r>
        <w:rPr>
          <w:rStyle w:val="FootnoteReference"/>
        </w:rPr>
        <w:footnoteRef/>
      </w:r>
      <w:r>
        <w:t xml:space="preserve"> </w:t>
      </w:r>
      <w:hyperlink r:id="rId2" w:history="1">
        <w:r w:rsidRPr="00D33F9F">
          <w:rPr>
            <w:rStyle w:val="Hyperlink"/>
          </w:rPr>
          <w:t>World-first scheme underway to tackle AMR and protect UK patients - GOV.UK (www.gov.uk)</w:t>
        </w:r>
      </w:hyperlink>
    </w:p>
  </w:footnote>
  <w:footnote w:id="10">
    <w:p w14:paraId="2D9997DD" w14:textId="6D839767" w:rsidR="00BB2E77" w:rsidRPr="00BB2E77" w:rsidRDefault="00BB2E77">
      <w:pPr>
        <w:pStyle w:val="FootnoteText"/>
        <w:rPr>
          <w:lang w:val="en-AU"/>
        </w:rPr>
      </w:pPr>
      <w:r>
        <w:rPr>
          <w:rStyle w:val="FootnoteReference"/>
        </w:rPr>
        <w:footnoteRef/>
      </w:r>
      <w:r>
        <w:t xml:space="preserve"> </w:t>
      </w:r>
      <w:r>
        <w:rPr>
          <w:lang w:val="en-AU"/>
        </w:rPr>
        <w:t xml:space="preserve">Neri, M., Hampson, G., Henshall, C., and Towse, A., 2019. </w:t>
      </w:r>
      <w:r>
        <w:rPr>
          <w:i/>
          <w:iCs/>
          <w:lang w:val="en-AU"/>
        </w:rPr>
        <w:t xml:space="preserve">HTA and payment mechanisms for new drugs to </w:t>
      </w:r>
      <w:r w:rsidR="00F7545E">
        <w:rPr>
          <w:i/>
          <w:iCs/>
          <w:lang w:val="en-AU"/>
        </w:rPr>
        <w:t>tackle</w:t>
      </w:r>
      <w:r>
        <w:rPr>
          <w:i/>
          <w:iCs/>
          <w:lang w:val="en-AU"/>
        </w:rPr>
        <w:t xml:space="preserve"> AMR.</w:t>
      </w:r>
      <w:r>
        <w:rPr>
          <w:lang w:val="en-AU"/>
        </w:rPr>
        <w:t xml:space="preserve"> OHE Research Paper, London: Office of Health Economics</w:t>
      </w:r>
    </w:p>
  </w:footnote>
  <w:footnote w:id="11">
    <w:p w14:paraId="0533D8AE" w14:textId="4F765C33" w:rsidR="00FE42E4" w:rsidRPr="0025464F" w:rsidRDefault="00FE42E4">
      <w:pPr>
        <w:pStyle w:val="FootnoteText"/>
        <w:rPr>
          <w:lang w:val="en-AU"/>
        </w:rPr>
      </w:pPr>
      <w:r>
        <w:rPr>
          <w:rStyle w:val="FootnoteReference"/>
        </w:rPr>
        <w:footnoteRef/>
      </w:r>
      <w:r>
        <w:t xml:space="preserve"> </w:t>
      </w:r>
      <w:hyperlink r:id="rId3" w:history="1">
        <w:r w:rsidRPr="0025464F">
          <w:rPr>
            <w:rStyle w:val="Hyperlink"/>
          </w:rPr>
          <w:t>Availability of antibiotics - The Public Health Agency of Sweden (folkhalsomyndigheten.se)</w:t>
        </w:r>
      </w:hyperlink>
    </w:p>
  </w:footnote>
  <w:footnote w:id="12">
    <w:p w14:paraId="094E659C" w14:textId="737F30F4" w:rsidR="00FE42E4" w:rsidRPr="00D3300E" w:rsidRDefault="00FE42E4" w:rsidP="00E5560D">
      <w:pPr>
        <w:spacing w:after="0" w:line="240" w:lineRule="auto"/>
      </w:pPr>
      <w:r>
        <w:rPr>
          <w:rStyle w:val="FootnoteReference"/>
        </w:rPr>
        <w:footnoteRef/>
      </w:r>
      <w:r>
        <w:t xml:space="preserve"> </w:t>
      </w:r>
      <w:hyperlink r:id="rId4" w:history="1">
        <w:r w:rsidRPr="0025464F">
          <w:rPr>
            <w:rStyle w:val="Hyperlink"/>
            <w:sz w:val="20"/>
            <w:szCs w:val="20"/>
          </w:rPr>
          <w:t>https://www.who.int/medicines/publications/global-priority-list-antibiotic-resistant-bacteria/en/</w:t>
        </w:r>
      </w:hyperlink>
    </w:p>
  </w:footnote>
  <w:footnote w:id="13">
    <w:p w14:paraId="1F9CBAA9" w14:textId="3B360B22" w:rsidR="00FE42E4" w:rsidRPr="00B862A1" w:rsidRDefault="00FE42E4" w:rsidP="000C66C2">
      <w:pPr>
        <w:pStyle w:val="FootnoteText"/>
        <w:rPr>
          <w:lang w:val="en-AU"/>
        </w:rPr>
      </w:pPr>
      <w:r>
        <w:rPr>
          <w:rStyle w:val="FootnoteReference"/>
        </w:rPr>
        <w:footnoteRef/>
      </w:r>
      <w:r>
        <w:t xml:space="preserve"> Williamson, Deborah. A., Howden, Benjamin P., Paterson, David L., 2019, </w:t>
      </w:r>
      <w:r>
        <w:rPr>
          <w:i/>
        </w:rPr>
        <w:t>The risk of resistance: what are the major antimicrobial resistance threats facing Australia?</w:t>
      </w:r>
      <w:r>
        <w:t>, Medical Journal of Australia</w:t>
      </w:r>
    </w:p>
  </w:footnote>
  <w:footnote w:id="14">
    <w:p w14:paraId="518209EE" w14:textId="0AA334D9" w:rsidR="00FE42E4" w:rsidRDefault="00FE42E4" w:rsidP="00282767">
      <w:pPr>
        <w:pStyle w:val="FootnoteText"/>
      </w:pPr>
      <w:r>
        <w:rPr>
          <w:rStyle w:val="FootnoteReference"/>
        </w:rPr>
        <w:footnoteRef/>
      </w:r>
      <w:r>
        <w:t xml:space="preserve"> Rothery, C., Woods, B., Schmitt, L., Claxton, K., Palmer, S., Schulper, M., 2018, </w:t>
      </w:r>
      <w:r>
        <w:rPr>
          <w:i/>
        </w:rPr>
        <w:t>Framework for Value Assessment of New Antimicrobials. Implications of alternative funding arrangements for NICE Appraisal.</w:t>
      </w:r>
      <w:r>
        <w:t xml:space="preserve"> EEPRU, Policy Research Unit in Economic Evaluation of Health &amp;Care Interventions, viewed 17 December 2019 &lt;</w:t>
      </w:r>
      <w:hyperlink r:id="rId5" w:history="1">
        <w:r>
          <w:rPr>
            <w:rStyle w:val="Hyperlink"/>
          </w:rPr>
          <w:t>http://www.eepru.org.uk/wp-content/uploads/2017/11/eepru-report-amr-oct-2018-059.pdf</w:t>
        </w:r>
      </w:hyperlink>
      <w:r>
        <w:t xml:space="preserve">&gt;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0B728" w14:textId="5EFF742A" w:rsidR="00FE42E4" w:rsidRDefault="00FE42E4" w:rsidP="003A7104">
    <w:pPr>
      <w:pStyle w:val="Header"/>
      <w:jc w:val="right"/>
    </w:pPr>
    <w:r>
      <w:rPr>
        <w:rFonts w:cstheme="majorHAnsi"/>
        <w:noProof/>
        <w:lang w:eastAsia="en-AU"/>
      </w:rPr>
      <w:drawing>
        <wp:inline distT="0" distB="0" distL="0" distR="0" wp14:anchorId="691B1D85" wp14:editId="7D79D3DC">
          <wp:extent cx="1657350" cy="628876"/>
          <wp:effectExtent l="0" t="0" r="0" b="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d_lg_rgb_tl_dkgry.jpg"/>
                  <pic:cNvPicPr/>
                </pic:nvPicPr>
                <pic:blipFill>
                  <a:blip r:embed="rId1"/>
                  <a:stretch>
                    <a:fillRect/>
                  </a:stretch>
                </pic:blipFill>
                <pic:spPr>
                  <a:xfrm>
                    <a:off x="0" y="0"/>
                    <a:ext cx="1702284" cy="645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798A"/>
    <w:multiLevelType w:val="hybridMultilevel"/>
    <w:tmpl w:val="C358A18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367510"/>
    <w:multiLevelType w:val="hybridMultilevel"/>
    <w:tmpl w:val="835E0E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801514"/>
    <w:multiLevelType w:val="hybridMultilevel"/>
    <w:tmpl w:val="96222D04"/>
    <w:lvl w:ilvl="0" w:tplc="B92EB58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051F80"/>
    <w:multiLevelType w:val="hybridMultilevel"/>
    <w:tmpl w:val="5EA09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3B1D69"/>
    <w:multiLevelType w:val="hybridMultilevel"/>
    <w:tmpl w:val="4E4E5B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3B43E2"/>
    <w:multiLevelType w:val="hybridMultilevel"/>
    <w:tmpl w:val="E4A07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7D2BBB"/>
    <w:multiLevelType w:val="hybridMultilevel"/>
    <w:tmpl w:val="E0FE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9D29E8"/>
    <w:multiLevelType w:val="hybridMultilevel"/>
    <w:tmpl w:val="B73ACE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192195"/>
    <w:multiLevelType w:val="hybridMultilevel"/>
    <w:tmpl w:val="A28C7F8C"/>
    <w:lvl w:ilvl="0" w:tplc="59E6409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8235A7"/>
    <w:multiLevelType w:val="hybridMultilevel"/>
    <w:tmpl w:val="5AA01980"/>
    <w:lvl w:ilvl="0" w:tplc="83248DD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1A7CEE"/>
    <w:multiLevelType w:val="hybridMultilevel"/>
    <w:tmpl w:val="277AC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F53F28"/>
    <w:multiLevelType w:val="hybridMultilevel"/>
    <w:tmpl w:val="3580E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9B6631"/>
    <w:multiLevelType w:val="hybridMultilevel"/>
    <w:tmpl w:val="54329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07F06"/>
    <w:multiLevelType w:val="hybridMultilevel"/>
    <w:tmpl w:val="9718099A"/>
    <w:lvl w:ilvl="0" w:tplc="54D0155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735095"/>
    <w:multiLevelType w:val="hybridMultilevel"/>
    <w:tmpl w:val="56B4C43C"/>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5" w15:restartNumberingAfterBreak="0">
    <w:nsid w:val="66424537"/>
    <w:multiLevelType w:val="hybridMultilevel"/>
    <w:tmpl w:val="C358A18C"/>
    <w:lvl w:ilvl="0" w:tplc="0C09000F">
      <w:start w:val="1"/>
      <w:numFmt w:val="decimal"/>
      <w:lvlText w:val="%1."/>
      <w:lvlJc w:val="left"/>
      <w:pPr>
        <w:ind w:left="720" w:hanging="360"/>
      </w:pPr>
    </w:lvl>
    <w:lvl w:ilvl="1" w:tplc="0C090003">
      <w:numFmt w:val="decimal"/>
      <w:lvlText w:val="o"/>
      <w:lvlJc w:val="left"/>
      <w:pPr>
        <w:ind w:left="1440" w:hanging="360"/>
      </w:pPr>
      <w:rPr>
        <w:rFonts w:ascii="Courier New" w:hAnsi="Courier New" w:cs="Courier New" w:hint="default"/>
      </w:rPr>
    </w:lvl>
    <w:lvl w:ilvl="2" w:tplc="0C090005">
      <w:numFmt w:val="decimal"/>
      <w:lvlText w:val=""/>
      <w:lvlJc w:val="left"/>
      <w:pPr>
        <w:ind w:left="2160" w:hanging="360"/>
      </w:pPr>
      <w:rPr>
        <w:rFonts w:ascii="Wingdings" w:hAnsi="Wingdings" w:hint="default"/>
      </w:rPr>
    </w:lvl>
    <w:lvl w:ilvl="3" w:tplc="0C090001">
      <w:numFmt w:val="decimal"/>
      <w:lvlText w:val=""/>
      <w:lvlJc w:val="left"/>
      <w:pPr>
        <w:ind w:left="2880" w:hanging="360"/>
      </w:pPr>
      <w:rPr>
        <w:rFonts w:ascii="Symbol" w:hAnsi="Symbol" w:hint="default"/>
      </w:rPr>
    </w:lvl>
    <w:lvl w:ilvl="4" w:tplc="0C090003">
      <w:numFmt w:val="decimal"/>
      <w:lvlText w:val="o"/>
      <w:lvlJc w:val="left"/>
      <w:pPr>
        <w:ind w:left="3600" w:hanging="360"/>
      </w:pPr>
      <w:rPr>
        <w:rFonts w:ascii="Courier New" w:hAnsi="Courier New" w:cs="Courier New" w:hint="default"/>
      </w:rPr>
    </w:lvl>
    <w:lvl w:ilvl="5" w:tplc="0C090005">
      <w:numFmt w:val="decimal"/>
      <w:lvlText w:val=""/>
      <w:lvlJc w:val="left"/>
      <w:pPr>
        <w:ind w:left="4320" w:hanging="360"/>
      </w:pPr>
      <w:rPr>
        <w:rFonts w:ascii="Wingdings" w:hAnsi="Wingdings" w:hint="default"/>
      </w:rPr>
    </w:lvl>
    <w:lvl w:ilvl="6" w:tplc="0C090001">
      <w:numFmt w:val="decimal"/>
      <w:lvlText w:val=""/>
      <w:lvlJc w:val="left"/>
      <w:pPr>
        <w:ind w:left="5040" w:hanging="360"/>
      </w:pPr>
      <w:rPr>
        <w:rFonts w:ascii="Symbol" w:hAnsi="Symbol" w:hint="default"/>
      </w:rPr>
    </w:lvl>
    <w:lvl w:ilvl="7" w:tplc="0C090003">
      <w:numFmt w:val="decimal"/>
      <w:lvlText w:val="o"/>
      <w:lvlJc w:val="left"/>
      <w:pPr>
        <w:ind w:left="5760" w:hanging="360"/>
      </w:pPr>
      <w:rPr>
        <w:rFonts w:ascii="Courier New" w:hAnsi="Courier New" w:cs="Courier New" w:hint="default"/>
      </w:rPr>
    </w:lvl>
    <w:lvl w:ilvl="8" w:tplc="0C090005">
      <w:numFmt w:val="decimal"/>
      <w:lvlText w:val=""/>
      <w:lvlJc w:val="left"/>
      <w:pPr>
        <w:ind w:left="6480" w:hanging="360"/>
      </w:pPr>
      <w:rPr>
        <w:rFonts w:ascii="Wingdings" w:hAnsi="Wingdings" w:hint="default"/>
      </w:rPr>
    </w:lvl>
  </w:abstractNum>
  <w:abstractNum w:abstractNumId="16" w15:restartNumberingAfterBreak="0">
    <w:nsid w:val="67044F30"/>
    <w:multiLevelType w:val="hybridMultilevel"/>
    <w:tmpl w:val="C77C59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7962E64"/>
    <w:multiLevelType w:val="hybridMultilevel"/>
    <w:tmpl w:val="2BD4AE7E"/>
    <w:lvl w:ilvl="0" w:tplc="A7B2F87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050301"/>
    <w:multiLevelType w:val="hybridMultilevel"/>
    <w:tmpl w:val="BA943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E42E72"/>
    <w:multiLevelType w:val="hybridMultilevel"/>
    <w:tmpl w:val="52E22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9858EA"/>
    <w:multiLevelType w:val="hybridMultilevel"/>
    <w:tmpl w:val="BE322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370845"/>
    <w:multiLevelType w:val="hybridMultilevel"/>
    <w:tmpl w:val="DD1401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2"/>
  </w:num>
  <w:num w:numId="4">
    <w:abstractNumId w:val="20"/>
  </w:num>
  <w:num w:numId="5">
    <w:abstractNumId w:val="14"/>
  </w:num>
  <w:num w:numId="6">
    <w:abstractNumId w:val="18"/>
  </w:num>
  <w:num w:numId="7">
    <w:abstractNumId w:val="10"/>
  </w:num>
  <w:num w:numId="8">
    <w:abstractNumId w:val="4"/>
  </w:num>
  <w:num w:numId="9">
    <w:abstractNumId w:val="1"/>
  </w:num>
  <w:num w:numId="10">
    <w:abstractNumId w:val="11"/>
  </w:num>
  <w:num w:numId="11">
    <w:abstractNumId w:val="6"/>
  </w:num>
  <w:num w:numId="12">
    <w:abstractNumId w:val="5"/>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21"/>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 w:numId="19">
    <w:abstractNumId w:val="17"/>
  </w:num>
  <w:num w:numId="20">
    <w:abstractNumId w:val="13"/>
  </w:num>
  <w:num w:numId="21">
    <w:abstractNumId w:val="9"/>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D1"/>
    <w:rsid w:val="00002CB0"/>
    <w:rsid w:val="00005033"/>
    <w:rsid w:val="00025174"/>
    <w:rsid w:val="0002583A"/>
    <w:rsid w:val="00033DDD"/>
    <w:rsid w:val="00042FF3"/>
    <w:rsid w:val="000545D3"/>
    <w:rsid w:val="00060E0C"/>
    <w:rsid w:val="00082B3F"/>
    <w:rsid w:val="00083888"/>
    <w:rsid w:val="000839C2"/>
    <w:rsid w:val="000864EB"/>
    <w:rsid w:val="00091C45"/>
    <w:rsid w:val="000A311A"/>
    <w:rsid w:val="000C0A0A"/>
    <w:rsid w:val="000C5C29"/>
    <w:rsid w:val="000C66C2"/>
    <w:rsid w:val="000D1A05"/>
    <w:rsid w:val="000D29FA"/>
    <w:rsid w:val="000D4B2F"/>
    <w:rsid w:val="000F1180"/>
    <w:rsid w:val="000F4B07"/>
    <w:rsid w:val="001121F2"/>
    <w:rsid w:val="00116E25"/>
    <w:rsid w:val="00134E54"/>
    <w:rsid w:val="00135CD5"/>
    <w:rsid w:val="00162336"/>
    <w:rsid w:val="001827BF"/>
    <w:rsid w:val="0019196B"/>
    <w:rsid w:val="00192FEA"/>
    <w:rsid w:val="001A5F04"/>
    <w:rsid w:val="001A61AC"/>
    <w:rsid w:val="001B0259"/>
    <w:rsid w:val="001C016D"/>
    <w:rsid w:val="001C66D5"/>
    <w:rsid w:val="001E5AC5"/>
    <w:rsid w:val="001E5EBD"/>
    <w:rsid w:val="002134FD"/>
    <w:rsid w:val="0022015D"/>
    <w:rsid w:val="00222B8F"/>
    <w:rsid w:val="002421D6"/>
    <w:rsid w:val="00252933"/>
    <w:rsid w:val="0025464F"/>
    <w:rsid w:val="0026219E"/>
    <w:rsid w:val="002703E1"/>
    <w:rsid w:val="00282767"/>
    <w:rsid w:val="00284A6C"/>
    <w:rsid w:val="00287B08"/>
    <w:rsid w:val="00297AEC"/>
    <w:rsid w:val="002C27CA"/>
    <w:rsid w:val="002F49E5"/>
    <w:rsid w:val="0032003E"/>
    <w:rsid w:val="00325C10"/>
    <w:rsid w:val="00325D8F"/>
    <w:rsid w:val="00335647"/>
    <w:rsid w:val="003447D2"/>
    <w:rsid w:val="00345FEE"/>
    <w:rsid w:val="00347907"/>
    <w:rsid w:val="00351777"/>
    <w:rsid w:val="003735DF"/>
    <w:rsid w:val="00384D0C"/>
    <w:rsid w:val="00386AF5"/>
    <w:rsid w:val="00394F2B"/>
    <w:rsid w:val="003A7060"/>
    <w:rsid w:val="003A7104"/>
    <w:rsid w:val="003C22C7"/>
    <w:rsid w:val="003C3BFD"/>
    <w:rsid w:val="003D35C5"/>
    <w:rsid w:val="003E3A63"/>
    <w:rsid w:val="003F2BAF"/>
    <w:rsid w:val="00423C76"/>
    <w:rsid w:val="00447099"/>
    <w:rsid w:val="00451DFE"/>
    <w:rsid w:val="00453B16"/>
    <w:rsid w:val="004A527E"/>
    <w:rsid w:val="004B0152"/>
    <w:rsid w:val="004B75CD"/>
    <w:rsid w:val="004C07FA"/>
    <w:rsid w:val="004C1E6F"/>
    <w:rsid w:val="004C3A94"/>
    <w:rsid w:val="004D63E5"/>
    <w:rsid w:val="004E61FB"/>
    <w:rsid w:val="004E68EC"/>
    <w:rsid w:val="004E7264"/>
    <w:rsid w:val="00502438"/>
    <w:rsid w:val="00505C41"/>
    <w:rsid w:val="00514DB1"/>
    <w:rsid w:val="0052059F"/>
    <w:rsid w:val="0053220D"/>
    <w:rsid w:val="005344AE"/>
    <w:rsid w:val="005416C6"/>
    <w:rsid w:val="00541F8F"/>
    <w:rsid w:val="00571E3F"/>
    <w:rsid w:val="005772AD"/>
    <w:rsid w:val="00577357"/>
    <w:rsid w:val="00582281"/>
    <w:rsid w:val="00591A8F"/>
    <w:rsid w:val="00593287"/>
    <w:rsid w:val="005A0F7B"/>
    <w:rsid w:val="005A18C3"/>
    <w:rsid w:val="005B345F"/>
    <w:rsid w:val="005B436C"/>
    <w:rsid w:val="005B708A"/>
    <w:rsid w:val="005C4085"/>
    <w:rsid w:val="005C523C"/>
    <w:rsid w:val="005C5A7D"/>
    <w:rsid w:val="005D1813"/>
    <w:rsid w:val="005F580E"/>
    <w:rsid w:val="00613C30"/>
    <w:rsid w:val="0062056B"/>
    <w:rsid w:val="00646C16"/>
    <w:rsid w:val="006613C0"/>
    <w:rsid w:val="00686D65"/>
    <w:rsid w:val="00691C30"/>
    <w:rsid w:val="006C0FD6"/>
    <w:rsid w:val="006D0933"/>
    <w:rsid w:val="006D3D31"/>
    <w:rsid w:val="006D5F29"/>
    <w:rsid w:val="006D6229"/>
    <w:rsid w:val="006E6401"/>
    <w:rsid w:val="006E7560"/>
    <w:rsid w:val="006F2BE3"/>
    <w:rsid w:val="00710695"/>
    <w:rsid w:val="0071695A"/>
    <w:rsid w:val="00721089"/>
    <w:rsid w:val="007227FB"/>
    <w:rsid w:val="0073518F"/>
    <w:rsid w:val="00754446"/>
    <w:rsid w:val="00770079"/>
    <w:rsid w:val="007748DC"/>
    <w:rsid w:val="00775EB0"/>
    <w:rsid w:val="00784DB5"/>
    <w:rsid w:val="0078641D"/>
    <w:rsid w:val="007C3516"/>
    <w:rsid w:val="007D1D20"/>
    <w:rsid w:val="007E544F"/>
    <w:rsid w:val="00804EB6"/>
    <w:rsid w:val="00806244"/>
    <w:rsid w:val="008259FC"/>
    <w:rsid w:val="008638E6"/>
    <w:rsid w:val="00867008"/>
    <w:rsid w:val="00876BAE"/>
    <w:rsid w:val="00883087"/>
    <w:rsid w:val="00894FE3"/>
    <w:rsid w:val="008A13DA"/>
    <w:rsid w:val="008B3041"/>
    <w:rsid w:val="008B4F39"/>
    <w:rsid w:val="008C2607"/>
    <w:rsid w:val="008D0383"/>
    <w:rsid w:val="008D41D5"/>
    <w:rsid w:val="008E074F"/>
    <w:rsid w:val="008E0DF4"/>
    <w:rsid w:val="008E3DF3"/>
    <w:rsid w:val="008E42B1"/>
    <w:rsid w:val="00902FAD"/>
    <w:rsid w:val="0091789E"/>
    <w:rsid w:val="00936132"/>
    <w:rsid w:val="00940D66"/>
    <w:rsid w:val="00967B22"/>
    <w:rsid w:val="00983B6A"/>
    <w:rsid w:val="00993D32"/>
    <w:rsid w:val="009A1475"/>
    <w:rsid w:val="009B4443"/>
    <w:rsid w:val="009E42B5"/>
    <w:rsid w:val="009E5E7B"/>
    <w:rsid w:val="009F3E00"/>
    <w:rsid w:val="00A06D63"/>
    <w:rsid w:val="00A13F19"/>
    <w:rsid w:val="00A51031"/>
    <w:rsid w:val="00A525C9"/>
    <w:rsid w:val="00A54DEF"/>
    <w:rsid w:val="00A64E74"/>
    <w:rsid w:val="00A65021"/>
    <w:rsid w:val="00A73E6C"/>
    <w:rsid w:val="00AD04AE"/>
    <w:rsid w:val="00AD36CB"/>
    <w:rsid w:val="00AE0203"/>
    <w:rsid w:val="00AF0D6E"/>
    <w:rsid w:val="00B027E9"/>
    <w:rsid w:val="00B03535"/>
    <w:rsid w:val="00B05A26"/>
    <w:rsid w:val="00B12A47"/>
    <w:rsid w:val="00B15516"/>
    <w:rsid w:val="00B166AA"/>
    <w:rsid w:val="00B33A17"/>
    <w:rsid w:val="00B344AA"/>
    <w:rsid w:val="00B60DC9"/>
    <w:rsid w:val="00B638C4"/>
    <w:rsid w:val="00B716AD"/>
    <w:rsid w:val="00B71BB2"/>
    <w:rsid w:val="00B757B2"/>
    <w:rsid w:val="00B862A1"/>
    <w:rsid w:val="00B91C2E"/>
    <w:rsid w:val="00BA6A9A"/>
    <w:rsid w:val="00BA7D6B"/>
    <w:rsid w:val="00BB2E77"/>
    <w:rsid w:val="00BB774B"/>
    <w:rsid w:val="00BC254F"/>
    <w:rsid w:val="00BC76F8"/>
    <w:rsid w:val="00BE4368"/>
    <w:rsid w:val="00BF100B"/>
    <w:rsid w:val="00C136E3"/>
    <w:rsid w:val="00C145A8"/>
    <w:rsid w:val="00C15262"/>
    <w:rsid w:val="00C271E7"/>
    <w:rsid w:val="00C27F76"/>
    <w:rsid w:val="00C36894"/>
    <w:rsid w:val="00C61A4C"/>
    <w:rsid w:val="00C61F9F"/>
    <w:rsid w:val="00C63C07"/>
    <w:rsid w:val="00C770B4"/>
    <w:rsid w:val="00C87E98"/>
    <w:rsid w:val="00C945EF"/>
    <w:rsid w:val="00C96586"/>
    <w:rsid w:val="00CF4CD8"/>
    <w:rsid w:val="00CF66D9"/>
    <w:rsid w:val="00D22EC7"/>
    <w:rsid w:val="00D3300E"/>
    <w:rsid w:val="00D33F9F"/>
    <w:rsid w:val="00D374AA"/>
    <w:rsid w:val="00D540B9"/>
    <w:rsid w:val="00D543DF"/>
    <w:rsid w:val="00D671B8"/>
    <w:rsid w:val="00D728C2"/>
    <w:rsid w:val="00D72FE7"/>
    <w:rsid w:val="00D82683"/>
    <w:rsid w:val="00DA27A9"/>
    <w:rsid w:val="00DD642D"/>
    <w:rsid w:val="00DE3D15"/>
    <w:rsid w:val="00E01C8B"/>
    <w:rsid w:val="00E2160F"/>
    <w:rsid w:val="00E25217"/>
    <w:rsid w:val="00E252B9"/>
    <w:rsid w:val="00E42C77"/>
    <w:rsid w:val="00E45D4B"/>
    <w:rsid w:val="00E464C4"/>
    <w:rsid w:val="00E5560D"/>
    <w:rsid w:val="00E5722E"/>
    <w:rsid w:val="00E578C1"/>
    <w:rsid w:val="00E87800"/>
    <w:rsid w:val="00E87B4E"/>
    <w:rsid w:val="00E918D1"/>
    <w:rsid w:val="00E924CF"/>
    <w:rsid w:val="00EC725B"/>
    <w:rsid w:val="00EE164B"/>
    <w:rsid w:val="00EE307F"/>
    <w:rsid w:val="00EE3A23"/>
    <w:rsid w:val="00F34933"/>
    <w:rsid w:val="00F35A1C"/>
    <w:rsid w:val="00F65FD1"/>
    <w:rsid w:val="00F67B5E"/>
    <w:rsid w:val="00F7545E"/>
    <w:rsid w:val="00F85490"/>
    <w:rsid w:val="00F96894"/>
    <w:rsid w:val="00F96A21"/>
    <w:rsid w:val="00FA1819"/>
    <w:rsid w:val="00FA76FA"/>
    <w:rsid w:val="00FB071F"/>
    <w:rsid w:val="00FB1B2B"/>
    <w:rsid w:val="00FC259D"/>
    <w:rsid w:val="00FC6D64"/>
    <w:rsid w:val="00FC76B5"/>
    <w:rsid w:val="00FD146D"/>
    <w:rsid w:val="00FD6315"/>
    <w:rsid w:val="00FE42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8872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5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1D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8D1"/>
  </w:style>
  <w:style w:type="paragraph" w:styleId="Footer">
    <w:name w:val="footer"/>
    <w:basedOn w:val="Normal"/>
    <w:link w:val="FooterChar"/>
    <w:uiPriority w:val="99"/>
    <w:unhideWhenUsed/>
    <w:rsid w:val="00E91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8D1"/>
  </w:style>
  <w:style w:type="paragraph" w:styleId="ListParagraph">
    <w:name w:val="List Paragraph"/>
    <w:aliases w:val="Bullet List,FooterText,List Paragraph1,Colorful List Accent 1,Colorful List - Accent 11,Colorful List - Accent 111,Párrafo de lista,numbered,Bulletr List Paragraph,列出段落1,Listeafsnit1,Parágrafo da Lista1,List Paragraph2,List Paragraph21"/>
    <w:basedOn w:val="Normal"/>
    <w:link w:val="ListParagraphChar"/>
    <w:uiPriority w:val="34"/>
    <w:qFormat/>
    <w:rsid w:val="00E918D1"/>
    <w:pPr>
      <w:ind w:left="720"/>
      <w:contextualSpacing/>
    </w:pPr>
  </w:style>
  <w:style w:type="character" w:styleId="FootnoteReference">
    <w:name w:val="footnote reference"/>
    <w:basedOn w:val="DefaultParagraphFont"/>
    <w:uiPriority w:val="99"/>
    <w:semiHidden/>
    <w:unhideWhenUsed/>
    <w:rsid w:val="00C61F9F"/>
    <w:rPr>
      <w:vertAlign w:val="superscript"/>
    </w:rPr>
  </w:style>
  <w:style w:type="paragraph" w:styleId="FootnoteText">
    <w:name w:val="footnote text"/>
    <w:basedOn w:val="Normal"/>
    <w:link w:val="FootnoteTextChar1"/>
    <w:uiPriority w:val="99"/>
    <w:semiHidden/>
    <w:unhideWhenUsed/>
    <w:rsid w:val="00C61F9F"/>
    <w:pPr>
      <w:spacing w:after="0" w:line="240" w:lineRule="auto"/>
    </w:pPr>
    <w:rPr>
      <w:rFonts w:ascii="Calibri" w:eastAsiaTheme="minorEastAsia" w:hAnsi="Calibri"/>
      <w:sz w:val="20"/>
      <w:szCs w:val="20"/>
      <w:lang w:val="en-US"/>
    </w:rPr>
  </w:style>
  <w:style w:type="character" w:customStyle="1" w:styleId="FootnoteTextChar">
    <w:name w:val="Footnote Text Char"/>
    <w:basedOn w:val="DefaultParagraphFont"/>
    <w:uiPriority w:val="99"/>
    <w:semiHidden/>
    <w:rsid w:val="00C61F9F"/>
    <w:rPr>
      <w:sz w:val="20"/>
      <w:szCs w:val="20"/>
    </w:rPr>
  </w:style>
  <w:style w:type="character" w:customStyle="1" w:styleId="FootnoteTextChar1">
    <w:name w:val="Footnote Text Char1"/>
    <w:basedOn w:val="DefaultParagraphFont"/>
    <w:link w:val="FootnoteText"/>
    <w:uiPriority w:val="99"/>
    <w:semiHidden/>
    <w:rsid w:val="00C61F9F"/>
    <w:rPr>
      <w:rFonts w:ascii="Calibri" w:eastAsiaTheme="minorEastAsia" w:hAnsi="Calibri"/>
      <w:sz w:val="20"/>
      <w:szCs w:val="20"/>
      <w:lang w:val="en-US"/>
    </w:rPr>
  </w:style>
  <w:style w:type="character" w:customStyle="1" w:styleId="ListParagraphChar">
    <w:name w:val="List Paragraph Char"/>
    <w:aliases w:val="Bullet List Char,FooterText Char,List Paragraph1 Char,Colorful List Accent 1 Char,Colorful List - Accent 11 Char,Colorful List - Accent 111 Char,Párrafo de lista Char,numbered Char,Bulletr List Paragraph Char,列出段落1 Char"/>
    <w:basedOn w:val="DefaultParagraphFont"/>
    <w:link w:val="ListParagraph"/>
    <w:uiPriority w:val="34"/>
    <w:locked/>
    <w:rsid w:val="001827BF"/>
  </w:style>
  <w:style w:type="paragraph" w:styleId="Title">
    <w:name w:val="Title"/>
    <w:basedOn w:val="Normal"/>
    <w:next w:val="Normal"/>
    <w:link w:val="TitleChar"/>
    <w:uiPriority w:val="10"/>
    <w:qFormat/>
    <w:rsid w:val="004A52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527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527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A527E"/>
    <w:rPr>
      <w:color w:val="0563C1" w:themeColor="hyperlink"/>
      <w:u w:val="single"/>
    </w:rPr>
  </w:style>
  <w:style w:type="character" w:customStyle="1" w:styleId="UnresolvedMention1">
    <w:name w:val="Unresolved Mention1"/>
    <w:basedOn w:val="DefaultParagraphFont"/>
    <w:uiPriority w:val="99"/>
    <w:semiHidden/>
    <w:unhideWhenUsed/>
    <w:rsid w:val="004A527E"/>
    <w:rPr>
      <w:color w:val="605E5C"/>
      <w:shd w:val="clear" w:color="auto" w:fill="E1DFDD"/>
    </w:rPr>
  </w:style>
  <w:style w:type="character" w:styleId="FollowedHyperlink">
    <w:name w:val="FollowedHyperlink"/>
    <w:basedOn w:val="DefaultParagraphFont"/>
    <w:uiPriority w:val="99"/>
    <w:semiHidden/>
    <w:unhideWhenUsed/>
    <w:rsid w:val="004A527E"/>
    <w:rPr>
      <w:color w:val="954F72" w:themeColor="followedHyperlink"/>
      <w:u w:val="single"/>
    </w:rPr>
  </w:style>
  <w:style w:type="paragraph" w:styleId="BalloonText">
    <w:name w:val="Balloon Text"/>
    <w:basedOn w:val="Normal"/>
    <w:link w:val="BalloonTextChar"/>
    <w:uiPriority w:val="99"/>
    <w:semiHidden/>
    <w:unhideWhenUsed/>
    <w:rsid w:val="00335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47"/>
    <w:rPr>
      <w:rFonts w:ascii="Segoe UI" w:hAnsi="Segoe UI" w:cs="Segoe UI"/>
      <w:sz w:val="18"/>
      <w:szCs w:val="18"/>
    </w:rPr>
  </w:style>
  <w:style w:type="table" w:styleId="TableGrid">
    <w:name w:val="Table Grid"/>
    <w:basedOn w:val="TableNormal"/>
    <w:uiPriority w:val="39"/>
    <w:rsid w:val="00AD0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728C2"/>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451DF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C3A94"/>
    <w:rPr>
      <w:sz w:val="16"/>
      <w:szCs w:val="16"/>
    </w:rPr>
  </w:style>
  <w:style w:type="paragraph" w:styleId="CommentText">
    <w:name w:val="annotation text"/>
    <w:basedOn w:val="Normal"/>
    <w:link w:val="CommentTextChar"/>
    <w:uiPriority w:val="99"/>
    <w:semiHidden/>
    <w:unhideWhenUsed/>
    <w:rsid w:val="004C3A94"/>
    <w:pPr>
      <w:spacing w:line="240" w:lineRule="auto"/>
    </w:pPr>
    <w:rPr>
      <w:sz w:val="20"/>
      <w:szCs w:val="20"/>
    </w:rPr>
  </w:style>
  <w:style w:type="character" w:customStyle="1" w:styleId="CommentTextChar">
    <w:name w:val="Comment Text Char"/>
    <w:basedOn w:val="DefaultParagraphFont"/>
    <w:link w:val="CommentText"/>
    <w:uiPriority w:val="99"/>
    <w:semiHidden/>
    <w:rsid w:val="004C3A94"/>
    <w:rPr>
      <w:sz w:val="20"/>
      <w:szCs w:val="20"/>
    </w:rPr>
  </w:style>
  <w:style w:type="paragraph" w:styleId="CommentSubject">
    <w:name w:val="annotation subject"/>
    <w:basedOn w:val="CommentText"/>
    <w:next w:val="CommentText"/>
    <w:link w:val="CommentSubjectChar"/>
    <w:uiPriority w:val="99"/>
    <w:semiHidden/>
    <w:unhideWhenUsed/>
    <w:rsid w:val="004C3A94"/>
    <w:rPr>
      <w:b/>
      <w:bCs/>
    </w:rPr>
  </w:style>
  <w:style w:type="character" w:customStyle="1" w:styleId="CommentSubjectChar">
    <w:name w:val="Comment Subject Char"/>
    <w:basedOn w:val="CommentTextChar"/>
    <w:link w:val="CommentSubject"/>
    <w:uiPriority w:val="99"/>
    <w:semiHidden/>
    <w:rsid w:val="004C3A94"/>
    <w:rPr>
      <w:b/>
      <w:bCs/>
      <w:sz w:val="20"/>
      <w:szCs w:val="20"/>
    </w:rPr>
  </w:style>
  <w:style w:type="character" w:customStyle="1" w:styleId="normaltextrun">
    <w:name w:val="normaltextrun"/>
    <w:basedOn w:val="DefaultParagraphFont"/>
    <w:rsid w:val="001B0259"/>
  </w:style>
  <w:style w:type="character" w:customStyle="1" w:styleId="eop">
    <w:name w:val="eop"/>
    <w:basedOn w:val="DefaultParagraphFont"/>
    <w:rsid w:val="001B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5495">
      <w:bodyDiv w:val="1"/>
      <w:marLeft w:val="0"/>
      <w:marRight w:val="0"/>
      <w:marTop w:val="0"/>
      <w:marBottom w:val="0"/>
      <w:divBdr>
        <w:top w:val="none" w:sz="0" w:space="0" w:color="auto"/>
        <w:left w:val="none" w:sz="0" w:space="0" w:color="auto"/>
        <w:bottom w:val="none" w:sz="0" w:space="0" w:color="auto"/>
        <w:right w:val="none" w:sz="0" w:space="0" w:color="auto"/>
      </w:divBdr>
    </w:div>
    <w:div w:id="247733381">
      <w:bodyDiv w:val="1"/>
      <w:marLeft w:val="0"/>
      <w:marRight w:val="0"/>
      <w:marTop w:val="0"/>
      <w:marBottom w:val="0"/>
      <w:divBdr>
        <w:top w:val="none" w:sz="0" w:space="0" w:color="auto"/>
        <w:left w:val="none" w:sz="0" w:space="0" w:color="auto"/>
        <w:bottom w:val="none" w:sz="0" w:space="0" w:color="auto"/>
        <w:right w:val="none" w:sz="0" w:space="0" w:color="auto"/>
      </w:divBdr>
    </w:div>
    <w:div w:id="277831962">
      <w:bodyDiv w:val="1"/>
      <w:marLeft w:val="0"/>
      <w:marRight w:val="0"/>
      <w:marTop w:val="0"/>
      <w:marBottom w:val="0"/>
      <w:divBdr>
        <w:top w:val="none" w:sz="0" w:space="0" w:color="auto"/>
        <w:left w:val="none" w:sz="0" w:space="0" w:color="auto"/>
        <w:bottom w:val="none" w:sz="0" w:space="0" w:color="auto"/>
        <w:right w:val="none" w:sz="0" w:space="0" w:color="auto"/>
      </w:divBdr>
    </w:div>
    <w:div w:id="528418550">
      <w:bodyDiv w:val="1"/>
      <w:marLeft w:val="0"/>
      <w:marRight w:val="0"/>
      <w:marTop w:val="0"/>
      <w:marBottom w:val="0"/>
      <w:divBdr>
        <w:top w:val="none" w:sz="0" w:space="0" w:color="auto"/>
        <w:left w:val="none" w:sz="0" w:space="0" w:color="auto"/>
        <w:bottom w:val="none" w:sz="0" w:space="0" w:color="auto"/>
        <w:right w:val="none" w:sz="0" w:space="0" w:color="auto"/>
      </w:divBdr>
    </w:div>
    <w:div w:id="766929409">
      <w:bodyDiv w:val="1"/>
      <w:marLeft w:val="0"/>
      <w:marRight w:val="0"/>
      <w:marTop w:val="0"/>
      <w:marBottom w:val="0"/>
      <w:divBdr>
        <w:top w:val="none" w:sz="0" w:space="0" w:color="auto"/>
        <w:left w:val="none" w:sz="0" w:space="0" w:color="auto"/>
        <w:bottom w:val="none" w:sz="0" w:space="0" w:color="auto"/>
        <w:right w:val="none" w:sz="0" w:space="0" w:color="auto"/>
      </w:divBdr>
    </w:div>
    <w:div w:id="834295549">
      <w:bodyDiv w:val="1"/>
      <w:marLeft w:val="0"/>
      <w:marRight w:val="0"/>
      <w:marTop w:val="0"/>
      <w:marBottom w:val="0"/>
      <w:divBdr>
        <w:top w:val="none" w:sz="0" w:space="0" w:color="auto"/>
        <w:left w:val="none" w:sz="0" w:space="0" w:color="auto"/>
        <w:bottom w:val="none" w:sz="0" w:space="0" w:color="auto"/>
        <w:right w:val="none" w:sz="0" w:space="0" w:color="auto"/>
      </w:divBdr>
    </w:div>
    <w:div w:id="859200454">
      <w:bodyDiv w:val="1"/>
      <w:marLeft w:val="0"/>
      <w:marRight w:val="0"/>
      <w:marTop w:val="0"/>
      <w:marBottom w:val="0"/>
      <w:divBdr>
        <w:top w:val="none" w:sz="0" w:space="0" w:color="auto"/>
        <w:left w:val="none" w:sz="0" w:space="0" w:color="auto"/>
        <w:bottom w:val="none" w:sz="0" w:space="0" w:color="auto"/>
        <w:right w:val="none" w:sz="0" w:space="0" w:color="auto"/>
      </w:divBdr>
    </w:div>
    <w:div w:id="976490039">
      <w:bodyDiv w:val="1"/>
      <w:marLeft w:val="0"/>
      <w:marRight w:val="0"/>
      <w:marTop w:val="0"/>
      <w:marBottom w:val="0"/>
      <w:divBdr>
        <w:top w:val="none" w:sz="0" w:space="0" w:color="auto"/>
        <w:left w:val="none" w:sz="0" w:space="0" w:color="auto"/>
        <w:bottom w:val="none" w:sz="0" w:space="0" w:color="auto"/>
        <w:right w:val="none" w:sz="0" w:space="0" w:color="auto"/>
      </w:divBdr>
    </w:div>
    <w:div w:id="1016346528">
      <w:bodyDiv w:val="1"/>
      <w:marLeft w:val="0"/>
      <w:marRight w:val="0"/>
      <w:marTop w:val="0"/>
      <w:marBottom w:val="0"/>
      <w:divBdr>
        <w:top w:val="none" w:sz="0" w:space="0" w:color="auto"/>
        <w:left w:val="none" w:sz="0" w:space="0" w:color="auto"/>
        <w:bottom w:val="none" w:sz="0" w:space="0" w:color="auto"/>
        <w:right w:val="none" w:sz="0" w:space="0" w:color="auto"/>
      </w:divBdr>
    </w:div>
    <w:div w:id="1038895678">
      <w:bodyDiv w:val="1"/>
      <w:marLeft w:val="0"/>
      <w:marRight w:val="0"/>
      <w:marTop w:val="0"/>
      <w:marBottom w:val="0"/>
      <w:divBdr>
        <w:top w:val="none" w:sz="0" w:space="0" w:color="auto"/>
        <w:left w:val="none" w:sz="0" w:space="0" w:color="auto"/>
        <w:bottom w:val="none" w:sz="0" w:space="0" w:color="auto"/>
        <w:right w:val="none" w:sz="0" w:space="0" w:color="auto"/>
      </w:divBdr>
    </w:div>
    <w:div w:id="1101414976">
      <w:bodyDiv w:val="1"/>
      <w:marLeft w:val="0"/>
      <w:marRight w:val="0"/>
      <w:marTop w:val="0"/>
      <w:marBottom w:val="0"/>
      <w:divBdr>
        <w:top w:val="none" w:sz="0" w:space="0" w:color="auto"/>
        <w:left w:val="none" w:sz="0" w:space="0" w:color="auto"/>
        <w:bottom w:val="none" w:sz="0" w:space="0" w:color="auto"/>
        <w:right w:val="none" w:sz="0" w:space="0" w:color="auto"/>
      </w:divBdr>
    </w:div>
    <w:div w:id="1279996223">
      <w:bodyDiv w:val="1"/>
      <w:marLeft w:val="0"/>
      <w:marRight w:val="0"/>
      <w:marTop w:val="0"/>
      <w:marBottom w:val="0"/>
      <w:divBdr>
        <w:top w:val="none" w:sz="0" w:space="0" w:color="auto"/>
        <w:left w:val="none" w:sz="0" w:space="0" w:color="auto"/>
        <w:bottom w:val="none" w:sz="0" w:space="0" w:color="auto"/>
        <w:right w:val="none" w:sz="0" w:space="0" w:color="auto"/>
      </w:divBdr>
    </w:div>
    <w:div w:id="1558203481">
      <w:bodyDiv w:val="1"/>
      <w:marLeft w:val="0"/>
      <w:marRight w:val="0"/>
      <w:marTop w:val="0"/>
      <w:marBottom w:val="0"/>
      <w:divBdr>
        <w:top w:val="none" w:sz="0" w:space="0" w:color="auto"/>
        <w:left w:val="none" w:sz="0" w:space="0" w:color="auto"/>
        <w:bottom w:val="none" w:sz="0" w:space="0" w:color="auto"/>
        <w:right w:val="none" w:sz="0" w:space="0" w:color="auto"/>
      </w:divBdr>
    </w:div>
    <w:div w:id="20528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cdc.gov/drugresistance/biggest-threats.html" TargetMode="External"/><Relationship Id="rId26" Type="http://schemas.openxmlformats.org/officeDocument/2006/relationships/hyperlink" Target="https://www.ema.europa.eu/en/medicines/human/EPAR/sivextro"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mr.solutions/2020/09/07/new-antibiotics-are-not-being-registered-or-sold-in-europe-in-a-timely-manner/" TargetMode="External"/><Relationship Id="rId34" Type="http://schemas.openxmlformats.org/officeDocument/2006/relationships/hyperlink" Target="https://www.ema.europa.eu/en/medicines/human/withdrawn-applications/nuzyra"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anne-maree.englund@merck.com" TargetMode="External"/><Relationship Id="rId25" Type="http://schemas.openxmlformats.org/officeDocument/2006/relationships/hyperlink" Target="https://www.ema.europa.eu/en/medicines/human/EPAR/orbactiv" TargetMode="External"/><Relationship Id="rId33" Type="http://schemas.openxmlformats.org/officeDocument/2006/relationships/hyperlink" Target="https://www.ema.europa.eu/en/medicines/human/EPAR/xerava"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d-australia.com.au/" TargetMode="External"/><Relationship Id="rId20" Type="http://schemas.openxmlformats.org/officeDocument/2006/relationships/hyperlink" Target="https://www.who.int/medicines/publications/WHO-PPL-Short_Summary_25Feb-ET_NM_WHO.pdf" TargetMode="External"/><Relationship Id="rId29" Type="http://schemas.openxmlformats.org/officeDocument/2006/relationships/hyperlink" Target="https://www.ema.europa.eu/en/medicines/human/EPAR/zaviceft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ema.europa.eu/en/medicines/human/EPAR/xydalba" TargetMode="External"/><Relationship Id="rId32" Type="http://schemas.openxmlformats.org/officeDocument/2006/relationships/hyperlink" Target="https://www.ema.europa.eu/en/medicines/human/withdrawn-applications/zemdri" TargetMode="External"/><Relationship Id="rId37" Type="http://schemas.openxmlformats.org/officeDocument/2006/relationships/hyperlink" Target="https://www.ema.europa.eu/en/medicines/human/EPAR/recarbrio" TargetMode="External"/><Relationship Id="rId40"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ema.europa.eu/en/medicines/human/EPAR/sirturo" TargetMode="External"/><Relationship Id="rId28" Type="http://schemas.openxmlformats.org/officeDocument/2006/relationships/hyperlink" Target="https://www.ema.europa.eu/en/medicines/human/EPAR/zerbaxa" TargetMode="External"/><Relationship Id="rId36" Type="http://schemas.openxmlformats.org/officeDocument/2006/relationships/hyperlink" Target="https://www.ema.europa.eu/en/medicines/human/EPAR/fetcroja" TargetMode="External"/><Relationship Id="rId10" Type="http://schemas.openxmlformats.org/officeDocument/2006/relationships/styles" Target="styles.xml"/><Relationship Id="rId19" Type="http://schemas.openxmlformats.org/officeDocument/2006/relationships/hyperlink" Target="https://www.cdc.gov/drugresistance/pdf/threats-report/2019-ar-threats-report-508.pdf" TargetMode="External"/><Relationship Id="rId31" Type="http://schemas.openxmlformats.org/officeDocument/2006/relationships/hyperlink" Target="https://www.ema.europa.eu/en/medicines/human/EPAR/vabore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ema.europa.eu/en/medicines/human/EPAR/dificlir" TargetMode="External"/><Relationship Id="rId27" Type="http://schemas.openxmlformats.org/officeDocument/2006/relationships/hyperlink" Target="https://www.ema.europa.eu/en/medicines/human/EPAR/deltyba" TargetMode="External"/><Relationship Id="rId30" Type="http://schemas.openxmlformats.org/officeDocument/2006/relationships/hyperlink" Target="https://www.ema.europa.eu/en/medicines/human/EPAR/quofenix" TargetMode="External"/><Relationship Id="rId35" Type="http://schemas.openxmlformats.org/officeDocument/2006/relationships/hyperlink" Target="https://www.ema.europa.eu/en/medicines/human/EPAR/pretomanid-fg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olkhalsomyndigheten.se/the-public-health-agency-of-sweden/communicable-disease-control/antibiotics-and-antimicrobial-resistance/availability-of-antibiotics/" TargetMode="External"/><Relationship Id="rId2" Type="http://schemas.openxmlformats.org/officeDocument/2006/relationships/hyperlink" Target="https://www.gov.uk/government/news/world-first-scheme-underway-to-tackle-amr-and-protect-uk-patients" TargetMode="External"/><Relationship Id="rId1" Type="http://schemas.openxmlformats.org/officeDocument/2006/relationships/hyperlink" Target="https://www.ecdc.europa.eu/sites/portal/files/media/en/publications/Publications/0909_TER_The_Bacterial_Challenge_Time_to_React.pdf" TargetMode="External"/><Relationship Id="rId5" Type="http://schemas.openxmlformats.org/officeDocument/2006/relationships/hyperlink" Target="http://www.eepru.org.uk/wp-content/uploads/2017/11/eepru-report-amr-oct-2018-059.pdf" TargetMode="External"/><Relationship Id="rId4" Type="http://schemas.openxmlformats.org/officeDocument/2006/relationships/hyperlink" Target="https://www.who.int/medicines/publications/global-priority-list-antibiotic-resistant-bacteri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sl xmlns:xsd="http://www.w3.org/2001/XMLSchema" xmlns:xsi="http://www.w3.org/2001/XMLSchema-instance" xmlns="http://www.boldonjames.com/2008/01/sie/internal/label" sislVersion="0" policy="a10f9ac0-5937-4b4f-b459-96aedd9ed2c5" origin="userSelected">
  <element uid="9920fcc9-9f43-4d43-9e3e-b98a219cfd55" value=""/>
</sisl>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2021FG-108-10254</_dlc_DocId>
    <_dlc_DocIdUrl xmlns="0f563589-9cf9-4143-b1eb-fb0534803d38">
      <Url>http://tweb/sites/fg/bpd/_layouts/15/DocIdRedir.aspx?ID=2021FG-108-10254</Url>
      <Description>2021FG-108-10254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0B6B4-C51A-4668-9235-CF1F75D8C1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02F2D4D-7D8B-4923-80F5-FF2C6501BE8F}">
  <ds:schemaRefs>
    <ds:schemaRef ds:uri="office.server.policy"/>
  </ds:schemaRefs>
</ds:datastoreItem>
</file>

<file path=customXml/itemProps3.xml><?xml version="1.0" encoding="utf-8"?>
<ds:datastoreItem xmlns:ds="http://schemas.openxmlformats.org/officeDocument/2006/customXml" ds:itemID="{A97EEC86-1F67-44CC-B6F5-E29DB5543D45}">
  <ds:schemaRefs>
    <ds:schemaRef ds:uri="http://schemas.microsoft.com/sharepoint/v3/contenttype/forms"/>
  </ds:schemaRefs>
</ds:datastoreItem>
</file>

<file path=customXml/itemProps4.xml><?xml version="1.0" encoding="utf-8"?>
<ds:datastoreItem xmlns:ds="http://schemas.openxmlformats.org/officeDocument/2006/customXml" ds:itemID="{E5F1F059-5A33-46DF-B075-3987FDB34DAF}">
  <ds:schemaRefs>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2DC1A7C-0E90-42D9-9907-E2B984AAB0CA}">
  <ds:schemaRefs>
    <ds:schemaRef ds:uri="http://schemas.microsoft.com/sharepoint/events"/>
  </ds:schemaRefs>
</ds:datastoreItem>
</file>

<file path=customXml/itemProps6.xml><?xml version="1.0" encoding="utf-8"?>
<ds:datastoreItem xmlns:ds="http://schemas.openxmlformats.org/officeDocument/2006/customXml" ds:itemID="{CFCA4C11-4FBE-417F-96E7-BB754136A893}">
  <ds:schemaRefs>
    <ds:schemaRef ds:uri="Microsoft.SharePoint.Taxonomy.ContentTypeSync"/>
  </ds:schemaRefs>
</ds:datastoreItem>
</file>

<file path=customXml/itemProps7.xml><?xml version="1.0" encoding="utf-8"?>
<ds:datastoreItem xmlns:ds="http://schemas.openxmlformats.org/officeDocument/2006/customXml" ds:itemID="{12768A53-2930-40CF-83D1-C5770F1AF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344B773-DA03-4FB9-834B-62475054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2853</Words>
  <Characters>16871</Characters>
  <Application>Microsoft Office Word</Application>
  <DocSecurity>0</DocSecurity>
  <Lines>369</Lines>
  <Paragraphs>229</Paragraphs>
  <ScaleCrop>false</ScaleCrop>
  <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Merck Sharp and Dohme (MSD) - 2021-22 Pre-Budget Submissions</dc:title>
  <dc:subject/>
  <dc:creator/>
  <cp:keywords/>
  <dc:description/>
  <cp:lastModifiedBy/>
  <cp:revision>1</cp:revision>
  <dcterms:created xsi:type="dcterms:W3CDTF">2021-05-06T00:45:00Z</dcterms:created>
  <dcterms:modified xsi:type="dcterms:W3CDTF">2021-05-06T00:45:00Z</dcterms:modified>
  <dc:language>English</dc:language>
</cp:coreProperties>
</file>