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D7F44" w14:textId="77777777" w:rsidR="00780DDF" w:rsidRDefault="00780DDF" w:rsidP="00780DDF"/>
    <w:p w14:paraId="7EA82825" w14:textId="77777777" w:rsidR="00B35870" w:rsidRDefault="00B35870" w:rsidP="00780DDF"/>
    <w:p w14:paraId="50A640EB" w14:textId="45B5FBF6" w:rsidR="005D2099" w:rsidRPr="00776815" w:rsidRDefault="00776815" w:rsidP="005D209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Budget submission:</w:t>
      </w:r>
      <w:r w:rsidR="005D2099" w:rsidRPr="005D2099">
        <w:rPr>
          <w:b/>
          <w:bCs/>
          <w:sz w:val="32"/>
          <w:szCs w:val="32"/>
        </w:rPr>
        <w:t xml:space="preserve"> tobacco </w:t>
      </w:r>
      <w:r>
        <w:rPr>
          <w:b/>
          <w:bCs/>
          <w:sz w:val="32"/>
          <w:szCs w:val="32"/>
        </w:rPr>
        <w:t>excise</w:t>
      </w:r>
    </w:p>
    <w:p w14:paraId="2AAD59EC" w14:textId="77777777" w:rsidR="005D2099" w:rsidRDefault="005D2099" w:rsidP="005D2099">
      <w:pPr>
        <w:rPr>
          <w:b/>
          <w:bCs/>
          <w:sz w:val="28"/>
          <w:szCs w:val="28"/>
        </w:rPr>
      </w:pPr>
    </w:p>
    <w:p w14:paraId="25AC5B10" w14:textId="77777777" w:rsidR="00776815" w:rsidRDefault="00776815" w:rsidP="005D2099">
      <w:pPr>
        <w:rPr>
          <w:b/>
          <w:bCs/>
          <w:sz w:val="28"/>
          <w:szCs w:val="28"/>
        </w:rPr>
      </w:pPr>
    </w:p>
    <w:p w14:paraId="47E1420B" w14:textId="48815BD2" w:rsidR="005D2099" w:rsidRDefault="005D2099" w:rsidP="005D2099">
      <w:pPr>
        <w:rPr>
          <w:b/>
          <w:bCs/>
          <w:sz w:val="28"/>
          <w:szCs w:val="28"/>
        </w:rPr>
      </w:pPr>
      <w:r w:rsidRPr="005D2099">
        <w:rPr>
          <w:b/>
          <w:bCs/>
          <w:sz w:val="28"/>
          <w:szCs w:val="28"/>
        </w:rPr>
        <w:t>Key message</w:t>
      </w:r>
    </w:p>
    <w:p w14:paraId="44B451C1" w14:textId="54B13D11" w:rsidR="00776815" w:rsidRDefault="00776815" w:rsidP="005D2099">
      <w:pPr>
        <w:rPr>
          <w:b/>
          <w:bCs/>
          <w:sz w:val="28"/>
          <w:szCs w:val="28"/>
        </w:rPr>
      </w:pPr>
    </w:p>
    <w:p w14:paraId="16C189B2" w14:textId="2F723CB1" w:rsidR="00776815" w:rsidRPr="00776815" w:rsidRDefault="00776815" w:rsidP="00776815">
      <w:pPr>
        <w:rPr>
          <w:b/>
          <w:bCs/>
        </w:rPr>
      </w:pPr>
      <w:r w:rsidRPr="00776815">
        <w:rPr>
          <w:b/>
          <w:bCs/>
        </w:rPr>
        <w:t xml:space="preserve">The Australian Tax Office </w:t>
      </w:r>
      <w:r w:rsidR="00014ED0">
        <w:rPr>
          <w:b/>
          <w:bCs/>
        </w:rPr>
        <w:t>sh</w:t>
      </w:r>
      <w:r w:rsidRPr="00776815">
        <w:rPr>
          <w:b/>
          <w:bCs/>
        </w:rPr>
        <w:t xml:space="preserve">ould further review the relatively lower taxation of loose tobacco to more closely reflect the weight of tobacco </w:t>
      </w:r>
      <w:r w:rsidR="00DC10B5">
        <w:rPr>
          <w:b/>
          <w:bCs/>
        </w:rPr>
        <w:t xml:space="preserve">typically used </w:t>
      </w:r>
      <w:r w:rsidRPr="00776815">
        <w:rPr>
          <w:b/>
          <w:bCs/>
        </w:rPr>
        <w:t xml:space="preserve">in roll-your-own </w:t>
      </w:r>
      <w:r w:rsidR="00014ED0">
        <w:rPr>
          <w:b/>
          <w:bCs/>
        </w:rPr>
        <w:t xml:space="preserve">(RYO) </w:t>
      </w:r>
      <w:r w:rsidRPr="00776815">
        <w:rPr>
          <w:b/>
          <w:bCs/>
        </w:rPr>
        <w:t>cigarettes</w:t>
      </w:r>
      <w:r w:rsidR="00DC10B5">
        <w:rPr>
          <w:b/>
          <w:bCs/>
        </w:rPr>
        <w:t>. This would</w:t>
      </w:r>
      <w:r w:rsidRPr="00776815">
        <w:rPr>
          <w:b/>
          <w:bCs/>
        </w:rPr>
        <w:t xml:space="preserve"> prevent smokers and the tobacco industry using </w:t>
      </w:r>
      <w:r w:rsidR="00014ED0">
        <w:rPr>
          <w:b/>
          <w:bCs/>
        </w:rPr>
        <w:t>RYO</w:t>
      </w:r>
      <w:r w:rsidRPr="00776815">
        <w:rPr>
          <w:b/>
          <w:bCs/>
        </w:rPr>
        <w:t xml:space="preserve"> tobacco to undermine the impact of tobacco price rises on reducing smoking and improving health.</w:t>
      </w:r>
    </w:p>
    <w:p w14:paraId="2E809ADB" w14:textId="19CC25BE" w:rsidR="00776815" w:rsidRDefault="00776815" w:rsidP="005D2099">
      <w:pPr>
        <w:rPr>
          <w:b/>
          <w:bCs/>
          <w:sz w:val="28"/>
          <w:szCs w:val="28"/>
        </w:rPr>
      </w:pPr>
    </w:p>
    <w:p w14:paraId="6639ABA3" w14:textId="77777777" w:rsidR="00776815" w:rsidRDefault="00776815" w:rsidP="00776815"/>
    <w:p w14:paraId="3436148D" w14:textId="77777777" w:rsidR="00404C4B" w:rsidRPr="00404C4B" w:rsidRDefault="00404C4B" w:rsidP="00776815">
      <w:pPr>
        <w:rPr>
          <w:i/>
          <w:iCs/>
        </w:rPr>
      </w:pPr>
      <w:r w:rsidRPr="00404C4B">
        <w:rPr>
          <w:i/>
          <w:iCs/>
        </w:rPr>
        <w:t>Our new research</w:t>
      </w:r>
    </w:p>
    <w:p w14:paraId="5941F637" w14:textId="77777777" w:rsidR="00404C4B" w:rsidRDefault="00404C4B" w:rsidP="00776815"/>
    <w:p w14:paraId="6B7BEAB1" w14:textId="3F3A0DF7" w:rsidR="00776815" w:rsidRPr="00FC1F7A" w:rsidRDefault="00776815" w:rsidP="00776815">
      <w:r>
        <w:t xml:space="preserve">This submission is based on research which </w:t>
      </w:r>
      <w:r w:rsidR="004D4738">
        <w:t>was</w:t>
      </w:r>
      <w:r>
        <w:t xml:space="preserve"> published in the international medical journal </w:t>
      </w:r>
      <w:r w:rsidRPr="005D2099">
        <w:rPr>
          <w:i/>
          <w:iCs/>
        </w:rPr>
        <w:t>Tobacco Control</w:t>
      </w:r>
      <w:r w:rsidR="004D4738">
        <w:t xml:space="preserve"> on 23 September.</w:t>
      </w:r>
      <w:r>
        <w:t xml:space="preserve">  A copy of the manuscript is attached.</w:t>
      </w:r>
    </w:p>
    <w:p w14:paraId="0BE76E5B" w14:textId="77777777" w:rsidR="00776815" w:rsidRPr="00FC1F7A" w:rsidRDefault="00776815" w:rsidP="00776815"/>
    <w:p w14:paraId="27AF8394" w14:textId="7273CC0F" w:rsidR="005D2099" w:rsidRDefault="005D2099" w:rsidP="005D2099">
      <w:r w:rsidRPr="00776815">
        <w:t xml:space="preserve">For the first time, our research has shown evidence </w:t>
      </w:r>
      <w:r w:rsidR="00CD75F8" w:rsidRPr="00776815">
        <w:t>that</w:t>
      </w:r>
      <w:r w:rsidRPr="00776815">
        <w:t xml:space="preserve"> price rises from tobacco tax rises lead to immediate fall</w:t>
      </w:r>
      <w:r w:rsidR="00CD75F8" w:rsidRPr="00776815">
        <w:t>s</w:t>
      </w:r>
      <w:r w:rsidRPr="00776815">
        <w:t xml:space="preserve"> in tobacco sales in remote Aboriginal communities</w:t>
      </w:r>
      <w:r w:rsidR="00404C4B">
        <w:t>, where smoking prevalence is high and has not improved</w:t>
      </w:r>
      <w:r w:rsidRPr="00776815">
        <w:t xml:space="preserve">.  </w:t>
      </w:r>
    </w:p>
    <w:p w14:paraId="5F6842D9" w14:textId="3DD97226" w:rsidR="00136210" w:rsidRDefault="00136210" w:rsidP="005D2099"/>
    <w:p w14:paraId="55CACABF" w14:textId="7F6244B4" w:rsidR="00136210" w:rsidRDefault="00136210" w:rsidP="00136210">
      <w:r>
        <w:t xml:space="preserve">The falls in tobacco sold were mainly driven by declines in the most expensive form of tobacco, premium and mainstream brands of </w:t>
      </w:r>
      <w:r w:rsidR="00014ED0">
        <w:t>manufactured</w:t>
      </w:r>
      <w:r>
        <w:t xml:space="preserve"> cigarettes, which were partially offset by increases </w:t>
      </w:r>
      <w:r w:rsidR="004D4738">
        <w:t xml:space="preserve">in sales </w:t>
      </w:r>
      <w:r>
        <w:t xml:space="preserve">of the cheapest form of tobacco, loose </w:t>
      </w:r>
      <w:r w:rsidR="00014ED0">
        <w:t>RYO</w:t>
      </w:r>
      <w:r>
        <w:t xml:space="preserve"> tobacco.  </w:t>
      </w:r>
    </w:p>
    <w:p w14:paraId="59FCE42F" w14:textId="77777777" w:rsidR="00136210" w:rsidRPr="00776815" w:rsidRDefault="00136210" w:rsidP="005D2099"/>
    <w:p w14:paraId="0689E19F" w14:textId="77777777" w:rsidR="005D2099" w:rsidRDefault="005D2099" w:rsidP="005D2099">
      <w:pPr>
        <w:rPr>
          <w:i/>
          <w:iCs/>
        </w:rPr>
      </w:pPr>
    </w:p>
    <w:p w14:paraId="1357879B" w14:textId="080E0AC4" w:rsidR="005D2099" w:rsidRDefault="00404C4B" w:rsidP="005D2099">
      <w:pPr>
        <w:rPr>
          <w:i/>
          <w:iCs/>
        </w:rPr>
      </w:pPr>
      <w:r>
        <w:rPr>
          <w:i/>
          <w:iCs/>
        </w:rPr>
        <w:t>Tobacco taxation in Australia</w:t>
      </w:r>
    </w:p>
    <w:p w14:paraId="1DBFC850" w14:textId="617466FF" w:rsidR="00404C4B" w:rsidRDefault="00404C4B" w:rsidP="005D2099">
      <w:pPr>
        <w:rPr>
          <w:i/>
          <w:iCs/>
        </w:rPr>
      </w:pPr>
    </w:p>
    <w:p w14:paraId="1A3FFAF8" w14:textId="7503CE35" w:rsidR="00404C4B" w:rsidRDefault="00DC10B5" w:rsidP="005D2099">
      <w:r>
        <w:t xml:space="preserve"> </w:t>
      </w:r>
      <w:r w:rsidR="00404C4B" w:rsidRPr="00404C4B">
        <w:t xml:space="preserve">Australia has both specific (per-unit) tobacco excise duty and an </w:t>
      </w:r>
      <w:r w:rsidR="00404C4B" w:rsidRPr="00404C4B">
        <w:rPr>
          <w:i/>
          <w:iCs/>
        </w:rPr>
        <w:t>ad valorem</w:t>
      </w:r>
      <w:r w:rsidR="00404C4B" w:rsidRPr="00404C4B">
        <w:t xml:space="preserve"> (value-based) goods and services tax (GST) which applies to tobacco products.  Excise duty increased by 25% on 30 April 2010. Four annual 12.5% tobacco excise duty increases were announced in 2013, with the first on 1 December 2013 and the rest on 1 September each subsequent year. These annual increases were continued for another four years until 1 September 2020.</w:t>
      </w:r>
      <w:r w:rsidR="00404C4B">
        <w:t xml:space="preserve">  </w:t>
      </w:r>
      <w:r w:rsidR="00404C4B" w:rsidRPr="00404C4B">
        <w:t xml:space="preserve">The tobacco excise duty is also indexed every six months </w:t>
      </w:r>
      <w:r w:rsidR="00404C4B">
        <w:t xml:space="preserve">based on Average Weekly Ordinary </w:t>
      </w:r>
      <w:r w:rsidR="004D4738">
        <w:t>T</w:t>
      </w:r>
      <w:r w:rsidR="00404C4B">
        <w:t xml:space="preserve">ime </w:t>
      </w:r>
      <w:r w:rsidR="004D4738">
        <w:t>E</w:t>
      </w:r>
      <w:r w:rsidR="00404C4B">
        <w:t xml:space="preserve">arnings </w:t>
      </w:r>
      <w:r w:rsidR="00404C4B" w:rsidRPr="00404C4B">
        <w:t>to ensure tobacco does not become more affordable</w:t>
      </w:r>
      <w:r w:rsidR="004D4738">
        <w:t>.</w:t>
      </w:r>
    </w:p>
    <w:p w14:paraId="4505B5BB" w14:textId="77777777" w:rsidR="00404C4B" w:rsidRDefault="00404C4B" w:rsidP="005D2099"/>
    <w:p w14:paraId="7DFFF4AD" w14:textId="622F04A0" w:rsidR="00404C4B" w:rsidRDefault="00404C4B" w:rsidP="005D2099">
      <w:r w:rsidRPr="00404C4B">
        <w:t xml:space="preserve">In 2016, duty per kilogram of RYO tobacco was </w:t>
      </w:r>
      <w:r w:rsidR="00014ED0">
        <w:t xml:space="preserve">only </w:t>
      </w:r>
      <w:r w:rsidRPr="00404C4B">
        <w:t xml:space="preserve">equivalent to </w:t>
      </w:r>
      <w:r w:rsidR="00014ED0">
        <w:t>manufactured cigarettes</w:t>
      </w:r>
      <w:r w:rsidRPr="00404C4B">
        <w:t xml:space="preserve"> </w:t>
      </w:r>
      <w:r w:rsidR="00014ED0">
        <w:t xml:space="preserve">if it was </w:t>
      </w:r>
      <w:r w:rsidRPr="00404C4B">
        <w:t>assum</w:t>
      </w:r>
      <w:r w:rsidR="00014ED0">
        <w:t>ed</w:t>
      </w:r>
      <w:r w:rsidRPr="00404C4B">
        <w:t xml:space="preserve"> 0.8g of </w:t>
      </w:r>
      <w:r w:rsidR="00014ED0">
        <w:t xml:space="preserve">tobacco </w:t>
      </w:r>
      <w:r w:rsidRPr="00404C4B">
        <w:t xml:space="preserve">was used in each </w:t>
      </w:r>
      <w:r w:rsidR="00014ED0">
        <w:t xml:space="preserve">RYO </w:t>
      </w:r>
      <w:r w:rsidRPr="00404C4B">
        <w:t>cigarette.  This changed incrementally on 1 September each year until it bec</w:t>
      </w:r>
      <w:r w:rsidR="004D4738">
        <w:t>a</w:t>
      </w:r>
      <w:r w:rsidRPr="00404C4B">
        <w:t>me 0.7g in 2020.</w:t>
      </w:r>
    </w:p>
    <w:p w14:paraId="2E0BAD9C" w14:textId="40ABC0A2" w:rsidR="00404C4B" w:rsidRDefault="00404C4B" w:rsidP="005D2099"/>
    <w:p w14:paraId="1809EF28" w14:textId="50287F03" w:rsidR="004B5334" w:rsidRDefault="004B5334" w:rsidP="005D2099"/>
    <w:p w14:paraId="3C9D79BF" w14:textId="77777777" w:rsidR="004B5334" w:rsidRDefault="004B5334" w:rsidP="005D2099"/>
    <w:p w14:paraId="37D99F5E" w14:textId="77777777" w:rsidR="004D4738" w:rsidRDefault="004D4738">
      <w:pPr>
        <w:rPr>
          <w:i/>
          <w:iCs/>
        </w:rPr>
      </w:pPr>
      <w:r>
        <w:rPr>
          <w:i/>
          <w:iCs/>
        </w:rPr>
        <w:br w:type="page"/>
      </w:r>
    </w:p>
    <w:p w14:paraId="6870F243" w14:textId="40D14890" w:rsidR="005D2099" w:rsidRDefault="00136210" w:rsidP="005D2099">
      <w:pPr>
        <w:rPr>
          <w:i/>
          <w:iCs/>
        </w:rPr>
      </w:pPr>
      <w:r>
        <w:rPr>
          <w:i/>
          <w:iCs/>
        </w:rPr>
        <w:lastRenderedPageBreak/>
        <w:t>Recommendations</w:t>
      </w:r>
    </w:p>
    <w:p w14:paraId="32830464" w14:textId="77777777" w:rsidR="00136210" w:rsidRPr="005D2099" w:rsidRDefault="00136210" w:rsidP="005D2099">
      <w:pPr>
        <w:rPr>
          <w:i/>
          <w:iCs/>
        </w:rPr>
      </w:pPr>
    </w:p>
    <w:p w14:paraId="167F3E36" w14:textId="6B144CAA" w:rsidR="00136210" w:rsidRDefault="00136210" w:rsidP="0090610C">
      <w:r>
        <w:t xml:space="preserve">Australian cities now have world-leading high tobacco prices, higher still in remote Aboriginal community stores.  </w:t>
      </w:r>
      <w:r w:rsidR="00C62910">
        <w:t>However, t</w:t>
      </w:r>
      <w:r w:rsidR="0090610C">
        <w:t xml:space="preserve">obacco taxes will not be optimally effective in further reducing tobacco consumption </w:t>
      </w:r>
      <w:r w:rsidR="003405F5">
        <w:t xml:space="preserve">in Australia </w:t>
      </w:r>
      <w:r w:rsidR="0090610C">
        <w:t xml:space="preserve">unless  </w:t>
      </w:r>
      <w:r>
        <w:t>anomalies in</w:t>
      </w:r>
      <w:r w:rsidR="0090610C">
        <w:t xml:space="preserve"> pricing policy and</w:t>
      </w:r>
      <w:r>
        <w:t xml:space="preserve"> tobacco taxation</w:t>
      </w:r>
      <w:r w:rsidR="0090610C">
        <w:t xml:space="preserve"> are rectified</w:t>
      </w:r>
      <w:r>
        <w:t xml:space="preserve">. </w:t>
      </w:r>
    </w:p>
    <w:p w14:paraId="34462379" w14:textId="01CBA816" w:rsidR="00F339B9" w:rsidRDefault="00F339B9" w:rsidP="00136210"/>
    <w:p w14:paraId="7CFC0045" w14:textId="04CE0E06" w:rsidR="00F339B9" w:rsidRDefault="00F339B9" w:rsidP="00136210">
      <w:r>
        <w:t>The ch</w:t>
      </w:r>
      <w:r w:rsidR="00553F75">
        <w:t xml:space="preserve">eapest form of tobacco is loose </w:t>
      </w:r>
      <w:r w:rsidR="00014ED0">
        <w:t>RYO</w:t>
      </w:r>
      <w:r w:rsidR="00553F75">
        <w:t xml:space="preserve"> tobacco, in part because </w:t>
      </w:r>
      <w:r w:rsidR="003405F5">
        <w:t xml:space="preserve">the tax per typical RYO cigarette is </w:t>
      </w:r>
      <w:r w:rsidR="00553F75">
        <w:t xml:space="preserve">less per cigarette than </w:t>
      </w:r>
      <w:r w:rsidR="00014ED0">
        <w:t xml:space="preserve">manufactured </w:t>
      </w:r>
      <w:r w:rsidR="00553F75">
        <w:t>cigarettes.</w:t>
      </w:r>
    </w:p>
    <w:p w14:paraId="40EE2F43" w14:textId="0C97E367" w:rsidR="00553F75" w:rsidRDefault="00553F75" w:rsidP="00136210"/>
    <w:p w14:paraId="3BDAD9E4" w14:textId="32535141" w:rsidR="002F48E4" w:rsidRDefault="00553F75" w:rsidP="00136210">
      <w:r>
        <w:t xml:space="preserve">In our research we assumed </w:t>
      </w:r>
      <w:r w:rsidRPr="00553F75">
        <w:t xml:space="preserve">0.525g of RYO </w:t>
      </w:r>
      <w:r>
        <w:t xml:space="preserve">tobacco in each cigarette </w:t>
      </w:r>
      <w:r w:rsidRPr="00553F75">
        <w:t>stick equivalent</w:t>
      </w:r>
      <w:r w:rsidR="002F48E4">
        <w:t xml:space="preserve">, </w:t>
      </w:r>
      <w:r w:rsidR="002F48E4" w:rsidRPr="00553F75">
        <w:t xml:space="preserve">based on </w:t>
      </w:r>
      <w:r w:rsidR="002F48E4">
        <w:t xml:space="preserve">cigarettes rolled by </w:t>
      </w:r>
      <w:r w:rsidR="002F48E4" w:rsidRPr="00553F75">
        <w:t xml:space="preserve">a small sample </w:t>
      </w:r>
      <w:r w:rsidR="002F48E4">
        <w:t xml:space="preserve">of Aboriginal smokers 20 years ago.  </w:t>
      </w:r>
      <w:r w:rsidRPr="00553F75">
        <w:t xml:space="preserve"> </w:t>
      </w:r>
      <w:r w:rsidR="002F48E4">
        <w:t xml:space="preserve">This </w:t>
      </w:r>
      <w:r w:rsidRPr="00553F75">
        <w:t>is much less than the Australian Tax Office conversion factor</w:t>
      </w:r>
      <w:r w:rsidR="002F48E4">
        <w:t xml:space="preserve"> (0.7g from 1 September 2020) but</w:t>
      </w:r>
      <w:r w:rsidRPr="00553F75">
        <w:t xml:space="preserve"> it is consistent with recent Australian research. The estimated average weight of tobacco in each Australian RYO cigarette declined from 0.59g in 2006 to 0.48g in 2014. This apparent </w:t>
      </w:r>
      <w:r w:rsidR="002F48E4">
        <w:t>reduction in the weight of</w:t>
      </w:r>
      <w:r w:rsidRPr="00553F75">
        <w:t xml:space="preserve"> tobacco in RYO cigarettes is corroborated by the tobacco industry’s release of thinner filters and smaller papers.</w:t>
      </w:r>
    </w:p>
    <w:p w14:paraId="6BFF1C42" w14:textId="77777777" w:rsidR="002F48E4" w:rsidRDefault="002F48E4" w:rsidP="00136210"/>
    <w:p w14:paraId="6B2CEA5D" w14:textId="5E2D125B" w:rsidR="00553F75" w:rsidRDefault="00553F75" w:rsidP="00136210">
      <w:r w:rsidRPr="00553F75">
        <w:t>We are not aware of any recent research evidence of significant health benefits of smoking RYO cigarettes with less tobacco.</w:t>
      </w:r>
    </w:p>
    <w:p w14:paraId="022608ED" w14:textId="083113BD" w:rsidR="002F48E4" w:rsidRDefault="002F48E4" w:rsidP="00136210"/>
    <w:p w14:paraId="22431FF1" w14:textId="77777777" w:rsidR="006A5502" w:rsidRDefault="002F48E4" w:rsidP="002F48E4">
      <w:r>
        <w:t xml:space="preserve">There is no reason for RYO cigarettes to be taxed less than </w:t>
      </w:r>
      <w:r w:rsidR="00014ED0">
        <w:t xml:space="preserve">manufactured </w:t>
      </w:r>
      <w:r>
        <w:t xml:space="preserve">cigarettes.  </w:t>
      </w:r>
    </w:p>
    <w:p w14:paraId="545FB46F" w14:textId="77777777" w:rsidR="006A5502" w:rsidRDefault="006A5502" w:rsidP="002F48E4"/>
    <w:p w14:paraId="7590E3A4" w14:textId="21CB0DCE" w:rsidR="002F48E4" w:rsidRPr="002F48E4" w:rsidRDefault="00C62910" w:rsidP="002F48E4">
      <w:r>
        <w:t xml:space="preserve">We recommend that the </w:t>
      </w:r>
      <w:r w:rsidR="002F48E4">
        <w:t xml:space="preserve">he conversion factor used by the </w:t>
      </w:r>
      <w:r w:rsidR="002F48E4" w:rsidRPr="00553F75">
        <w:t>Australian Tax Office</w:t>
      </w:r>
      <w:r w:rsidR="002F48E4">
        <w:t xml:space="preserve"> </w:t>
      </w:r>
      <w:r>
        <w:t xml:space="preserve">be further adjusted over the coming four years to more </w:t>
      </w:r>
      <w:r w:rsidR="002F48E4">
        <w:t xml:space="preserve">closely reflect the weight of tobacco in RYO cigarettes in Australia, </w:t>
      </w:r>
      <w:r w:rsidR="002F48E4" w:rsidRPr="002F48E4">
        <w:t xml:space="preserve">to prevent smokers and the tobacco industry using </w:t>
      </w:r>
      <w:r w:rsidR="00014ED0">
        <w:t>RYO</w:t>
      </w:r>
      <w:r w:rsidR="002F48E4" w:rsidRPr="002F48E4">
        <w:t xml:space="preserve"> tobacco to undermine the impact of tobacco price rises on reducing smoking and improving health.</w:t>
      </w:r>
    </w:p>
    <w:p w14:paraId="0F4BABCF" w14:textId="77777777" w:rsidR="005D2099" w:rsidRDefault="005D2099" w:rsidP="005D2099"/>
    <w:p w14:paraId="6972F342" w14:textId="77777777" w:rsidR="006A5502" w:rsidRDefault="006A5502" w:rsidP="005D2099">
      <w:pPr>
        <w:rPr>
          <w:i/>
          <w:iCs/>
        </w:rPr>
      </w:pPr>
    </w:p>
    <w:p w14:paraId="4C660695" w14:textId="77777777" w:rsidR="006A5502" w:rsidRDefault="006A5502" w:rsidP="005D2099">
      <w:pPr>
        <w:rPr>
          <w:i/>
          <w:iCs/>
        </w:rPr>
      </w:pPr>
    </w:p>
    <w:p w14:paraId="3EC53E9C" w14:textId="79EB2136" w:rsidR="005D2099" w:rsidRPr="005D2099" w:rsidRDefault="005D2099" w:rsidP="005D2099">
      <w:pPr>
        <w:rPr>
          <w:i/>
          <w:iCs/>
        </w:rPr>
      </w:pPr>
      <w:r w:rsidRPr="005D2099">
        <w:rPr>
          <w:i/>
          <w:iCs/>
        </w:rPr>
        <w:t>For more information</w:t>
      </w:r>
    </w:p>
    <w:p w14:paraId="0094DE42" w14:textId="77777777" w:rsidR="005D2099" w:rsidRDefault="005D2099" w:rsidP="005D2099"/>
    <w:p w14:paraId="42988FB5" w14:textId="7989EF15" w:rsidR="00C56DAE" w:rsidRPr="00FC1F7A" w:rsidRDefault="005D2099" w:rsidP="00770D8E">
      <w:r>
        <w:t xml:space="preserve">Contact: </w:t>
      </w:r>
      <w:r w:rsidR="00C56DAE" w:rsidRPr="00FC1F7A">
        <w:t>David Thomas</w:t>
      </w:r>
      <w:r w:rsidR="006A5502">
        <w:t>, Head of Tobacco Control Research, Menzies School of Health Research</w:t>
      </w:r>
      <w:r w:rsidR="00D46402">
        <w:t xml:space="preserve">  </w:t>
      </w:r>
    </w:p>
    <w:p w14:paraId="7C5EC39F" w14:textId="77777777" w:rsidR="00D46402" w:rsidRDefault="00D46402" w:rsidP="00770D8E">
      <w:r>
        <w:t xml:space="preserve">E: </w:t>
      </w:r>
      <w:hyperlink r:id="rId13" w:history="1">
        <w:r w:rsidRPr="00D239EE">
          <w:rPr>
            <w:rStyle w:val="Hyperlink"/>
          </w:rPr>
          <w:t>david.thomas@menzies.edu.au</w:t>
        </w:r>
      </w:hyperlink>
    </w:p>
    <w:p w14:paraId="5A8396CF" w14:textId="77777777" w:rsidR="00AC1444" w:rsidRPr="00AC1444" w:rsidRDefault="00AC1444" w:rsidP="00780DDF">
      <w:pPr>
        <w:rPr>
          <w:sz w:val="20"/>
          <w:szCs w:val="20"/>
        </w:rPr>
      </w:pPr>
    </w:p>
    <w:sectPr w:rsidR="00AC1444" w:rsidRPr="00AC1444" w:rsidSect="00BA0D2E">
      <w:headerReference w:type="default" r:id="rId14"/>
      <w:headerReference w:type="first" r:id="rId15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906A1" w14:textId="77777777" w:rsidR="00577D64" w:rsidRDefault="00577D64" w:rsidP="00BA0D2E">
      <w:r>
        <w:separator/>
      </w:r>
    </w:p>
  </w:endnote>
  <w:endnote w:type="continuationSeparator" w:id="0">
    <w:p w14:paraId="487A93FF" w14:textId="77777777" w:rsidR="00577D64" w:rsidRDefault="00577D64" w:rsidP="00BA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F9EF6" w14:textId="77777777" w:rsidR="00577D64" w:rsidRDefault="00577D64" w:rsidP="00BA0D2E">
      <w:r>
        <w:separator/>
      </w:r>
    </w:p>
  </w:footnote>
  <w:footnote w:type="continuationSeparator" w:id="0">
    <w:p w14:paraId="11929580" w14:textId="77777777" w:rsidR="00577D64" w:rsidRDefault="00577D64" w:rsidP="00BA0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7F172" w14:textId="1DE45402" w:rsidR="001438C4" w:rsidRDefault="00D3392F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182AB155" wp14:editId="080E0BB8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555865" cy="10693400"/>
          <wp:effectExtent l="0" t="0" r="0" b="0"/>
          <wp:wrapNone/>
          <wp:docPr id="7" name="Picture 7" descr="Menzies_Letterhead Footer_150513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enzies_Letterhead Footer_150513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BF461" w14:textId="55A869AE" w:rsidR="00BA0D2E" w:rsidRDefault="00D3392F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38E1C513" wp14:editId="3AC93FFC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555865" cy="10693400"/>
          <wp:effectExtent l="0" t="0" r="0" b="0"/>
          <wp:wrapNone/>
          <wp:docPr id="8" name="Picture 8" descr="Menzies_Letterhead-Darw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enzies_Letterhead-Darw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D0602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9C1C32"/>
    <w:multiLevelType w:val="hybridMultilevel"/>
    <w:tmpl w:val="D876DF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displayBackgroundShape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AMA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eexer0swarwe9aesx9ppr09twe0wvpdzzf5r&quot;&gt;david2005-v8&lt;record-ids&gt;&lt;item&gt;1476&lt;/item&gt;&lt;item&gt;2063&lt;/item&gt;&lt;/record-ids&gt;&lt;/item&gt;&lt;/Libraries&gt;"/>
  </w:docVars>
  <w:rsids>
    <w:rsidRoot w:val="00F532D5"/>
    <w:rsid w:val="0000031A"/>
    <w:rsid w:val="00005217"/>
    <w:rsid w:val="00014ED0"/>
    <w:rsid w:val="00032F5F"/>
    <w:rsid w:val="0007417D"/>
    <w:rsid w:val="00136210"/>
    <w:rsid w:val="001438C4"/>
    <w:rsid w:val="00163D5B"/>
    <w:rsid w:val="001C31D1"/>
    <w:rsid w:val="001F19F1"/>
    <w:rsid w:val="00265F12"/>
    <w:rsid w:val="002B4261"/>
    <w:rsid w:val="002D13AE"/>
    <w:rsid w:val="002F48E4"/>
    <w:rsid w:val="003405F5"/>
    <w:rsid w:val="00377D71"/>
    <w:rsid w:val="00404C4B"/>
    <w:rsid w:val="004B4E5C"/>
    <w:rsid w:val="004B5334"/>
    <w:rsid w:val="004D4738"/>
    <w:rsid w:val="00553F75"/>
    <w:rsid w:val="00560AA6"/>
    <w:rsid w:val="005678BF"/>
    <w:rsid w:val="00577D64"/>
    <w:rsid w:val="005B5AFB"/>
    <w:rsid w:val="005D2099"/>
    <w:rsid w:val="005E6396"/>
    <w:rsid w:val="006344F2"/>
    <w:rsid w:val="00671F35"/>
    <w:rsid w:val="00696181"/>
    <w:rsid w:val="006A5502"/>
    <w:rsid w:val="0076687A"/>
    <w:rsid w:val="00770D8E"/>
    <w:rsid w:val="00776815"/>
    <w:rsid w:val="00780DDF"/>
    <w:rsid w:val="00813466"/>
    <w:rsid w:val="00905B95"/>
    <w:rsid w:val="0090610C"/>
    <w:rsid w:val="00966AD2"/>
    <w:rsid w:val="009D0D84"/>
    <w:rsid w:val="009E3330"/>
    <w:rsid w:val="009F4A8D"/>
    <w:rsid w:val="009F7066"/>
    <w:rsid w:val="00A308DE"/>
    <w:rsid w:val="00A86379"/>
    <w:rsid w:val="00AC1444"/>
    <w:rsid w:val="00AE789F"/>
    <w:rsid w:val="00AF2CAA"/>
    <w:rsid w:val="00B35870"/>
    <w:rsid w:val="00B8271C"/>
    <w:rsid w:val="00BA0D2E"/>
    <w:rsid w:val="00BA50EA"/>
    <w:rsid w:val="00BE1ACD"/>
    <w:rsid w:val="00BE7DE8"/>
    <w:rsid w:val="00C13CD7"/>
    <w:rsid w:val="00C56DAE"/>
    <w:rsid w:val="00C62910"/>
    <w:rsid w:val="00C95648"/>
    <w:rsid w:val="00CD75F8"/>
    <w:rsid w:val="00D3392F"/>
    <w:rsid w:val="00D46402"/>
    <w:rsid w:val="00DA113A"/>
    <w:rsid w:val="00DC10B5"/>
    <w:rsid w:val="00E61D8B"/>
    <w:rsid w:val="00E637FF"/>
    <w:rsid w:val="00E70FCD"/>
    <w:rsid w:val="00E845B2"/>
    <w:rsid w:val="00EE3B1F"/>
    <w:rsid w:val="00F339B9"/>
    <w:rsid w:val="00F532D5"/>
    <w:rsid w:val="00F55C07"/>
    <w:rsid w:val="00FB775C"/>
    <w:rsid w:val="00FC1F7A"/>
    <w:rsid w:val="00FC3032"/>
    <w:rsid w:val="00FE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1"/>
    <o:shapelayout v:ext="edit">
      <o:idmap v:ext="edit" data="1"/>
    </o:shapelayout>
  </w:shapeDefaults>
  <w:decimalSymbol w:val="."/>
  <w:listSeparator w:val=","/>
  <w14:docId w14:val="14180310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2D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32D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0D2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A0D2E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0D2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A0D2E"/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780DDF"/>
    <w:pPr>
      <w:spacing w:before="100" w:beforeAutospacing="1" w:after="100" w:afterAutospacing="1"/>
    </w:pPr>
    <w:rPr>
      <w:rFonts w:ascii="Times" w:hAnsi="Times"/>
      <w:sz w:val="20"/>
      <w:szCs w:val="20"/>
      <w:lang w:val="en-AU"/>
    </w:rPr>
  </w:style>
  <w:style w:type="paragraph" w:customStyle="1" w:styleId="EndNoteBibliographyTitle">
    <w:name w:val="EndNote Bibliography Title"/>
    <w:basedOn w:val="Normal"/>
    <w:link w:val="EndNoteBibliographyTitleChar"/>
    <w:rsid w:val="00770D8E"/>
    <w:pPr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770D8E"/>
    <w:rPr>
      <w:noProof/>
      <w:sz w:val="24"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770D8E"/>
    <w:rPr>
      <w:noProof/>
    </w:rPr>
  </w:style>
  <w:style w:type="character" w:customStyle="1" w:styleId="EndNoteBibliographyChar">
    <w:name w:val="EndNote Bibliography Char"/>
    <w:link w:val="EndNoteBibliography"/>
    <w:rsid w:val="00770D8E"/>
    <w:rPr>
      <w:noProof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770D8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51C7"/>
    <w:pPr>
      <w:ind w:left="720"/>
    </w:pPr>
    <w:rPr>
      <w:rFonts w:ascii="Calibri" w:eastAsia="Calibri" w:hAnsi="Calibri"/>
      <w:sz w:val="22"/>
      <w:szCs w:val="22"/>
      <w:lang w:val="en-AU"/>
    </w:rPr>
  </w:style>
  <w:style w:type="character" w:customStyle="1" w:styleId="UnresolvedMention1">
    <w:name w:val="Unresolved Mention1"/>
    <w:uiPriority w:val="99"/>
    <w:semiHidden/>
    <w:unhideWhenUsed/>
    <w:rsid w:val="00D464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C10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0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0B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0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0B5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3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david.thomas@menzies.edu.au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48D01E61E107C4DA4B97E380EA20D470058EB9BF65DAD8C42B8B4A94A1D11A674" ma:contentTypeVersion="37663" ma:contentTypeDescription=" " ma:contentTypeScope="" ma:versionID="41decff55eb9e7010e1acf28c2ae8911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e544e5cc-ab70-42e1-849e-1a0f8bb1f4ef" xmlns:ns5="http://schemas.microsoft.com/sharepoint/v4" targetNamespace="http://schemas.microsoft.com/office/2006/metadata/properties" ma:root="true" ma:fieldsID="917efd5f203f4d53a891ba4a2dd250dc" ns1:_="" ns2:_="" ns3:_="" ns5:_="">
    <xsd:import namespace="http://schemas.microsoft.com/sharepoint/v3"/>
    <xsd:import namespace="0f563589-9cf9-4143-b1eb-fb0534803d38"/>
    <xsd:import namespace="e544e5cc-ab70-42e1-849e-1a0f8bb1f4e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1:RoutingTargetPath"/>
                <xsd:element ref="ns1:RoutingTargetFold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RoutingTargetPath" ma:index="18" ma:displayName="Target Path" ma:description="" ma:internalName="RoutingTargetPath">
      <xsd:simpleType>
        <xsd:restriction base="dms:Text">
          <xsd:maxLength value="255"/>
        </xsd:restriction>
      </xsd:simpleType>
    </xsd:element>
    <xsd:element name="RoutingTargetFolder" ma:index="19" ma:displayName="Target Folder" ma:internalName="RoutingTarget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9ae0e000-2bfe-436e-bf3a-a243a28c1c18}" ma:internalName="TaxCatchAll" ma:showField="CatchAllData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9ae0e000-2bfe-436e-bf3a-a243a28c1c18}" ma:internalName="TaxCatchAllLabel" ma:readOnly="true" ma:showField="CatchAllDataLabel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e5cc-ab70-42e1-849e-1a0f8bb1f4ef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7;#TSY RA-8730 - Retain as national archives|77f958b9-774b-411f-8853-551bb899336c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TargetPath xmlns="http://schemas.microsoft.com/sharepoint/v3">N/A</RoutingTargetPath>
    <IconOverlay xmlns="http://schemas.microsoft.com/sharepoint/v4" xsi:nil="true"/>
    <RoutingTargetFolder xmlns="http://schemas.microsoft.com/sharepoint/v3">N/A</RoutingTargetFolder>
    <TaxCatchAll xmlns="0f563589-9cf9-4143-b1eb-fb0534803d38">
      <Value>7</Value>
    </TaxCatchAll>
    <lb508a4dc5e84436a0fe496b536466aa xmlns="e544e5cc-ab70-42e1-849e-1a0f8bb1f4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RA-8730 - Retain as national archives</TermName>
          <TermId xmlns="http://schemas.microsoft.com/office/infopath/2007/PartnerControls">77f958b9-774b-411f-8853-551bb899336c</TermId>
        </TermInfo>
      </Terms>
    </lb508a4dc5e84436a0fe496b536466aa>
    <_dlc_DocId xmlns="0f563589-9cf9-4143-b1eb-fb0534803d38">2021FG-108-10238</_dlc_DocId>
    <_dlc_DocIdUrl xmlns="0f563589-9cf9-4143-b1eb-fb0534803d38">
      <Url>http://tweb/sites/fg/bpd/_layouts/15/DocIdRedir.aspx?ID=2021FG-108-10238</Url>
      <Description>2021FG-108-10238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48D01E61E107C4DA4B97E380EA20D47|1757814118" UniqueId="2079b4ee-6208-4500-a6e7-1bf5637d01b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</spe:Receivers>
</file>

<file path=customXml/item6.xml><?xml version="1.0" encoding="utf-8"?>
<?mso-contentType ?>
<SharedContentType xmlns="Microsoft.SharePoint.Taxonomy.ContentTypeSync" SourceId="bb330c83-4366-417f-afba-a14519698ff5" ContentTypeId="0x010100E726210826AA43828690450C811EB923009CA11FFD1E014DF4B1FA162D0F61129800536EFC5E36A043E99FB960C1AA37427A" PreviousValue="false"/>
</file>

<file path=customXml/itemProps1.xml><?xml version="1.0" encoding="utf-8"?>
<ds:datastoreItem xmlns:ds="http://schemas.openxmlformats.org/officeDocument/2006/customXml" ds:itemID="{78DF3D1D-D877-4C7E-AE3D-9D15669C9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e544e5cc-ab70-42e1-849e-1a0f8bb1f4e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A1B286-4D14-4BE4-A151-C187F1B6467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544e5cc-ab70-42e1-849e-1a0f8bb1f4ef"/>
    <ds:schemaRef ds:uri="0f563589-9cf9-4143-b1eb-fb0534803d38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92988B-E71C-4EF1-A950-CC12D866C3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FBA96C-B662-4993-A287-B24EAF606023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A06D393D-59F6-455D-B200-A1A4ADA48EB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8F0FE7A-FF8F-452B-A427-1CF276EE6C9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3101</Characters>
  <Application>Microsoft Office Word</Application>
  <DocSecurity>0</DocSecurity>
  <Lines>86</Lines>
  <Paragraphs>20</Paragraphs>
  <ScaleCrop>false</ScaleCrop>
  <Company/>
  <LinksUpToDate>false</LinksUpToDate>
  <CharactersWithSpaces>3678</CharactersWithSpaces>
  <SharedDoc>false</SharedDoc>
  <HyperlinkBase/>
  <HLinks>
    <vt:vector size="6" baseType="variant">
      <vt:variant>
        <vt:i4>4522098</vt:i4>
      </vt:variant>
      <vt:variant>
        <vt:i4>0</vt:i4>
      </vt:variant>
      <vt:variant>
        <vt:i4>0</vt:i4>
      </vt:variant>
      <vt:variant>
        <vt:i4>5</vt:i4>
      </vt:variant>
      <vt:variant>
        <vt:lpwstr>mailto:david.thomas@menzies.edu.au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Menzies School of Health Research - 2021-22 Pre-Budget Submissions</dc:title>
  <dc:subject/>
  <dc:creator/>
  <cp:keywords/>
  <cp:lastModifiedBy/>
  <cp:revision>1</cp:revision>
  <dcterms:created xsi:type="dcterms:W3CDTF">2021-05-06T00:45:00Z</dcterms:created>
  <dcterms:modified xsi:type="dcterms:W3CDTF">2021-05-06T00:45:00Z</dcterms:modified>
  <dc:language>English</dc:language>
</cp:coreProperties>
</file>