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0D538" w14:textId="77777777" w:rsidR="007B0220" w:rsidRDefault="007B0220" w:rsidP="006D2A95">
      <w:pPr>
        <w:jc w:val="both"/>
        <w:rPr>
          <w:rFonts w:ascii="Myriad Pro Light" w:hAnsi="Myriad Pro Light"/>
          <w:color w:val="ED7D31" w:themeColor="accent2"/>
          <w:sz w:val="32"/>
          <w:szCs w:val="32"/>
          <w:lang w:val="en-AU" w:bidi="th-TH"/>
        </w:rPr>
      </w:pPr>
    </w:p>
    <w:p w14:paraId="796A6068" w14:textId="77777777" w:rsidR="007B0220" w:rsidRDefault="007B0220" w:rsidP="006D2A95">
      <w:pPr>
        <w:jc w:val="both"/>
        <w:rPr>
          <w:rFonts w:ascii="Myriad Pro Light" w:hAnsi="Myriad Pro Light"/>
          <w:color w:val="ED7D31" w:themeColor="accent2"/>
          <w:sz w:val="32"/>
          <w:szCs w:val="32"/>
          <w:lang w:val="en-AU" w:bidi="th-TH"/>
        </w:rPr>
      </w:pPr>
    </w:p>
    <w:p w14:paraId="33F2D622" w14:textId="0B385F1C" w:rsidR="007B0220" w:rsidRDefault="007B0220" w:rsidP="006D2A95">
      <w:pPr>
        <w:jc w:val="both"/>
        <w:rPr>
          <w:rFonts w:ascii="Myriad Pro Light" w:hAnsi="Myriad Pro Light"/>
          <w:color w:val="ED7D31" w:themeColor="accent2"/>
          <w:sz w:val="32"/>
          <w:szCs w:val="32"/>
          <w:lang w:val="en-AU" w:bidi="th-TH"/>
        </w:rPr>
      </w:pPr>
    </w:p>
    <w:p w14:paraId="57938B63" w14:textId="0BD61792" w:rsidR="007B0220" w:rsidRDefault="007B0220" w:rsidP="006D2A95">
      <w:pPr>
        <w:jc w:val="both"/>
        <w:rPr>
          <w:rFonts w:ascii="Myriad Pro Light" w:hAnsi="Myriad Pro Light"/>
          <w:color w:val="ED7D31" w:themeColor="accent2"/>
          <w:sz w:val="32"/>
          <w:szCs w:val="32"/>
          <w:lang w:val="en-AU" w:bidi="th-TH"/>
        </w:rPr>
      </w:pPr>
    </w:p>
    <w:p w14:paraId="3C00E957" w14:textId="2F52E1F4" w:rsidR="007B0220" w:rsidRDefault="007B0220" w:rsidP="006D2A95">
      <w:pPr>
        <w:jc w:val="both"/>
        <w:rPr>
          <w:rFonts w:ascii="Myriad Pro Light" w:hAnsi="Myriad Pro Light"/>
          <w:color w:val="ED7D31" w:themeColor="accent2"/>
          <w:sz w:val="32"/>
          <w:szCs w:val="32"/>
          <w:lang w:val="en-AU" w:bidi="th-TH"/>
        </w:rPr>
      </w:pPr>
      <w:r>
        <w:rPr>
          <w:rFonts w:ascii="Arial" w:hAnsi="Arial" w:cs="Arial"/>
          <w:noProof/>
          <w:lang w:val="en-AU" w:eastAsia="en-AU"/>
        </w:rPr>
        <w:drawing>
          <wp:anchor distT="0" distB="0" distL="114300" distR="114300" simplePos="0" relativeHeight="251659264" behindDoc="0" locked="0" layoutInCell="1" allowOverlap="1" wp14:anchorId="16301589" wp14:editId="0FD62966">
            <wp:simplePos x="0" y="0"/>
            <wp:positionH relativeFrom="margin">
              <wp:posOffset>772325</wp:posOffset>
            </wp:positionH>
            <wp:positionV relativeFrom="paragraph">
              <wp:posOffset>6350</wp:posOffset>
            </wp:positionV>
            <wp:extent cx="4197350" cy="1633855"/>
            <wp:effectExtent l="0" t="0" r="0" b="4445"/>
            <wp:wrapSquare wrapText="bothSides"/>
            <wp:docPr id="1"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HK_paper_form_base_out-10.png"/>
                    <pic:cNvPicPr/>
                  </pic:nvPicPr>
                  <pic:blipFill rotWithShape="1">
                    <a:blip r:embed="rId20">
                      <a:extLst>
                        <a:ext uri="{28A0092B-C50C-407E-A947-70E740481C1C}">
                          <a14:useLocalDpi xmlns:a14="http://schemas.microsoft.com/office/drawing/2010/main" val="0"/>
                        </a:ext>
                      </a:extLst>
                    </a:blip>
                    <a:srcRect l="1" r="39171"/>
                    <a:stretch/>
                  </pic:blipFill>
                  <pic:spPr bwMode="auto">
                    <a:xfrm>
                      <a:off x="0" y="0"/>
                      <a:ext cx="4197350" cy="1633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866B05" w14:textId="5EF12998" w:rsidR="007B0220" w:rsidRDefault="007B0220" w:rsidP="006D2A95">
      <w:pPr>
        <w:jc w:val="both"/>
        <w:rPr>
          <w:rFonts w:ascii="Myriad Pro Light" w:hAnsi="Myriad Pro Light"/>
          <w:color w:val="ED7D31" w:themeColor="accent2"/>
          <w:sz w:val="32"/>
          <w:szCs w:val="32"/>
          <w:lang w:val="en-AU" w:bidi="th-TH"/>
        </w:rPr>
      </w:pPr>
    </w:p>
    <w:p w14:paraId="50F333B4" w14:textId="77777777" w:rsidR="007B0220" w:rsidRDefault="007B0220" w:rsidP="00664D57">
      <w:pPr>
        <w:jc w:val="both"/>
        <w:rPr>
          <w:rFonts w:ascii="Myriad Pro Light" w:hAnsi="Myriad Pro Light"/>
          <w:color w:val="ED7D31" w:themeColor="accent2"/>
          <w:sz w:val="32"/>
          <w:szCs w:val="32"/>
          <w:lang w:val="en-AU" w:bidi="th-TH"/>
        </w:rPr>
      </w:pPr>
    </w:p>
    <w:p w14:paraId="094E688F" w14:textId="77777777" w:rsidR="007B0220" w:rsidRDefault="007B0220">
      <w:pPr>
        <w:jc w:val="both"/>
        <w:rPr>
          <w:rFonts w:ascii="Myriad Pro Light" w:hAnsi="Myriad Pro Light"/>
          <w:color w:val="ED7D31" w:themeColor="accent2"/>
          <w:sz w:val="32"/>
          <w:szCs w:val="32"/>
          <w:lang w:val="en-AU" w:bidi="th-TH"/>
        </w:rPr>
      </w:pPr>
    </w:p>
    <w:p w14:paraId="51AC81AA" w14:textId="77777777" w:rsidR="007B0220" w:rsidRDefault="007B0220">
      <w:pPr>
        <w:jc w:val="both"/>
        <w:rPr>
          <w:rFonts w:ascii="Myriad Pro Light" w:hAnsi="Myriad Pro Light"/>
          <w:color w:val="ED7D31" w:themeColor="accent2"/>
          <w:sz w:val="32"/>
          <w:szCs w:val="32"/>
          <w:lang w:val="en-AU" w:bidi="th-TH"/>
        </w:rPr>
      </w:pPr>
    </w:p>
    <w:p w14:paraId="6418A35B" w14:textId="77777777" w:rsidR="007B0220" w:rsidRDefault="007B0220">
      <w:pPr>
        <w:jc w:val="both"/>
        <w:rPr>
          <w:rFonts w:ascii="Myriad Pro Light" w:hAnsi="Myriad Pro Light"/>
          <w:color w:val="ED7D31" w:themeColor="accent2"/>
          <w:sz w:val="32"/>
          <w:szCs w:val="32"/>
          <w:lang w:val="en-AU" w:bidi="th-TH"/>
        </w:rPr>
      </w:pPr>
    </w:p>
    <w:p w14:paraId="4780893E" w14:textId="77777777" w:rsidR="007B0220" w:rsidRDefault="007B0220">
      <w:pPr>
        <w:jc w:val="both"/>
        <w:rPr>
          <w:rFonts w:ascii="Myriad Pro Light" w:hAnsi="Myriad Pro Light"/>
          <w:color w:val="ED7D31" w:themeColor="accent2"/>
          <w:sz w:val="32"/>
          <w:szCs w:val="32"/>
          <w:lang w:val="en-AU" w:bidi="th-TH"/>
        </w:rPr>
      </w:pPr>
    </w:p>
    <w:p w14:paraId="311A0025" w14:textId="77777777" w:rsidR="007B0220" w:rsidRPr="007B0220" w:rsidRDefault="007B0220" w:rsidP="00A52E0A">
      <w:pPr>
        <w:jc w:val="center"/>
        <w:rPr>
          <w:rFonts w:ascii="Myriad Pro Light" w:hAnsi="Myriad Pro Light"/>
          <w:color w:val="ED7D31" w:themeColor="accent2"/>
          <w:sz w:val="56"/>
          <w:szCs w:val="56"/>
          <w:lang w:val="en-AU" w:bidi="th-TH"/>
        </w:rPr>
      </w:pPr>
      <w:r w:rsidRPr="007B0220">
        <w:rPr>
          <w:rFonts w:ascii="Myriad Pro Light" w:hAnsi="Myriad Pro Light"/>
          <w:color w:val="ED7D31" w:themeColor="accent2"/>
          <w:sz w:val="56"/>
          <w:szCs w:val="56"/>
          <w:lang w:val="en-AU" w:bidi="th-TH"/>
        </w:rPr>
        <w:t>Pre-Budget Submission</w:t>
      </w:r>
    </w:p>
    <w:p w14:paraId="30FBDB3B" w14:textId="6DBD25CF" w:rsidR="00720F76" w:rsidRDefault="007B0220" w:rsidP="00A52E0A">
      <w:pPr>
        <w:jc w:val="center"/>
        <w:rPr>
          <w:rFonts w:ascii="Myriad Pro Light" w:hAnsi="Myriad Pro Light"/>
          <w:color w:val="ED7D31" w:themeColor="accent2"/>
          <w:sz w:val="56"/>
          <w:szCs w:val="56"/>
          <w:lang w:val="en-AU" w:bidi="th-TH"/>
        </w:rPr>
      </w:pPr>
      <w:r w:rsidRPr="007B0220">
        <w:rPr>
          <w:rFonts w:ascii="Myriad Pro Light" w:hAnsi="Myriad Pro Light"/>
          <w:color w:val="ED7D31" w:themeColor="accent2"/>
          <w:sz w:val="56"/>
          <w:szCs w:val="56"/>
          <w:lang w:val="en-AU" w:bidi="th-TH"/>
        </w:rPr>
        <w:t>2021-2022</w:t>
      </w:r>
    </w:p>
    <w:p w14:paraId="28A02670" w14:textId="0ED70DE9" w:rsidR="00720F76" w:rsidRDefault="003C1AB7" w:rsidP="006D2A95">
      <w:pPr>
        <w:jc w:val="both"/>
        <w:rPr>
          <w:rFonts w:ascii="Myriad Pro Light" w:hAnsi="Myriad Pro Light"/>
          <w:color w:val="ED7D31" w:themeColor="accent2"/>
          <w:sz w:val="56"/>
          <w:szCs w:val="56"/>
          <w:lang w:val="en-AU" w:bidi="th-TH"/>
        </w:rPr>
      </w:pPr>
      <w:r>
        <w:rPr>
          <w:noProof/>
          <w:lang w:val="en-AU" w:eastAsia="en-AU"/>
        </w:rPr>
        <w:drawing>
          <wp:anchor distT="0" distB="0" distL="114300" distR="114300" simplePos="0" relativeHeight="251660288" behindDoc="0" locked="0" layoutInCell="1" allowOverlap="1" wp14:anchorId="1DB6ABF9" wp14:editId="53B7055E">
            <wp:simplePos x="0" y="0"/>
            <wp:positionH relativeFrom="margin">
              <wp:align>right</wp:align>
            </wp:positionH>
            <wp:positionV relativeFrom="paragraph">
              <wp:posOffset>576580</wp:posOffset>
            </wp:positionV>
            <wp:extent cx="5727700" cy="2247900"/>
            <wp:effectExtent l="0" t="0" r="6350" b="0"/>
            <wp:wrapSquare wrapText="bothSides"/>
            <wp:docPr id="4"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rotWithShape="1">
                    <a:blip r:embed="rId21" r:link="rId22">
                      <a:extLst>
                        <a:ext uri="{28A0092B-C50C-407E-A947-70E740481C1C}">
                          <a14:useLocalDpi xmlns:a14="http://schemas.microsoft.com/office/drawing/2010/main" val="0"/>
                        </a:ext>
                      </a:extLst>
                    </a:blip>
                    <a:srcRect b="3014"/>
                    <a:stretch/>
                  </pic:blipFill>
                  <pic:spPr bwMode="auto">
                    <a:xfrm>
                      <a:off x="0" y="0"/>
                      <a:ext cx="5727700" cy="2247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0AFC7E" w14:textId="62DB9D5E" w:rsidR="007B0220" w:rsidRDefault="007B0220" w:rsidP="00664D57">
      <w:pPr>
        <w:jc w:val="both"/>
        <w:rPr>
          <w:rFonts w:ascii="Myriad Pro Light" w:hAnsi="Myriad Pro Light"/>
          <w:color w:val="ED7D31" w:themeColor="accent2"/>
          <w:sz w:val="32"/>
          <w:szCs w:val="32"/>
          <w:lang w:val="en-AU" w:bidi="th-TH"/>
        </w:rPr>
      </w:pPr>
    </w:p>
    <w:p w14:paraId="42A4B6BF" w14:textId="4AD2B4EF" w:rsidR="00824136" w:rsidRDefault="00824136" w:rsidP="00664D57">
      <w:pPr>
        <w:jc w:val="both"/>
        <w:rPr>
          <w:rFonts w:ascii="Myriad Pro Light" w:hAnsi="Myriad Pro Light"/>
          <w:color w:val="ED7D31" w:themeColor="accent2"/>
          <w:sz w:val="32"/>
          <w:szCs w:val="32"/>
          <w:lang w:val="en-AU" w:bidi="th-TH"/>
        </w:rPr>
      </w:pPr>
    </w:p>
    <w:p w14:paraId="3C8A8889" w14:textId="77777777" w:rsidR="00824136" w:rsidRDefault="00824136" w:rsidP="006D2A95">
      <w:pPr>
        <w:jc w:val="center"/>
        <w:rPr>
          <w:rFonts w:ascii="Myriad Pro Light" w:hAnsi="Myriad Pro Light"/>
          <w:color w:val="ED7D31" w:themeColor="accent2"/>
          <w:sz w:val="32"/>
          <w:szCs w:val="32"/>
          <w:lang w:val="en-AU" w:bidi="th-TH"/>
        </w:rPr>
      </w:pPr>
    </w:p>
    <w:p w14:paraId="5A9F08CA" w14:textId="0919BE7E" w:rsidR="00824136" w:rsidRDefault="00824136" w:rsidP="00664D57">
      <w:pPr>
        <w:jc w:val="center"/>
        <w:rPr>
          <w:rFonts w:ascii="Myriad Pro Light" w:hAnsi="Myriad Pro Light"/>
          <w:color w:val="ED7D31" w:themeColor="accent2"/>
          <w:sz w:val="32"/>
          <w:szCs w:val="32"/>
          <w:lang w:val="en-AU" w:bidi="th-TH"/>
        </w:rPr>
      </w:pPr>
      <w:r>
        <w:rPr>
          <w:rFonts w:ascii="Myriad Pro Light" w:hAnsi="Myriad Pro Light"/>
          <w:color w:val="ED7D31" w:themeColor="accent2"/>
          <w:sz w:val="32"/>
          <w:szCs w:val="32"/>
          <w:lang w:val="en-AU" w:bidi="th-TH"/>
        </w:rPr>
        <w:t>Kyowa Kirin is a proud partner of Rare Voices Australia</w:t>
      </w:r>
    </w:p>
    <w:p w14:paraId="6B7D4094" w14:textId="1074023A" w:rsidR="00824136" w:rsidRDefault="00824136" w:rsidP="006D2A95">
      <w:pPr>
        <w:jc w:val="center"/>
        <w:rPr>
          <w:rFonts w:ascii="Myriad Pro Light" w:hAnsi="Myriad Pro Light"/>
          <w:color w:val="ED7D31" w:themeColor="accent2"/>
          <w:sz w:val="32"/>
          <w:szCs w:val="32"/>
          <w:lang w:val="en-AU" w:bidi="th-TH"/>
        </w:rPr>
      </w:pPr>
      <w:r>
        <w:rPr>
          <w:noProof/>
          <w:lang w:val="en-AU" w:eastAsia="en-AU"/>
        </w:rPr>
        <w:drawing>
          <wp:anchor distT="0" distB="0" distL="114300" distR="114300" simplePos="0" relativeHeight="251662336" behindDoc="0" locked="0" layoutInCell="1" allowOverlap="1" wp14:anchorId="6D5BF333" wp14:editId="410D1123">
            <wp:simplePos x="0" y="0"/>
            <wp:positionH relativeFrom="margin">
              <wp:align>center</wp:align>
            </wp:positionH>
            <wp:positionV relativeFrom="paragraph">
              <wp:posOffset>106779</wp:posOffset>
            </wp:positionV>
            <wp:extent cx="2612571" cy="1048794"/>
            <wp:effectExtent l="0" t="0" r="0" b="0"/>
            <wp:wrapSquare wrapText="bothSides"/>
            <wp:docPr id="6" name="Picture 6" descr="Rare Voice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re Voices Australi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12571" cy="10487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DFE49E" w14:textId="77777777" w:rsidR="00824136" w:rsidRDefault="00824136" w:rsidP="006D2A95">
      <w:pPr>
        <w:jc w:val="center"/>
        <w:rPr>
          <w:rFonts w:ascii="Myriad Pro Light" w:hAnsi="Myriad Pro Light"/>
          <w:color w:val="ED7D31" w:themeColor="accent2"/>
          <w:sz w:val="32"/>
          <w:szCs w:val="32"/>
          <w:lang w:val="en-AU" w:bidi="th-TH"/>
        </w:rPr>
      </w:pPr>
    </w:p>
    <w:p w14:paraId="5F185298" w14:textId="77777777" w:rsidR="00824136" w:rsidRDefault="00824136" w:rsidP="006D2A95">
      <w:pPr>
        <w:jc w:val="center"/>
        <w:rPr>
          <w:rFonts w:ascii="Myriad Pro Light" w:hAnsi="Myriad Pro Light"/>
          <w:color w:val="ED7D31" w:themeColor="accent2"/>
          <w:sz w:val="32"/>
          <w:szCs w:val="32"/>
          <w:lang w:val="en-AU" w:bidi="th-TH"/>
        </w:rPr>
      </w:pPr>
    </w:p>
    <w:p w14:paraId="3E885343" w14:textId="77777777" w:rsidR="00824136" w:rsidRDefault="00824136" w:rsidP="006D2A95">
      <w:pPr>
        <w:jc w:val="center"/>
        <w:rPr>
          <w:rFonts w:ascii="Myriad Pro Light" w:hAnsi="Myriad Pro Light"/>
          <w:color w:val="ED7D31" w:themeColor="accent2"/>
          <w:sz w:val="32"/>
          <w:szCs w:val="32"/>
          <w:lang w:val="en-AU" w:bidi="th-TH"/>
        </w:rPr>
      </w:pPr>
    </w:p>
    <w:p w14:paraId="66D1B61E" w14:textId="77777777" w:rsidR="00824136" w:rsidRDefault="00824136" w:rsidP="00664D57">
      <w:pPr>
        <w:jc w:val="both"/>
        <w:rPr>
          <w:rFonts w:ascii="Myriad Pro Light" w:hAnsi="Myriad Pro Light"/>
          <w:color w:val="ED7D31" w:themeColor="accent2"/>
          <w:sz w:val="32"/>
          <w:szCs w:val="32"/>
          <w:lang w:val="en-AU" w:bidi="th-TH"/>
        </w:rPr>
      </w:pPr>
    </w:p>
    <w:p w14:paraId="181FD548" w14:textId="59EFFD35" w:rsidR="00C15F5D" w:rsidRPr="009427BE" w:rsidRDefault="005A1BDF">
      <w:pPr>
        <w:jc w:val="both"/>
        <w:rPr>
          <w:rFonts w:ascii="Myriad Pro Light" w:hAnsi="Myriad Pro Light"/>
          <w:color w:val="ED7D31" w:themeColor="accent2"/>
          <w:sz w:val="32"/>
          <w:szCs w:val="32"/>
          <w:lang w:val="en-AU" w:bidi="th-TH"/>
        </w:rPr>
      </w:pPr>
      <w:r w:rsidRPr="009427BE">
        <w:rPr>
          <w:rFonts w:ascii="Myriad Pro Light" w:hAnsi="Myriad Pro Light"/>
          <w:color w:val="ED7D31" w:themeColor="accent2"/>
          <w:sz w:val="32"/>
          <w:szCs w:val="32"/>
          <w:lang w:val="en-AU" w:bidi="th-TH"/>
        </w:rPr>
        <w:lastRenderedPageBreak/>
        <w:t xml:space="preserve">Executive Summary </w:t>
      </w:r>
    </w:p>
    <w:p w14:paraId="680EA5AC" w14:textId="6E30F365" w:rsidR="005A1BDF" w:rsidRPr="00573F53" w:rsidRDefault="005A1BDF">
      <w:pPr>
        <w:jc w:val="both"/>
        <w:rPr>
          <w:rFonts w:ascii="Myriad Pro" w:eastAsia="Times New Roman" w:hAnsi="Myriad Pro" w:cs="Arial"/>
          <w:color w:val="000000"/>
          <w:sz w:val="20"/>
          <w:szCs w:val="20"/>
          <w:lang w:val="en-AU" w:eastAsia="en-GB"/>
        </w:rPr>
      </w:pPr>
    </w:p>
    <w:p w14:paraId="28B6C99D" w14:textId="77777777" w:rsidR="006D2A95" w:rsidRDefault="005A1BDF">
      <w:pPr>
        <w:jc w:val="both"/>
        <w:rPr>
          <w:rFonts w:ascii="Myriad Pro" w:hAnsi="Myriad Pro"/>
          <w:sz w:val="20"/>
          <w:szCs w:val="20"/>
          <w:lang w:val="en-AU" w:bidi="th-TH"/>
        </w:rPr>
      </w:pPr>
      <w:r w:rsidRPr="00573F53">
        <w:rPr>
          <w:rFonts w:ascii="Myriad Pro" w:hAnsi="Myriad Pro"/>
          <w:sz w:val="20"/>
          <w:szCs w:val="20"/>
          <w:lang w:val="en-AU" w:bidi="th-TH"/>
        </w:rPr>
        <w:t xml:space="preserve">On behalf of Kyowa Kirin Australia Pty Ltd, may I extend our sincere thanks of the opportunity to contribute to the 2021-22 </w:t>
      </w:r>
      <w:r w:rsidR="00942329">
        <w:rPr>
          <w:rFonts w:ascii="Myriad Pro" w:hAnsi="Myriad Pro"/>
          <w:sz w:val="20"/>
          <w:szCs w:val="20"/>
          <w:lang w:val="en-AU" w:bidi="th-TH"/>
        </w:rPr>
        <w:t>Federal B</w:t>
      </w:r>
      <w:r w:rsidR="00942329" w:rsidRPr="00573F53">
        <w:rPr>
          <w:rFonts w:ascii="Myriad Pro" w:hAnsi="Myriad Pro"/>
          <w:sz w:val="20"/>
          <w:szCs w:val="20"/>
          <w:lang w:val="en-AU" w:bidi="th-TH"/>
        </w:rPr>
        <w:t xml:space="preserve">udget </w:t>
      </w:r>
      <w:r w:rsidRPr="00573F53">
        <w:rPr>
          <w:rFonts w:ascii="Myriad Pro" w:hAnsi="Myriad Pro"/>
          <w:sz w:val="20"/>
          <w:szCs w:val="20"/>
          <w:lang w:val="en-AU" w:bidi="th-TH"/>
        </w:rPr>
        <w:t xml:space="preserve">process. </w:t>
      </w:r>
    </w:p>
    <w:p w14:paraId="3DCA9CD7" w14:textId="77777777" w:rsidR="006D2A95" w:rsidRDefault="006D2A95">
      <w:pPr>
        <w:jc w:val="both"/>
        <w:rPr>
          <w:rFonts w:ascii="Myriad Pro" w:hAnsi="Myriad Pro"/>
          <w:sz w:val="20"/>
          <w:szCs w:val="20"/>
          <w:lang w:val="en-AU" w:bidi="th-TH"/>
        </w:rPr>
      </w:pPr>
    </w:p>
    <w:p w14:paraId="3CE3849E" w14:textId="076160C8" w:rsidR="00AA166C" w:rsidRDefault="005A1BDF">
      <w:pPr>
        <w:jc w:val="both"/>
        <w:rPr>
          <w:rFonts w:ascii="Myriad Pro" w:hAnsi="Myriad Pro"/>
          <w:sz w:val="20"/>
          <w:szCs w:val="20"/>
          <w:lang w:val="en-AU" w:bidi="th-TH"/>
        </w:rPr>
      </w:pPr>
      <w:r w:rsidRPr="00573F53">
        <w:rPr>
          <w:rFonts w:ascii="Myriad Pro" w:hAnsi="Myriad Pro"/>
          <w:sz w:val="20"/>
          <w:szCs w:val="20"/>
          <w:lang w:val="en-AU" w:bidi="th-TH"/>
        </w:rPr>
        <w:t xml:space="preserve">Kyowa Kirin is a Japan-based Global Specialty Pharmaceutical Company contributing to human health and wellbeing worldwide through </w:t>
      </w:r>
      <w:r w:rsidR="007A7FD1" w:rsidRPr="00573F53">
        <w:rPr>
          <w:rFonts w:ascii="Myriad Pro" w:hAnsi="Myriad Pro"/>
          <w:sz w:val="20"/>
          <w:szCs w:val="20"/>
          <w:lang w:val="en-AU" w:bidi="th-TH"/>
        </w:rPr>
        <w:t>innovative</w:t>
      </w:r>
      <w:r w:rsidRPr="00573F53">
        <w:rPr>
          <w:rFonts w:ascii="Myriad Pro" w:hAnsi="Myriad Pro"/>
          <w:sz w:val="20"/>
          <w:szCs w:val="20"/>
          <w:lang w:val="en-AU" w:bidi="th-TH"/>
        </w:rPr>
        <w:t xml:space="preserve"> drug discovery and global commercialisation.  We are driven by state-of-the-art antibody technologies in the core therapeutic areas of oncology, nephrology, central nervous </w:t>
      </w:r>
      <w:r w:rsidR="007A7FD1" w:rsidRPr="00573F53">
        <w:rPr>
          <w:rFonts w:ascii="Myriad Pro" w:hAnsi="Myriad Pro"/>
          <w:sz w:val="20"/>
          <w:szCs w:val="20"/>
          <w:lang w:val="en-AU" w:bidi="th-TH"/>
        </w:rPr>
        <w:t>system,</w:t>
      </w:r>
      <w:r w:rsidRPr="00573F53">
        <w:rPr>
          <w:rFonts w:ascii="Myriad Pro" w:hAnsi="Myriad Pro"/>
          <w:sz w:val="20"/>
          <w:szCs w:val="20"/>
          <w:lang w:val="en-AU" w:bidi="th-TH"/>
        </w:rPr>
        <w:t xml:space="preserve"> and immunology.  </w:t>
      </w:r>
    </w:p>
    <w:p w14:paraId="274D7B65" w14:textId="77777777" w:rsidR="00AA166C" w:rsidRDefault="00AA166C">
      <w:pPr>
        <w:jc w:val="both"/>
        <w:rPr>
          <w:rFonts w:ascii="Myriad Pro" w:hAnsi="Myriad Pro"/>
          <w:sz w:val="20"/>
          <w:szCs w:val="20"/>
          <w:lang w:val="en-AU" w:bidi="th-TH"/>
        </w:rPr>
      </w:pPr>
    </w:p>
    <w:p w14:paraId="55008E7E" w14:textId="415F7F15" w:rsidR="005A1BDF" w:rsidRPr="00573F53" w:rsidRDefault="005A1BDF">
      <w:pPr>
        <w:jc w:val="both"/>
        <w:rPr>
          <w:rFonts w:ascii="Myriad Pro" w:hAnsi="Myriad Pro"/>
          <w:sz w:val="20"/>
          <w:szCs w:val="20"/>
          <w:lang w:val="en-AU" w:bidi="th-TH"/>
        </w:rPr>
      </w:pPr>
      <w:r w:rsidRPr="00573F53">
        <w:rPr>
          <w:rFonts w:ascii="Myriad Pro" w:hAnsi="Myriad Pro"/>
          <w:sz w:val="20"/>
          <w:szCs w:val="20"/>
          <w:lang w:val="en-AU" w:bidi="th-TH"/>
        </w:rPr>
        <w:t>Established in Australia in March 2019 and headquartered in Sydney, NSW, Kyowa Kirin Australia aims to bring Kyowa Kirin</w:t>
      </w:r>
      <w:r w:rsidR="007A7FD1" w:rsidRPr="00573F53">
        <w:rPr>
          <w:rFonts w:ascii="Myriad Pro" w:hAnsi="Myriad Pro"/>
          <w:sz w:val="20"/>
          <w:szCs w:val="20"/>
          <w:lang w:val="en-AU" w:bidi="th-TH"/>
        </w:rPr>
        <w:t xml:space="preserve">’s patient focussed therapies to Australia, with a strong focus on contributing to the health and well-being of patients and families in Australia. </w:t>
      </w:r>
    </w:p>
    <w:p w14:paraId="3ABCA16B" w14:textId="718956B7" w:rsidR="005A1BDF" w:rsidRPr="00573F53" w:rsidRDefault="005A1BDF">
      <w:pPr>
        <w:jc w:val="both"/>
        <w:rPr>
          <w:rFonts w:ascii="Myriad Pro" w:hAnsi="Myriad Pro"/>
          <w:sz w:val="20"/>
          <w:szCs w:val="20"/>
          <w:lang w:val="en-AU" w:bidi="th-TH"/>
        </w:rPr>
      </w:pPr>
    </w:p>
    <w:p w14:paraId="42F8F09E" w14:textId="77777777" w:rsidR="006D2A95" w:rsidRDefault="005A1BDF">
      <w:pPr>
        <w:jc w:val="both"/>
        <w:rPr>
          <w:rFonts w:ascii="Myriad Pro" w:hAnsi="Myriad Pro"/>
          <w:sz w:val="20"/>
          <w:szCs w:val="20"/>
          <w:lang w:val="en-AU" w:bidi="th-TH"/>
        </w:rPr>
      </w:pPr>
      <w:r w:rsidRPr="00573F53">
        <w:rPr>
          <w:rFonts w:ascii="Myriad Pro" w:hAnsi="Myriad Pro"/>
          <w:sz w:val="20"/>
          <w:szCs w:val="20"/>
          <w:lang w:val="en-AU" w:bidi="th-TH"/>
        </w:rPr>
        <w:t>Kirin is currently seeking to bring two</w:t>
      </w:r>
      <w:r w:rsidR="00AA166C">
        <w:rPr>
          <w:rFonts w:ascii="Myriad Pro" w:hAnsi="Myriad Pro"/>
          <w:sz w:val="20"/>
          <w:szCs w:val="20"/>
          <w:lang w:val="en-AU" w:bidi="th-TH"/>
        </w:rPr>
        <w:t xml:space="preserve"> (2)</w:t>
      </w:r>
      <w:r w:rsidRPr="00573F53">
        <w:rPr>
          <w:rFonts w:ascii="Myriad Pro" w:hAnsi="Myriad Pro"/>
          <w:sz w:val="20"/>
          <w:szCs w:val="20"/>
          <w:lang w:val="en-AU" w:bidi="th-TH"/>
        </w:rPr>
        <w:t xml:space="preserve"> of its novel medicines to Australian patients and</w:t>
      </w:r>
      <w:r w:rsidR="007A7FD1" w:rsidRPr="00573F53">
        <w:rPr>
          <w:rFonts w:ascii="Myriad Pro" w:hAnsi="Myriad Pro"/>
          <w:sz w:val="20"/>
          <w:szCs w:val="20"/>
          <w:lang w:val="en-AU" w:bidi="th-TH"/>
        </w:rPr>
        <w:t xml:space="preserve"> </w:t>
      </w:r>
      <w:r w:rsidRPr="00573F53">
        <w:rPr>
          <w:rFonts w:ascii="Myriad Pro" w:hAnsi="Myriad Pro"/>
          <w:sz w:val="20"/>
          <w:szCs w:val="20"/>
          <w:lang w:val="en-AU" w:bidi="th-TH"/>
        </w:rPr>
        <w:t>is working on</w:t>
      </w:r>
      <w:r w:rsidR="007A7FD1" w:rsidRPr="00573F53">
        <w:rPr>
          <w:rFonts w:ascii="Myriad Pro" w:hAnsi="Myriad Pro"/>
          <w:sz w:val="20"/>
          <w:szCs w:val="20"/>
          <w:lang w:val="en-AU" w:bidi="th-TH"/>
        </w:rPr>
        <w:t xml:space="preserve"> </w:t>
      </w:r>
      <w:r w:rsidRPr="00573F53">
        <w:rPr>
          <w:rFonts w:ascii="Myriad Pro" w:hAnsi="Myriad Pro"/>
          <w:sz w:val="20"/>
          <w:szCs w:val="20"/>
          <w:lang w:val="en-AU" w:bidi="th-TH"/>
        </w:rPr>
        <w:t>submissions to the Therapeutic Goods Administration (TGA) and</w:t>
      </w:r>
      <w:r w:rsidR="007A7FD1" w:rsidRPr="00573F53">
        <w:rPr>
          <w:rFonts w:ascii="Myriad Pro" w:hAnsi="Myriad Pro"/>
          <w:sz w:val="20"/>
          <w:szCs w:val="20"/>
          <w:lang w:val="en-AU" w:bidi="th-TH"/>
        </w:rPr>
        <w:t xml:space="preserve"> </w:t>
      </w:r>
      <w:r w:rsidRPr="00573F53">
        <w:rPr>
          <w:rFonts w:ascii="Myriad Pro" w:hAnsi="Myriad Pro"/>
          <w:sz w:val="20"/>
          <w:szCs w:val="20"/>
          <w:lang w:val="en-AU" w:bidi="th-TH"/>
        </w:rPr>
        <w:t>Pharmaceutical Benefits Advisory Committee (PBAC) to achieve this.</w:t>
      </w:r>
      <w:r w:rsidR="006D2A95">
        <w:rPr>
          <w:rFonts w:ascii="Myriad Pro" w:hAnsi="Myriad Pro"/>
          <w:sz w:val="20"/>
          <w:szCs w:val="20"/>
          <w:lang w:val="en-AU" w:bidi="th-TH"/>
        </w:rPr>
        <w:t xml:space="preserve">  </w:t>
      </w:r>
    </w:p>
    <w:p w14:paraId="5273CC0C" w14:textId="77777777" w:rsidR="006D2A95" w:rsidRDefault="006D2A95">
      <w:pPr>
        <w:jc w:val="both"/>
        <w:rPr>
          <w:rFonts w:ascii="Myriad Pro" w:hAnsi="Myriad Pro"/>
          <w:sz w:val="20"/>
          <w:szCs w:val="20"/>
          <w:lang w:val="en-AU" w:bidi="th-TH"/>
        </w:rPr>
      </w:pPr>
    </w:p>
    <w:p w14:paraId="3DB5A739" w14:textId="6333BA02" w:rsidR="005A1BDF" w:rsidRPr="00573F53" w:rsidRDefault="005A1BDF">
      <w:pPr>
        <w:jc w:val="both"/>
        <w:rPr>
          <w:rFonts w:ascii="Myriad Pro" w:hAnsi="Myriad Pro"/>
          <w:sz w:val="20"/>
          <w:szCs w:val="20"/>
          <w:lang w:val="en-AU" w:bidi="th-TH"/>
        </w:rPr>
      </w:pPr>
      <w:r w:rsidRPr="00573F53">
        <w:rPr>
          <w:rFonts w:ascii="Myriad Pro" w:hAnsi="Myriad Pro"/>
          <w:sz w:val="20"/>
          <w:szCs w:val="20"/>
          <w:lang w:val="en-AU" w:bidi="th-TH"/>
        </w:rPr>
        <w:t>These products are:</w:t>
      </w:r>
    </w:p>
    <w:p w14:paraId="37005BA9" w14:textId="156E6FEB" w:rsidR="007A7FD1" w:rsidRDefault="007A7FD1">
      <w:pPr>
        <w:jc w:val="both"/>
        <w:rPr>
          <w:rFonts w:ascii="Myriad Pro" w:eastAsia="Times New Roman" w:hAnsi="Myriad Pro" w:cs="Arial"/>
          <w:color w:val="000000"/>
          <w:sz w:val="20"/>
          <w:szCs w:val="20"/>
          <w:lang w:val="en-AU" w:eastAsia="en-GB"/>
        </w:rPr>
      </w:pPr>
    </w:p>
    <w:tbl>
      <w:tblPr>
        <w:tblStyle w:val="GridTable5Dark-Accent2"/>
        <w:tblW w:w="0" w:type="auto"/>
        <w:tblLook w:val="04A0" w:firstRow="1" w:lastRow="0" w:firstColumn="1" w:lastColumn="0" w:noHBand="0" w:noVBand="1"/>
      </w:tblPr>
      <w:tblGrid>
        <w:gridCol w:w="704"/>
        <w:gridCol w:w="8306"/>
      </w:tblGrid>
      <w:tr w:rsidR="00664D57" w14:paraId="7B528DEA" w14:textId="77777777" w:rsidTr="006D2A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E4C68C2" w14:textId="77777777" w:rsidR="00664D57" w:rsidRDefault="00664D57">
            <w:pPr>
              <w:jc w:val="both"/>
              <w:rPr>
                <w:rFonts w:ascii="Myriad Pro" w:eastAsia="Times New Roman" w:hAnsi="Myriad Pro" w:cs="Arial"/>
                <w:color w:val="000000"/>
                <w:sz w:val="20"/>
                <w:szCs w:val="20"/>
                <w:lang w:eastAsia="en-GB"/>
              </w:rPr>
            </w:pPr>
          </w:p>
        </w:tc>
        <w:tc>
          <w:tcPr>
            <w:tcW w:w="8306" w:type="dxa"/>
            <w:vAlign w:val="center"/>
          </w:tcPr>
          <w:p w14:paraId="745BA840" w14:textId="77777777" w:rsidR="00664D57" w:rsidRDefault="00664D57">
            <w:pPr>
              <w:jc w:val="both"/>
              <w:cnfStyle w:val="100000000000" w:firstRow="1" w:lastRow="0" w:firstColumn="0" w:lastColumn="0" w:oddVBand="0" w:evenVBand="0" w:oddHBand="0" w:evenHBand="0" w:firstRowFirstColumn="0" w:firstRowLastColumn="0" w:lastRowFirstColumn="0" w:lastRowLastColumn="0"/>
              <w:rPr>
                <w:rFonts w:ascii="Myriad Pro" w:eastAsia="Times New Roman" w:hAnsi="Myriad Pro" w:cs="Arial"/>
                <w:color w:val="000000"/>
                <w:sz w:val="20"/>
                <w:szCs w:val="20"/>
                <w:lang w:eastAsia="en-GB"/>
              </w:rPr>
            </w:pPr>
          </w:p>
        </w:tc>
      </w:tr>
      <w:tr w:rsidR="00664D57" w14:paraId="1280F32F" w14:textId="77777777" w:rsidTr="006D2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91B5527" w14:textId="77777777" w:rsidR="00664D57" w:rsidRPr="006D2A95" w:rsidRDefault="00664D57" w:rsidP="006D2A95">
            <w:pPr>
              <w:pStyle w:val="ListParagraph"/>
              <w:numPr>
                <w:ilvl w:val="0"/>
                <w:numId w:val="13"/>
              </w:numPr>
              <w:rPr>
                <w:rFonts w:ascii="Myriad Pro" w:eastAsia="Times New Roman" w:hAnsi="Myriad Pro" w:cs="Arial"/>
                <w:sz w:val="20"/>
                <w:szCs w:val="20"/>
                <w:lang w:eastAsia="en-GB"/>
              </w:rPr>
            </w:pPr>
          </w:p>
        </w:tc>
        <w:tc>
          <w:tcPr>
            <w:tcW w:w="8306" w:type="dxa"/>
            <w:vAlign w:val="center"/>
          </w:tcPr>
          <w:p w14:paraId="4B20F180" w14:textId="77777777" w:rsidR="00664D57" w:rsidRPr="006D2A95" w:rsidRDefault="00664D57" w:rsidP="006D2A95">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Myriad Pro Light" w:eastAsiaTheme="minorHAnsi" w:hAnsi="Myriad Pro Light" w:cstheme="minorBidi"/>
                <w:b/>
                <w:bCs/>
                <w:color w:val="ED7D31" w:themeColor="accent2"/>
                <w:lang w:eastAsia="en-US"/>
              </w:rPr>
            </w:pPr>
            <w:r w:rsidRPr="006D2A95">
              <w:rPr>
                <w:rFonts w:ascii="Myriad Pro Light" w:eastAsiaTheme="minorHAnsi" w:hAnsi="Myriad Pro Light" w:cstheme="minorBidi"/>
                <w:b/>
                <w:bCs/>
                <w:color w:val="ED7D31" w:themeColor="accent2"/>
                <w:lang w:eastAsia="en-US"/>
              </w:rPr>
              <w:t>Burosumab for X-linked Hypophosphatemia (XLH)</w:t>
            </w:r>
          </w:p>
          <w:p w14:paraId="49DDA838" w14:textId="77777777" w:rsidR="00664D57" w:rsidRPr="00573F53" w:rsidRDefault="00664D57" w:rsidP="00664D57">
            <w:pPr>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color w:val="000000"/>
                <w:sz w:val="20"/>
                <w:szCs w:val="20"/>
                <w:lang w:eastAsia="en-GB"/>
              </w:rPr>
            </w:pPr>
          </w:p>
          <w:p w14:paraId="578B5BB0" w14:textId="77777777" w:rsidR="00664D57" w:rsidRPr="00573F53" w:rsidRDefault="00664D57">
            <w:pPr>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bidi="th-TH"/>
              </w:rPr>
            </w:pPr>
            <w:r w:rsidRPr="00573F53">
              <w:rPr>
                <w:rFonts w:ascii="Myriad Pro" w:hAnsi="Myriad Pro"/>
                <w:sz w:val="20"/>
                <w:szCs w:val="20"/>
                <w:lang w:bidi="th-TH"/>
              </w:rPr>
              <w:t>XLH is a rare, progressive and lifelong phosphate wasting disease, which is primarily hereditary in origin. It usually presents early in childhood and frequently causes a range of debilitating clinical manifestations and symptoms. These symptoms can include rickets, lower-limb deformities, stunted growth, cranial synostosis, spontaneous dental abscesses, muscle weaknesses and impaired function, and occasionally, sensorineural hearing deficits and loss.</w:t>
            </w:r>
          </w:p>
          <w:p w14:paraId="189E787C" w14:textId="77777777" w:rsidR="00664D57" w:rsidRDefault="00664D57">
            <w:pPr>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color w:val="000000"/>
                <w:sz w:val="20"/>
                <w:szCs w:val="20"/>
                <w:lang w:eastAsia="en-GB"/>
              </w:rPr>
            </w:pPr>
          </w:p>
        </w:tc>
      </w:tr>
      <w:tr w:rsidR="00664D57" w14:paraId="6DC650DB" w14:textId="77777777" w:rsidTr="006D2A95">
        <w:tc>
          <w:tcPr>
            <w:cnfStyle w:val="001000000000" w:firstRow="0" w:lastRow="0" w:firstColumn="1" w:lastColumn="0" w:oddVBand="0" w:evenVBand="0" w:oddHBand="0" w:evenHBand="0" w:firstRowFirstColumn="0" w:firstRowLastColumn="0" w:lastRowFirstColumn="0" w:lastRowLastColumn="0"/>
            <w:tcW w:w="704" w:type="dxa"/>
            <w:vAlign w:val="center"/>
          </w:tcPr>
          <w:p w14:paraId="77FE0625" w14:textId="77777777" w:rsidR="00664D57" w:rsidRPr="006D2A95" w:rsidRDefault="00664D57" w:rsidP="006D2A95">
            <w:pPr>
              <w:pStyle w:val="ListParagraph"/>
              <w:numPr>
                <w:ilvl w:val="0"/>
                <w:numId w:val="13"/>
              </w:numPr>
              <w:rPr>
                <w:rFonts w:ascii="Myriad Pro" w:eastAsia="Times New Roman" w:hAnsi="Myriad Pro" w:cs="Arial"/>
                <w:sz w:val="20"/>
                <w:szCs w:val="20"/>
                <w:lang w:eastAsia="en-GB"/>
              </w:rPr>
            </w:pPr>
          </w:p>
        </w:tc>
        <w:tc>
          <w:tcPr>
            <w:tcW w:w="8306" w:type="dxa"/>
            <w:vAlign w:val="center"/>
          </w:tcPr>
          <w:p w14:paraId="2D3E56BE" w14:textId="77777777" w:rsidR="00664D57" w:rsidRPr="006D2A95" w:rsidRDefault="00664D57" w:rsidP="006D2A95">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Myriad Pro Light" w:eastAsiaTheme="minorHAnsi" w:hAnsi="Myriad Pro Light" w:cstheme="minorBidi"/>
                <w:b/>
                <w:bCs/>
                <w:color w:val="ED7D31" w:themeColor="accent2"/>
                <w:lang w:eastAsia="en-US"/>
              </w:rPr>
            </w:pPr>
            <w:r w:rsidRPr="006D2A95">
              <w:rPr>
                <w:rFonts w:ascii="Myriad Pro Light" w:eastAsiaTheme="minorHAnsi" w:hAnsi="Myriad Pro Light" w:cstheme="minorBidi"/>
                <w:b/>
                <w:bCs/>
                <w:color w:val="ED7D31" w:themeColor="accent2"/>
                <w:lang w:eastAsia="en-US"/>
              </w:rPr>
              <w:t>Mogamulizumab for Mycosis Fungoides (MF) and Sézary Syndrome (SS)</w:t>
            </w:r>
          </w:p>
          <w:p w14:paraId="4B92877F" w14:textId="77777777" w:rsidR="00664D57" w:rsidRPr="00573F53" w:rsidRDefault="00664D57" w:rsidP="00664D57">
            <w:pPr>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color w:val="000000"/>
                <w:sz w:val="20"/>
                <w:szCs w:val="20"/>
                <w:lang w:eastAsia="en-GB"/>
              </w:rPr>
            </w:pPr>
          </w:p>
          <w:p w14:paraId="4F64F01F" w14:textId="77777777" w:rsidR="00664D57" w:rsidRPr="00573F53" w:rsidRDefault="00664D57">
            <w:pPr>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lang w:bidi="th-TH"/>
              </w:rPr>
            </w:pPr>
            <w:r w:rsidRPr="00573F53">
              <w:rPr>
                <w:rFonts w:ascii="Myriad Pro" w:hAnsi="Myriad Pro"/>
                <w:sz w:val="20"/>
                <w:szCs w:val="20"/>
                <w:lang w:bidi="th-TH"/>
              </w:rPr>
              <w:t>MF and SS are the two predominant subtypes of Cutaneous T-Cell Lymphoma (CTCL), a form of blood cancer which presents primarily in the skin. CTCL typically causes severe itching, discomfort, infection, and visible rash, and leading to significantly diminished quality of life, as well as premature mortality.</w:t>
            </w:r>
          </w:p>
          <w:p w14:paraId="673EC2DC" w14:textId="77777777" w:rsidR="00664D57" w:rsidRDefault="00664D57">
            <w:pPr>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color w:val="000000"/>
                <w:sz w:val="20"/>
                <w:szCs w:val="20"/>
                <w:lang w:eastAsia="en-GB"/>
              </w:rPr>
            </w:pPr>
          </w:p>
        </w:tc>
      </w:tr>
    </w:tbl>
    <w:p w14:paraId="48C84424" w14:textId="77777777" w:rsidR="00664D57" w:rsidRPr="00573F53" w:rsidRDefault="00664D57" w:rsidP="00664D57">
      <w:pPr>
        <w:jc w:val="both"/>
        <w:rPr>
          <w:rFonts w:ascii="Myriad Pro" w:eastAsia="Times New Roman" w:hAnsi="Myriad Pro" w:cs="Arial"/>
          <w:color w:val="000000"/>
          <w:sz w:val="20"/>
          <w:szCs w:val="20"/>
          <w:lang w:val="en-AU" w:eastAsia="en-GB"/>
        </w:rPr>
      </w:pPr>
    </w:p>
    <w:p w14:paraId="658AB4A7" w14:textId="757BFE74" w:rsidR="006D2A95" w:rsidRDefault="006D2A95">
      <w:pPr>
        <w:rPr>
          <w:rFonts w:ascii="Myriad Pro" w:eastAsia="Times New Roman" w:hAnsi="Myriad Pro" w:cs="Arial"/>
          <w:color w:val="000000"/>
          <w:sz w:val="20"/>
          <w:szCs w:val="20"/>
          <w:lang w:val="en-AU" w:eastAsia="en-GB"/>
        </w:rPr>
      </w:pPr>
      <w:r>
        <w:rPr>
          <w:rFonts w:ascii="Myriad Pro" w:eastAsia="Times New Roman" w:hAnsi="Myriad Pro" w:cs="Arial"/>
          <w:color w:val="000000"/>
          <w:sz w:val="20"/>
          <w:szCs w:val="20"/>
          <w:lang w:val="en-AU" w:eastAsia="en-GB"/>
        </w:rPr>
        <w:br w:type="page"/>
      </w:r>
    </w:p>
    <w:p w14:paraId="3B219214" w14:textId="77777777" w:rsidR="006D2A95" w:rsidRDefault="006D2A95" w:rsidP="006D2A95">
      <w:pPr>
        <w:jc w:val="both"/>
        <w:rPr>
          <w:rFonts w:ascii="Myriad Pro" w:hAnsi="Myriad Pro"/>
          <w:sz w:val="20"/>
          <w:szCs w:val="20"/>
          <w:lang w:val="en-AU" w:bidi="th-TH"/>
        </w:rPr>
      </w:pPr>
    </w:p>
    <w:p w14:paraId="0EDC1A63" w14:textId="12FE26C2" w:rsidR="006D2A95" w:rsidRDefault="006D2A95" w:rsidP="006D2A95">
      <w:pPr>
        <w:jc w:val="both"/>
        <w:rPr>
          <w:rFonts w:ascii="Myriad Pro" w:hAnsi="Myriad Pro"/>
          <w:sz w:val="20"/>
          <w:szCs w:val="20"/>
          <w:lang w:val="en-AU" w:bidi="th-TH"/>
        </w:rPr>
      </w:pPr>
      <w:r>
        <w:rPr>
          <w:rFonts w:ascii="Myriad Pro" w:hAnsi="Myriad Pro"/>
          <w:sz w:val="20"/>
          <w:szCs w:val="20"/>
          <w:lang w:val="en-AU" w:bidi="th-TH"/>
        </w:rPr>
        <w:t xml:space="preserve">Kyowa Kirin welcomed the Australian Government’s 2020 Budget Commitment which </w:t>
      </w:r>
      <w:r w:rsidRPr="00942329">
        <w:rPr>
          <w:rFonts w:ascii="Myriad Pro" w:hAnsi="Myriad Pro"/>
          <w:sz w:val="20"/>
          <w:szCs w:val="20"/>
          <w:lang w:val="en-AU" w:bidi="th-TH"/>
        </w:rPr>
        <w:t xml:space="preserve">guaranteed </w:t>
      </w:r>
      <w:r>
        <w:rPr>
          <w:rFonts w:ascii="Myriad Pro" w:hAnsi="Myriad Pro"/>
          <w:sz w:val="20"/>
          <w:szCs w:val="20"/>
          <w:lang w:val="en-AU" w:bidi="th-TH"/>
        </w:rPr>
        <w:t xml:space="preserve">a </w:t>
      </w:r>
      <w:r w:rsidRPr="00942329">
        <w:rPr>
          <w:rFonts w:ascii="Myriad Pro" w:hAnsi="Myriad Pro"/>
          <w:sz w:val="20"/>
          <w:szCs w:val="20"/>
          <w:lang w:val="en-AU" w:bidi="th-TH"/>
        </w:rPr>
        <w:t>PBS new medicines funding commitment</w:t>
      </w:r>
      <w:r>
        <w:rPr>
          <w:rFonts w:ascii="Myriad Pro" w:hAnsi="Myriad Pro"/>
          <w:sz w:val="20"/>
          <w:szCs w:val="20"/>
          <w:lang w:val="en-AU" w:bidi="th-TH"/>
        </w:rPr>
        <w:t>, signalling</w:t>
      </w:r>
      <w:r w:rsidRPr="00942329">
        <w:rPr>
          <w:rFonts w:ascii="Myriad Pro" w:hAnsi="Myriad Pro"/>
          <w:sz w:val="20"/>
          <w:szCs w:val="20"/>
          <w:lang w:val="en-AU" w:bidi="th-TH"/>
        </w:rPr>
        <w:t xml:space="preserve"> a new </w:t>
      </w:r>
      <w:r>
        <w:rPr>
          <w:rFonts w:ascii="Myriad Pro" w:hAnsi="Myriad Pro"/>
          <w:sz w:val="20"/>
          <w:szCs w:val="20"/>
          <w:lang w:val="en-AU" w:bidi="th-TH"/>
        </w:rPr>
        <w:t>era</w:t>
      </w:r>
      <w:r w:rsidRPr="00942329">
        <w:rPr>
          <w:rFonts w:ascii="Myriad Pro" w:hAnsi="Myriad Pro"/>
          <w:sz w:val="20"/>
          <w:szCs w:val="20"/>
          <w:lang w:val="en-AU" w:bidi="th-TH"/>
        </w:rPr>
        <w:t xml:space="preserve"> of </w:t>
      </w:r>
      <w:r>
        <w:rPr>
          <w:rFonts w:ascii="Myriad Pro" w:hAnsi="Myriad Pro"/>
          <w:sz w:val="20"/>
          <w:szCs w:val="20"/>
          <w:lang w:val="en-AU" w:bidi="th-TH"/>
        </w:rPr>
        <w:t>further</w:t>
      </w:r>
      <w:r w:rsidRPr="00942329">
        <w:rPr>
          <w:rFonts w:ascii="Myriad Pro" w:hAnsi="Myriad Pro"/>
          <w:sz w:val="20"/>
          <w:szCs w:val="20"/>
          <w:lang w:val="en-AU" w:bidi="th-TH"/>
        </w:rPr>
        <w:t xml:space="preserve"> certainty for Australian patients in accessing new</w:t>
      </w:r>
      <w:r>
        <w:rPr>
          <w:rFonts w:ascii="Myriad Pro" w:hAnsi="Myriad Pro"/>
          <w:sz w:val="20"/>
          <w:szCs w:val="20"/>
          <w:lang w:val="en-AU" w:bidi="th-TH"/>
        </w:rPr>
        <w:t xml:space="preserve"> and </w:t>
      </w:r>
      <w:r w:rsidRPr="00942329">
        <w:rPr>
          <w:rFonts w:ascii="Myriad Pro" w:hAnsi="Myriad Pro"/>
          <w:sz w:val="20"/>
          <w:szCs w:val="20"/>
          <w:lang w:val="en-AU" w:bidi="th-TH"/>
        </w:rPr>
        <w:t xml:space="preserve">innovative </w:t>
      </w:r>
      <w:r>
        <w:rPr>
          <w:rFonts w:ascii="Myriad Pro" w:hAnsi="Myriad Pro"/>
          <w:sz w:val="20"/>
          <w:szCs w:val="20"/>
          <w:lang w:val="en-AU" w:bidi="th-TH"/>
        </w:rPr>
        <w:t xml:space="preserve">therapies.  </w:t>
      </w:r>
    </w:p>
    <w:p w14:paraId="2CECFD64" w14:textId="77777777" w:rsidR="006D2A95" w:rsidRDefault="006D2A95" w:rsidP="006D2A95">
      <w:pPr>
        <w:jc w:val="both"/>
        <w:rPr>
          <w:rFonts w:ascii="Myriad Pro" w:hAnsi="Myriad Pro"/>
          <w:sz w:val="20"/>
          <w:szCs w:val="20"/>
          <w:lang w:val="en-AU" w:bidi="th-TH"/>
        </w:rPr>
      </w:pPr>
    </w:p>
    <w:p w14:paraId="1AC1AC5D" w14:textId="77777777" w:rsidR="006D2A95" w:rsidRPr="00573F53" w:rsidRDefault="006D2A95" w:rsidP="006D2A95">
      <w:pPr>
        <w:jc w:val="both"/>
        <w:rPr>
          <w:rFonts w:ascii="Myriad Pro" w:hAnsi="Myriad Pro"/>
          <w:sz w:val="20"/>
          <w:szCs w:val="20"/>
          <w:lang w:val="en-AU" w:bidi="th-TH"/>
        </w:rPr>
      </w:pPr>
      <w:r>
        <w:rPr>
          <w:rFonts w:ascii="Myriad Pro" w:hAnsi="Myriad Pro"/>
          <w:sz w:val="20"/>
          <w:szCs w:val="20"/>
          <w:lang w:val="en-AU" w:bidi="th-TH"/>
        </w:rPr>
        <w:t xml:space="preserve">We congratulate the Australian Government’s commitment of </w:t>
      </w:r>
      <w:r w:rsidRPr="00942329">
        <w:rPr>
          <w:rFonts w:ascii="Myriad Pro" w:hAnsi="Myriad Pro"/>
          <w:sz w:val="20"/>
          <w:szCs w:val="20"/>
          <w:lang w:val="en-AU" w:bidi="th-TH"/>
        </w:rPr>
        <w:t xml:space="preserve">$2.8 billion over </w:t>
      </w:r>
      <w:r>
        <w:rPr>
          <w:rFonts w:ascii="Myriad Pro" w:hAnsi="Myriad Pro"/>
          <w:sz w:val="20"/>
          <w:szCs w:val="20"/>
          <w:lang w:val="en-AU" w:bidi="th-TH"/>
        </w:rPr>
        <w:t>four (</w:t>
      </w:r>
      <w:r w:rsidRPr="00942329">
        <w:rPr>
          <w:rFonts w:ascii="Myriad Pro" w:hAnsi="Myriad Pro"/>
          <w:sz w:val="20"/>
          <w:szCs w:val="20"/>
          <w:lang w:val="en-AU" w:bidi="th-TH"/>
        </w:rPr>
        <w:t>4</w:t>
      </w:r>
      <w:r>
        <w:rPr>
          <w:rFonts w:ascii="Myriad Pro" w:hAnsi="Myriad Pro"/>
          <w:sz w:val="20"/>
          <w:szCs w:val="20"/>
          <w:lang w:val="en-AU" w:bidi="th-TH"/>
        </w:rPr>
        <w:t>)</w:t>
      </w:r>
      <w:r w:rsidRPr="00942329">
        <w:rPr>
          <w:rFonts w:ascii="Myriad Pro" w:hAnsi="Myriad Pro"/>
          <w:sz w:val="20"/>
          <w:szCs w:val="20"/>
          <w:lang w:val="en-AU" w:bidi="th-TH"/>
        </w:rPr>
        <w:t xml:space="preserve"> years</w:t>
      </w:r>
      <w:r>
        <w:rPr>
          <w:rFonts w:ascii="Myriad Pro" w:hAnsi="Myriad Pro"/>
          <w:sz w:val="20"/>
          <w:szCs w:val="20"/>
          <w:lang w:val="en-AU" w:bidi="th-TH"/>
        </w:rPr>
        <w:t xml:space="preserve"> and for removing the</w:t>
      </w:r>
      <w:r w:rsidRPr="00942329">
        <w:rPr>
          <w:rFonts w:ascii="Myriad Pro" w:hAnsi="Myriad Pro"/>
          <w:sz w:val="20"/>
          <w:szCs w:val="20"/>
          <w:lang w:val="en-AU" w:bidi="th-TH"/>
        </w:rPr>
        <w:t xml:space="preserve"> requirement for cost offsets for new medicine listings on the PBS.</w:t>
      </w:r>
      <w:r>
        <w:rPr>
          <w:rFonts w:ascii="Myriad Pro" w:hAnsi="Myriad Pro"/>
          <w:sz w:val="20"/>
          <w:szCs w:val="20"/>
          <w:lang w:val="en-AU" w:bidi="th-TH"/>
        </w:rPr>
        <w:t xml:space="preserve">   It is in this context that</w:t>
      </w:r>
      <w:r w:rsidRPr="00573F53">
        <w:rPr>
          <w:rFonts w:ascii="Myriad Pro" w:hAnsi="Myriad Pro"/>
          <w:sz w:val="20"/>
          <w:szCs w:val="20"/>
          <w:lang w:val="en-AU" w:bidi="th-TH"/>
        </w:rPr>
        <w:t xml:space="preserve"> Kyowa Kirin Australia make the following recommendations for the </w:t>
      </w:r>
      <w:r>
        <w:rPr>
          <w:rFonts w:ascii="Myriad Pro" w:hAnsi="Myriad Pro"/>
          <w:sz w:val="20"/>
          <w:szCs w:val="20"/>
          <w:lang w:val="en-AU" w:bidi="th-TH"/>
        </w:rPr>
        <w:t xml:space="preserve">Australian </w:t>
      </w:r>
      <w:r w:rsidRPr="00573F53">
        <w:rPr>
          <w:rFonts w:ascii="Myriad Pro" w:hAnsi="Myriad Pro"/>
          <w:sz w:val="20"/>
          <w:szCs w:val="20"/>
          <w:lang w:val="en-AU" w:bidi="th-TH"/>
        </w:rPr>
        <w:t xml:space="preserve">Government’s consideration for inclusion in the 2021-22 </w:t>
      </w:r>
      <w:r>
        <w:rPr>
          <w:rFonts w:ascii="Myriad Pro" w:hAnsi="Myriad Pro"/>
          <w:sz w:val="20"/>
          <w:szCs w:val="20"/>
          <w:lang w:val="en-AU" w:bidi="th-TH"/>
        </w:rPr>
        <w:t>Federal B</w:t>
      </w:r>
      <w:r w:rsidRPr="00573F53">
        <w:rPr>
          <w:rFonts w:ascii="Myriad Pro" w:hAnsi="Myriad Pro"/>
          <w:sz w:val="20"/>
          <w:szCs w:val="20"/>
          <w:lang w:val="en-AU" w:bidi="th-TH"/>
        </w:rPr>
        <w:t xml:space="preserve">udget. </w:t>
      </w:r>
    </w:p>
    <w:p w14:paraId="30DD9829" w14:textId="77777777" w:rsidR="007A7FD1" w:rsidRPr="00573F53" w:rsidRDefault="007A7FD1">
      <w:pPr>
        <w:jc w:val="both"/>
        <w:rPr>
          <w:rFonts w:ascii="Myriad Pro" w:eastAsia="Times New Roman" w:hAnsi="Myriad Pro" w:cs="Arial"/>
          <w:color w:val="000000"/>
          <w:sz w:val="20"/>
          <w:szCs w:val="20"/>
          <w:lang w:val="en-AU" w:eastAsia="en-GB"/>
        </w:rPr>
      </w:pPr>
    </w:p>
    <w:tbl>
      <w:tblPr>
        <w:tblStyle w:val="GridTable5Dark-Accent2"/>
        <w:tblW w:w="9122" w:type="dxa"/>
        <w:tblLook w:val="04A0" w:firstRow="1" w:lastRow="0" w:firstColumn="1" w:lastColumn="0" w:noHBand="0" w:noVBand="1"/>
      </w:tblPr>
      <w:tblGrid>
        <w:gridCol w:w="753"/>
        <w:gridCol w:w="8369"/>
      </w:tblGrid>
      <w:tr w:rsidR="000E7DB9" w:rsidRPr="00573F53" w14:paraId="3D667BE4" w14:textId="77777777" w:rsidTr="007B0220">
        <w:trPr>
          <w:cnfStyle w:val="100000000000" w:firstRow="1" w:lastRow="0" w:firstColumn="0" w:lastColumn="0" w:oddVBand="0" w:evenVBand="0" w:oddHBand="0"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753" w:type="dxa"/>
            <w:vAlign w:val="center"/>
          </w:tcPr>
          <w:p w14:paraId="50725F24" w14:textId="0486520C" w:rsidR="000E7DB9" w:rsidRPr="00573F53" w:rsidRDefault="000E7DB9" w:rsidP="006D2A95">
            <w:pPr>
              <w:pStyle w:val="NoSpacing"/>
              <w:jc w:val="both"/>
              <w:rPr>
                <w:rFonts w:ascii="Myriad Pro" w:hAnsi="Myriad Pro" w:cs="Arial"/>
                <w:sz w:val="20"/>
                <w:szCs w:val="20"/>
              </w:rPr>
            </w:pPr>
          </w:p>
        </w:tc>
        <w:tc>
          <w:tcPr>
            <w:tcW w:w="8369" w:type="dxa"/>
            <w:vAlign w:val="center"/>
          </w:tcPr>
          <w:p w14:paraId="4EB8CDE8" w14:textId="5CC66EA6" w:rsidR="000E7DB9" w:rsidRPr="00573F53" w:rsidRDefault="000E7DB9" w:rsidP="006D2A95">
            <w:pPr>
              <w:pStyle w:val="NoSpacing"/>
              <w:jc w:val="both"/>
              <w:cnfStyle w:val="100000000000" w:firstRow="1" w:lastRow="0" w:firstColumn="0" w:lastColumn="0" w:oddVBand="0" w:evenVBand="0" w:oddHBand="0" w:evenHBand="0" w:firstRowFirstColumn="0" w:firstRowLastColumn="0" w:lastRowFirstColumn="0" w:lastRowLastColumn="0"/>
              <w:rPr>
                <w:rFonts w:ascii="Myriad Pro" w:hAnsi="Myriad Pro" w:cs="Arial"/>
                <w:sz w:val="20"/>
                <w:szCs w:val="20"/>
              </w:rPr>
            </w:pPr>
            <w:r w:rsidRPr="00573F53">
              <w:rPr>
                <w:rFonts w:ascii="Myriad Pro" w:hAnsi="Myriad Pro" w:cs="Arial"/>
                <w:sz w:val="20"/>
                <w:szCs w:val="20"/>
              </w:rPr>
              <w:t>KYOWA KIRIN RECOMMENDATION</w:t>
            </w:r>
          </w:p>
        </w:tc>
      </w:tr>
      <w:tr w:rsidR="000E7DB9" w:rsidRPr="00573F53" w14:paraId="697C00E8" w14:textId="77777777" w:rsidTr="007B0220">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753" w:type="dxa"/>
            <w:vAlign w:val="center"/>
          </w:tcPr>
          <w:p w14:paraId="1FABBDA3" w14:textId="77777777" w:rsidR="000E7DB9" w:rsidRPr="00573F53" w:rsidRDefault="000E7DB9" w:rsidP="006D2A95">
            <w:pPr>
              <w:pStyle w:val="NoSpacing"/>
              <w:numPr>
                <w:ilvl w:val="0"/>
                <w:numId w:val="5"/>
              </w:numPr>
              <w:jc w:val="both"/>
              <w:rPr>
                <w:rFonts w:ascii="Myriad Pro" w:hAnsi="Myriad Pro" w:cs="Arial"/>
                <w:sz w:val="20"/>
                <w:szCs w:val="20"/>
              </w:rPr>
            </w:pPr>
          </w:p>
        </w:tc>
        <w:tc>
          <w:tcPr>
            <w:tcW w:w="8369" w:type="dxa"/>
            <w:vAlign w:val="center"/>
          </w:tcPr>
          <w:p w14:paraId="1A96C798" w14:textId="367CA3E5" w:rsidR="000E7DB9" w:rsidRPr="00573F53" w:rsidRDefault="000E7DB9" w:rsidP="006D2A95">
            <w:pPr>
              <w:pStyle w:val="NoSpacing"/>
              <w:jc w:val="both"/>
              <w:cnfStyle w:val="000000100000" w:firstRow="0" w:lastRow="0" w:firstColumn="0" w:lastColumn="0" w:oddVBand="0" w:evenVBand="0" w:oddHBand="1" w:evenHBand="0" w:firstRowFirstColumn="0" w:firstRowLastColumn="0" w:lastRowFirstColumn="0" w:lastRowLastColumn="0"/>
              <w:rPr>
                <w:rFonts w:ascii="Myriad Pro" w:hAnsi="Myriad Pro" w:cs="Arial"/>
                <w:sz w:val="20"/>
                <w:szCs w:val="20"/>
              </w:rPr>
            </w:pPr>
            <w:r w:rsidRPr="00573F53">
              <w:rPr>
                <w:rFonts w:ascii="Myriad Pro" w:eastAsia="Times New Roman" w:hAnsi="Myriad Pro" w:cs="Arial"/>
                <w:color w:val="000000"/>
                <w:sz w:val="20"/>
                <w:szCs w:val="20"/>
                <w:lang w:eastAsia="en-GB"/>
              </w:rPr>
              <w:t xml:space="preserve">That the Australian Government </w:t>
            </w:r>
            <w:r w:rsidR="00942329">
              <w:rPr>
                <w:rFonts w:ascii="Myriad Pro" w:eastAsia="Times New Roman" w:hAnsi="Myriad Pro" w:cs="Arial"/>
                <w:color w:val="000000"/>
                <w:sz w:val="20"/>
                <w:szCs w:val="20"/>
                <w:lang w:eastAsia="en-GB"/>
              </w:rPr>
              <w:t>considers</w:t>
            </w:r>
            <w:r w:rsidR="00942329" w:rsidRPr="00573F53">
              <w:rPr>
                <w:rFonts w:ascii="Myriad Pro" w:eastAsia="Times New Roman" w:hAnsi="Myriad Pro" w:cs="Arial"/>
                <w:color w:val="000000"/>
                <w:sz w:val="20"/>
                <w:szCs w:val="20"/>
                <w:lang w:eastAsia="en-GB"/>
              </w:rPr>
              <w:t xml:space="preserve"> </w:t>
            </w:r>
            <w:r w:rsidRPr="00573F53">
              <w:rPr>
                <w:rFonts w:ascii="Myriad Pro" w:eastAsia="Times New Roman" w:hAnsi="Myriad Pro" w:cs="Arial"/>
                <w:color w:val="000000"/>
                <w:sz w:val="20"/>
                <w:szCs w:val="20"/>
                <w:lang w:eastAsia="en-GB"/>
              </w:rPr>
              <w:t xml:space="preserve">investing in a Highly Specialised Technologies (HST) pathway for </w:t>
            </w:r>
            <w:r w:rsidR="00360C95">
              <w:rPr>
                <w:rFonts w:ascii="Myriad Pro" w:eastAsia="Times New Roman" w:hAnsi="Myriad Pro" w:cs="Arial"/>
                <w:color w:val="000000"/>
                <w:sz w:val="20"/>
                <w:szCs w:val="20"/>
                <w:lang w:eastAsia="en-GB"/>
              </w:rPr>
              <w:t xml:space="preserve">novel </w:t>
            </w:r>
            <w:r w:rsidRPr="00573F53">
              <w:rPr>
                <w:rFonts w:ascii="Myriad Pro" w:eastAsia="Times New Roman" w:hAnsi="Myriad Pro" w:cs="Arial"/>
                <w:color w:val="000000"/>
                <w:sz w:val="20"/>
                <w:szCs w:val="20"/>
                <w:lang w:eastAsia="en-GB"/>
              </w:rPr>
              <w:t>therapies addressing unmet needs</w:t>
            </w:r>
            <w:r w:rsidR="00360C95">
              <w:rPr>
                <w:rFonts w:ascii="Myriad Pro" w:eastAsia="Times New Roman" w:hAnsi="Myriad Pro" w:cs="Arial"/>
                <w:color w:val="000000"/>
                <w:sz w:val="20"/>
                <w:szCs w:val="20"/>
                <w:lang w:eastAsia="en-GB"/>
              </w:rPr>
              <w:t xml:space="preserve"> in rare diseases</w:t>
            </w:r>
          </w:p>
        </w:tc>
      </w:tr>
      <w:tr w:rsidR="00942329" w:rsidRPr="00573F53" w14:paraId="1B0410D7" w14:textId="77777777" w:rsidTr="00455B83">
        <w:trPr>
          <w:trHeight w:val="702"/>
        </w:trPr>
        <w:tc>
          <w:tcPr>
            <w:cnfStyle w:val="001000000000" w:firstRow="0" w:lastRow="0" w:firstColumn="1" w:lastColumn="0" w:oddVBand="0" w:evenVBand="0" w:oddHBand="0" w:evenHBand="0" w:firstRowFirstColumn="0" w:firstRowLastColumn="0" w:lastRowFirstColumn="0" w:lastRowLastColumn="0"/>
            <w:tcW w:w="753" w:type="dxa"/>
            <w:vAlign w:val="center"/>
          </w:tcPr>
          <w:p w14:paraId="6E6C4AF0" w14:textId="77777777" w:rsidR="00942329" w:rsidRPr="00573F53" w:rsidRDefault="00942329" w:rsidP="006D2A95">
            <w:pPr>
              <w:pStyle w:val="NoSpacing"/>
              <w:numPr>
                <w:ilvl w:val="0"/>
                <w:numId w:val="5"/>
              </w:numPr>
              <w:jc w:val="both"/>
              <w:rPr>
                <w:rFonts w:ascii="Myriad Pro" w:hAnsi="Myriad Pro" w:cs="Arial"/>
                <w:sz w:val="20"/>
                <w:szCs w:val="20"/>
              </w:rPr>
            </w:pPr>
          </w:p>
        </w:tc>
        <w:tc>
          <w:tcPr>
            <w:tcW w:w="8369" w:type="dxa"/>
            <w:vAlign w:val="center"/>
          </w:tcPr>
          <w:p w14:paraId="4B83D15F" w14:textId="77777777" w:rsidR="00942329" w:rsidRPr="00573F53" w:rsidRDefault="00942329" w:rsidP="006D2A95">
            <w:pPr>
              <w:pStyle w:val="NoSpacing"/>
              <w:jc w:val="both"/>
              <w:cnfStyle w:val="000000000000" w:firstRow="0" w:lastRow="0" w:firstColumn="0" w:lastColumn="0" w:oddVBand="0" w:evenVBand="0" w:oddHBand="0" w:evenHBand="0" w:firstRowFirstColumn="0" w:firstRowLastColumn="0" w:lastRowFirstColumn="0" w:lastRowLastColumn="0"/>
              <w:rPr>
                <w:rFonts w:ascii="Myriad Pro" w:hAnsi="Myriad Pro" w:cs="Arial"/>
                <w:sz w:val="20"/>
                <w:szCs w:val="20"/>
              </w:rPr>
            </w:pPr>
            <w:r>
              <w:rPr>
                <w:rFonts w:ascii="Myriad Pro" w:hAnsi="Myriad Pro" w:cs="Arial"/>
                <w:sz w:val="20"/>
                <w:szCs w:val="20"/>
              </w:rPr>
              <w:t>That the Australian Government acknowledge the severity of Cutaneous T-cell lymphoma and X-linked H</w:t>
            </w:r>
            <w:r w:rsidRPr="007B0220">
              <w:rPr>
                <w:rFonts w:ascii="Myriad Pro" w:hAnsi="Myriad Pro" w:cs="Arial"/>
                <w:sz w:val="20"/>
                <w:szCs w:val="20"/>
              </w:rPr>
              <w:t>ypophosphataemia</w:t>
            </w:r>
          </w:p>
        </w:tc>
      </w:tr>
      <w:tr w:rsidR="000E7DB9" w:rsidRPr="00573F53" w14:paraId="271C865C" w14:textId="77777777" w:rsidTr="007B0220">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753" w:type="dxa"/>
            <w:vAlign w:val="center"/>
          </w:tcPr>
          <w:p w14:paraId="553BAE61" w14:textId="77777777" w:rsidR="000E7DB9" w:rsidRPr="00573F53" w:rsidRDefault="000E7DB9" w:rsidP="006D2A95">
            <w:pPr>
              <w:pStyle w:val="NoSpacing"/>
              <w:numPr>
                <w:ilvl w:val="0"/>
                <w:numId w:val="5"/>
              </w:numPr>
              <w:jc w:val="both"/>
              <w:rPr>
                <w:rFonts w:ascii="Myriad Pro" w:hAnsi="Myriad Pro" w:cs="Arial"/>
                <w:sz w:val="20"/>
                <w:szCs w:val="20"/>
              </w:rPr>
            </w:pPr>
          </w:p>
        </w:tc>
        <w:tc>
          <w:tcPr>
            <w:tcW w:w="8369" w:type="dxa"/>
            <w:vAlign w:val="center"/>
          </w:tcPr>
          <w:p w14:paraId="6D9DA0DE" w14:textId="3412B730" w:rsidR="000E7DB9" w:rsidRPr="00573F53" w:rsidRDefault="000E7DB9" w:rsidP="006D2A95">
            <w:pPr>
              <w:pStyle w:val="NoSpacing"/>
              <w:jc w:val="both"/>
              <w:cnfStyle w:val="000000100000" w:firstRow="0" w:lastRow="0" w:firstColumn="0" w:lastColumn="0" w:oddVBand="0" w:evenVBand="0" w:oddHBand="1" w:evenHBand="0" w:firstRowFirstColumn="0" w:firstRowLastColumn="0" w:lastRowFirstColumn="0" w:lastRowLastColumn="0"/>
              <w:rPr>
                <w:rFonts w:ascii="Myriad Pro" w:hAnsi="Myriad Pro" w:cs="Arial"/>
                <w:sz w:val="20"/>
                <w:szCs w:val="20"/>
              </w:rPr>
            </w:pPr>
            <w:r w:rsidRPr="00573F53">
              <w:rPr>
                <w:rFonts w:ascii="Myriad Pro" w:hAnsi="Myriad Pro" w:cs="Arial"/>
                <w:sz w:val="20"/>
                <w:szCs w:val="20"/>
              </w:rPr>
              <w:t>That the Australian Government continues to invest in clinical trials</w:t>
            </w:r>
            <w:r w:rsidR="003F0305">
              <w:rPr>
                <w:rFonts w:ascii="Myriad Pro" w:hAnsi="Myriad Pro" w:cs="Arial"/>
                <w:sz w:val="20"/>
                <w:szCs w:val="20"/>
              </w:rPr>
              <w:t xml:space="preserve"> and recognises the important role they play in ensuring Australian patients have access to new treatments for rare cancers</w:t>
            </w:r>
          </w:p>
        </w:tc>
      </w:tr>
    </w:tbl>
    <w:p w14:paraId="14BCCFF9" w14:textId="2A833570" w:rsidR="007A7FD1" w:rsidRPr="00573F53" w:rsidRDefault="007A7FD1" w:rsidP="00664D57">
      <w:pPr>
        <w:jc w:val="both"/>
        <w:rPr>
          <w:rFonts w:ascii="Myriad Pro" w:eastAsia="Times New Roman" w:hAnsi="Myriad Pro" w:cs="Arial"/>
          <w:color w:val="000000"/>
          <w:sz w:val="20"/>
          <w:szCs w:val="20"/>
          <w:lang w:val="en-AU" w:eastAsia="en-GB"/>
        </w:rPr>
      </w:pPr>
    </w:p>
    <w:p w14:paraId="06A5C316" w14:textId="4FFB6F29" w:rsidR="007A7FD1" w:rsidRPr="009427BE" w:rsidRDefault="00947C56">
      <w:pPr>
        <w:jc w:val="both"/>
        <w:rPr>
          <w:rFonts w:ascii="Myriad Pro Light" w:hAnsi="Myriad Pro Light"/>
          <w:color w:val="ED7D31" w:themeColor="accent2"/>
          <w:sz w:val="32"/>
          <w:szCs w:val="32"/>
          <w:lang w:val="en-AU" w:bidi="th-TH"/>
        </w:rPr>
      </w:pPr>
      <w:r w:rsidRPr="009427BE">
        <w:rPr>
          <w:rFonts w:ascii="Myriad Pro Light" w:hAnsi="Myriad Pro Light"/>
          <w:color w:val="ED7D31" w:themeColor="accent2"/>
          <w:sz w:val="32"/>
          <w:szCs w:val="32"/>
          <w:lang w:val="en-AU" w:bidi="th-TH"/>
        </w:rPr>
        <w:t>Recommendation 1</w:t>
      </w:r>
      <w:r w:rsidR="00942329">
        <w:rPr>
          <w:rFonts w:ascii="Myriad Pro Light" w:hAnsi="Myriad Pro Light"/>
          <w:color w:val="ED7D31" w:themeColor="accent2"/>
          <w:sz w:val="32"/>
          <w:szCs w:val="32"/>
          <w:lang w:val="en-AU" w:bidi="th-TH"/>
        </w:rPr>
        <w:t xml:space="preserve">: </w:t>
      </w:r>
      <w:r w:rsidR="00942329" w:rsidRPr="00942329">
        <w:rPr>
          <w:rFonts w:ascii="Myriad Pro Light" w:hAnsi="Myriad Pro Light"/>
          <w:color w:val="ED7D31" w:themeColor="accent2"/>
          <w:sz w:val="32"/>
          <w:szCs w:val="32"/>
          <w:lang w:val="en-AU" w:bidi="th-TH"/>
        </w:rPr>
        <w:t xml:space="preserve">That the Australian Government investigates investing in a Highly Specialised Technologies (HST) pathway for </w:t>
      </w:r>
      <w:r w:rsidR="00664D57">
        <w:rPr>
          <w:rFonts w:ascii="Myriad Pro Light" w:hAnsi="Myriad Pro Light"/>
          <w:color w:val="ED7D31" w:themeColor="accent2"/>
          <w:sz w:val="32"/>
          <w:szCs w:val="32"/>
          <w:lang w:val="en-AU" w:bidi="th-TH"/>
        </w:rPr>
        <w:t xml:space="preserve">novel </w:t>
      </w:r>
      <w:r w:rsidR="00942329" w:rsidRPr="00942329">
        <w:rPr>
          <w:rFonts w:ascii="Myriad Pro Light" w:hAnsi="Myriad Pro Light"/>
          <w:color w:val="ED7D31" w:themeColor="accent2"/>
          <w:sz w:val="32"/>
          <w:szCs w:val="32"/>
          <w:lang w:val="en-AU" w:bidi="th-TH"/>
        </w:rPr>
        <w:t>therapies addressing unmet needs</w:t>
      </w:r>
      <w:r w:rsidR="00664D57">
        <w:rPr>
          <w:rFonts w:ascii="Myriad Pro Light" w:hAnsi="Myriad Pro Light"/>
          <w:color w:val="ED7D31" w:themeColor="accent2"/>
          <w:sz w:val="32"/>
          <w:szCs w:val="32"/>
          <w:lang w:val="en-AU" w:bidi="th-TH"/>
        </w:rPr>
        <w:t xml:space="preserve"> in rare diseases</w:t>
      </w:r>
    </w:p>
    <w:p w14:paraId="65997F5B" w14:textId="77777777" w:rsidR="00947C56" w:rsidRPr="00573F53" w:rsidRDefault="00947C56">
      <w:pPr>
        <w:jc w:val="both"/>
        <w:rPr>
          <w:rFonts w:ascii="Myriad Pro" w:eastAsia="Times New Roman" w:hAnsi="Myriad Pro" w:cs="Arial"/>
          <w:color w:val="000000"/>
          <w:sz w:val="20"/>
          <w:szCs w:val="20"/>
          <w:lang w:val="en-AU" w:eastAsia="en-GB"/>
        </w:rPr>
      </w:pPr>
    </w:p>
    <w:p w14:paraId="4E327194" w14:textId="25A31811" w:rsidR="007A7FD1" w:rsidRPr="00573F53" w:rsidRDefault="007A7FD1">
      <w:pPr>
        <w:jc w:val="both"/>
        <w:rPr>
          <w:rFonts w:ascii="Myriad Pro" w:hAnsi="Myriad Pro"/>
          <w:sz w:val="20"/>
          <w:szCs w:val="20"/>
          <w:lang w:val="en-AU" w:bidi="th-TH"/>
        </w:rPr>
      </w:pPr>
      <w:r w:rsidRPr="00573F53">
        <w:rPr>
          <w:rFonts w:ascii="Myriad Pro" w:hAnsi="Myriad Pro"/>
          <w:sz w:val="20"/>
          <w:szCs w:val="20"/>
          <w:lang w:val="en-AU" w:bidi="th-TH"/>
        </w:rPr>
        <w:t>Kyowa Kirin has been working on the development of burosumab for more than 22 years, largely in ignorance of access conditions and incentives in the Australian market. The decision to commercialise the medicine in Australia, however, was very much informed by our assessment of approval processes, prospects for achieving registration and reimbursement and associated transaction costs; and this decision could realistically have gone either way.</w:t>
      </w:r>
    </w:p>
    <w:p w14:paraId="7CDF165E" w14:textId="77777777" w:rsidR="007A7FD1" w:rsidRPr="00573F53" w:rsidRDefault="007A7FD1">
      <w:pPr>
        <w:jc w:val="both"/>
        <w:rPr>
          <w:rFonts w:ascii="Myriad Pro" w:hAnsi="Myriad Pro"/>
          <w:sz w:val="20"/>
          <w:szCs w:val="20"/>
          <w:lang w:val="en-AU" w:bidi="th-TH"/>
        </w:rPr>
      </w:pPr>
    </w:p>
    <w:p w14:paraId="578A927E" w14:textId="1ABC6D73" w:rsidR="007A7FD1" w:rsidRPr="00573F53" w:rsidRDefault="007A7FD1">
      <w:pPr>
        <w:jc w:val="both"/>
        <w:rPr>
          <w:rFonts w:ascii="Myriad Pro" w:hAnsi="Myriad Pro"/>
          <w:sz w:val="20"/>
          <w:szCs w:val="20"/>
          <w:lang w:val="en-AU" w:bidi="th-TH"/>
        </w:rPr>
      </w:pPr>
      <w:r w:rsidRPr="00573F53">
        <w:rPr>
          <w:rFonts w:ascii="Myriad Pro" w:hAnsi="Myriad Pro"/>
          <w:sz w:val="20"/>
          <w:szCs w:val="20"/>
          <w:lang w:val="en-AU" w:bidi="th-TH"/>
        </w:rPr>
        <w:t xml:space="preserve">Burosumab is a highly specialised medicine that treats a very rare, hereditary, lifelong and debilitating disease, for which there are very limited current or even prospective treatment options available. The clinical development program has been long, </w:t>
      </w:r>
      <w:r w:rsidR="00947C56" w:rsidRPr="00573F53">
        <w:rPr>
          <w:rFonts w:ascii="Myriad Pro" w:hAnsi="Myriad Pro"/>
          <w:sz w:val="20"/>
          <w:szCs w:val="20"/>
          <w:lang w:val="en-AU" w:bidi="th-TH"/>
        </w:rPr>
        <w:t>challenging,</w:t>
      </w:r>
      <w:r w:rsidRPr="00573F53">
        <w:rPr>
          <w:rFonts w:ascii="Myriad Pro" w:hAnsi="Myriad Pro"/>
          <w:sz w:val="20"/>
          <w:szCs w:val="20"/>
          <w:lang w:val="en-AU" w:bidi="th-TH"/>
        </w:rPr>
        <w:t xml:space="preserve"> and costly, while the global market opportunity is small and time-limited, meaning the cost of treatment is unavoidably high. International referencing pricing practices in other markets furthermore place restrictions on the extent to which this can be reduced in Australia.</w:t>
      </w:r>
    </w:p>
    <w:p w14:paraId="17BD51B5" w14:textId="77777777" w:rsidR="007A7FD1" w:rsidRPr="00573F53" w:rsidRDefault="007A7FD1">
      <w:pPr>
        <w:jc w:val="both"/>
        <w:rPr>
          <w:rFonts w:ascii="Myriad Pro" w:hAnsi="Myriad Pro"/>
          <w:sz w:val="20"/>
          <w:szCs w:val="20"/>
          <w:lang w:val="en-AU" w:bidi="th-TH"/>
        </w:rPr>
      </w:pPr>
    </w:p>
    <w:p w14:paraId="5984EBF0" w14:textId="21CE6B00" w:rsidR="007A7FD1" w:rsidRPr="00573F53" w:rsidRDefault="007A7FD1">
      <w:pPr>
        <w:jc w:val="both"/>
        <w:rPr>
          <w:rFonts w:ascii="Myriad Pro" w:hAnsi="Myriad Pro"/>
          <w:sz w:val="20"/>
          <w:szCs w:val="20"/>
          <w:lang w:val="en-AU" w:bidi="th-TH"/>
        </w:rPr>
      </w:pPr>
      <w:r w:rsidRPr="00573F53">
        <w:rPr>
          <w:rFonts w:ascii="Myriad Pro" w:hAnsi="Myriad Pro"/>
          <w:sz w:val="20"/>
          <w:szCs w:val="20"/>
          <w:lang w:val="en-AU" w:bidi="th-TH"/>
        </w:rPr>
        <w:t xml:space="preserve">Medicines like burosumab will always struggle to meet conventional PBAC cost-effectiveness criteria and evidence standards, which were established based on much simpler treatments for more common diseases. As it is life changing rather than strictly </w:t>
      </w:r>
      <w:r w:rsidR="00947C56" w:rsidRPr="00573F53">
        <w:rPr>
          <w:rFonts w:ascii="Myriad Pro" w:hAnsi="Myriad Pro"/>
          <w:sz w:val="20"/>
          <w:szCs w:val="20"/>
          <w:lang w:val="en-AU" w:bidi="th-TH"/>
        </w:rPr>
        <w:t>lifesaving</w:t>
      </w:r>
      <w:r w:rsidRPr="00573F53">
        <w:rPr>
          <w:rFonts w:ascii="Myriad Pro" w:hAnsi="Myriad Pro"/>
          <w:sz w:val="20"/>
          <w:szCs w:val="20"/>
          <w:lang w:val="en-AU" w:bidi="th-TH"/>
        </w:rPr>
        <w:t>, it also falls into the large gap that exists between the Pharmaceutical Benefits Scheme (PBS) and the Life Saving Drugs Program (LSDP).</w:t>
      </w:r>
    </w:p>
    <w:p w14:paraId="7090DD2E" w14:textId="77777777" w:rsidR="007A7FD1" w:rsidRPr="00573F53" w:rsidRDefault="007A7FD1">
      <w:pPr>
        <w:jc w:val="both"/>
        <w:rPr>
          <w:rFonts w:ascii="Myriad Pro" w:hAnsi="Myriad Pro"/>
          <w:sz w:val="20"/>
          <w:szCs w:val="20"/>
          <w:lang w:val="en-AU" w:bidi="th-TH"/>
        </w:rPr>
      </w:pPr>
    </w:p>
    <w:p w14:paraId="66AEC236" w14:textId="1A4D36BB" w:rsidR="007A7FD1" w:rsidRPr="00573F53" w:rsidRDefault="007A7FD1">
      <w:pPr>
        <w:jc w:val="both"/>
        <w:rPr>
          <w:rFonts w:ascii="Myriad Pro" w:hAnsi="Myriad Pro"/>
          <w:sz w:val="20"/>
          <w:szCs w:val="20"/>
          <w:lang w:val="en-AU" w:bidi="th-TH"/>
        </w:rPr>
      </w:pPr>
      <w:r w:rsidRPr="00573F53">
        <w:rPr>
          <w:rFonts w:ascii="Myriad Pro" w:hAnsi="Myriad Pro"/>
          <w:sz w:val="20"/>
          <w:szCs w:val="20"/>
          <w:lang w:val="en-AU" w:bidi="th-TH"/>
        </w:rPr>
        <w:t>In the United Kingdom (UK), burosumab has been assessed and funded through an alternate</w:t>
      </w:r>
      <w:r w:rsidR="00947C56" w:rsidRPr="00573F53">
        <w:rPr>
          <w:rFonts w:ascii="Myriad Pro" w:hAnsi="Myriad Pro"/>
          <w:sz w:val="20"/>
          <w:szCs w:val="20"/>
          <w:lang w:val="en-AU" w:bidi="th-TH"/>
        </w:rPr>
        <w:t xml:space="preserve"> </w:t>
      </w:r>
      <w:r w:rsidRPr="00573F53">
        <w:rPr>
          <w:rFonts w:ascii="Myriad Pro" w:hAnsi="Myriad Pro"/>
          <w:sz w:val="20"/>
          <w:szCs w:val="20"/>
          <w:lang w:val="en-AU" w:bidi="th-TH"/>
        </w:rPr>
        <w:t>Highly Specialised Technologies (HST) pathway, for which more generous cost-effectiveness</w:t>
      </w:r>
      <w:r w:rsidR="00947C56" w:rsidRPr="00573F53">
        <w:rPr>
          <w:rFonts w:ascii="Myriad Pro" w:hAnsi="Myriad Pro"/>
          <w:sz w:val="20"/>
          <w:szCs w:val="20"/>
          <w:lang w:val="en-AU" w:bidi="th-TH"/>
        </w:rPr>
        <w:t xml:space="preserve"> </w:t>
      </w:r>
      <w:r w:rsidRPr="00573F53">
        <w:rPr>
          <w:rFonts w:ascii="Myriad Pro" w:hAnsi="Myriad Pro"/>
          <w:sz w:val="20"/>
          <w:szCs w:val="20"/>
          <w:lang w:val="en-AU" w:bidi="th-TH"/>
        </w:rPr>
        <w:t>criteria are applied, commensurate with the complexity of such treatments and the rarity of the</w:t>
      </w:r>
      <w:r w:rsidR="00947C56" w:rsidRPr="00573F53">
        <w:rPr>
          <w:rFonts w:ascii="Myriad Pro" w:hAnsi="Myriad Pro"/>
          <w:sz w:val="20"/>
          <w:szCs w:val="20"/>
          <w:lang w:val="en-AU" w:bidi="th-TH"/>
        </w:rPr>
        <w:t xml:space="preserve"> </w:t>
      </w:r>
      <w:r w:rsidRPr="00573F53">
        <w:rPr>
          <w:rFonts w:ascii="Myriad Pro" w:hAnsi="Myriad Pro"/>
          <w:sz w:val="20"/>
          <w:szCs w:val="20"/>
          <w:lang w:val="en-AU" w:bidi="th-TH"/>
        </w:rPr>
        <w:t xml:space="preserve">diseases they treat, but which do not require that they be strictly </w:t>
      </w:r>
      <w:r w:rsidR="00947C56" w:rsidRPr="00573F53">
        <w:rPr>
          <w:rFonts w:ascii="Myriad Pro" w:hAnsi="Myriad Pro"/>
          <w:sz w:val="20"/>
          <w:szCs w:val="20"/>
          <w:lang w:val="en-AU" w:bidi="th-TH"/>
        </w:rPr>
        <w:t>lifesaving</w:t>
      </w:r>
      <w:r w:rsidRPr="00573F53">
        <w:rPr>
          <w:rFonts w:ascii="Myriad Pro" w:hAnsi="Myriad Pro"/>
          <w:sz w:val="20"/>
          <w:szCs w:val="20"/>
          <w:lang w:val="en-AU" w:bidi="th-TH"/>
        </w:rPr>
        <w:t>, as in the LSDP.</w:t>
      </w:r>
      <w:r w:rsidR="00947C56" w:rsidRPr="00573F53">
        <w:rPr>
          <w:rFonts w:ascii="Myriad Pro" w:hAnsi="Myriad Pro"/>
          <w:sz w:val="20"/>
          <w:szCs w:val="20"/>
          <w:lang w:val="en-AU" w:bidi="th-TH"/>
        </w:rPr>
        <w:t xml:space="preserve"> </w:t>
      </w:r>
      <w:r w:rsidRPr="00573F53">
        <w:rPr>
          <w:rFonts w:ascii="Myriad Pro" w:hAnsi="Myriad Pro"/>
          <w:sz w:val="20"/>
          <w:szCs w:val="20"/>
          <w:lang w:val="en-AU" w:bidi="th-TH"/>
        </w:rPr>
        <w:t>A similar scheme/pathway in Australia would considerably improve the feasibility of and</w:t>
      </w:r>
      <w:r w:rsidR="00947C56" w:rsidRPr="00573F53">
        <w:rPr>
          <w:rFonts w:ascii="Myriad Pro" w:hAnsi="Myriad Pro"/>
          <w:sz w:val="20"/>
          <w:szCs w:val="20"/>
          <w:lang w:val="en-AU" w:bidi="th-TH"/>
        </w:rPr>
        <w:t xml:space="preserve"> </w:t>
      </w:r>
      <w:r w:rsidRPr="00573F53">
        <w:rPr>
          <w:rFonts w:ascii="Myriad Pro" w:hAnsi="Myriad Pro"/>
          <w:sz w:val="20"/>
          <w:szCs w:val="20"/>
          <w:lang w:val="en-AU" w:bidi="th-TH"/>
        </w:rPr>
        <w:t>incentives for commercialising novel therapies for rare diseases with high unmet clinical need.</w:t>
      </w:r>
      <w:r w:rsidR="00947C56" w:rsidRPr="00573F53">
        <w:rPr>
          <w:rFonts w:ascii="Myriad Pro" w:hAnsi="Myriad Pro"/>
          <w:sz w:val="20"/>
          <w:szCs w:val="20"/>
          <w:lang w:val="en-AU" w:bidi="th-TH"/>
        </w:rPr>
        <w:t xml:space="preserve"> </w:t>
      </w:r>
    </w:p>
    <w:p w14:paraId="4CC66DE2" w14:textId="737263AB" w:rsidR="00947C56" w:rsidRPr="00573F53" w:rsidRDefault="00947C56">
      <w:pPr>
        <w:jc w:val="both"/>
        <w:rPr>
          <w:rFonts w:ascii="Myriad Pro" w:eastAsia="Times New Roman" w:hAnsi="Myriad Pro" w:cs="Arial"/>
          <w:color w:val="000000"/>
          <w:sz w:val="20"/>
          <w:szCs w:val="20"/>
          <w:lang w:val="en-AU" w:eastAsia="en-GB"/>
        </w:rPr>
      </w:pPr>
    </w:p>
    <w:p w14:paraId="06669EE5" w14:textId="4CB7A418" w:rsidR="00947C56" w:rsidRPr="00573F53" w:rsidRDefault="00947C56">
      <w:pPr>
        <w:jc w:val="both"/>
        <w:rPr>
          <w:rFonts w:ascii="Myriad Pro" w:eastAsia="Times New Roman" w:hAnsi="Myriad Pro" w:cs="Arial"/>
          <w:color w:val="000000"/>
          <w:sz w:val="20"/>
          <w:szCs w:val="20"/>
          <w:lang w:val="en-AU" w:eastAsia="en-GB"/>
        </w:rPr>
      </w:pPr>
    </w:p>
    <w:p w14:paraId="412D0F89" w14:textId="77777777" w:rsidR="003C1AB7" w:rsidRPr="009427BE" w:rsidRDefault="003C1AB7">
      <w:pPr>
        <w:jc w:val="both"/>
        <w:rPr>
          <w:rFonts w:ascii="Myriad Pro Light" w:hAnsi="Myriad Pro Light"/>
          <w:color w:val="ED7D31" w:themeColor="accent2"/>
          <w:sz w:val="32"/>
          <w:szCs w:val="32"/>
          <w:lang w:val="en-AU" w:bidi="th-TH"/>
        </w:rPr>
      </w:pPr>
      <w:r w:rsidRPr="009427BE">
        <w:rPr>
          <w:rFonts w:ascii="Myriad Pro Light" w:hAnsi="Myriad Pro Light"/>
          <w:color w:val="ED7D31" w:themeColor="accent2"/>
          <w:sz w:val="32"/>
          <w:szCs w:val="32"/>
          <w:lang w:val="en-AU" w:bidi="th-TH"/>
        </w:rPr>
        <w:t xml:space="preserve">Recommendation </w:t>
      </w:r>
      <w:r>
        <w:rPr>
          <w:rFonts w:ascii="Myriad Pro Light" w:hAnsi="Myriad Pro Light"/>
          <w:color w:val="ED7D31" w:themeColor="accent2"/>
          <w:sz w:val="32"/>
          <w:szCs w:val="32"/>
          <w:lang w:val="en-AU" w:bidi="th-TH"/>
        </w:rPr>
        <w:t xml:space="preserve">2: </w:t>
      </w:r>
      <w:r w:rsidRPr="00942329">
        <w:t xml:space="preserve"> </w:t>
      </w:r>
      <w:r w:rsidRPr="00942329">
        <w:rPr>
          <w:rFonts w:ascii="Myriad Pro Light" w:hAnsi="Myriad Pro Light"/>
          <w:color w:val="ED7D31" w:themeColor="accent2"/>
          <w:sz w:val="32"/>
          <w:szCs w:val="32"/>
          <w:lang w:val="en-AU" w:bidi="th-TH"/>
        </w:rPr>
        <w:t>That the Australian Government acknowledge the severity of Cutaneous T-cell lymphoma and X-linked Hypophosphataemia</w:t>
      </w:r>
    </w:p>
    <w:p w14:paraId="78B9BF07" w14:textId="77777777" w:rsidR="003C1AB7" w:rsidRPr="00573F53" w:rsidRDefault="003C1AB7">
      <w:pPr>
        <w:jc w:val="both"/>
        <w:rPr>
          <w:rFonts w:ascii="Myriad Pro" w:eastAsia="Times New Roman" w:hAnsi="Myriad Pro" w:cs="Arial"/>
          <w:b/>
          <w:bCs/>
          <w:color w:val="ED7D31" w:themeColor="accent2"/>
          <w:sz w:val="20"/>
          <w:szCs w:val="20"/>
          <w:lang w:val="en-AU" w:eastAsia="en-GB"/>
        </w:rPr>
      </w:pPr>
    </w:p>
    <w:p w14:paraId="08E25B98" w14:textId="77777777" w:rsidR="003C1AB7" w:rsidRPr="009427BE" w:rsidRDefault="003C1AB7">
      <w:pPr>
        <w:jc w:val="both"/>
        <w:rPr>
          <w:rFonts w:ascii="Myriad Pro Light" w:hAnsi="Myriad Pro Light"/>
          <w:color w:val="ED7D31" w:themeColor="accent2"/>
          <w:lang w:val="en-AU" w:bidi="th-TH"/>
        </w:rPr>
      </w:pPr>
      <w:r w:rsidRPr="009427BE">
        <w:rPr>
          <w:rFonts w:ascii="Myriad Pro Light" w:hAnsi="Myriad Pro Light"/>
          <w:color w:val="ED7D31" w:themeColor="accent2"/>
          <w:lang w:val="en-AU" w:bidi="th-TH"/>
        </w:rPr>
        <w:t>Cutaneous T-cell lymphoma</w:t>
      </w:r>
    </w:p>
    <w:p w14:paraId="6EE086FF" w14:textId="77777777" w:rsidR="003C1AB7" w:rsidRPr="00573F53" w:rsidRDefault="003C1AB7">
      <w:pPr>
        <w:jc w:val="both"/>
        <w:rPr>
          <w:rFonts w:ascii="Arial" w:eastAsia="Times New Roman" w:hAnsi="Arial" w:cs="Arial"/>
          <w:b/>
          <w:bCs/>
          <w:color w:val="ED7D31" w:themeColor="accent2"/>
          <w:sz w:val="20"/>
          <w:szCs w:val="20"/>
          <w:lang w:val="en-AU" w:eastAsia="en-GB"/>
        </w:rPr>
      </w:pPr>
    </w:p>
    <w:p w14:paraId="36A7C7FE" w14:textId="77777777" w:rsidR="003C1AB7" w:rsidRPr="00573F53" w:rsidRDefault="003C1AB7">
      <w:pPr>
        <w:pStyle w:val="Pa1"/>
        <w:spacing w:before="40" w:after="40"/>
        <w:jc w:val="both"/>
        <w:rPr>
          <w:sz w:val="20"/>
          <w:szCs w:val="20"/>
        </w:rPr>
      </w:pPr>
      <w:r w:rsidRPr="00573F53">
        <w:rPr>
          <w:sz w:val="20"/>
          <w:szCs w:val="20"/>
        </w:rPr>
        <w:t>Cutaneous T-cell lymphoma (CTCL) is a rare, serious, and potentially life-threatening</w:t>
      </w:r>
      <w:r w:rsidRPr="00573F53">
        <w:rPr>
          <w:rStyle w:val="A2"/>
          <w:sz w:val="20"/>
          <w:szCs w:val="20"/>
        </w:rPr>
        <w:t xml:space="preserve"> </w:t>
      </w:r>
      <w:r w:rsidRPr="00573F53">
        <w:rPr>
          <w:sz w:val="20"/>
          <w:szCs w:val="20"/>
        </w:rPr>
        <w:t>form of cancer</w:t>
      </w:r>
      <w:r>
        <w:rPr>
          <w:sz w:val="20"/>
          <w:szCs w:val="20"/>
        </w:rPr>
        <w:t xml:space="preserve"> </w:t>
      </w:r>
      <w:r w:rsidRPr="00573F53">
        <w:rPr>
          <w:sz w:val="20"/>
          <w:szCs w:val="20"/>
        </w:rPr>
        <w:t>(non-Hodgkin’s lymphoma) that affects the skin.</w:t>
      </w:r>
      <w:r>
        <w:rPr>
          <w:sz w:val="20"/>
          <w:szCs w:val="20"/>
        </w:rPr>
        <w:t xml:space="preserve"> </w:t>
      </w:r>
      <w:r w:rsidRPr="00573F53">
        <w:rPr>
          <w:sz w:val="20"/>
          <w:szCs w:val="20"/>
        </w:rPr>
        <w:t xml:space="preserve"> CTCL is characterised by localisation of cancerous white blood cells called T-lymphocytes (T-cells), to the skin.  These cancerous </w:t>
      </w:r>
      <w:r w:rsidRPr="00573F53">
        <w:rPr>
          <w:rFonts w:cs="Myriad Pro"/>
          <w:sz w:val="20"/>
          <w:szCs w:val="20"/>
        </w:rPr>
        <w:t>T-cells consistently express a protein called CC-chemokine receptor 4 (CCR4), which enables them to move from the blood to the skin.</w:t>
      </w:r>
      <w:r>
        <w:rPr>
          <w:rFonts w:cs="Myriad Pro"/>
          <w:sz w:val="20"/>
          <w:szCs w:val="20"/>
        </w:rPr>
        <w:t xml:space="preserve"> </w:t>
      </w:r>
      <w:r w:rsidRPr="00573F53">
        <w:rPr>
          <w:rFonts w:cs="Myriad Pro"/>
          <w:sz w:val="20"/>
          <w:szCs w:val="20"/>
        </w:rPr>
        <w:t xml:space="preserve"> When these cancerous T-cells move to the skin, they can create a localised inflammatory immune skin response, commonly resulting in visible skin symptoms of red patches or plaques, which can resemble psoriasis or eczema. </w:t>
      </w:r>
    </w:p>
    <w:p w14:paraId="5DB02FB7" w14:textId="77777777" w:rsidR="003C1AB7" w:rsidRPr="00673A6F" w:rsidRDefault="003C1AB7">
      <w:pPr>
        <w:pStyle w:val="Default"/>
        <w:jc w:val="both"/>
        <w:rPr>
          <w:sz w:val="20"/>
          <w:szCs w:val="20"/>
        </w:rPr>
      </w:pPr>
    </w:p>
    <w:p w14:paraId="4B237485" w14:textId="77777777" w:rsidR="003C1AB7" w:rsidRDefault="003C1AB7">
      <w:pPr>
        <w:pStyle w:val="Pa1"/>
        <w:spacing w:before="40" w:after="40"/>
        <w:jc w:val="both"/>
        <w:rPr>
          <w:rFonts w:cs="Myriad Pro"/>
          <w:sz w:val="20"/>
          <w:szCs w:val="20"/>
        </w:rPr>
      </w:pPr>
      <w:r w:rsidRPr="00573F53">
        <w:rPr>
          <w:rFonts w:cs="Myriad Pro"/>
          <w:sz w:val="20"/>
          <w:szCs w:val="20"/>
        </w:rPr>
        <w:t>The incidence of CTCL increases with age, with most people being diagnosed between 50-80 years of age, and men being twice as likely to develop it.</w:t>
      </w:r>
      <w:r>
        <w:rPr>
          <w:rFonts w:cs="Myriad Pro"/>
          <w:sz w:val="20"/>
          <w:szCs w:val="20"/>
        </w:rPr>
        <w:t xml:space="preserve"> </w:t>
      </w:r>
      <w:r w:rsidRPr="00573F53">
        <w:rPr>
          <w:rFonts w:cs="Myriad Pro"/>
          <w:sz w:val="20"/>
          <w:szCs w:val="20"/>
        </w:rPr>
        <w:t xml:space="preserve"> </w:t>
      </w:r>
      <w:r>
        <w:rPr>
          <w:rFonts w:cs="Myriad Pro"/>
          <w:sz w:val="20"/>
          <w:szCs w:val="20"/>
        </w:rPr>
        <w:t>CTCL substantially deteriorates the quality of life for those living with the disease as it has a profound and severe impact on daily function and social interactions.</w:t>
      </w:r>
    </w:p>
    <w:p w14:paraId="2A39E184" w14:textId="77777777" w:rsidR="003C1AB7" w:rsidRPr="00673A6F" w:rsidRDefault="003C1AB7">
      <w:pPr>
        <w:pStyle w:val="Default"/>
        <w:jc w:val="both"/>
        <w:rPr>
          <w:sz w:val="20"/>
          <w:szCs w:val="20"/>
        </w:rPr>
      </w:pPr>
    </w:p>
    <w:p w14:paraId="098D5E92" w14:textId="77777777" w:rsidR="003C1AB7" w:rsidRPr="00573F53" w:rsidRDefault="003C1AB7">
      <w:pPr>
        <w:pStyle w:val="Default"/>
        <w:jc w:val="both"/>
        <w:rPr>
          <w:sz w:val="20"/>
          <w:szCs w:val="20"/>
        </w:rPr>
      </w:pPr>
      <w:r w:rsidRPr="00573F53">
        <w:rPr>
          <w:sz w:val="20"/>
          <w:szCs w:val="20"/>
        </w:rPr>
        <w:t>Skin symptoms are disfi</w:t>
      </w:r>
      <w:r>
        <w:rPr>
          <w:sz w:val="20"/>
          <w:szCs w:val="20"/>
        </w:rPr>
        <w:t xml:space="preserve">guring, itchy, painful and unpredictable, often causing individuals to have trouble sleeping. Their mental health and emotional status can fluctuate and include feelings of depression, frustration, embarrassment and tiredness. This can often affect how close they can be with those they love. </w:t>
      </w:r>
    </w:p>
    <w:p w14:paraId="0F71C3CF" w14:textId="77777777" w:rsidR="003C1AB7" w:rsidRPr="00673A6F" w:rsidRDefault="003C1AB7">
      <w:pPr>
        <w:pStyle w:val="Default"/>
        <w:jc w:val="both"/>
        <w:rPr>
          <w:sz w:val="20"/>
          <w:szCs w:val="20"/>
        </w:rPr>
      </w:pPr>
    </w:p>
    <w:p w14:paraId="1A719B97" w14:textId="77777777" w:rsidR="003C1AB7" w:rsidRPr="00573F53" w:rsidRDefault="003C1AB7">
      <w:pPr>
        <w:pStyle w:val="Pa1"/>
        <w:spacing w:before="40" w:after="40"/>
        <w:jc w:val="both"/>
        <w:rPr>
          <w:rFonts w:cs="Myriad Pro"/>
          <w:sz w:val="20"/>
          <w:szCs w:val="20"/>
        </w:rPr>
      </w:pPr>
      <w:r w:rsidRPr="00573F53">
        <w:rPr>
          <w:rFonts w:cs="Myriad Pro"/>
          <w:sz w:val="20"/>
          <w:szCs w:val="20"/>
        </w:rPr>
        <w:t xml:space="preserve">There are many different types of CTCL: mycosis fungoides (MF) is the most common form of CTCL that starts in the skin. </w:t>
      </w:r>
      <w:r>
        <w:rPr>
          <w:rFonts w:cs="Myriad Pro"/>
          <w:sz w:val="20"/>
          <w:szCs w:val="20"/>
        </w:rPr>
        <w:t xml:space="preserve"> </w:t>
      </w:r>
      <w:r w:rsidRPr="00573F53">
        <w:rPr>
          <w:rFonts w:cs="Myriad Pro"/>
          <w:sz w:val="20"/>
          <w:szCs w:val="20"/>
        </w:rPr>
        <w:t xml:space="preserve">It appears as patches, plaques or tumours and causes painless swelling or lump, mainly in the neck, groin, or armpit. </w:t>
      </w:r>
    </w:p>
    <w:p w14:paraId="136ABCF6" w14:textId="77777777" w:rsidR="003C1AB7" w:rsidRPr="00673A6F" w:rsidRDefault="003C1AB7">
      <w:pPr>
        <w:pStyle w:val="Default"/>
        <w:jc w:val="both"/>
        <w:rPr>
          <w:sz w:val="20"/>
          <w:szCs w:val="20"/>
        </w:rPr>
      </w:pPr>
    </w:p>
    <w:p w14:paraId="00DFD953" w14:textId="77777777" w:rsidR="003C1AB7" w:rsidRPr="00EE5D75" w:rsidRDefault="003C1AB7">
      <w:pPr>
        <w:jc w:val="both"/>
        <w:rPr>
          <w:rFonts w:ascii="Myriad Pro" w:hAnsi="Myriad Pro" w:cs="Myriad Pro"/>
          <w:sz w:val="20"/>
          <w:szCs w:val="20"/>
          <w:lang w:val="en-AU" w:bidi="th-TH"/>
        </w:rPr>
      </w:pPr>
      <w:r w:rsidRPr="00EE5D75">
        <w:rPr>
          <w:rFonts w:ascii="Myriad Pro" w:hAnsi="Myriad Pro" w:cs="Myriad Pro"/>
          <w:sz w:val="20"/>
          <w:szCs w:val="20"/>
          <w:lang w:val="en-AU" w:bidi="th-TH"/>
        </w:rPr>
        <w:t>Sézary Syndrome (</w:t>
      </w:r>
      <w:r w:rsidRPr="00573F53">
        <w:rPr>
          <w:rFonts w:ascii="Myriad Pro" w:hAnsi="Myriad Pro" w:cs="Myriad Pro"/>
          <w:sz w:val="20"/>
          <w:szCs w:val="20"/>
        </w:rPr>
        <w:t>SS</w:t>
      </w:r>
      <w:r>
        <w:rPr>
          <w:rFonts w:ascii="Myriad Pro" w:hAnsi="Myriad Pro" w:cs="Myriad Pro"/>
          <w:sz w:val="20"/>
          <w:szCs w:val="20"/>
        </w:rPr>
        <w:t>)</w:t>
      </w:r>
      <w:r w:rsidRPr="00573F53">
        <w:rPr>
          <w:rFonts w:ascii="Myriad Pro" w:hAnsi="Myriad Pro" w:cs="Myriad Pro"/>
          <w:sz w:val="20"/>
          <w:szCs w:val="20"/>
        </w:rPr>
        <w:t xml:space="preserve"> is a particularly rare and often aggressive, with cancerous T-cells found in high concentrations in the blood, and sometimes the lymph nodes. </w:t>
      </w:r>
    </w:p>
    <w:p w14:paraId="26A10239" w14:textId="77777777" w:rsidR="003C1AB7" w:rsidRPr="00673A6F" w:rsidRDefault="003C1AB7">
      <w:pPr>
        <w:pStyle w:val="Default"/>
        <w:jc w:val="both"/>
        <w:rPr>
          <w:sz w:val="20"/>
          <w:szCs w:val="20"/>
        </w:rPr>
      </w:pPr>
    </w:p>
    <w:p w14:paraId="09DEF99C" w14:textId="77777777" w:rsidR="003C1AB7" w:rsidRPr="00573F53" w:rsidRDefault="003C1AB7">
      <w:pPr>
        <w:jc w:val="both"/>
        <w:rPr>
          <w:rFonts w:ascii="Myriad Pro" w:eastAsia="Times New Roman" w:hAnsi="Myriad Pro" w:cs="Arial"/>
          <w:b/>
          <w:bCs/>
          <w:color w:val="ED7D31" w:themeColor="accent2"/>
          <w:sz w:val="20"/>
          <w:szCs w:val="20"/>
          <w:lang w:val="en-AU" w:eastAsia="en-GB"/>
        </w:rPr>
      </w:pPr>
      <w:r w:rsidRPr="00573F53">
        <w:rPr>
          <w:rFonts w:ascii="Myriad Pro" w:hAnsi="Myriad Pro" w:cs="Myriad Pro"/>
          <w:sz w:val="20"/>
          <w:szCs w:val="20"/>
        </w:rPr>
        <w:t>Skin infections in patients with SS are common due to the extensively compromised skin. A compromised immune system and opportunistic infections are the most common causes of disease-related death in SS.</w:t>
      </w:r>
    </w:p>
    <w:p w14:paraId="4A1A9DCA" w14:textId="77777777" w:rsidR="003C1AB7" w:rsidRPr="00673A6F" w:rsidRDefault="003C1AB7" w:rsidP="006D2A95">
      <w:pPr>
        <w:pStyle w:val="Default"/>
        <w:jc w:val="both"/>
        <w:rPr>
          <w:sz w:val="20"/>
          <w:szCs w:val="20"/>
        </w:rPr>
      </w:pPr>
    </w:p>
    <w:p w14:paraId="7A2434D8" w14:textId="77777777" w:rsidR="003C1AB7" w:rsidRDefault="003C1AB7" w:rsidP="00664D57">
      <w:pPr>
        <w:pStyle w:val="Default"/>
        <w:jc w:val="both"/>
        <w:rPr>
          <w:sz w:val="20"/>
          <w:szCs w:val="20"/>
        </w:rPr>
      </w:pPr>
      <w:r w:rsidRPr="00673A6F">
        <w:rPr>
          <w:sz w:val="20"/>
          <w:szCs w:val="20"/>
        </w:rPr>
        <w:t>MF and SS can initially be mistaken for eczema and psoriasis, as these conditions may look similar, especially in the less advanced stages of the disease. As a result, it can take a long time – on average between 2 and 7 years – for individuals to receive a confirmed diagnosis.</w:t>
      </w:r>
    </w:p>
    <w:p w14:paraId="5A0C3E8C" w14:textId="77777777" w:rsidR="003C1AB7" w:rsidRPr="00673A6F" w:rsidRDefault="003C1AB7">
      <w:pPr>
        <w:pStyle w:val="Default"/>
        <w:jc w:val="both"/>
        <w:rPr>
          <w:sz w:val="20"/>
          <w:szCs w:val="20"/>
        </w:rPr>
      </w:pPr>
    </w:p>
    <w:p w14:paraId="22C87945" w14:textId="77777777" w:rsidR="003C1AB7" w:rsidRDefault="003C1AB7">
      <w:pPr>
        <w:pStyle w:val="Default"/>
        <w:jc w:val="both"/>
        <w:rPr>
          <w:sz w:val="20"/>
          <w:szCs w:val="20"/>
        </w:rPr>
      </w:pPr>
      <w:r w:rsidRPr="00673A6F">
        <w:rPr>
          <w:sz w:val="20"/>
          <w:szCs w:val="20"/>
        </w:rPr>
        <w:t xml:space="preserve">It is critical for doctors to diagnose CTCL as early as possible, as if the disease progresses to later stages, the prognosis can be affected. </w:t>
      </w:r>
      <w:r>
        <w:rPr>
          <w:sz w:val="20"/>
          <w:szCs w:val="20"/>
        </w:rPr>
        <w:t xml:space="preserve"> </w:t>
      </w:r>
      <w:r w:rsidRPr="00673A6F">
        <w:rPr>
          <w:sz w:val="20"/>
          <w:szCs w:val="20"/>
        </w:rPr>
        <w:t>Whilst most individuals that present with early-stage disease do not progress to a more severe stage, only around half of patients (52%) with advanced MF/SS survive for 5 years</w:t>
      </w:r>
      <w:r>
        <w:rPr>
          <w:sz w:val="20"/>
          <w:szCs w:val="20"/>
        </w:rPr>
        <w:t xml:space="preserve">. </w:t>
      </w:r>
    </w:p>
    <w:p w14:paraId="2690F1BF" w14:textId="77777777" w:rsidR="003C1AB7" w:rsidRDefault="003C1AB7">
      <w:pPr>
        <w:pStyle w:val="Default"/>
        <w:jc w:val="both"/>
        <w:rPr>
          <w:sz w:val="20"/>
          <w:szCs w:val="20"/>
        </w:rPr>
      </w:pPr>
    </w:p>
    <w:p w14:paraId="6F98842F" w14:textId="77777777" w:rsidR="006D2A95" w:rsidRDefault="006D2A95">
      <w:pPr>
        <w:rPr>
          <w:rFonts w:ascii="Myriad Pro Light" w:hAnsi="Myriad Pro Light"/>
          <w:color w:val="ED7D31" w:themeColor="accent2"/>
          <w:lang w:val="en-AU" w:bidi="th-TH"/>
        </w:rPr>
      </w:pPr>
      <w:r>
        <w:rPr>
          <w:rFonts w:ascii="Myriad Pro Light" w:hAnsi="Myriad Pro Light"/>
          <w:color w:val="ED7D31" w:themeColor="accent2"/>
          <w:lang w:val="en-AU" w:bidi="th-TH"/>
        </w:rPr>
        <w:br w:type="page"/>
      </w:r>
    </w:p>
    <w:p w14:paraId="1CF40484" w14:textId="77777777" w:rsidR="006D2A95" w:rsidRDefault="006D2A95">
      <w:pPr>
        <w:jc w:val="both"/>
        <w:rPr>
          <w:rFonts w:ascii="Myriad Pro Light" w:hAnsi="Myriad Pro Light"/>
          <w:color w:val="ED7D31" w:themeColor="accent2"/>
          <w:lang w:val="en-AU" w:bidi="th-TH"/>
        </w:rPr>
      </w:pPr>
    </w:p>
    <w:p w14:paraId="2196F48B" w14:textId="70197D97" w:rsidR="003C1AB7" w:rsidRPr="009427BE" w:rsidRDefault="003C1AB7">
      <w:pPr>
        <w:jc w:val="both"/>
        <w:rPr>
          <w:rFonts w:ascii="Myriad Pro Light" w:hAnsi="Myriad Pro Light"/>
          <w:color w:val="ED7D31" w:themeColor="accent2"/>
          <w:lang w:val="en-AU" w:bidi="th-TH"/>
        </w:rPr>
      </w:pPr>
      <w:r w:rsidRPr="009427BE">
        <w:rPr>
          <w:rFonts w:ascii="Myriad Pro Light" w:hAnsi="Myriad Pro Light"/>
          <w:color w:val="ED7D31" w:themeColor="accent2"/>
          <w:lang w:val="en-AU" w:bidi="th-TH"/>
        </w:rPr>
        <w:t>X-linked Hypophosphataemia</w:t>
      </w:r>
    </w:p>
    <w:p w14:paraId="37304F44" w14:textId="77777777" w:rsidR="003C1AB7" w:rsidRDefault="003C1AB7" w:rsidP="006D2A95">
      <w:pPr>
        <w:pStyle w:val="Pa1"/>
        <w:spacing w:before="40" w:after="40"/>
        <w:jc w:val="both"/>
        <w:rPr>
          <w:sz w:val="18"/>
          <w:szCs w:val="18"/>
        </w:rPr>
      </w:pPr>
    </w:p>
    <w:p w14:paraId="535DA437" w14:textId="77777777" w:rsidR="003C1AB7" w:rsidRDefault="003C1AB7" w:rsidP="00664D57">
      <w:pPr>
        <w:pStyle w:val="Pa1"/>
        <w:spacing w:before="40" w:after="40"/>
        <w:jc w:val="both"/>
        <w:rPr>
          <w:sz w:val="20"/>
          <w:szCs w:val="20"/>
        </w:rPr>
      </w:pPr>
      <w:r w:rsidRPr="00673A6F">
        <w:rPr>
          <w:sz w:val="20"/>
          <w:szCs w:val="20"/>
        </w:rPr>
        <w:t>X-linked hypophosphataemia (XLH) is a rare genetic and progressive disease that affects multiple</w:t>
      </w:r>
      <w:r>
        <w:rPr>
          <w:sz w:val="20"/>
          <w:szCs w:val="20"/>
        </w:rPr>
        <w:t xml:space="preserve"> </w:t>
      </w:r>
      <w:r w:rsidRPr="00673A6F">
        <w:rPr>
          <w:sz w:val="20"/>
          <w:szCs w:val="20"/>
        </w:rPr>
        <w:t>systems across the body, including the bones, muscles, joints, teeth and hearing.</w:t>
      </w:r>
      <w:r>
        <w:rPr>
          <w:rStyle w:val="A2"/>
          <w:sz w:val="20"/>
          <w:szCs w:val="20"/>
        </w:rPr>
        <w:t xml:space="preserve">  </w:t>
      </w:r>
      <w:r w:rsidRPr="00673A6F">
        <w:rPr>
          <w:sz w:val="20"/>
          <w:szCs w:val="20"/>
        </w:rPr>
        <w:t xml:space="preserve">Although XLH is not life-threatening, it is a life-long and debilitating disease that can severely impact the quality of life for all those affected. </w:t>
      </w:r>
    </w:p>
    <w:p w14:paraId="4A71BAE1" w14:textId="77777777" w:rsidR="003C1AB7" w:rsidRPr="00673A6F" w:rsidRDefault="003C1AB7">
      <w:pPr>
        <w:pStyle w:val="Default"/>
        <w:jc w:val="both"/>
        <w:rPr>
          <w:sz w:val="20"/>
          <w:szCs w:val="20"/>
        </w:rPr>
      </w:pPr>
    </w:p>
    <w:p w14:paraId="081B2EF8" w14:textId="77777777" w:rsidR="003C1AB7" w:rsidRDefault="003C1AB7">
      <w:pPr>
        <w:pStyle w:val="Pa1"/>
        <w:spacing w:before="40" w:after="40"/>
        <w:jc w:val="both"/>
        <w:rPr>
          <w:sz w:val="20"/>
          <w:szCs w:val="20"/>
        </w:rPr>
      </w:pPr>
      <w:r w:rsidRPr="00673A6F">
        <w:rPr>
          <w:sz w:val="20"/>
          <w:szCs w:val="20"/>
        </w:rPr>
        <w:t xml:space="preserve">XLH is mainly diagnosed in childhood. The obvious features are the bow or bent legs, short body structure that could cause bone and joint pains, dental and hearing problems. It is characterised by renal phosphate wasting, which is caused by excess fibroblast growth factor 23 (FGF23). </w:t>
      </w:r>
    </w:p>
    <w:p w14:paraId="15E5A2C8" w14:textId="77777777" w:rsidR="003C1AB7" w:rsidRPr="00673A6F" w:rsidRDefault="003C1AB7">
      <w:pPr>
        <w:pStyle w:val="Default"/>
        <w:jc w:val="both"/>
        <w:rPr>
          <w:sz w:val="20"/>
          <w:szCs w:val="20"/>
        </w:rPr>
      </w:pPr>
    </w:p>
    <w:p w14:paraId="25A29F76" w14:textId="77777777" w:rsidR="003C1AB7" w:rsidRPr="00E4412E" w:rsidRDefault="003C1AB7">
      <w:pPr>
        <w:pStyle w:val="Pa1"/>
        <w:spacing w:before="40" w:after="40"/>
        <w:jc w:val="both"/>
        <w:rPr>
          <w:sz w:val="20"/>
          <w:szCs w:val="20"/>
        </w:rPr>
      </w:pPr>
      <w:r w:rsidRPr="00E4412E">
        <w:rPr>
          <w:sz w:val="20"/>
          <w:szCs w:val="20"/>
        </w:rPr>
        <w:t>Children with XLH suffer from poor quality of life, impaired mobility, and bone and joint pain. The immediate observation is the how different they look form the rest. In addition to skeletal disease and impaired growth, children with XLH may also have dental manifestations of the disease.</w:t>
      </w:r>
    </w:p>
    <w:p w14:paraId="6ACC2C4F" w14:textId="77777777" w:rsidR="003C1AB7" w:rsidRDefault="003C1AB7">
      <w:pPr>
        <w:pStyle w:val="Pa1"/>
        <w:spacing w:before="40" w:after="40"/>
        <w:jc w:val="both"/>
        <w:rPr>
          <w:sz w:val="20"/>
          <w:szCs w:val="20"/>
        </w:rPr>
      </w:pPr>
    </w:p>
    <w:p w14:paraId="35CCC69D" w14:textId="77777777" w:rsidR="003C1AB7" w:rsidRPr="00E4412E" w:rsidRDefault="003C1AB7">
      <w:pPr>
        <w:pStyle w:val="Pa1"/>
        <w:spacing w:before="40" w:after="40"/>
        <w:jc w:val="both"/>
        <w:rPr>
          <w:sz w:val="20"/>
          <w:szCs w:val="20"/>
        </w:rPr>
      </w:pPr>
      <w:r w:rsidRPr="00E4412E">
        <w:rPr>
          <w:sz w:val="20"/>
          <w:szCs w:val="20"/>
        </w:rPr>
        <w:t xml:space="preserve">These symptoms can vary severely from one child to the other: </w:t>
      </w:r>
    </w:p>
    <w:p w14:paraId="0BEC4EE1" w14:textId="77777777" w:rsidR="003C1AB7" w:rsidRPr="00E4412E" w:rsidRDefault="003C1AB7">
      <w:pPr>
        <w:pStyle w:val="Pa4"/>
        <w:numPr>
          <w:ilvl w:val="0"/>
          <w:numId w:val="11"/>
        </w:numPr>
        <w:spacing w:before="20" w:after="40"/>
        <w:jc w:val="both"/>
        <w:rPr>
          <w:sz w:val="20"/>
          <w:szCs w:val="20"/>
        </w:rPr>
      </w:pPr>
      <w:r w:rsidRPr="00E4412E">
        <w:rPr>
          <w:sz w:val="20"/>
          <w:szCs w:val="20"/>
        </w:rPr>
        <w:t xml:space="preserve">A slow growth rate and noticeable bowing of the legs or other skeletal abnormalities, which are typically visible during the second year of life </w:t>
      </w:r>
    </w:p>
    <w:p w14:paraId="039AB90D" w14:textId="77777777" w:rsidR="003C1AB7" w:rsidRPr="00E4412E" w:rsidRDefault="003C1AB7">
      <w:pPr>
        <w:pStyle w:val="Pa4"/>
        <w:numPr>
          <w:ilvl w:val="0"/>
          <w:numId w:val="11"/>
        </w:numPr>
        <w:spacing w:before="20" w:after="40"/>
        <w:jc w:val="both"/>
        <w:rPr>
          <w:sz w:val="20"/>
          <w:szCs w:val="20"/>
        </w:rPr>
      </w:pPr>
      <w:r w:rsidRPr="00E4412E">
        <w:rPr>
          <w:sz w:val="20"/>
          <w:szCs w:val="20"/>
        </w:rPr>
        <w:t xml:space="preserve">Short body stature </w:t>
      </w:r>
    </w:p>
    <w:p w14:paraId="61B9DABF" w14:textId="77777777" w:rsidR="003C1AB7" w:rsidRDefault="003C1AB7">
      <w:pPr>
        <w:pStyle w:val="Default"/>
        <w:numPr>
          <w:ilvl w:val="0"/>
          <w:numId w:val="11"/>
        </w:numPr>
        <w:jc w:val="both"/>
        <w:rPr>
          <w:sz w:val="20"/>
          <w:szCs w:val="20"/>
        </w:rPr>
      </w:pPr>
      <w:r w:rsidRPr="00E4412E">
        <w:rPr>
          <w:sz w:val="20"/>
          <w:szCs w:val="20"/>
        </w:rPr>
        <w:t>Painful bones and joints at the lower limbs</w:t>
      </w:r>
    </w:p>
    <w:p w14:paraId="3209C5FA" w14:textId="77777777" w:rsidR="003C1AB7" w:rsidRPr="00E4412E" w:rsidRDefault="003C1AB7" w:rsidP="006D2A95">
      <w:pPr>
        <w:pStyle w:val="Default"/>
        <w:jc w:val="both"/>
        <w:rPr>
          <w:rFonts w:cstheme="minorBidi"/>
          <w:color w:val="auto"/>
          <w:sz w:val="20"/>
          <w:szCs w:val="20"/>
        </w:rPr>
      </w:pPr>
    </w:p>
    <w:p w14:paraId="3BFCD393" w14:textId="77777777" w:rsidR="003C1AB7" w:rsidRDefault="003C1AB7" w:rsidP="00664D57">
      <w:pPr>
        <w:pStyle w:val="Pa1"/>
        <w:spacing w:before="40" w:after="40"/>
        <w:jc w:val="both"/>
        <w:rPr>
          <w:sz w:val="20"/>
          <w:szCs w:val="20"/>
        </w:rPr>
      </w:pPr>
      <w:r w:rsidRPr="00E4412E">
        <w:rPr>
          <w:sz w:val="20"/>
          <w:szCs w:val="20"/>
        </w:rPr>
        <w:t xml:space="preserve">XLH signs and symptoms continue to progress in adulthood, as bones continue to require phosphate for ongoing development. New and potentially irreversible manifestations may also appear, including osteoarthritis, enthesopathy and (pseudo) fractures. Recent literature suggests XLH may even be associated with increased and premature mortality. </w:t>
      </w:r>
    </w:p>
    <w:p w14:paraId="6D4D7A61" w14:textId="77777777" w:rsidR="003C1AB7" w:rsidRPr="00E4412E" w:rsidRDefault="003C1AB7">
      <w:pPr>
        <w:pStyle w:val="Default"/>
        <w:jc w:val="both"/>
        <w:rPr>
          <w:sz w:val="20"/>
          <w:szCs w:val="20"/>
        </w:rPr>
      </w:pPr>
    </w:p>
    <w:p w14:paraId="505CBC1F" w14:textId="77777777" w:rsidR="003C1AB7" w:rsidRPr="00E4412E" w:rsidRDefault="003C1AB7">
      <w:pPr>
        <w:pStyle w:val="Pa1"/>
        <w:spacing w:before="40" w:after="40"/>
        <w:jc w:val="both"/>
        <w:rPr>
          <w:rFonts w:cs="Myriad Pro"/>
          <w:sz w:val="20"/>
          <w:szCs w:val="20"/>
        </w:rPr>
      </w:pPr>
      <w:r w:rsidRPr="00E4412E">
        <w:rPr>
          <w:rFonts w:cs="Myriad Pro"/>
          <w:sz w:val="20"/>
          <w:szCs w:val="20"/>
        </w:rPr>
        <w:t xml:space="preserve">Accurate and timely diagnosis of XLH is critical, as studies in children have shown that early identification and appropriate treatment has the potential to significantly improve long term outcomes. However, in practice, diagnosis is often delayed due to the rarity of the condition, complexity of the workup, and similarities in clinical, biochemical and/or radiological abnormalities to other conditions. </w:t>
      </w:r>
    </w:p>
    <w:p w14:paraId="10A9C5DC" w14:textId="77777777" w:rsidR="003C1AB7" w:rsidRDefault="003C1AB7">
      <w:pPr>
        <w:pStyle w:val="Default"/>
        <w:jc w:val="both"/>
        <w:rPr>
          <w:sz w:val="20"/>
          <w:szCs w:val="20"/>
        </w:rPr>
      </w:pPr>
    </w:p>
    <w:p w14:paraId="415164E0" w14:textId="363C94A9" w:rsidR="009D63E8" w:rsidRPr="006D2A95" w:rsidRDefault="003C1AB7">
      <w:pPr>
        <w:jc w:val="both"/>
        <w:rPr>
          <w:rFonts w:ascii="Myriad Pro" w:hAnsi="Myriad Pro" w:cs="Myriad Pro"/>
          <w:sz w:val="20"/>
          <w:szCs w:val="20"/>
          <w:lang w:val="en-AU" w:bidi="th-TH"/>
        </w:rPr>
      </w:pPr>
      <w:r w:rsidRPr="006D2A95">
        <w:rPr>
          <w:rFonts w:ascii="Myriad Pro" w:hAnsi="Myriad Pro" w:cs="Myriad Pro"/>
          <w:sz w:val="20"/>
          <w:szCs w:val="20"/>
          <w:lang w:val="en-AU" w:bidi="th-TH"/>
        </w:rPr>
        <w:t>Burosumab is the first and only treatment to address the pathophysiology of XLH. Evidence of the efficacy and safety of burosumab has been collected in a global program including a Phase 3 direct randomised controlled trial comparing it with conventional therapy, which also included an open-label treatment extension period out to 144 weeks. The trials have demonstrated compelling effects against key pharmacodynamic endpoints, clinical and patient relevant outcomes, with acceptable safety with varying severity and duration of disease. It has shown superior efficacy compared to oral phosphate and activated Vitamin D in restoring phosphate homeostasis and improving key clinical outcomes in children with XLH, including rickets, lower limb deformity, growth and mobility.</w:t>
      </w:r>
    </w:p>
    <w:p w14:paraId="5569C8A0" w14:textId="77777777" w:rsidR="003C1AB7" w:rsidRDefault="003C1AB7">
      <w:pPr>
        <w:jc w:val="both"/>
        <w:rPr>
          <w:sz w:val="20"/>
          <w:szCs w:val="20"/>
        </w:rPr>
      </w:pPr>
    </w:p>
    <w:p w14:paraId="1C103CC1" w14:textId="77777777" w:rsidR="006D2A95" w:rsidRDefault="006D2A95">
      <w:pPr>
        <w:rPr>
          <w:rFonts w:ascii="Myriad Pro Light" w:hAnsi="Myriad Pro Light"/>
          <w:color w:val="ED7D31" w:themeColor="accent2"/>
          <w:sz w:val="32"/>
          <w:szCs w:val="32"/>
          <w:lang w:val="en-AU" w:bidi="th-TH"/>
        </w:rPr>
      </w:pPr>
      <w:r>
        <w:rPr>
          <w:rFonts w:ascii="Myriad Pro Light" w:hAnsi="Myriad Pro Light"/>
          <w:color w:val="ED7D31" w:themeColor="accent2"/>
          <w:sz w:val="32"/>
          <w:szCs w:val="32"/>
          <w:lang w:val="en-AU" w:bidi="th-TH"/>
        </w:rPr>
        <w:br w:type="page"/>
      </w:r>
    </w:p>
    <w:p w14:paraId="1CD34562" w14:textId="77777777" w:rsidR="006D2A95" w:rsidRDefault="006D2A95">
      <w:pPr>
        <w:jc w:val="both"/>
        <w:rPr>
          <w:rFonts w:ascii="Myriad Pro Light" w:hAnsi="Myriad Pro Light"/>
          <w:color w:val="ED7D31" w:themeColor="accent2"/>
          <w:sz w:val="32"/>
          <w:szCs w:val="32"/>
          <w:lang w:val="en-AU" w:bidi="th-TH"/>
        </w:rPr>
      </w:pPr>
    </w:p>
    <w:p w14:paraId="3C1F04FC" w14:textId="2AAF2961" w:rsidR="00947C56" w:rsidRPr="009427BE" w:rsidRDefault="00947C56">
      <w:pPr>
        <w:jc w:val="both"/>
        <w:rPr>
          <w:rFonts w:ascii="Myriad Pro Light" w:hAnsi="Myriad Pro Light"/>
          <w:color w:val="ED7D31" w:themeColor="accent2"/>
          <w:sz w:val="32"/>
          <w:szCs w:val="32"/>
          <w:lang w:val="en-AU" w:bidi="th-TH"/>
        </w:rPr>
      </w:pPr>
      <w:r w:rsidRPr="009427BE">
        <w:rPr>
          <w:rFonts w:ascii="Myriad Pro Light" w:hAnsi="Myriad Pro Light"/>
          <w:color w:val="ED7D31" w:themeColor="accent2"/>
          <w:sz w:val="32"/>
          <w:szCs w:val="32"/>
          <w:lang w:val="en-AU" w:bidi="th-TH"/>
        </w:rPr>
        <w:t xml:space="preserve">Recommendation </w:t>
      </w:r>
      <w:r w:rsidR="00942329">
        <w:rPr>
          <w:rFonts w:ascii="Myriad Pro Light" w:hAnsi="Myriad Pro Light"/>
          <w:color w:val="ED7D31" w:themeColor="accent2"/>
          <w:sz w:val="32"/>
          <w:szCs w:val="32"/>
          <w:lang w:val="en-AU" w:bidi="th-TH"/>
        </w:rPr>
        <w:t>3:</w:t>
      </w:r>
      <w:r w:rsidRPr="009427BE">
        <w:rPr>
          <w:rFonts w:ascii="Myriad Pro Light" w:hAnsi="Myriad Pro Light"/>
          <w:color w:val="ED7D31" w:themeColor="accent2"/>
          <w:sz w:val="32"/>
          <w:szCs w:val="32"/>
          <w:lang w:val="en-AU" w:bidi="th-TH"/>
        </w:rPr>
        <w:t xml:space="preserve"> </w:t>
      </w:r>
      <w:r w:rsidR="003F0305" w:rsidRPr="003F0305">
        <w:rPr>
          <w:rFonts w:ascii="Myriad Pro Light" w:hAnsi="Myriad Pro Light"/>
          <w:color w:val="ED7D31" w:themeColor="accent2"/>
          <w:sz w:val="32"/>
          <w:szCs w:val="32"/>
          <w:lang w:val="en-AU" w:bidi="th-TH"/>
        </w:rPr>
        <w:t>That the Australian Government continues to invest in clinical trials and recognises the important role they play in ensuring Australian patients have access to new treatments for rare cancers</w:t>
      </w:r>
    </w:p>
    <w:p w14:paraId="013DCB76" w14:textId="2A24B357" w:rsidR="00947C56" w:rsidRPr="00573F53" w:rsidRDefault="00947C56">
      <w:pPr>
        <w:jc w:val="both"/>
        <w:rPr>
          <w:rFonts w:ascii="Myriad Pro" w:eastAsia="Times New Roman" w:hAnsi="Myriad Pro" w:cs="Arial"/>
          <w:color w:val="000000"/>
          <w:sz w:val="20"/>
          <w:szCs w:val="20"/>
          <w:lang w:val="en-AU" w:eastAsia="en-GB"/>
        </w:rPr>
      </w:pPr>
    </w:p>
    <w:p w14:paraId="5EFF1C2E" w14:textId="77777777" w:rsidR="009D63E8" w:rsidRDefault="001A101D">
      <w:pPr>
        <w:jc w:val="both"/>
        <w:rPr>
          <w:rFonts w:ascii="Myriad Pro" w:hAnsi="Myriad Pro"/>
          <w:sz w:val="20"/>
          <w:szCs w:val="20"/>
          <w:lang w:val="en-AU" w:bidi="th-TH"/>
        </w:rPr>
      </w:pPr>
      <w:r>
        <w:rPr>
          <w:rFonts w:ascii="Myriad Pro" w:hAnsi="Myriad Pro"/>
          <w:sz w:val="20"/>
          <w:szCs w:val="20"/>
          <w:lang w:val="en-AU" w:bidi="th-TH"/>
        </w:rPr>
        <w:t xml:space="preserve">Australia is globally known as a country at the forefront of medical research and has seen many successes over recent years. In order to maintain this reputation, the Australian Government must make clinical trials an attractive option and present clear pathways for medicine companies to commercialise.  </w:t>
      </w:r>
    </w:p>
    <w:p w14:paraId="3346E034" w14:textId="77777777" w:rsidR="009D63E8" w:rsidRDefault="009D63E8">
      <w:pPr>
        <w:jc w:val="both"/>
        <w:rPr>
          <w:rFonts w:ascii="Myriad Pro" w:hAnsi="Myriad Pro"/>
          <w:sz w:val="20"/>
          <w:szCs w:val="20"/>
          <w:lang w:val="en-AU" w:bidi="th-TH"/>
        </w:rPr>
      </w:pPr>
    </w:p>
    <w:p w14:paraId="204A7687" w14:textId="197471D0" w:rsidR="001A101D" w:rsidRPr="00573F53" w:rsidRDefault="001A101D">
      <w:pPr>
        <w:jc w:val="both"/>
        <w:rPr>
          <w:rFonts w:ascii="Myriad Pro" w:hAnsi="Myriad Pro"/>
          <w:sz w:val="20"/>
          <w:szCs w:val="20"/>
          <w:lang w:val="en-AU" w:bidi="th-TH"/>
        </w:rPr>
      </w:pPr>
      <w:r>
        <w:rPr>
          <w:rFonts w:ascii="Myriad Pro" w:hAnsi="Myriad Pro"/>
          <w:sz w:val="20"/>
          <w:szCs w:val="20"/>
          <w:lang w:val="en-AU" w:bidi="th-TH"/>
        </w:rPr>
        <w:t xml:space="preserve">With knowledge surrounding rare cancers increasing </w:t>
      </w:r>
      <w:r w:rsidR="000E58EA">
        <w:rPr>
          <w:rFonts w:ascii="Myriad Pro" w:hAnsi="Myriad Pro"/>
          <w:sz w:val="20"/>
          <w:szCs w:val="20"/>
          <w:lang w:val="en-AU" w:bidi="th-TH"/>
        </w:rPr>
        <w:t xml:space="preserve">(for example) </w:t>
      </w:r>
      <w:r>
        <w:rPr>
          <w:rFonts w:ascii="Myriad Pro" w:hAnsi="Myriad Pro"/>
          <w:sz w:val="20"/>
          <w:szCs w:val="20"/>
          <w:lang w:val="en-AU" w:bidi="th-TH"/>
        </w:rPr>
        <w:t>and more subtypes of cancers emerging, the number of eligible patients is very limited. Combined with Australia’s population size, this leads to limited financial incentive for companies to invest in Australia.</w:t>
      </w:r>
      <w:r w:rsidR="009D63E8">
        <w:rPr>
          <w:rFonts w:ascii="Myriad Pro" w:hAnsi="Myriad Pro"/>
          <w:sz w:val="20"/>
          <w:szCs w:val="20"/>
          <w:lang w:val="en-AU" w:bidi="th-TH"/>
        </w:rPr>
        <w:t xml:space="preserve"> </w:t>
      </w:r>
      <w:r>
        <w:rPr>
          <w:rFonts w:ascii="Myriad Pro" w:hAnsi="Myriad Pro"/>
          <w:sz w:val="20"/>
          <w:szCs w:val="20"/>
          <w:lang w:val="en-AU" w:bidi="th-TH"/>
        </w:rPr>
        <w:t xml:space="preserve"> </w:t>
      </w:r>
      <w:r w:rsidR="009D63E8">
        <w:rPr>
          <w:rFonts w:ascii="Myriad Pro" w:hAnsi="Myriad Pro"/>
          <w:sz w:val="20"/>
          <w:szCs w:val="20"/>
          <w:lang w:val="en-AU" w:bidi="th-TH"/>
        </w:rPr>
        <w:t xml:space="preserve">The PBS system currently is very effective at more common treatments however can overlook the tangible benefits offered by treatments for rare diseases.  </w:t>
      </w:r>
    </w:p>
    <w:p w14:paraId="3B0D8D4D" w14:textId="77777777" w:rsidR="001A101D" w:rsidRDefault="001A101D">
      <w:pPr>
        <w:jc w:val="both"/>
        <w:rPr>
          <w:rFonts w:ascii="Myriad Pro" w:hAnsi="Myriad Pro"/>
          <w:sz w:val="20"/>
          <w:szCs w:val="20"/>
          <w:lang w:val="en-AU" w:bidi="th-TH"/>
        </w:rPr>
      </w:pPr>
    </w:p>
    <w:p w14:paraId="518CA20D" w14:textId="1C42E28D" w:rsidR="00947C56" w:rsidRPr="00573F53" w:rsidRDefault="00947C56">
      <w:pPr>
        <w:jc w:val="both"/>
        <w:rPr>
          <w:rFonts w:ascii="Myriad Pro" w:hAnsi="Myriad Pro"/>
          <w:sz w:val="20"/>
          <w:szCs w:val="20"/>
          <w:lang w:val="en-AU" w:bidi="th-TH"/>
        </w:rPr>
      </w:pPr>
      <w:r w:rsidRPr="00573F53">
        <w:rPr>
          <w:rFonts w:ascii="Myriad Pro" w:hAnsi="Myriad Pro"/>
          <w:sz w:val="20"/>
          <w:szCs w:val="20"/>
          <w:lang w:val="en-AU" w:bidi="th-TH"/>
        </w:rPr>
        <w:t>Kyowa Kirin was encouraged by Minister for Health, the Hon Greg Hunt MP’s 2019 Election</w:t>
      </w:r>
      <w:r w:rsidR="00B63EE9" w:rsidRPr="00573F53">
        <w:rPr>
          <w:rFonts w:ascii="Myriad Pro" w:hAnsi="Myriad Pro"/>
          <w:sz w:val="20"/>
          <w:szCs w:val="20"/>
          <w:lang w:val="en-AU" w:bidi="th-TH"/>
        </w:rPr>
        <w:t xml:space="preserve"> </w:t>
      </w:r>
      <w:r w:rsidRPr="00573F53">
        <w:rPr>
          <w:rFonts w:ascii="Myriad Pro" w:hAnsi="Myriad Pro"/>
          <w:sz w:val="20"/>
          <w:szCs w:val="20"/>
          <w:lang w:val="en-AU" w:bidi="th-TH"/>
        </w:rPr>
        <w:t>funding commitment of $7 million in funding to state and territory governments to support</w:t>
      </w:r>
      <w:r w:rsidR="00B63EE9" w:rsidRPr="00573F53">
        <w:rPr>
          <w:rFonts w:ascii="Myriad Pro" w:hAnsi="Myriad Pro"/>
          <w:sz w:val="20"/>
          <w:szCs w:val="20"/>
          <w:lang w:val="en-AU" w:bidi="th-TH"/>
        </w:rPr>
        <w:t xml:space="preserve"> </w:t>
      </w:r>
      <w:r w:rsidRPr="00573F53">
        <w:rPr>
          <w:rFonts w:ascii="Myriad Pro" w:hAnsi="Myriad Pro"/>
          <w:sz w:val="20"/>
          <w:szCs w:val="20"/>
          <w:lang w:val="en-AU" w:bidi="th-TH"/>
        </w:rPr>
        <w:t>activities designed to achieve national consistency of clinical trial systems and welcomes the</w:t>
      </w:r>
      <w:r w:rsidR="00B63EE9" w:rsidRPr="00573F53">
        <w:rPr>
          <w:rFonts w:ascii="Myriad Pro" w:hAnsi="Myriad Pro"/>
          <w:sz w:val="20"/>
          <w:szCs w:val="20"/>
          <w:lang w:val="en-AU" w:bidi="th-TH"/>
        </w:rPr>
        <w:t xml:space="preserve"> </w:t>
      </w:r>
      <w:r w:rsidRPr="00573F53">
        <w:rPr>
          <w:rFonts w:ascii="Myriad Pro" w:hAnsi="Myriad Pro"/>
          <w:sz w:val="20"/>
          <w:szCs w:val="20"/>
          <w:lang w:val="en-AU" w:bidi="th-TH"/>
        </w:rPr>
        <w:t>Australian Government’s recent support for the national harmonisation of clinical trials.</w:t>
      </w:r>
      <w:r w:rsidR="001A101D">
        <w:rPr>
          <w:rFonts w:ascii="Myriad Pro" w:hAnsi="Myriad Pro"/>
          <w:sz w:val="20"/>
          <w:szCs w:val="20"/>
          <w:lang w:val="en-AU" w:bidi="th-TH"/>
        </w:rPr>
        <w:t xml:space="preserve">   </w:t>
      </w:r>
    </w:p>
    <w:p w14:paraId="33DF32DE" w14:textId="77777777" w:rsidR="00B63EE9" w:rsidRPr="00573F53" w:rsidRDefault="00B63EE9">
      <w:pPr>
        <w:jc w:val="both"/>
        <w:rPr>
          <w:rFonts w:ascii="Myriad Pro" w:hAnsi="Myriad Pro"/>
          <w:sz w:val="20"/>
          <w:szCs w:val="20"/>
          <w:lang w:val="en-AU" w:bidi="th-TH"/>
        </w:rPr>
      </w:pPr>
    </w:p>
    <w:p w14:paraId="39D47A18" w14:textId="77777777" w:rsidR="009D63E8" w:rsidRDefault="00947C56">
      <w:pPr>
        <w:jc w:val="both"/>
        <w:rPr>
          <w:rFonts w:ascii="Myriad Pro" w:hAnsi="Myriad Pro"/>
          <w:sz w:val="20"/>
          <w:szCs w:val="20"/>
          <w:lang w:val="en-AU" w:bidi="th-TH"/>
        </w:rPr>
      </w:pPr>
      <w:r w:rsidRPr="00573F53">
        <w:rPr>
          <w:rFonts w:ascii="Myriad Pro" w:hAnsi="Myriad Pro"/>
          <w:sz w:val="20"/>
          <w:szCs w:val="20"/>
          <w:lang w:val="en-AU" w:bidi="th-TH"/>
        </w:rPr>
        <w:t>Whilst these initiatives will not directly impact Kyowa Kirin, it is emblematic of the Australian</w:t>
      </w:r>
      <w:r w:rsidR="00B63EE9" w:rsidRPr="00573F53">
        <w:rPr>
          <w:rFonts w:ascii="Myriad Pro" w:hAnsi="Myriad Pro"/>
          <w:sz w:val="20"/>
          <w:szCs w:val="20"/>
          <w:lang w:val="en-AU" w:bidi="th-TH"/>
        </w:rPr>
        <w:t xml:space="preserve"> </w:t>
      </w:r>
      <w:r w:rsidRPr="00573F53">
        <w:rPr>
          <w:rFonts w:ascii="Myriad Pro" w:hAnsi="Myriad Pro"/>
          <w:sz w:val="20"/>
          <w:szCs w:val="20"/>
          <w:lang w:val="en-AU" w:bidi="th-TH"/>
        </w:rPr>
        <w:t>Government’s commitment to making Australia a more attractive location for clinical trials.</w:t>
      </w:r>
      <w:r w:rsidR="00B63EE9" w:rsidRPr="00573F53">
        <w:rPr>
          <w:rFonts w:ascii="Myriad Pro" w:hAnsi="Myriad Pro"/>
          <w:sz w:val="20"/>
          <w:szCs w:val="20"/>
          <w:lang w:val="en-AU" w:bidi="th-TH"/>
        </w:rPr>
        <w:t xml:space="preserve"> Kyowa Kirin would welcome further reform initiatives for vital clinical trials in the area of new drugs and novel medical technologies.</w:t>
      </w:r>
    </w:p>
    <w:p w14:paraId="558B1B5E" w14:textId="1C01B06B" w:rsidR="00B63EE9" w:rsidRDefault="00B63EE9">
      <w:pPr>
        <w:jc w:val="both"/>
        <w:rPr>
          <w:rFonts w:ascii="Myriad Pro" w:hAnsi="Myriad Pro"/>
          <w:sz w:val="20"/>
          <w:szCs w:val="20"/>
          <w:lang w:val="en-AU" w:bidi="th-TH"/>
        </w:rPr>
      </w:pPr>
    </w:p>
    <w:p w14:paraId="3E0574D6" w14:textId="2ABE6F2A" w:rsidR="00573F53" w:rsidRPr="009D63E8" w:rsidRDefault="00B63EE9">
      <w:pPr>
        <w:jc w:val="both"/>
        <w:rPr>
          <w:rFonts w:ascii="Myriad Pro" w:hAnsi="Myriad Pro"/>
          <w:sz w:val="20"/>
          <w:szCs w:val="20"/>
          <w:lang w:val="en-AU" w:bidi="th-TH"/>
        </w:rPr>
      </w:pPr>
      <w:r w:rsidRPr="00573F53">
        <w:rPr>
          <w:rFonts w:ascii="Myriad Pro" w:hAnsi="Myriad Pro"/>
          <w:sz w:val="20"/>
          <w:szCs w:val="20"/>
          <w:lang w:val="en-AU" w:bidi="th-TH"/>
        </w:rPr>
        <w:t>Kyowa Kirin has carried out two clinical trials in Australia. Sites include the Peter MacCallum Cancer Centre in Melbourne and the Children's Hospital at Westmead in Sydney, where many rare disease patients participated. We are pleased that we have been able to include Australian patients in our clinical trials as well as support many Australian patients with compassionate access to our medicines.</w:t>
      </w:r>
    </w:p>
    <w:p w14:paraId="4D1E098C" w14:textId="77777777" w:rsidR="006D2A95" w:rsidRDefault="006D2A95">
      <w:pPr>
        <w:jc w:val="both"/>
        <w:rPr>
          <w:rFonts w:ascii="Myriad Pro Light" w:hAnsi="Myriad Pro Light"/>
          <w:color w:val="ED7D31" w:themeColor="accent2"/>
          <w:sz w:val="32"/>
          <w:szCs w:val="32"/>
          <w:lang w:val="en-AU" w:bidi="th-TH"/>
        </w:rPr>
      </w:pPr>
    </w:p>
    <w:p w14:paraId="6BC98736" w14:textId="7154611A" w:rsidR="00573F53" w:rsidRDefault="006620C1">
      <w:pPr>
        <w:jc w:val="both"/>
        <w:rPr>
          <w:rFonts w:ascii="Myriad Pro" w:eastAsia="Times New Roman" w:hAnsi="Myriad Pro" w:cs="Arial"/>
          <w:color w:val="000000"/>
          <w:sz w:val="20"/>
          <w:szCs w:val="20"/>
          <w:lang w:val="en-AU" w:eastAsia="en-GB"/>
        </w:rPr>
      </w:pPr>
      <w:r>
        <w:rPr>
          <w:rFonts w:ascii="Myriad Pro Light" w:hAnsi="Myriad Pro Light"/>
          <w:color w:val="ED7D31" w:themeColor="accent2"/>
          <w:sz w:val="32"/>
          <w:szCs w:val="32"/>
          <w:lang w:val="en-AU" w:bidi="th-TH"/>
        </w:rPr>
        <w:t>Further Information</w:t>
      </w:r>
    </w:p>
    <w:p w14:paraId="32994CE7" w14:textId="3E28182E" w:rsidR="00573F53" w:rsidRDefault="00573F53">
      <w:pPr>
        <w:jc w:val="both"/>
        <w:rPr>
          <w:rFonts w:ascii="Myriad Pro" w:eastAsia="Times New Roman" w:hAnsi="Myriad Pro" w:cs="Arial"/>
          <w:color w:val="000000"/>
          <w:sz w:val="20"/>
          <w:szCs w:val="20"/>
          <w:lang w:val="en-AU" w:eastAsia="en-GB"/>
        </w:rPr>
      </w:pPr>
    </w:p>
    <w:p w14:paraId="699D6306" w14:textId="41258DAF" w:rsidR="006620C1" w:rsidRDefault="006620C1">
      <w:pPr>
        <w:jc w:val="both"/>
        <w:rPr>
          <w:rFonts w:ascii="Myriad Pro" w:hAnsi="Myriad Pro"/>
          <w:sz w:val="20"/>
          <w:szCs w:val="20"/>
          <w:lang w:val="en-AU" w:bidi="th-TH"/>
        </w:rPr>
      </w:pPr>
      <w:r>
        <w:rPr>
          <w:rFonts w:ascii="Myriad Pro" w:hAnsi="Myriad Pro"/>
          <w:sz w:val="20"/>
          <w:szCs w:val="20"/>
          <w:lang w:val="en-AU" w:bidi="th-TH"/>
        </w:rPr>
        <w:t>For any further information, please contact</w:t>
      </w:r>
      <w:r w:rsidR="006D2A95">
        <w:rPr>
          <w:rFonts w:ascii="Myriad Pro" w:hAnsi="Myriad Pro"/>
          <w:sz w:val="20"/>
          <w:szCs w:val="20"/>
          <w:lang w:val="en-AU" w:bidi="th-TH"/>
        </w:rPr>
        <w:t>:</w:t>
      </w:r>
      <w:r>
        <w:rPr>
          <w:rFonts w:ascii="Myriad Pro" w:hAnsi="Myriad Pro"/>
          <w:sz w:val="20"/>
          <w:szCs w:val="20"/>
          <w:lang w:val="en-AU" w:bidi="th-TH"/>
        </w:rPr>
        <w:t xml:space="preserve">. </w:t>
      </w:r>
    </w:p>
    <w:p w14:paraId="482E4454" w14:textId="77777777" w:rsidR="006620C1" w:rsidRDefault="006620C1">
      <w:pPr>
        <w:jc w:val="both"/>
        <w:rPr>
          <w:rFonts w:ascii="Myriad Pro" w:hAnsi="Myriad Pro"/>
          <w:sz w:val="20"/>
          <w:szCs w:val="20"/>
          <w:lang w:val="en-AU" w:bidi="th-TH"/>
        </w:rPr>
      </w:pPr>
    </w:p>
    <w:p w14:paraId="23346385" w14:textId="4AC2D067" w:rsidR="00573F53" w:rsidRPr="00B14AB9" w:rsidRDefault="006620C1">
      <w:pPr>
        <w:jc w:val="both"/>
        <w:rPr>
          <w:rFonts w:ascii="Myriad Pro Light" w:hAnsi="Myriad Pro Light"/>
          <w:color w:val="ED7D31" w:themeColor="accent2"/>
          <w:lang w:val="en-AU" w:bidi="th-TH"/>
        </w:rPr>
      </w:pPr>
      <w:r w:rsidRPr="00B14AB9">
        <w:rPr>
          <w:rFonts w:ascii="Myriad Pro Light" w:hAnsi="Myriad Pro Light"/>
          <w:noProof/>
          <w:color w:val="ED7D31" w:themeColor="accent2"/>
          <w:lang w:val="en-AU" w:eastAsia="en-AU"/>
        </w:rPr>
        <w:drawing>
          <wp:anchor distT="0" distB="0" distL="114300" distR="114300" simplePos="0" relativeHeight="251661312" behindDoc="0" locked="0" layoutInCell="1" allowOverlap="1" wp14:anchorId="2EC1E8D8" wp14:editId="423FF537">
            <wp:simplePos x="0" y="0"/>
            <wp:positionH relativeFrom="column">
              <wp:posOffset>82550</wp:posOffset>
            </wp:positionH>
            <wp:positionV relativeFrom="paragraph">
              <wp:posOffset>50800</wp:posOffset>
            </wp:positionV>
            <wp:extent cx="1478915" cy="1619885"/>
            <wp:effectExtent l="152400" t="114300" r="121285" b="170815"/>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4">
                      <a:extLst>
                        <a:ext uri="{BEBA8EAE-BF5A-486C-A8C5-ECC9F3942E4B}">
                          <a14:imgProps xmlns:a14="http://schemas.microsoft.com/office/drawing/2010/main">
                            <a14:imgLayer r:embed="rId25">
                              <a14:imgEffect>
                                <a14:saturation sat="0"/>
                              </a14:imgEffect>
                            </a14:imgLayer>
                          </a14:imgProps>
                        </a:ext>
                        <a:ext uri="{28A0092B-C50C-407E-A947-70E740481C1C}">
                          <a14:useLocalDpi xmlns:a14="http://schemas.microsoft.com/office/drawing/2010/main" val="0"/>
                        </a:ext>
                      </a:extLst>
                    </a:blip>
                    <a:stretch>
                      <a:fillRect/>
                    </a:stretch>
                  </pic:blipFill>
                  <pic:spPr>
                    <a:xfrm flipH="1">
                      <a:off x="0" y="0"/>
                      <a:ext cx="1478915" cy="16198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B14AB9">
        <w:rPr>
          <w:rFonts w:ascii="Myriad Pro Light" w:hAnsi="Myriad Pro Light"/>
          <w:color w:val="ED7D31" w:themeColor="accent2"/>
          <w:lang w:val="en-AU" w:bidi="th-TH"/>
        </w:rPr>
        <w:t>Simon Dawson</w:t>
      </w:r>
    </w:p>
    <w:p w14:paraId="24A10CC2" w14:textId="475977E2" w:rsidR="006620C1" w:rsidRPr="007A3F5F" w:rsidRDefault="006620C1">
      <w:pPr>
        <w:jc w:val="both"/>
        <w:rPr>
          <w:rFonts w:ascii="Myriad Pro" w:hAnsi="Myriad Pro"/>
          <w:sz w:val="20"/>
          <w:szCs w:val="20"/>
          <w:lang w:val="en-AU" w:bidi="th-TH"/>
        </w:rPr>
      </w:pPr>
      <w:r w:rsidRPr="007A3F5F">
        <w:rPr>
          <w:rFonts w:ascii="Myriad Pro" w:hAnsi="Myriad Pro"/>
          <w:sz w:val="20"/>
          <w:szCs w:val="20"/>
          <w:lang w:val="en-AU" w:bidi="th-TH"/>
        </w:rPr>
        <w:t>General Manager</w:t>
      </w:r>
    </w:p>
    <w:p w14:paraId="4E58E142" w14:textId="6F07D205" w:rsidR="006620C1" w:rsidRPr="007A3F5F" w:rsidRDefault="006620C1">
      <w:pPr>
        <w:jc w:val="both"/>
        <w:rPr>
          <w:rFonts w:ascii="Myriad Pro" w:hAnsi="Myriad Pro"/>
          <w:sz w:val="20"/>
          <w:szCs w:val="20"/>
          <w:lang w:val="en-AU" w:bidi="th-TH"/>
        </w:rPr>
      </w:pPr>
      <w:r w:rsidRPr="007A3F5F">
        <w:rPr>
          <w:rFonts w:ascii="Myriad Pro" w:hAnsi="Myriad Pro"/>
          <w:sz w:val="20"/>
          <w:szCs w:val="20"/>
          <w:lang w:val="en-AU" w:bidi="th-TH"/>
        </w:rPr>
        <w:t>Kyowa Kirin Australia Pty Ltd</w:t>
      </w:r>
    </w:p>
    <w:p w14:paraId="1A10EB60" w14:textId="6377E70A" w:rsidR="006620C1" w:rsidRPr="007A3F5F" w:rsidRDefault="006620C1">
      <w:pPr>
        <w:jc w:val="both"/>
        <w:rPr>
          <w:rFonts w:ascii="Myriad Pro" w:hAnsi="Myriad Pro"/>
          <w:sz w:val="20"/>
          <w:szCs w:val="20"/>
          <w:lang w:val="en-AU" w:bidi="th-TH"/>
        </w:rPr>
      </w:pPr>
      <w:r w:rsidRPr="007A3F5F">
        <w:rPr>
          <w:rFonts w:ascii="Myriad Pro" w:hAnsi="Myriad Pro"/>
          <w:sz w:val="20"/>
          <w:szCs w:val="20"/>
          <w:lang w:val="en-AU" w:bidi="th-TH"/>
        </w:rPr>
        <w:t>simon.dawson.m4@kyowakirin.com</w:t>
      </w:r>
    </w:p>
    <w:p w14:paraId="41D5CEAB" w14:textId="34B48EB5" w:rsidR="006620C1" w:rsidRPr="007A3F5F" w:rsidRDefault="006620C1">
      <w:pPr>
        <w:jc w:val="both"/>
        <w:rPr>
          <w:rFonts w:ascii="Myriad Pro" w:hAnsi="Myriad Pro"/>
          <w:sz w:val="20"/>
          <w:szCs w:val="20"/>
          <w:lang w:val="en-AU" w:bidi="th-TH"/>
        </w:rPr>
      </w:pPr>
      <w:r w:rsidRPr="007A3F5F">
        <w:rPr>
          <w:rFonts w:ascii="Myriad Pro" w:hAnsi="Myriad Pro"/>
          <w:sz w:val="20"/>
          <w:szCs w:val="20"/>
          <w:lang w:val="en-AU" w:bidi="th-TH"/>
        </w:rPr>
        <w:t>68 York Street, Sydney, NSW 2000</w:t>
      </w:r>
    </w:p>
    <w:p w14:paraId="0DD3796B" w14:textId="3098BFEE" w:rsidR="006620C1" w:rsidRPr="007A3F5F" w:rsidRDefault="006620C1">
      <w:pPr>
        <w:jc w:val="both"/>
        <w:rPr>
          <w:rFonts w:ascii="Myriad Pro" w:hAnsi="Myriad Pro"/>
          <w:sz w:val="20"/>
          <w:szCs w:val="20"/>
          <w:lang w:val="en-AU" w:bidi="th-TH"/>
        </w:rPr>
      </w:pPr>
      <w:r w:rsidRPr="007A3F5F">
        <w:rPr>
          <w:rFonts w:ascii="Myriad Pro" w:hAnsi="Myriad Pro"/>
          <w:sz w:val="20"/>
          <w:szCs w:val="20"/>
          <w:lang w:val="en-AU" w:bidi="th-TH"/>
        </w:rPr>
        <w:t>Direct +61 456 550 405</w:t>
      </w:r>
    </w:p>
    <w:p w14:paraId="3F3A1199" w14:textId="1E010255" w:rsidR="003F0305" w:rsidRDefault="003F0305">
      <w:pPr>
        <w:pStyle w:val="Default"/>
        <w:jc w:val="both"/>
        <w:rPr>
          <w:sz w:val="20"/>
          <w:szCs w:val="20"/>
        </w:rPr>
      </w:pPr>
    </w:p>
    <w:p w14:paraId="27C34A47" w14:textId="0A053FA4" w:rsidR="00824136" w:rsidRDefault="00824136">
      <w:pPr>
        <w:pStyle w:val="Default"/>
        <w:jc w:val="both"/>
        <w:rPr>
          <w:sz w:val="20"/>
          <w:szCs w:val="20"/>
        </w:rPr>
      </w:pPr>
    </w:p>
    <w:p w14:paraId="066732C0" w14:textId="40129DC2" w:rsidR="00824136" w:rsidRDefault="00824136">
      <w:pPr>
        <w:pStyle w:val="Default"/>
        <w:jc w:val="both"/>
        <w:rPr>
          <w:sz w:val="20"/>
          <w:szCs w:val="20"/>
        </w:rPr>
      </w:pPr>
    </w:p>
    <w:p w14:paraId="253AE32F" w14:textId="5F2A5565" w:rsidR="00824136" w:rsidRDefault="00824136">
      <w:pPr>
        <w:pStyle w:val="Default"/>
        <w:jc w:val="both"/>
        <w:rPr>
          <w:sz w:val="20"/>
          <w:szCs w:val="20"/>
        </w:rPr>
      </w:pPr>
    </w:p>
    <w:p w14:paraId="3806E7F9" w14:textId="77777777" w:rsidR="00824136" w:rsidRPr="00E4412E" w:rsidRDefault="00824136">
      <w:pPr>
        <w:pStyle w:val="Default"/>
        <w:jc w:val="both"/>
        <w:rPr>
          <w:sz w:val="20"/>
          <w:szCs w:val="20"/>
        </w:rPr>
      </w:pPr>
    </w:p>
    <w:sectPr w:rsidR="00824136" w:rsidRPr="00E4412E" w:rsidSect="007B0220">
      <w:headerReference w:type="default" r:id="rId26"/>
      <w:footerReference w:type="default" r:id="rId27"/>
      <w:pgSz w:w="11900" w:h="16840"/>
      <w:pgMar w:top="1440" w:right="1440" w:bottom="8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B39C4" w14:textId="77777777" w:rsidR="00CC07E8" w:rsidRDefault="00CC07E8" w:rsidP="00DB7830">
      <w:r>
        <w:separator/>
      </w:r>
    </w:p>
  </w:endnote>
  <w:endnote w:type="continuationSeparator" w:id="0">
    <w:p w14:paraId="5840FB3B" w14:textId="77777777" w:rsidR="00CC07E8" w:rsidRDefault="00CC07E8" w:rsidP="00DB7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AAD98" w14:textId="65B5BEE3" w:rsidR="003C7577" w:rsidRPr="0013736A" w:rsidRDefault="003A7BC6" w:rsidP="0013736A">
    <w:pPr>
      <w:rPr>
        <w:rFonts w:ascii="Arial" w:hAnsi="Arial" w:cs="Arial"/>
        <w:sz w:val="16"/>
        <w:szCs w:val="16"/>
        <w:lang w:eastAsia="en-SG"/>
      </w:rPr>
    </w:pPr>
    <w:r w:rsidRPr="00D341AE">
      <w:rPr>
        <w:rFonts w:ascii="Arial" w:hAnsi="Arial" w:cs="Arial"/>
        <w:sz w:val="16"/>
        <w:szCs w:val="16"/>
      </w:rPr>
      <w:t xml:space="preserve">Level </w:t>
    </w:r>
    <w:r w:rsidR="00D215FF" w:rsidRPr="00D341AE">
      <w:rPr>
        <w:rFonts w:ascii="Arial" w:hAnsi="Arial" w:cs="Arial"/>
        <w:sz w:val="16"/>
        <w:szCs w:val="16"/>
      </w:rPr>
      <w:t>7</w:t>
    </w:r>
    <w:r w:rsidRPr="00D341AE">
      <w:rPr>
        <w:rFonts w:ascii="Arial" w:hAnsi="Arial" w:cs="Arial"/>
        <w:sz w:val="16"/>
        <w:szCs w:val="16"/>
      </w:rPr>
      <w:t xml:space="preserve">, </w:t>
    </w:r>
    <w:r w:rsidRPr="00D341AE">
      <w:rPr>
        <w:rFonts w:ascii="Arial" w:hAnsi="Arial" w:cs="Arial"/>
        <w:sz w:val="16"/>
        <w:szCs w:val="16"/>
        <w:lang w:eastAsia="en-SG"/>
      </w:rPr>
      <w:t xml:space="preserve">68 York Street, Sydney, NSW 2000, Australia | </w:t>
    </w:r>
    <w:r w:rsidR="00D215FF" w:rsidRPr="00D341AE">
      <w:rPr>
        <w:rFonts w:ascii="Arial" w:hAnsi="Arial" w:cs="Arial"/>
        <w:sz w:val="16"/>
        <w:szCs w:val="16"/>
      </w:rPr>
      <w:t xml:space="preserve">Email: </w:t>
    </w:r>
    <w:r w:rsidR="0013736A" w:rsidRPr="00D341AE">
      <w:rPr>
        <w:rFonts w:ascii="Arial" w:hAnsi="Arial" w:cs="Arial"/>
        <w:sz w:val="16"/>
        <w:szCs w:val="16"/>
      </w:rPr>
      <w:t xml:space="preserve">enquiry.kkau@kyowakirin.com </w:t>
    </w:r>
    <w:r w:rsidR="003C7577" w:rsidRPr="00D341AE">
      <w:rPr>
        <w:rFonts w:ascii="Arial" w:hAnsi="Arial" w:cs="Arial"/>
        <w:sz w:val="16"/>
        <w:szCs w:val="16"/>
      </w:rPr>
      <w:t>|</w:t>
    </w:r>
    <w:r w:rsidRPr="00D341AE">
      <w:rPr>
        <w:rFonts w:ascii="Arial" w:hAnsi="Arial" w:cs="Arial"/>
        <w:sz w:val="16"/>
        <w:szCs w:val="16"/>
      </w:rPr>
      <w:t xml:space="preserve"> </w:t>
    </w:r>
    <w:r w:rsidR="003C7577" w:rsidRPr="00D341AE">
      <w:rPr>
        <w:rFonts w:ascii="Arial" w:hAnsi="Arial" w:cs="Arial"/>
        <w:sz w:val="16"/>
        <w:szCs w:val="16"/>
      </w:rPr>
      <w:t>ABN: 47 631 934 453</w:t>
    </w:r>
    <w:r w:rsidR="00801DD7" w:rsidRPr="0013736A">
      <w:rPr>
        <w:rFonts w:ascii="Arial" w:hAnsi="Arial" w:cs="Arial"/>
        <w:sz w:val="16"/>
        <w:szCs w:val="16"/>
      </w:rPr>
      <w:br/>
      <w:t xml:space="preserve"> </w:t>
    </w:r>
  </w:p>
  <w:p w14:paraId="0B9B58E7" w14:textId="77777777" w:rsidR="003C7577" w:rsidRPr="00D215FF" w:rsidRDefault="003C7577">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998F0" w14:textId="77777777" w:rsidR="00CC07E8" w:rsidRDefault="00CC07E8" w:rsidP="00DB7830">
      <w:r>
        <w:separator/>
      </w:r>
    </w:p>
  </w:footnote>
  <w:footnote w:type="continuationSeparator" w:id="0">
    <w:p w14:paraId="6572107A" w14:textId="77777777" w:rsidR="00CC07E8" w:rsidRDefault="00CC07E8" w:rsidP="00DB7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0FF53" w14:textId="0E2E59C0" w:rsidR="004E1616" w:rsidRDefault="00D97334" w:rsidP="007B0220">
    <w:pPr>
      <w:pStyle w:val="Header"/>
      <w:tabs>
        <w:tab w:val="clear" w:pos="4513"/>
        <w:tab w:val="clear" w:pos="9026"/>
        <w:tab w:val="left" w:pos="5046"/>
      </w:tabs>
    </w:pPr>
    <w:r>
      <w:rPr>
        <w:rFonts w:ascii="Arial" w:hAnsi="Arial" w:cs="Arial"/>
        <w:noProof/>
        <w:lang w:val="en-AU" w:eastAsia="en-AU"/>
      </w:rPr>
      <w:drawing>
        <wp:anchor distT="0" distB="0" distL="114300" distR="114300" simplePos="0" relativeHeight="251659264" behindDoc="0" locked="0" layoutInCell="1" allowOverlap="1" wp14:anchorId="0857791B" wp14:editId="2B48765B">
          <wp:simplePos x="0" y="0"/>
          <wp:positionH relativeFrom="column">
            <wp:posOffset>4724400</wp:posOffset>
          </wp:positionH>
          <wp:positionV relativeFrom="paragraph">
            <wp:posOffset>-220980</wp:posOffset>
          </wp:positionV>
          <wp:extent cx="1895475" cy="677545"/>
          <wp:effectExtent l="0" t="0" r="9525" b="8255"/>
          <wp:wrapNone/>
          <wp:docPr id="3"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HK_paper_form_base_out-10.png"/>
                  <pic:cNvPicPr/>
                </pic:nvPicPr>
                <pic:blipFill rotWithShape="1">
                  <a:blip r:embed="rId1">
                    <a:extLst>
                      <a:ext uri="{28A0092B-C50C-407E-A947-70E740481C1C}">
                        <a14:useLocalDpi xmlns:a14="http://schemas.microsoft.com/office/drawing/2010/main" val="0"/>
                      </a:ext>
                    </a:extLst>
                  </a:blip>
                  <a:srcRect r="33763"/>
                  <a:stretch/>
                </pic:blipFill>
                <pic:spPr bwMode="auto">
                  <a:xfrm>
                    <a:off x="0" y="0"/>
                    <a:ext cx="1895475" cy="677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B022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107DF3"/>
    <w:multiLevelType w:val="hybridMultilevel"/>
    <w:tmpl w:val="5F28F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6650C14"/>
    <w:multiLevelType w:val="hybridMultilevel"/>
    <w:tmpl w:val="26F291A8"/>
    <w:lvl w:ilvl="0" w:tplc="9A7C32B6">
      <w:start w:val="2"/>
      <w:numFmt w:val="bullet"/>
      <w:lvlText w:val="•"/>
      <w:lvlJc w:val="left"/>
      <w:pPr>
        <w:ind w:left="1080" w:hanging="360"/>
      </w:pPr>
      <w:rPr>
        <w:rFonts w:ascii="Myriad Pro" w:eastAsiaTheme="minorHAnsi" w:hAnsi="Myriad Pro"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3AA05335"/>
    <w:multiLevelType w:val="hybridMultilevel"/>
    <w:tmpl w:val="D03ADC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3B02069D"/>
    <w:multiLevelType w:val="hybridMultilevel"/>
    <w:tmpl w:val="7C925A6E"/>
    <w:lvl w:ilvl="0" w:tplc="BDF29D86">
      <w:start w:val="1"/>
      <w:numFmt w:val="decimal"/>
      <w:lvlText w:val="%1."/>
      <w:lvlJc w:val="left"/>
      <w:pPr>
        <w:ind w:left="360" w:hanging="360"/>
      </w:pPr>
      <w:rPr>
        <w:rFonts w:hint="default"/>
        <w:color w:val="FFFFFF" w:themeColor="background1"/>
        <w:u w:color="C45911" w:themeColor="accent2" w:themeShade="BF"/>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40CD3C92"/>
    <w:multiLevelType w:val="hybridMultilevel"/>
    <w:tmpl w:val="CB2CD92C"/>
    <w:lvl w:ilvl="0" w:tplc="9A7C32B6">
      <w:start w:val="2"/>
      <w:numFmt w:val="bullet"/>
      <w:lvlText w:val="•"/>
      <w:lvlJc w:val="left"/>
      <w:pPr>
        <w:ind w:left="1080" w:hanging="360"/>
      </w:pPr>
      <w:rPr>
        <w:rFonts w:ascii="Myriad Pro" w:eastAsiaTheme="minorHAnsi" w:hAnsi="Myriad Pro"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46E0379E"/>
    <w:multiLevelType w:val="hybridMultilevel"/>
    <w:tmpl w:val="EF4015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F762D5A"/>
    <w:multiLevelType w:val="hybridMultilevel"/>
    <w:tmpl w:val="46CA20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0DB2FB8"/>
    <w:multiLevelType w:val="hybridMultilevel"/>
    <w:tmpl w:val="3F7015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D280B4F"/>
    <w:multiLevelType w:val="hybridMultilevel"/>
    <w:tmpl w:val="125A52CA"/>
    <w:lvl w:ilvl="0" w:tplc="9A7C32B6">
      <w:start w:val="2"/>
      <w:numFmt w:val="bullet"/>
      <w:lvlText w:val="•"/>
      <w:lvlJc w:val="left"/>
      <w:pPr>
        <w:ind w:left="1080" w:hanging="360"/>
      </w:pPr>
      <w:rPr>
        <w:rFonts w:ascii="Myriad Pro" w:eastAsiaTheme="minorHAnsi" w:hAnsi="Myriad Pro"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2EF32FE"/>
    <w:multiLevelType w:val="hybridMultilevel"/>
    <w:tmpl w:val="3F7015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4914EF6"/>
    <w:multiLevelType w:val="hybridMultilevel"/>
    <w:tmpl w:val="CB98089E"/>
    <w:lvl w:ilvl="0" w:tplc="9A7C32B6">
      <w:start w:val="2"/>
      <w:numFmt w:val="bullet"/>
      <w:lvlText w:val="•"/>
      <w:lvlJc w:val="left"/>
      <w:pPr>
        <w:ind w:left="720" w:hanging="360"/>
      </w:pPr>
      <w:rPr>
        <w:rFonts w:ascii="Myriad Pro" w:eastAsiaTheme="minorHAnsi" w:hAnsi="Myriad Pr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DF5635A"/>
    <w:multiLevelType w:val="hybridMultilevel"/>
    <w:tmpl w:val="3F7015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11"/>
  </w:num>
  <w:num w:numId="5">
    <w:abstractNumId w:val="5"/>
  </w:num>
  <w:num w:numId="6">
    <w:abstractNumId w:val="9"/>
  </w:num>
  <w:num w:numId="7">
    <w:abstractNumId w:val="0"/>
  </w:num>
  <w:num w:numId="8">
    <w:abstractNumId w:val="10"/>
  </w:num>
  <w:num w:numId="9">
    <w:abstractNumId w:val="1"/>
  </w:num>
  <w:num w:numId="10">
    <w:abstractNumId w:val="8"/>
  </w:num>
  <w:num w:numId="11">
    <w:abstractNumId w:val="4"/>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55B"/>
    <w:rsid w:val="00006D51"/>
    <w:rsid w:val="00017F62"/>
    <w:rsid w:val="00020599"/>
    <w:rsid w:val="00043092"/>
    <w:rsid w:val="00074BBF"/>
    <w:rsid w:val="000B6778"/>
    <w:rsid w:val="000E58EA"/>
    <w:rsid w:val="000E7DB9"/>
    <w:rsid w:val="0012199F"/>
    <w:rsid w:val="0013736A"/>
    <w:rsid w:val="001539A5"/>
    <w:rsid w:val="00166715"/>
    <w:rsid w:val="00186D94"/>
    <w:rsid w:val="00193811"/>
    <w:rsid w:val="00195A27"/>
    <w:rsid w:val="001A101D"/>
    <w:rsid w:val="001A7B40"/>
    <w:rsid w:val="001D2ABA"/>
    <w:rsid w:val="001D7368"/>
    <w:rsid w:val="00216906"/>
    <w:rsid w:val="002176D0"/>
    <w:rsid w:val="002327B8"/>
    <w:rsid w:val="00284B7C"/>
    <w:rsid w:val="0029609B"/>
    <w:rsid w:val="002A05D8"/>
    <w:rsid w:val="002F0349"/>
    <w:rsid w:val="003040FB"/>
    <w:rsid w:val="003107B0"/>
    <w:rsid w:val="00315DE7"/>
    <w:rsid w:val="003247E8"/>
    <w:rsid w:val="00330329"/>
    <w:rsid w:val="0033790F"/>
    <w:rsid w:val="00344A51"/>
    <w:rsid w:val="00354995"/>
    <w:rsid w:val="00360C95"/>
    <w:rsid w:val="0037128D"/>
    <w:rsid w:val="00371484"/>
    <w:rsid w:val="00377DF3"/>
    <w:rsid w:val="003A7BC6"/>
    <w:rsid w:val="003C1AB7"/>
    <w:rsid w:val="003C7577"/>
    <w:rsid w:val="003E7DA4"/>
    <w:rsid w:val="003F0305"/>
    <w:rsid w:val="00415415"/>
    <w:rsid w:val="00446DB3"/>
    <w:rsid w:val="00453888"/>
    <w:rsid w:val="004803F1"/>
    <w:rsid w:val="004D1DFE"/>
    <w:rsid w:val="004E1616"/>
    <w:rsid w:val="004E1787"/>
    <w:rsid w:val="004E62C0"/>
    <w:rsid w:val="00550ADD"/>
    <w:rsid w:val="0055138B"/>
    <w:rsid w:val="00564892"/>
    <w:rsid w:val="00573F53"/>
    <w:rsid w:val="005800CA"/>
    <w:rsid w:val="005A1BDF"/>
    <w:rsid w:val="005D484F"/>
    <w:rsid w:val="005D6417"/>
    <w:rsid w:val="005E14D0"/>
    <w:rsid w:val="005E56E8"/>
    <w:rsid w:val="00607F52"/>
    <w:rsid w:val="00617623"/>
    <w:rsid w:val="00632A73"/>
    <w:rsid w:val="0064035B"/>
    <w:rsid w:val="00654E65"/>
    <w:rsid w:val="006620C1"/>
    <w:rsid w:val="00664D57"/>
    <w:rsid w:val="00673A6F"/>
    <w:rsid w:val="006D2A95"/>
    <w:rsid w:val="006D5464"/>
    <w:rsid w:val="006F2098"/>
    <w:rsid w:val="00715FD7"/>
    <w:rsid w:val="00720F76"/>
    <w:rsid w:val="00732938"/>
    <w:rsid w:val="007466A7"/>
    <w:rsid w:val="00777980"/>
    <w:rsid w:val="00785C04"/>
    <w:rsid w:val="007A00AB"/>
    <w:rsid w:val="007A3F5F"/>
    <w:rsid w:val="007A7FD1"/>
    <w:rsid w:val="007B0220"/>
    <w:rsid w:val="007B5D52"/>
    <w:rsid w:val="007C6391"/>
    <w:rsid w:val="007D431C"/>
    <w:rsid w:val="007E7060"/>
    <w:rsid w:val="00801DD7"/>
    <w:rsid w:val="00824136"/>
    <w:rsid w:val="00836018"/>
    <w:rsid w:val="00843CD3"/>
    <w:rsid w:val="00870BB3"/>
    <w:rsid w:val="008821B8"/>
    <w:rsid w:val="00884607"/>
    <w:rsid w:val="008A5F83"/>
    <w:rsid w:val="00901A69"/>
    <w:rsid w:val="00923BDF"/>
    <w:rsid w:val="00942329"/>
    <w:rsid w:val="009427BE"/>
    <w:rsid w:val="00947C56"/>
    <w:rsid w:val="00956BBE"/>
    <w:rsid w:val="00961260"/>
    <w:rsid w:val="00966462"/>
    <w:rsid w:val="00974458"/>
    <w:rsid w:val="009A73FB"/>
    <w:rsid w:val="009C1FF2"/>
    <w:rsid w:val="009D0B98"/>
    <w:rsid w:val="009D21C3"/>
    <w:rsid w:val="009D54FA"/>
    <w:rsid w:val="009D63E8"/>
    <w:rsid w:val="009D7AD4"/>
    <w:rsid w:val="009E1338"/>
    <w:rsid w:val="00A17601"/>
    <w:rsid w:val="00A24562"/>
    <w:rsid w:val="00A27017"/>
    <w:rsid w:val="00A50C69"/>
    <w:rsid w:val="00A51036"/>
    <w:rsid w:val="00A52E0A"/>
    <w:rsid w:val="00A741CE"/>
    <w:rsid w:val="00A83315"/>
    <w:rsid w:val="00A86329"/>
    <w:rsid w:val="00AA166C"/>
    <w:rsid w:val="00AA7D18"/>
    <w:rsid w:val="00AB2AC1"/>
    <w:rsid w:val="00AC5F63"/>
    <w:rsid w:val="00AC7FA9"/>
    <w:rsid w:val="00AD2C75"/>
    <w:rsid w:val="00AF0DDA"/>
    <w:rsid w:val="00AF4BF5"/>
    <w:rsid w:val="00B07619"/>
    <w:rsid w:val="00B14AB9"/>
    <w:rsid w:val="00B14E63"/>
    <w:rsid w:val="00B15691"/>
    <w:rsid w:val="00B1616B"/>
    <w:rsid w:val="00B63EE9"/>
    <w:rsid w:val="00B659D9"/>
    <w:rsid w:val="00B7027D"/>
    <w:rsid w:val="00B918C8"/>
    <w:rsid w:val="00B951F1"/>
    <w:rsid w:val="00BC0A99"/>
    <w:rsid w:val="00BF0AC0"/>
    <w:rsid w:val="00C03BD4"/>
    <w:rsid w:val="00C15F5D"/>
    <w:rsid w:val="00C300B1"/>
    <w:rsid w:val="00C47AA2"/>
    <w:rsid w:val="00C7390B"/>
    <w:rsid w:val="00C931CB"/>
    <w:rsid w:val="00CA2253"/>
    <w:rsid w:val="00CC07E8"/>
    <w:rsid w:val="00CC7534"/>
    <w:rsid w:val="00CD055B"/>
    <w:rsid w:val="00D215FF"/>
    <w:rsid w:val="00D341AE"/>
    <w:rsid w:val="00D50B94"/>
    <w:rsid w:val="00D6133A"/>
    <w:rsid w:val="00D621A3"/>
    <w:rsid w:val="00D70A3B"/>
    <w:rsid w:val="00D97334"/>
    <w:rsid w:val="00DB109A"/>
    <w:rsid w:val="00DB7830"/>
    <w:rsid w:val="00DE55F9"/>
    <w:rsid w:val="00DE6855"/>
    <w:rsid w:val="00DE7D14"/>
    <w:rsid w:val="00DE7E14"/>
    <w:rsid w:val="00DF1F4A"/>
    <w:rsid w:val="00E4412E"/>
    <w:rsid w:val="00E604C4"/>
    <w:rsid w:val="00E819DD"/>
    <w:rsid w:val="00E92CDA"/>
    <w:rsid w:val="00EB0233"/>
    <w:rsid w:val="00EE02E7"/>
    <w:rsid w:val="00EE5D75"/>
    <w:rsid w:val="00F054C6"/>
    <w:rsid w:val="00F42BA2"/>
    <w:rsid w:val="00F45971"/>
    <w:rsid w:val="00F612B0"/>
    <w:rsid w:val="00F65FEC"/>
    <w:rsid w:val="00F74B67"/>
    <w:rsid w:val="00F77BBB"/>
    <w:rsid w:val="00FA13D4"/>
    <w:rsid w:val="00FA22B0"/>
    <w:rsid w:val="00FA516D"/>
    <w:rsid w:val="00FD5DF1"/>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61CDF4"/>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830"/>
    <w:pPr>
      <w:tabs>
        <w:tab w:val="center" w:pos="4513"/>
        <w:tab w:val="right" w:pos="9026"/>
      </w:tabs>
    </w:pPr>
  </w:style>
  <w:style w:type="character" w:customStyle="1" w:styleId="HeaderChar">
    <w:name w:val="Header Char"/>
    <w:basedOn w:val="DefaultParagraphFont"/>
    <w:link w:val="Header"/>
    <w:uiPriority w:val="99"/>
    <w:rsid w:val="00DB7830"/>
  </w:style>
  <w:style w:type="paragraph" w:styleId="Footer">
    <w:name w:val="footer"/>
    <w:basedOn w:val="Normal"/>
    <w:link w:val="FooterChar"/>
    <w:uiPriority w:val="99"/>
    <w:unhideWhenUsed/>
    <w:rsid w:val="00DB7830"/>
    <w:pPr>
      <w:tabs>
        <w:tab w:val="center" w:pos="4513"/>
        <w:tab w:val="right" w:pos="9026"/>
      </w:tabs>
    </w:pPr>
  </w:style>
  <w:style w:type="character" w:customStyle="1" w:styleId="FooterChar">
    <w:name w:val="Footer Char"/>
    <w:basedOn w:val="DefaultParagraphFont"/>
    <w:link w:val="Footer"/>
    <w:uiPriority w:val="99"/>
    <w:rsid w:val="00DB7830"/>
  </w:style>
  <w:style w:type="paragraph" w:styleId="NormalWeb">
    <w:name w:val="Normal (Web)"/>
    <w:basedOn w:val="Normal"/>
    <w:uiPriority w:val="99"/>
    <w:unhideWhenUsed/>
    <w:rsid w:val="00974458"/>
    <w:pPr>
      <w:spacing w:before="100" w:beforeAutospacing="1" w:after="100" w:afterAutospacing="1"/>
    </w:pPr>
    <w:rPr>
      <w:rFonts w:ascii="Times New Roman" w:eastAsia="Times New Roman" w:hAnsi="Times New Roman" w:cs="Times New Roman"/>
      <w:lang w:val="en-SG" w:eastAsia="en-SG"/>
    </w:rPr>
  </w:style>
  <w:style w:type="character" w:styleId="Hyperlink">
    <w:name w:val="Hyperlink"/>
    <w:basedOn w:val="DefaultParagraphFont"/>
    <w:uiPriority w:val="99"/>
    <w:unhideWhenUsed/>
    <w:rsid w:val="00974458"/>
    <w:rPr>
      <w:color w:val="0563C1" w:themeColor="hyperlink"/>
      <w:u w:val="single"/>
    </w:rPr>
  </w:style>
  <w:style w:type="character" w:customStyle="1" w:styleId="UnresolvedMention1">
    <w:name w:val="Unresolved Mention1"/>
    <w:basedOn w:val="DefaultParagraphFont"/>
    <w:uiPriority w:val="99"/>
    <w:semiHidden/>
    <w:unhideWhenUsed/>
    <w:rsid w:val="00974458"/>
    <w:rPr>
      <w:color w:val="605E5C"/>
      <w:shd w:val="clear" w:color="auto" w:fill="E1DFDD"/>
    </w:rPr>
  </w:style>
  <w:style w:type="paragraph" w:styleId="ListParagraph">
    <w:name w:val="List Paragraph"/>
    <w:basedOn w:val="Normal"/>
    <w:uiPriority w:val="34"/>
    <w:qFormat/>
    <w:rsid w:val="00DE7E14"/>
    <w:pPr>
      <w:ind w:left="720"/>
    </w:pPr>
    <w:rPr>
      <w:rFonts w:ascii="Calibri" w:eastAsiaTheme="minorEastAsia" w:hAnsi="Calibri" w:cs="Calibri"/>
      <w:sz w:val="22"/>
      <w:szCs w:val="22"/>
      <w:lang w:val="en-AU" w:eastAsia="zh-CN" w:bidi="th-TH"/>
    </w:rPr>
  </w:style>
  <w:style w:type="paragraph" w:styleId="BalloonText">
    <w:name w:val="Balloon Text"/>
    <w:basedOn w:val="Normal"/>
    <w:link w:val="BalloonTextChar"/>
    <w:uiPriority w:val="99"/>
    <w:semiHidden/>
    <w:unhideWhenUsed/>
    <w:rsid w:val="009A73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3FB"/>
    <w:rPr>
      <w:rFonts w:ascii="Segoe UI" w:hAnsi="Segoe UI" w:cs="Segoe UI"/>
      <w:sz w:val="18"/>
      <w:szCs w:val="18"/>
    </w:rPr>
  </w:style>
  <w:style w:type="character" w:styleId="CommentReference">
    <w:name w:val="annotation reference"/>
    <w:basedOn w:val="DefaultParagraphFont"/>
    <w:uiPriority w:val="99"/>
    <w:semiHidden/>
    <w:unhideWhenUsed/>
    <w:rsid w:val="00043092"/>
    <w:rPr>
      <w:sz w:val="16"/>
      <w:szCs w:val="16"/>
    </w:rPr>
  </w:style>
  <w:style w:type="paragraph" w:styleId="CommentText">
    <w:name w:val="annotation text"/>
    <w:basedOn w:val="Normal"/>
    <w:link w:val="CommentTextChar"/>
    <w:uiPriority w:val="99"/>
    <w:semiHidden/>
    <w:unhideWhenUsed/>
    <w:rsid w:val="00043092"/>
    <w:rPr>
      <w:sz w:val="20"/>
      <w:szCs w:val="20"/>
    </w:rPr>
  </w:style>
  <w:style w:type="character" w:customStyle="1" w:styleId="CommentTextChar">
    <w:name w:val="Comment Text Char"/>
    <w:basedOn w:val="DefaultParagraphFont"/>
    <w:link w:val="CommentText"/>
    <w:uiPriority w:val="99"/>
    <w:semiHidden/>
    <w:rsid w:val="00043092"/>
    <w:rPr>
      <w:sz w:val="20"/>
      <w:szCs w:val="20"/>
    </w:rPr>
  </w:style>
  <w:style w:type="paragraph" w:styleId="CommentSubject">
    <w:name w:val="annotation subject"/>
    <w:basedOn w:val="CommentText"/>
    <w:next w:val="CommentText"/>
    <w:link w:val="CommentSubjectChar"/>
    <w:uiPriority w:val="99"/>
    <w:semiHidden/>
    <w:unhideWhenUsed/>
    <w:rsid w:val="00043092"/>
    <w:rPr>
      <w:b/>
      <w:bCs/>
    </w:rPr>
  </w:style>
  <w:style w:type="character" w:customStyle="1" w:styleId="CommentSubjectChar">
    <w:name w:val="Comment Subject Char"/>
    <w:basedOn w:val="CommentTextChar"/>
    <w:link w:val="CommentSubject"/>
    <w:uiPriority w:val="99"/>
    <w:semiHidden/>
    <w:rsid w:val="00043092"/>
    <w:rPr>
      <w:b/>
      <w:bCs/>
      <w:sz w:val="20"/>
      <w:szCs w:val="20"/>
    </w:rPr>
  </w:style>
  <w:style w:type="paragraph" w:styleId="NoSpacing">
    <w:name w:val="No Spacing"/>
    <w:link w:val="NoSpacingChar"/>
    <w:uiPriority w:val="1"/>
    <w:qFormat/>
    <w:rsid w:val="007A7FD1"/>
    <w:rPr>
      <w:sz w:val="22"/>
      <w:szCs w:val="22"/>
      <w:lang w:val="en-AU"/>
    </w:rPr>
  </w:style>
  <w:style w:type="character" w:customStyle="1" w:styleId="NoSpacingChar">
    <w:name w:val="No Spacing Char"/>
    <w:basedOn w:val="DefaultParagraphFont"/>
    <w:link w:val="NoSpacing"/>
    <w:uiPriority w:val="1"/>
    <w:rsid w:val="007A7FD1"/>
    <w:rPr>
      <w:sz w:val="22"/>
      <w:szCs w:val="22"/>
      <w:lang w:val="en-AU"/>
    </w:rPr>
  </w:style>
  <w:style w:type="table" w:styleId="GridTable5Dark-Accent2">
    <w:name w:val="Grid Table 5 Dark Accent 2"/>
    <w:basedOn w:val="TableNormal"/>
    <w:uiPriority w:val="50"/>
    <w:rsid w:val="007A7FD1"/>
    <w:rPr>
      <w:sz w:val="22"/>
      <w:szCs w:val="22"/>
      <w:lang w:val="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Default">
    <w:name w:val="Default"/>
    <w:rsid w:val="00573F53"/>
    <w:pPr>
      <w:autoSpaceDE w:val="0"/>
      <w:autoSpaceDN w:val="0"/>
      <w:adjustRightInd w:val="0"/>
    </w:pPr>
    <w:rPr>
      <w:rFonts w:ascii="Myriad Pro" w:hAnsi="Myriad Pro" w:cs="Myriad Pro"/>
      <w:color w:val="000000"/>
      <w:lang w:val="en-AU" w:bidi="th-TH"/>
    </w:rPr>
  </w:style>
  <w:style w:type="paragraph" w:customStyle="1" w:styleId="Pa1">
    <w:name w:val="Pa1"/>
    <w:basedOn w:val="Default"/>
    <w:next w:val="Default"/>
    <w:uiPriority w:val="99"/>
    <w:rsid w:val="00573F53"/>
    <w:pPr>
      <w:spacing w:line="181" w:lineRule="atLeast"/>
    </w:pPr>
    <w:rPr>
      <w:rFonts w:cstheme="minorBidi"/>
      <w:color w:val="auto"/>
    </w:rPr>
  </w:style>
  <w:style w:type="character" w:customStyle="1" w:styleId="A2">
    <w:name w:val="A2"/>
    <w:uiPriority w:val="99"/>
    <w:rsid w:val="00573F53"/>
    <w:rPr>
      <w:rFonts w:cs="Myriad Pro"/>
      <w:color w:val="000000"/>
      <w:sz w:val="10"/>
      <w:szCs w:val="10"/>
    </w:rPr>
  </w:style>
  <w:style w:type="paragraph" w:customStyle="1" w:styleId="Pa2">
    <w:name w:val="Pa2"/>
    <w:basedOn w:val="Default"/>
    <w:next w:val="Default"/>
    <w:uiPriority w:val="99"/>
    <w:rsid w:val="00573F53"/>
    <w:pPr>
      <w:spacing w:line="181" w:lineRule="atLeast"/>
    </w:pPr>
    <w:rPr>
      <w:rFonts w:cstheme="minorBidi"/>
      <w:color w:val="auto"/>
    </w:rPr>
  </w:style>
  <w:style w:type="paragraph" w:customStyle="1" w:styleId="Pa4">
    <w:name w:val="Pa4"/>
    <w:basedOn w:val="Default"/>
    <w:next w:val="Default"/>
    <w:uiPriority w:val="99"/>
    <w:rsid w:val="00E4412E"/>
    <w:pPr>
      <w:spacing w:line="181" w:lineRule="atLeast"/>
    </w:pPr>
    <w:rPr>
      <w:rFonts w:cstheme="minorBidi"/>
      <w:color w:val="auto"/>
    </w:rPr>
  </w:style>
  <w:style w:type="paragraph" w:customStyle="1" w:styleId="Pa0">
    <w:name w:val="Pa0"/>
    <w:basedOn w:val="Default"/>
    <w:next w:val="Default"/>
    <w:uiPriority w:val="99"/>
    <w:rsid w:val="00E4412E"/>
    <w:pPr>
      <w:spacing w:line="321" w:lineRule="atLeast"/>
    </w:pPr>
    <w:rPr>
      <w:rFonts w:cstheme="minorBidi"/>
      <w:color w:val="auto"/>
    </w:rPr>
  </w:style>
  <w:style w:type="table" w:styleId="TableGrid">
    <w:name w:val="Table Grid"/>
    <w:basedOn w:val="TableNormal"/>
    <w:uiPriority w:val="39"/>
    <w:rsid w:val="00664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61458">
      <w:bodyDiv w:val="1"/>
      <w:marLeft w:val="0"/>
      <w:marRight w:val="0"/>
      <w:marTop w:val="0"/>
      <w:marBottom w:val="0"/>
      <w:divBdr>
        <w:top w:val="none" w:sz="0" w:space="0" w:color="auto"/>
        <w:left w:val="none" w:sz="0" w:space="0" w:color="auto"/>
        <w:bottom w:val="none" w:sz="0" w:space="0" w:color="auto"/>
        <w:right w:val="none" w:sz="0" w:space="0" w:color="auto"/>
      </w:divBdr>
    </w:div>
    <w:div w:id="273096411">
      <w:bodyDiv w:val="1"/>
      <w:marLeft w:val="0"/>
      <w:marRight w:val="0"/>
      <w:marTop w:val="0"/>
      <w:marBottom w:val="0"/>
      <w:divBdr>
        <w:top w:val="none" w:sz="0" w:space="0" w:color="auto"/>
        <w:left w:val="none" w:sz="0" w:space="0" w:color="auto"/>
        <w:bottom w:val="none" w:sz="0" w:space="0" w:color="auto"/>
        <w:right w:val="none" w:sz="0" w:space="0" w:color="auto"/>
      </w:divBdr>
    </w:div>
    <w:div w:id="365716245">
      <w:bodyDiv w:val="1"/>
      <w:marLeft w:val="0"/>
      <w:marRight w:val="0"/>
      <w:marTop w:val="0"/>
      <w:marBottom w:val="0"/>
      <w:divBdr>
        <w:top w:val="none" w:sz="0" w:space="0" w:color="auto"/>
        <w:left w:val="none" w:sz="0" w:space="0" w:color="auto"/>
        <w:bottom w:val="none" w:sz="0" w:space="0" w:color="auto"/>
        <w:right w:val="none" w:sz="0" w:space="0" w:color="auto"/>
      </w:divBdr>
    </w:div>
    <w:div w:id="754546267">
      <w:bodyDiv w:val="1"/>
      <w:marLeft w:val="0"/>
      <w:marRight w:val="0"/>
      <w:marTop w:val="0"/>
      <w:marBottom w:val="0"/>
      <w:divBdr>
        <w:top w:val="none" w:sz="0" w:space="0" w:color="auto"/>
        <w:left w:val="none" w:sz="0" w:space="0" w:color="auto"/>
        <w:bottom w:val="none" w:sz="0" w:space="0" w:color="auto"/>
        <w:right w:val="none" w:sz="0" w:space="0" w:color="auto"/>
      </w:divBdr>
    </w:div>
    <w:div w:id="792091566">
      <w:bodyDiv w:val="1"/>
      <w:marLeft w:val="0"/>
      <w:marRight w:val="0"/>
      <w:marTop w:val="0"/>
      <w:marBottom w:val="0"/>
      <w:divBdr>
        <w:top w:val="none" w:sz="0" w:space="0" w:color="auto"/>
        <w:left w:val="none" w:sz="0" w:space="0" w:color="auto"/>
        <w:bottom w:val="none" w:sz="0" w:space="0" w:color="auto"/>
        <w:right w:val="none" w:sz="0" w:space="0" w:color="auto"/>
      </w:divBdr>
    </w:div>
    <w:div w:id="1408653979">
      <w:bodyDiv w:val="1"/>
      <w:marLeft w:val="0"/>
      <w:marRight w:val="0"/>
      <w:marTop w:val="0"/>
      <w:marBottom w:val="0"/>
      <w:divBdr>
        <w:top w:val="none" w:sz="0" w:space="0" w:color="auto"/>
        <w:left w:val="none" w:sz="0" w:space="0" w:color="auto"/>
        <w:bottom w:val="none" w:sz="0" w:space="0" w:color="auto"/>
        <w:right w:val="none" w:sz="0" w:space="0" w:color="auto"/>
      </w:divBdr>
    </w:div>
    <w:div w:id="1507745768">
      <w:bodyDiv w:val="1"/>
      <w:marLeft w:val="0"/>
      <w:marRight w:val="0"/>
      <w:marTop w:val="0"/>
      <w:marBottom w:val="0"/>
      <w:divBdr>
        <w:top w:val="none" w:sz="0" w:space="0" w:color="auto"/>
        <w:left w:val="none" w:sz="0" w:space="0" w:color="auto"/>
        <w:bottom w:val="none" w:sz="0" w:space="0" w:color="auto"/>
        <w:right w:val="none" w:sz="0" w:space="0" w:color="auto"/>
      </w:divBdr>
    </w:div>
    <w:div w:id="1719010373">
      <w:bodyDiv w:val="1"/>
      <w:marLeft w:val="0"/>
      <w:marRight w:val="0"/>
      <w:marTop w:val="0"/>
      <w:marBottom w:val="0"/>
      <w:divBdr>
        <w:top w:val="none" w:sz="0" w:space="0" w:color="auto"/>
        <w:left w:val="none" w:sz="0" w:space="0" w:color="auto"/>
        <w:bottom w:val="none" w:sz="0" w:space="0" w:color="auto"/>
        <w:right w:val="none" w:sz="0" w:space="0" w:color="auto"/>
      </w:divBdr>
    </w:div>
    <w:div w:id="1804469687">
      <w:bodyDiv w:val="1"/>
      <w:marLeft w:val="0"/>
      <w:marRight w:val="0"/>
      <w:marTop w:val="0"/>
      <w:marBottom w:val="0"/>
      <w:divBdr>
        <w:top w:val="none" w:sz="0" w:space="0" w:color="auto"/>
        <w:left w:val="none" w:sz="0" w:space="0" w:color="auto"/>
        <w:bottom w:val="none" w:sz="0" w:space="0" w:color="auto"/>
        <w:right w:val="none" w:sz="0" w:space="0" w:color="auto"/>
      </w:divBdr>
    </w:div>
    <w:div w:id="1905680558">
      <w:bodyDiv w:val="1"/>
      <w:marLeft w:val="0"/>
      <w:marRight w:val="0"/>
      <w:marTop w:val="0"/>
      <w:marBottom w:val="0"/>
      <w:divBdr>
        <w:top w:val="none" w:sz="0" w:space="0" w:color="auto"/>
        <w:left w:val="none" w:sz="0" w:space="0" w:color="auto"/>
        <w:bottom w:val="none" w:sz="0" w:space="0" w:color="auto"/>
        <w:right w:val="none" w:sz="0" w:space="0" w:color="auto"/>
      </w:divBdr>
    </w:div>
    <w:div w:id="194950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footnotes" Target="footnotes.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image" Target="media/image1.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image" Target="media/image4.png"/><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image" Target="cid:image001.png@01D6F4C0.E53D8240"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Data TextToDisplay="%CLASSIFICATIONDATETIME%">23:23 03/12/2019</XMLData>
</file>

<file path=customXml/item10.xml><?xml version="1.0" encoding="utf-8"?>
<XMLData TextToDisplay="%HOSTNAME%">eu-svdskap16-86.iconcr.com</XMLData>
</file>

<file path=customXml/item1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12.xml><?xml version="1.0" encoding="utf-8"?>
<XMLData TextToDisplay="RightsWATCHMark">4|ICN-ICN-INTERNAL|{00000000-0000-0000-0000-000000000000}</XMLData>
</file>

<file path=customXml/item13.xml><?xml version="1.0" encoding="utf-8"?>
<XMLData TextToDisplay="%DOCUMENTGUID%">{00000000-0000-0000-0000-000000000000}</XMLDat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N/A</RoutingTargetPath>
    <IconOverlay xmlns="http://schemas.microsoft.com/sharepoint/v4" xsi:nil="true"/>
    <RoutingTargetFolder xmlns="http://schemas.microsoft.com/sharepoint/v3">N/A</RoutingTargetFolder>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2021FG-108-10013</_dlc_DocId>
    <_dlc_DocIdUrl xmlns="0f563589-9cf9-4143-b1eb-fb0534803d38">
      <Url>http://tweb/sites/fg/bpd/_layouts/15/DocIdRedir.aspx?ID=2021FG-108-10013</Url>
      <Description>2021FG-108-10013</Description>
    </_dlc_DocIdUrl>
  </documentManagement>
</p:properties>
</file>

<file path=customXml/item4.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5.xml><?xml version="1.0" encoding="utf-8"?>
<XMLData TextToDisplay="%EMAILADDRESS%">Rosa.Miles@iconplc.com</XMLData>
</file>

<file path=customXml/item6.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7663" ma:contentTypeDescription=" " ma:contentTypeScope="" ma:versionID="41decff55eb9e7010e1acf28c2ae8911">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Data TextToDisplay="%USERNAME%">milesro</XMLDat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D0D88D-4439-476D-9846-172B5A582516}">
  <ds:schemaRefs/>
</ds:datastoreItem>
</file>

<file path=customXml/itemProps10.xml><?xml version="1.0" encoding="utf-8"?>
<ds:datastoreItem xmlns:ds="http://schemas.openxmlformats.org/officeDocument/2006/customXml" ds:itemID="{54D3451B-AEF4-43F1-AC7B-E7FA18BD1DA3}">
  <ds:schemaRefs/>
</ds:datastoreItem>
</file>

<file path=customXml/itemProps11.xml><?xml version="1.0" encoding="utf-8"?>
<ds:datastoreItem xmlns:ds="http://schemas.openxmlformats.org/officeDocument/2006/customXml" ds:itemID="{D96E4EA1-4AE3-438E-BF8C-C66BA94E5AB4}">
  <ds:schemaRefs>
    <ds:schemaRef ds:uri="office.server.policy"/>
  </ds:schemaRefs>
</ds:datastoreItem>
</file>

<file path=customXml/itemProps12.xml><?xml version="1.0" encoding="utf-8"?>
<ds:datastoreItem xmlns:ds="http://schemas.openxmlformats.org/officeDocument/2006/customXml" ds:itemID="{CCFC9B67-4B6B-4A24-9D0A-23785DAA74D6}">
  <ds:schemaRefs/>
</ds:datastoreItem>
</file>

<file path=customXml/itemProps13.xml><?xml version="1.0" encoding="utf-8"?>
<ds:datastoreItem xmlns:ds="http://schemas.openxmlformats.org/officeDocument/2006/customXml" ds:itemID="{69BC9B10-F7F6-4BD7-8D0A-08CEF45C709F}">
  <ds:schemaRefs/>
</ds:datastoreItem>
</file>

<file path=customXml/itemProps2.xml><?xml version="1.0" encoding="utf-8"?>
<ds:datastoreItem xmlns:ds="http://schemas.openxmlformats.org/officeDocument/2006/customXml" ds:itemID="{E90505BF-3DED-46EB-B1A1-27BF48B46938}">
  <ds:schemaRefs>
    <ds:schemaRef ds:uri="http://schemas.microsoft.com/sharepoint/events"/>
  </ds:schemaRefs>
</ds:datastoreItem>
</file>

<file path=customXml/itemProps3.xml><?xml version="1.0" encoding="utf-8"?>
<ds:datastoreItem xmlns:ds="http://schemas.openxmlformats.org/officeDocument/2006/customXml" ds:itemID="{9B1C8778-ADDE-4875-A230-1A40797C6FE8}">
  <ds:schemaRefs>
    <ds:schemaRef ds:uri="e544e5cc-ab70-42e1-849e-1a0f8bb1f4ef"/>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234B76A-32AB-4564-B108-A568C7138B12}">
  <ds:schemaRefs>
    <ds:schemaRef ds:uri="Microsoft.SharePoint.Taxonomy.ContentTypeSync"/>
  </ds:schemaRefs>
</ds:datastoreItem>
</file>

<file path=customXml/itemProps5.xml><?xml version="1.0" encoding="utf-8"?>
<ds:datastoreItem xmlns:ds="http://schemas.openxmlformats.org/officeDocument/2006/customXml" ds:itemID="{2E661DD5-856E-43D2-8A2A-F135F9EC9DD2}">
  <ds:schemaRefs/>
</ds:datastoreItem>
</file>

<file path=customXml/itemProps6.xml><?xml version="1.0" encoding="utf-8"?>
<ds:datastoreItem xmlns:ds="http://schemas.openxmlformats.org/officeDocument/2006/customXml" ds:itemID="{12EA4C47-97D2-4D2F-9208-BE0B05ADE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47212F5-0A46-4A21-A622-9BD944C79673}">
  <ds:schemaRefs/>
</ds:datastoreItem>
</file>

<file path=customXml/itemProps8.xml><?xml version="1.0" encoding="utf-8"?>
<ds:datastoreItem xmlns:ds="http://schemas.openxmlformats.org/officeDocument/2006/customXml" ds:itemID="{F92546B8-AE2D-459A-A2C5-D3DAA4EA6354}">
  <ds:schemaRefs>
    <ds:schemaRef ds:uri="http://schemas.openxmlformats.org/officeDocument/2006/bibliography"/>
  </ds:schemaRefs>
</ds:datastoreItem>
</file>

<file path=customXml/itemProps9.xml><?xml version="1.0" encoding="utf-8"?>
<ds:datastoreItem xmlns:ds="http://schemas.openxmlformats.org/officeDocument/2006/customXml" ds:itemID="{A32D6FB8-6B27-4ADD-BEEC-CF8A17E935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1893</Words>
  <Characters>10936</Characters>
  <Application>Microsoft Office Word</Application>
  <DocSecurity>0</DocSecurity>
  <Lines>250</Lines>
  <Paragraphs>64</Paragraphs>
  <ScaleCrop>false</ScaleCrop>
  <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Kyowa Kirin Australia - 2021-22 Pre-Budget Submissions</dc:title>
  <dc:subject/>
  <dc:creator/>
  <cp:keywords/>
  <dc:description/>
  <cp:lastModifiedBy/>
  <cp:revision>1</cp:revision>
  <dcterms:created xsi:type="dcterms:W3CDTF">2021-05-06T00:44:00Z</dcterms:created>
  <dcterms:modified xsi:type="dcterms:W3CDTF">2021-05-06T00:44:00Z</dcterms:modified>
  <dc:language>English</dc:language>
</cp:coreProperties>
</file>