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1AE79" w14:textId="771F1A1E" w:rsidR="00BA5AB3" w:rsidRDefault="00BA5AB3" w:rsidP="00CA62DA">
      <w:pPr>
        <w:rPr>
          <w:sz w:val="24"/>
          <w:szCs w:val="24"/>
        </w:rPr>
      </w:pPr>
    </w:p>
    <w:p w14:paraId="7F39D9A5" w14:textId="695F8CBE" w:rsidR="00BA5AB3" w:rsidRPr="00BA5AB3" w:rsidRDefault="00BA5AB3" w:rsidP="00CA62DA">
      <w:pPr>
        <w:rPr>
          <w:sz w:val="24"/>
          <w:szCs w:val="24"/>
        </w:rPr>
      </w:pPr>
    </w:p>
    <w:p w14:paraId="20FB4F16" w14:textId="56145DA4" w:rsidR="00632882" w:rsidRDefault="00632882" w:rsidP="00BA5AB3">
      <w:pPr>
        <w:tabs>
          <w:tab w:val="left" w:pos="90"/>
        </w:tabs>
        <w:suppressAutoHyphens/>
        <w:autoSpaceDE w:val="0"/>
        <w:autoSpaceDN w:val="0"/>
        <w:adjustRightInd w:val="0"/>
        <w:textAlignment w:val="center"/>
        <w:rPr>
          <w:color w:val="000000"/>
          <w:sz w:val="24"/>
          <w:szCs w:val="24"/>
        </w:rPr>
      </w:pPr>
      <w:r>
        <w:rPr>
          <w:color w:val="000000"/>
          <w:sz w:val="24"/>
          <w:szCs w:val="24"/>
        </w:rPr>
        <w:t>The Hon Josh Frydenberg MP</w:t>
      </w:r>
    </w:p>
    <w:p w14:paraId="5D896078" w14:textId="470B8BB4" w:rsidR="00BA5AB3" w:rsidRPr="004F6FAE" w:rsidRDefault="00992BEE" w:rsidP="00BA5AB3">
      <w:pPr>
        <w:tabs>
          <w:tab w:val="left" w:pos="90"/>
        </w:tabs>
        <w:suppressAutoHyphens/>
        <w:autoSpaceDE w:val="0"/>
        <w:autoSpaceDN w:val="0"/>
        <w:adjustRightInd w:val="0"/>
        <w:textAlignment w:val="center"/>
        <w:rPr>
          <w:color w:val="000000"/>
          <w:sz w:val="24"/>
          <w:szCs w:val="24"/>
        </w:rPr>
      </w:pPr>
      <w:r>
        <w:rPr>
          <w:color w:val="000000"/>
          <w:sz w:val="24"/>
          <w:szCs w:val="24"/>
        </w:rPr>
        <w:t>The Treasury</w:t>
      </w:r>
    </w:p>
    <w:p w14:paraId="5FB95756" w14:textId="074C4E48" w:rsidR="00BA5AB3" w:rsidRPr="004F6FAE" w:rsidRDefault="00992BEE" w:rsidP="00BA5AB3">
      <w:pPr>
        <w:tabs>
          <w:tab w:val="left" w:pos="90"/>
        </w:tabs>
        <w:suppressAutoHyphens/>
        <w:autoSpaceDE w:val="0"/>
        <w:autoSpaceDN w:val="0"/>
        <w:adjustRightInd w:val="0"/>
        <w:textAlignment w:val="center"/>
        <w:rPr>
          <w:color w:val="000000"/>
          <w:sz w:val="24"/>
          <w:szCs w:val="24"/>
        </w:rPr>
      </w:pPr>
      <w:r>
        <w:rPr>
          <w:color w:val="000000"/>
          <w:sz w:val="24"/>
          <w:szCs w:val="24"/>
        </w:rPr>
        <w:t>Langton Crescent</w:t>
      </w:r>
    </w:p>
    <w:p w14:paraId="40672E10" w14:textId="5D27E128" w:rsidR="00BA5AB3" w:rsidRPr="004F6FAE" w:rsidRDefault="00992BEE" w:rsidP="00BA5AB3">
      <w:pPr>
        <w:tabs>
          <w:tab w:val="left" w:pos="90"/>
        </w:tabs>
        <w:suppressAutoHyphens/>
        <w:autoSpaceDE w:val="0"/>
        <w:autoSpaceDN w:val="0"/>
        <w:adjustRightInd w:val="0"/>
        <w:textAlignment w:val="center"/>
        <w:rPr>
          <w:color w:val="000000"/>
          <w:sz w:val="24"/>
          <w:szCs w:val="24"/>
        </w:rPr>
      </w:pPr>
      <w:r>
        <w:rPr>
          <w:color w:val="000000"/>
          <w:sz w:val="24"/>
          <w:szCs w:val="24"/>
        </w:rPr>
        <w:t>Parkes ACT 2600</w:t>
      </w:r>
    </w:p>
    <w:p w14:paraId="699BB8A5" w14:textId="184CB4D9" w:rsidR="00BA5AB3" w:rsidRPr="00BA5AB3" w:rsidRDefault="00992BEE" w:rsidP="00BA5AB3">
      <w:pPr>
        <w:tabs>
          <w:tab w:val="left" w:pos="90"/>
        </w:tabs>
        <w:suppressAutoHyphens/>
        <w:autoSpaceDE w:val="0"/>
        <w:autoSpaceDN w:val="0"/>
        <w:adjustRightInd w:val="0"/>
        <w:textAlignment w:val="center"/>
        <w:rPr>
          <w:color w:val="000000"/>
          <w:sz w:val="24"/>
          <w:szCs w:val="24"/>
        </w:rPr>
      </w:pPr>
      <w:r>
        <w:rPr>
          <w:color w:val="000000"/>
          <w:sz w:val="24"/>
          <w:szCs w:val="24"/>
        </w:rPr>
        <w:t>Australia</w:t>
      </w:r>
    </w:p>
    <w:p w14:paraId="0E45C619" w14:textId="77777777" w:rsidR="00BA5AB3" w:rsidRPr="00BA5AB3" w:rsidRDefault="00BA5AB3" w:rsidP="00BA5AB3">
      <w:pPr>
        <w:tabs>
          <w:tab w:val="left" w:pos="90"/>
        </w:tabs>
        <w:suppressAutoHyphens/>
        <w:autoSpaceDE w:val="0"/>
        <w:autoSpaceDN w:val="0"/>
        <w:adjustRightInd w:val="0"/>
        <w:textAlignment w:val="center"/>
        <w:rPr>
          <w:color w:val="000000"/>
          <w:sz w:val="24"/>
          <w:szCs w:val="24"/>
        </w:rPr>
      </w:pPr>
    </w:p>
    <w:p w14:paraId="160792E5" w14:textId="187680B0" w:rsidR="00BA5AB3" w:rsidRDefault="00992BEE" w:rsidP="00BA5AB3">
      <w:pPr>
        <w:tabs>
          <w:tab w:val="left" w:pos="90"/>
        </w:tabs>
        <w:suppressAutoHyphens/>
        <w:autoSpaceDE w:val="0"/>
        <w:autoSpaceDN w:val="0"/>
        <w:adjustRightInd w:val="0"/>
        <w:textAlignment w:val="center"/>
        <w:rPr>
          <w:color w:val="000000"/>
          <w:sz w:val="24"/>
          <w:szCs w:val="24"/>
        </w:rPr>
      </w:pPr>
      <w:r>
        <w:rPr>
          <w:color w:val="000000"/>
          <w:sz w:val="24"/>
          <w:szCs w:val="24"/>
        </w:rPr>
        <w:t>29</w:t>
      </w:r>
      <w:r w:rsidR="00BA5AB3" w:rsidRPr="00BA5AB3">
        <w:rPr>
          <w:color w:val="000000"/>
          <w:sz w:val="24"/>
          <w:szCs w:val="24"/>
        </w:rPr>
        <w:t xml:space="preserve"> </w:t>
      </w:r>
      <w:r>
        <w:rPr>
          <w:color w:val="000000"/>
          <w:sz w:val="24"/>
          <w:szCs w:val="24"/>
        </w:rPr>
        <w:t xml:space="preserve">January </w:t>
      </w:r>
      <w:r w:rsidR="00BA5AB3" w:rsidRPr="00BA5AB3">
        <w:rPr>
          <w:color w:val="000000"/>
          <w:sz w:val="24"/>
          <w:szCs w:val="24"/>
        </w:rPr>
        <w:t>202</w:t>
      </w:r>
      <w:r>
        <w:rPr>
          <w:color w:val="000000"/>
          <w:sz w:val="24"/>
          <w:szCs w:val="24"/>
        </w:rPr>
        <w:t>1</w:t>
      </w:r>
    </w:p>
    <w:p w14:paraId="5EB9F93A" w14:textId="77777777" w:rsidR="00003F0B" w:rsidRPr="00BA5AB3" w:rsidRDefault="00003F0B" w:rsidP="00BA5AB3">
      <w:pPr>
        <w:tabs>
          <w:tab w:val="left" w:pos="90"/>
        </w:tabs>
        <w:suppressAutoHyphens/>
        <w:autoSpaceDE w:val="0"/>
        <w:autoSpaceDN w:val="0"/>
        <w:adjustRightInd w:val="0"/>
        <w:textAlignment w:val="center"/>
        <w:rPr>
          <w:color w:val="000000"/>
          <w:sz w:val="24"/>
          <w:szCs w:val="24"/>
        </w:rPr>
      </w:pPr>
    </w:p>
    <w:p w14:paraId="4A06BFD5" w14:textId="77777777" w:rsidR="00BA5AB3" w:rsidRPr="00BA5AB3" w:rsidRDefault="00BA5AB3" w:rsidP="00BA5AB3">
      <w:pPr>
        <w:tabs>
          <w:tab w:val="left" w:pos="90"/>
        </w:tabs>
        <w:suppressAutoHyphens/>
        <w:autoSpaceDE w:val="0"/>
        <w:autoSpaceDN w:val="0"/>
        <w:adjustRightInd w:val="0"/>
        <w:textAlignment w:val="center"/>
        <w:rPr>
          <w:color w:val="000000"/>
          <w:sz w:val="24"/>
          <w:szCs w:val="24"/>
        </w:rPr>
      </w:pPr>
    </w:p>
    <w:p w14:paraId="7FFA2059" w14:textId="1F9B0DA0" w:rsidR="00BA5AB3" w:rsidRDefault="00BA5AB3" w:rsidP="00BA5AB3">
      <w:pPr>
        <w:tabs>
          <w:tab w:val="left" w:pos="90"/>
        </w:tabs>
        <w:suppressAutoHyphens/>
        <w:autoSpaceDE w:val="0"/>
        <w:autoSpaceDN w:val="0"/>
        <w:adjustRightInd w:val="0"/>
        <w:textAlignment w:val="center"/>
        <w:rPr>
          <w:color w:val="000000"/>
          <w:sz w:val="24"/>
          <w:szCs w:val="24"/>
        </w:rPr>
      </w:pPr>
      <w:r w:rsidRPr="00BA5AB3">
        <w:rPr>
          <w:color w:val="000000"/>
          <w:sz w:val="24"/>
          <w:szCs w:val="24"/>
        </w:rPr>
        <w:t xml:space="preserve">Dear </w:t>
      </w:r>
      <w:r w:rsidR="00003F0B">
        <w:rPr>
          <w:color w:val="000000"/>
          <w:sz w:val="24"/>
          <w:szCs w:val="24"/>
        </w:rPr>
        <w:t>Mr Treasurer</w:t>
      </w:r>
    </w:p>
    <w:p w14:paraId="17B1BFAE" w14:textId="77777777" w:rsidR="00E0335F" w:rsidRDefault="00E0335F" w:rsidP="004124F2">
      <w:pPr>
        <w:rPr>
          <w:sz w:val="24"/>
          <w:szCs w:val="24"/>
        </w:rPr>
      </w:pPr>
    </w:p>
    <w:p w14:paraId="3524C5F9" w14:textId="7C42B80E" w:rsidR="00F2247D" w:rsidRDefault="00A61369" w:rsidP="004124F2">
      <w:pPr>
        <w:rPr>
          <w:sz w:val="24"/>
          <w:szCs w:val="24"/>
        </w:rPr>
      </w:pPr>
      <w:r>
        <w:rPr>
          <w:sz w:val="24"/>
          <w:szCs w:val="24"/>
        </w:rPr>
        <w:t>Thank you for the opportunity to provide</w:t>
      </w:r>
      <w:r w:rsidR="00EF05E8">
        <w:rPr>
          <w:sz w:val="24"/>
          <w:szCs w:val="24"/>
        </w:rPr>
        <w:t xml:space="preserve"> a</w:t>
      </w:r>
      <w:r>
        <w:rPr>
          <w:sz w:val="24"/>
          <w:szCs w:val="24"/>
        </w:rPr>
        <w:t xml:space="preserve"> submission regarding priorities for the 2021-22 Commonwealth Budget</w:t>
      </w:r>
      <w:r w:rsidR="00EF05E8">
        <w:rPr>
          <w:sz w:val="24"/>
          <w:szCs w:val="24"/>
        </w:rPr>
        <w:t xml:space="preserve">. </w:t>
      </w:r>
      <w:r w:rsidR="00F2247D">
        <w:rPr>
          <w:sz w:val="24"/>
          <w:szCs w:val="24"/>
        </w:rPr>
        <w:t>Please find enclosed three research reports from the Institute of Public Affairs which constitute our pre-Budget submission</w:t>
      </w:r>
      <w:r w:rsidR="00EF05E8">
        <w:rPr>
          <w:sz w:val="24"/>
          <w:szCs w:val="24"/>
        </w:rPr>
        <w:t>.</w:t>
      </w:r>
    </w:p>
    <w:p w14:paraId="1ACA9200" w14:textId="684FCE55" w:rsidR="00F2247D" w:rsidRDefault="00F2247D" w:rsidP="004124F2">
      <w:pPr>
        <w:rPr>
          <w:sz w:val="24"/>
          <w:szCs w:val="24"/>
        </w:rPr>
      </w:pPr>
    </w:p>
    <w:p w14:paraId="58AB85E5" w14:textId="16FB6A84" w:rsidR="00F2247D" w:rsidRDefault="00F2247D" w:rsidP="00F2247D">
      <w:pPr>
        <w:pStyle w:val="ListParagraph"/>
        <w:numPr>
          <w:ilvl w:val="0"/>
          <w:numId w:val="3"/>
        </w:numPr>
        <w:rPr>
          <w:sz w:val="24"/>
          <w:szCs w:val="24"/>
        </w:rPr>
      </w:pPr>
      <w:r>
        <w:rPr>
          <w:i/>
          <w:iCs/>
          <w:sz w:val="24"/>
          <w:szCs w:val="24"/>
        </w:rPr>
        <w:t xml:space="preserve">Selling Australia’s Future: Why government debt matters and how to return to surplus </w:t>
      </w:r>
      <w:r>
        <w:rPr>
          <w:sz w:val="24"/>
          <w:szCs w:val="24"/>
        </w:rPr>
        <w:t>outlines the current debt situation and models different scenarios over the medium-term considering different interest rate and economic growth assumptions. We find that the Budget could return to surplus by 2031-32 if non-state allocated spending growth is reduced to an average of 4% (from the current 5%) over the next decade</w:t>
      </w:r>
      <w:r w:rsidR="00EF05E8">
        <w:rPr>
          <w:sz w:val="24"/>
          <w:szCs w:val="24"/>
        </w:rPr>
        <w:t>.</w:t>
      </w:r>
    </w:p>
    <w:p w14:paraId="3B5204C5" w14:textId="46320C7D" w:rsidR="00F2247D" w:rsidRDefault="00F2247D" w:rsidP="00F2247D">
      <w:pPr>
        <w:pStyle w:val="ListParagraph"/>
        <w:numPr>
          <w:ilvl w:val="0"/>
          <w:numId w:val="3"/>
        </w:numPr>
        <w:rPr>
          <w:sz w:val="24"/>
          <w:szCs w:val="24"/>
        </w:rPr>
      </w:pPr>
      <w:r>
        <w:rPr>
          <w:i/>
          <w:iCs/>
          <w:sz w:val="24"/>
          <w:szCs w:val="24"/>
        </w:rPr>
        <w:t xml:space="preserve">Economic Scars: How the lockdowns have permanently disfigured the Australian economy </w:t>
      </w:r>
      <w:r>
        <w:rPr>
          <w:sz w:val="24"/>
          <w:szCs w:val="24"/>
        </w:rPr>
        <w:t xml:space="preserve">provides five key pieces of evidence that lockdowns, rather than ‘freezing’ the economy in place, disfigured it. The number of people receiving JobSeeker failed to decline even as States eased lockdown measures; almost all the net increase in jobs between May and August were part-time; the public sector continued to add jobs throughout the crisis, and all job losses were suffered in the private sector; young people were disproportionately impacted by job losses and are in a state of structurally high unemployment; </w:t>
      </w:r>
      <w:r w:rsidR="00CF1366">
        <w:rPr>
          <w:sz w:val="24"/>
          <w:szCs w:val="24"/>
        </w:rPr>
        <w:t>and small businesses were placed under disproportionate strain compared to their larger counterparts.</w:t>
      </w:r>
    </w:p>
    <w:p w14:paraId="2817F824" w14:textId="0320F156" w:rsidR="00CF1366" w:rsidRDefault="00CF1366" w:rsidP="00F2247D">
      <w:pPr>
        <w:pStyle w:val="ListParagraph"/>
        <w:numPr>
          <w:ilvl w:val="0"/>
          <w:numId w:val="3"/>
        </w:numPr>
        <w:rPr>
          <w:sz w:val="24"/>
          <w:szCs w:val="24"/>
        </w:rPr>
      </w:pPr>
      <w:r>
        <w:rPr>
          <w:i/>
          <w:iCs/>
          <w:sz w:val="24"/>
          <w:szCs w:val="24"/>
        </w:rPr>
        <w:t xml:space="preserve">How Red Tape Stops Business and Job Creation </w:t>
      </w:r>
      <w:r>
        <w:rPr>
          <w:sz w:val="24"/>
          <w:szCs w:val="24"/>
        </w:rPr>
        <w:t>finds that the growth of regulation between 2004-05 and 2018-19 is responsible for up to 398,000 businesses never being created, costing up to 894,400 jobs and $26.3 billion in wages that were never paid.</w:t>
      </w:r>
    </w:p>
    <w:p w14:paraId="6DD1FF6F" w14:textId="77777777" w:rsidR="00CF1366" w:rsidRDefault="00CF1366" w:rsidP="00CF1366">
      <w:pPr>
        <w:rPr>
          <w:sz w:val="24"/>
          <w:szCs w:val="24"/>
        </w:rPr>
      </w:pPr>
    </w:p>
    <w:p w14:paraId="682C7C3F" w14:textId="5E3C15F3" w:rsidR="007375BD" w:rsidRDefault="00CF1366" w:rsidP="00CF1366">
      <w:pPr>
        <w:rPr>
          <w:sz w:val="24"/>
          <w:szCs w:val="24"/>
        </w:rPr>
      </w:pPr>
      <w:r>
        <w:rPr>
          <w:sz w:val="24"/>
          <w:szCs w:val="24"/>
        </w:rPr>
        <w:t>I hope this research proves useful in the context of the 2021-22 Budget, and</w:t>
      </w:r>
      <w:r w:rsidR="00F2247D">
        <w:rPr>
          <w:sz w:val="24"/>
          <w:szCs w:val="24"/>
        </w:rPr>
        <w:t xml:space="preserve"> welcome any opportunities to provide further information and evidence.</w:t>
      </w:r>
    </w:p>
    <w:p w14:paraId="039C4004" w14:textId="77777777" w:rsidR="00F2247D" w:rsidRDefault="00F2247D" w:rsidP="00BA5AB3">
      <w:pPr>
        <w:tabs>
          <w:tab w:val="left" w:pos="90"/>
        </w:tabs>
        <w:suppressAutoHyphens/>
        <w:autoSpaceDE w:val="0"/>
        <w:autoSpaceDN w:val="0"/>
        <w:adjustRightInd w:val="0"/>
        <w:textAlignment w:val="center"/>
        <w:rPr>
          <w:color w:val="000000"/>
          <w:sz w:val="24"/>
          <w:szCs w:val="24"/>
        </w:rPr>
      </w:pPr>
    </w:p>
    <w:p w14:paraId="6926DEB0" w14:textId="1FC787E6" w:rsidR="007375BD" w:rsidRDefault="007375BD" w:rsidP="00BA5AB3">
      <w:pPr>
        <w:tabs>
          <w:tab w:val="left" w:pos="90"/>
        </w:tabs>
        <w:suppressAutoHyphens/>
        <w:autoSpaceDE w:val="0"/>
        <w:autoSpaceDN w:val="0"/>
        <w:adjustRightInd w:val="0"/>
        <w:textAlignment w:val="center"/>
        <w:rPr>
          <w:color w:val="000000"/>
          <w:sz w:val="24"/>
          <w:szCs w:val="24"/>
        </w:rPr>
      </w:pPr>
      <w:r>
        <w:rPr>
          <w:color w:val="000000"/>
          <w:sz w:val="24"/>
          <w:szCs w:val="24"/>
        </w:rPr>
        <w:t>Kind regards,</w:t>
      </w:r>
    </w:p>
    <w:p w14:paraId="1B5C828E" w14:textId="72490DB2" w:rsidR="007375BD" w:rsidRDefault="007375BD" w:rsidP="00BA5AB3">
      <w:pPr>
        <w:tabs>
          <w:tab w:val="left" w:pos="90"/>
        </w:tabs>
        <w:suppressAutoHyphens/>
        <w:autoSpaceDE w:val="0"/>
        <w:autoSpaceDN w:val="0"/>
        <w:adjustRightInd w:val="0"/>
        <w:textAlignment w:val="center"/>
        <w:rPr>
          <w:color w:val="000000"/>
          <w:sz w:val="24"/>
          <w:szCs w:val="24"/>
        </w:rPr>
      </w:pPr>
    </w:p>
    <w:p w14:paraId="41ECE21C" w14:textId="5B2AF44F" w:rsidR="007375BD" w:rsidRDefault="007375BD" w:rsidP="00BA5AB3">
      <w:pPr>
        <w:tabs>
          <w:tab w:val="left" w:pos="90"/>
        </w:tabs>
        <w:suppressAutoHyphens/>
        <w:autoSpaceDE w:val="0"/>
        <w:autoSpaceDN w:val="0"/>
        <w:adjustRightInd w:val="0"/>
        <w:textAlignment w:val="center"/>
        <w:rPr>
          <w:color w:val="000000"/>
          <w:sz w:val="24"/>
          <w:szCs w:val="24"/>
        </w:rPr>
      </w:pPr>
    </w:p>
    <w:p w14:paraId="6743AA6C" w14:textId="77777777" w:rsidR="00EF05E8" w:rsidRPr="00AE2043" w:rsidRDefault="00EF05E8" w:rsidP="00EF05E8">
      <w:pPr>
        <w:shd w:val="clear" w:color="auto" w:fill="FFFFFF"/>
        <w:rPr>
          <w:rFonts w:eastAsia="Calibri"/>
          <w:noProof/>
          <w:lang w:eastAsia="en-AU"/>
        </w:rPr>
      </w:pPr>
      <w:r w:rsidRPr="00AE2043">
        <w:rPr>
          <w:rFonts w:ascii="Arial" w:eastAsia="Calibri" w:hAnsi="Arial" w:cs="Arial"/>
          <w:b/>
          <w:bCs/>
          <w:noProof/>
          <w:color w:val="000000"/>
          <w:lang w:eastAsia="en-AU"/>
        </w:rPr>
        <w:t>Cian Hussey</w:t>
      </w:r>
    </w:p>
    <w:p w14:paraId="29EDE573" w14:textId="0EA4EA45" w:rsidR="00EF05E8" w:rsidRPr="00AE2043" w:rsidRDefault="00EF05E8" w:rsidP="00EF05E8">
      <w:pPr>
        <w:shd w:val="clear" w:color="auto" w:fill="FFFFFF"/>
        <w:rPr>
          <w:rFonts w:ascii="Calibri" w:eastAsia="Calibri" w:hAnsi="Calibri" w:cs="Calibri"/>
          <w:noProof/>
          <w:color w:val="201F1E"/>
          <w:lang w:eastAsia="en-AU"/>
        </w:rPr>
      </w:pPr>
      <w:r w:rsidRPr="00AE2043">
        <w:rPr>
          <w:rFonts w:ascii="Arial" w:eastAsia="Calibri" w:hAnsi="Arial" w:cs="Arial"/>
          <w:noProof/>
          <w:color w:val="000000"/>
          <w:lang w:eastAsia="en-AU"/>
        </w:rPr>
        <w:br/>
      </w:r>
      <w:r w:rsidRPr="00AE2043">
        <w:rPr>
          <w:rFonts w:ascii="Arial" w:eastAsia="Calibri" w:hAnsi="Arial" w:cs="Arial"/>
          <w:b/>
          <w:bCs/>
          <w:noProof/>
          <w:color w:val="000000"/>
          <w:lang w:eastAsia="en-AU"/>
        </w:rPr>
        <w:t>Research Fellow</w:t>
      </w:r>
      <w:r w:rsidRPr="00AE2043">
        <w:rPr>
          <w:rFonts w:ascii="Arial" w:eastAsia="Calibri" w:hAnsi="Arial" w:cs="Arial"/>
          <w:noProof/>
          <w:color w:val="000000"/>
          <w:lang w:eastAsia="en-AU"/>
        </w:rPr>
        <w:br/>
      </w:r>
      <w:r w:rsidRPr="00AE2043">
        <w:rPr>
          <w:rFonts w:ascii="Arial" w:eastAsia="Calibri" w:hAnsi="Arial" w:cs="Arial"/>
          <w:b/>
          <w:bCs/>
          <w:noProof/>
          <w:color w:val="000000"/>
          <w:lang w:eastAsia="en-AU"/>
        </w:rPr>
        <w:t>Institute of Public Affairs</w:t>
      </w:r>
    </w:p>
    <w:p w14:paraId="18EFFE45" w14:textId="70AE3C13" w:rsidR="00BA5AB3" w:rsidRPr="00D574EB" w:rsidRDefault="00BA5AB3" w:rsidP="00EF05E8">
      <w:pPr>
        <w:pStyle w:val="xmsonormal"/>
        <w:rPr>
          <w:color w:val="000000"/>
          <w:sz w:val="24"/>
          <w:szCs w:val="24"/>
        </w:rPr>
      </w:pPr>
    </w:p>
    <w:sectPr w:rsidR="00BA5AB3" w:rsidRPr="00D574EB" w:rsidSect="00422D5A">
      <w:headerReference w:type="default" r:id="rId14"/>
      <w:footerReference w:type="default" r:id="rId15"/>
      <w:headerReference w:type="first" r:id="rId16"/>
      <w:footerReference w:type="first" r:id="rId17"/>
      <w:type w:val="continuous"/>
      <w:pgSz w:w="11920" w:h="16840"/>
      <w:pgMar w:top="1560" w:right="1440" w:bottom="1440" w:left="1440" w:header="992"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619EC" w14:textId="77777777" w:rsidR="00CE1A0E" w:rsidRDefault="00CE1A0E" w:rsidP="008A0EEE">
      <w:r>
        <w:separator/>
      </w:r>
    </w:p>
  </w:endnote>
  <w:endnote w:type="continuationSeparator" w:id="0">
    <w:p w14:paraId="2A5D66C7" w14:textId="77777777" w:rsidR="00CE1A0E" w:rsidRDefault="00CE1A0E" w:rsidP="008A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4F9F6" w14:textId="77777777" w:rsidR="001E37D5" w:rsidRPr="00BD78AF" w:rsidRDefault="001E37D5" w:rsidP="00BD78AF">
    <w:pPr>
      <w:spacing w:before="29"/>
      <w:ind w:right="567"/>
      <w:jc w:val="center"/>
      <w:rPr>
        <w:color w:val="363435"/>
        <w:w w:val="112"/>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165B1" w14:textId="77777777" w:rsidR="00B02472" w:rsidRPr="00562764" w:rsidRDefault="00B02472" w:rsidP="00B02472">
    <w:pPr>
      <w:spacing w:before="29"/>
      <w:ind w:left="-426" w:right="-316"/>
      <w:rPr>
        <w:color w:val="221F1F"/>
        <w:sz w:val="16"/>
        <w:szCs w:val="16"/>
      </w:rPr>
    </w:pPr>
    <w:r w:rsidRPr="00562764">
      <w:rPr>
        <w:color w:val="221F1F"/>
        <w:sz w:val="16"/>
        <w:szCs w:val="16"/>
      </w:rPr>
      <w:br/>
    </w:r>
  </w:p>
  <w:p w14:paraId="3EE703F4" w14:textId="69FF4DD8" w:rsidR="00B02472" w:rsidRDefault="00B02472" w:rsidP="00B02472">
    <w:pPr>
      <w:spacing w:before="29"/>
      <w:ind w:left="-426" w:right="-316"/>
      <w:jc w:val="center"/>
      <w:rPr>
        <w:color w:val="221F1F"/>
        <w:sz w:val="16"/>
        <w:szCs w:val="16"/>
      </w:rPr>
    </w:pPr>
    <w:r w:rsidRPr="00BB00B7">
      <w:rPr>
        <w:bCs/>
        <w:noProof/>
        <w:color w:val="221F1F"/>
        <w:sz w:val="16"/>
        <w:szCs w:val="16"/>
      </w:rPr>
      <mc:AlternateContent>
        <mc:Choice Requires="wps">
          <w:drawing>
            <wp:anchor distT="0" distB="0" distL="114300" distR="114300" simplePos="0" relativeHeight="251672576" behindDoc="0" locked="0" layoutInCell="1" allowOverlap="1" wp14:anchorId="70229A49" wp14:editId="7A85D746">
              <wp:simplePos x="0" y="0"/>
              <wp:positionH relativeFrom="column">
                <wp:posOffset>0</wp:posOffset>
              </wp:positionH>
              <wp:positionV relativeFrom="paragraph">
                <wp:posOffset>-14803</wp:posOffset>
              </wp:positionV>
              <wp:extent cx="5715000" cy="197"/>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197"/>
                      </a:xfrm>
                      <a:prstGeom prst="line">
                        <a:avLst/>
                      </a:prstGeom>
                      <a:noFill/>
                      <a:ln w="317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8E9B5E"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5pt" to="45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" strokecolor="black [3213]" strokeweight=".25pt"/>
          </w:pict>
        </mc:Fallback>
      </mc:AlternateContent>
    </w:r>
    <w:r w:rsidRPr="00BB00B7">
      <w:rPr>
        <w:bCs/>
        <w:color w:val="221F1F"/>
        <w:sz w:val="16"/>
        <w:szCs w:val="16"/>
      </w:rPr>
      <w:t>IPA Board of Directors:</w:t>
    </w:r>
    <w:r w:rsidR="007D273A">
      <w:rPr>
        <w:bCs/>
        <w:color w:val="221F1F"/>
        <w:sz w:val="16"/>
        <w:szCs w:val="16"/>
      </w:rPr>
      <w:t xml:space="preserve"> Geoff Hone </w:t>
    </w:r>
    <w:r w:rsidRPr="00BB00B7">
      <w:rPr>
        <w:color w:val="221F1F"/>
        <w:sz w:val="16"/>
        <w:szCs w:val="16"/>
      </w:rPr>
      <w:t>– Chairman, Jo</w:t>
    </w:r>
    <w:r>
      <w:rPr>
        <w:color w:val="221F1F"/>
        <w:sz w:val="16"/>
        <w:szCs w:val="16"/>
      </w:rPr>
      <w:t>hn Roskam – Executive Director</w:t>
    </w:r>
  </w:p>
  <w:p w14:paraId="3F8F7A83" w14:textId="5644F6B8" w:rsidR="00B02472" w:rsidRDefault="00B02472" w:rsidP="00B02472">
    <w:pPr>
      <w:spacing w:before="29"/>
      <w:ind w:left="-426" w:right="-316"/>
      <w:jc w:val="center"/>
      <w:rPr>
        <w:color w:val="221F1F"/>
        <w:sz w:val="16"/>
        <w:szCs w:val="16"/>
      </w:rPr>
    </w:pPr>
    <w:r w:rsidRPr="00BB00B7">
      <w:rPr>
        <w:color w:val="221F1F"/>
        <w:sz w:val="16"/>
        <w:szCs w:val="16"/>
      </w:rPr>
      <w:t>Dr Michael Folie,</w:t>
    </w:r>
    <w:r>
      <w:rPr>
        <w:color w:val="221F1F"/>
        <w:sz w:val="16"/>
        <w:szCs w:val="16"/>
      </w:rPr>
      <w:t xml:space="preserve"> </w:t>
    </w:r>
    <w:r w:rsidRPr="00BB00B7">
      <w:rPr>
        <w:color w:val="221F1F"/>
        <w:sz w:val="16"/>
        <w:szCs w:val="16"/>
      </w:rPr>
      <w:t xml:space="preserve">Dr Tim Duncan, Michael Hickinbotham, William Morgan, </w:t>
    </w:r>
    <w:r>
      <w:rPr>
        <w:color w:val="221F1F"/>
        <w:sz w:val="16"/>
        <w:szCs w:val="16"/>
      </w:rPr>
      <w:t>Maurice O’Shannassy, Rebecca Clough</w:t>
    </w:r>
  </w:p>
  <w:p w14:paraId="7E5BC961" w14:textId="77777777" w:rsidR="00B02472" w:rsidRPr="00BB00B7" w:rsidRDefault="00B02472" w:rsidP="00B02472">
    <w:pPr>
      <w:spacing w:before="29"/>
      <w:ind w:left="-426" w:right="-316"/>
      <w:jc w:val="center"/>
      <w:rPr>
        <w:color w:val="221F1F"/>
        <w:sz w:val="16"/>
        <w:szCs w:val="16"/>
      </w:rPr>
    </w:pPr>
    <w:r w:rsidRPr="00BB00B7">
      <w:rPr>
        <w:bCs/>
        <w:color w:val="221F1F"/>
        <w:sz w:val="16"/>
        <w:szCs w:val="16"/>
      </w:rPr>
      <w:t xml:space="preserve">IPA Honorary Life Members: </w:t>
    </w:r>
    <w:r w:rsidRPr="00BB00B7">
      <w:rPr>
        <w:color w:val="221F1F"/>
        <w:sz w:val="16"/>
        <w:szCs w:val="16"/>
      </w:rPr>
      <w:t xml:space="preserve">Mrs Gina Rinehart, </w:t>
    </w:r>
    <w:r>
      <w:rPr>
        <w:color w:val="221F1F"/>
        <w:sz w:val="16"/>
        <w:szCs w:val="16"/>
      </w:rPr>
      <w:t xml:space="preserve">Mr </w:t>
    </w:r>
    <w:r w:rsidRPr="00BB00B7">
      <w:rPr>
        <w:color w:val="221F1F"/>
        <w:sz w:val="16"/>
        <w:szCs w:val="16"/>
      </w:rPr>
      <w:t>Harold Clough AO OBE CitWA</w:t>
    </w:r>
    <w:r>
      <w:rPr>
        <w:color w:val="221F1F"/>
        <w:sz w:val="16"/>
        <w:szCs w:val="16"/>
      </w:rPr>
      <w:t>,</w:t>
    </w:r>
    <w:r w:rsidRPr="00BB00B7">
      <w:rPr>
        <w:color w:val="221F1F"/>
        <w:sz w:val="16"/>
        <w:szCs w:val="16"/>
      </w:rPr>
      <w:t xml:space="preserve"> </w:t>
    </w:r>
    <w:r>
      <w:rPr>
        <w:color w:val="221F1F"/>
        <w:sz w:val="16"/>
        <w:szCs w:val="16"/>
      </w:rPr>
      <w:t xml:space="preserve">The Hon. Rod Kemp, </w:t>
    </w:r>
    <w:r w:rsidRPr="00BB00B7">
      <w:rPr>
        <w:color w:val="221F1F"/>
        <w:sz w:val="16"/>
        <w:szCs w:val="16"/>
      </w:rPr>
      <w:t>Dr Bryant Macfie, Mr Baillieu Myer AC</w:t>
    </w:r>
  </w:p>
  <w:p w14:paraId="22498D9E" w14:textId="77777777" w:rsidR="00B02472" w:rsidRPr="004557DA" w:rsidRDefault="00B02472" w:rsidP="00B02472">
    <w:pPr>
      <w:spacing w:before="29"/>
      <w:ind w:left="-426" w:right="-316"/>
      <w:jc w:val="center"/>
      <w:rPr>
        <w:color w:val="363435"/>
        <w:w w:val="112"/>
        <w:sz w:val="18"/>
        <w:szCs w:val="18"/>
      </w:rPr>
    </w:pPr>
    <w:r w:rsidRPr="00BB00B7">
      <w:rPr>
        <w:color w:val="221F1F"/>
        <w:sz w:val="16"/>
        <w:szCs w:val="16"/>
      </w:rPr>
      <w:br/>
      <w:t xml:space="preserve">Level 2, 410 Collins Street, Melbourne 3000 | 03 9600 4744 | </w:t>
    </w:r>
    <w:r w:rsidR="00365761" w:rsidRPr="00365761">
      <w:rPr>
        <w:color w:val="221F1F"/>
        <w:sz w:val="16"/>
        <w:szCs w:val="16"/>
      </w:rPr>
      <w:t>www.ipa.org.au</w:t>
    </w:r>
    <w:r w:rsidR="00365761">
      <w:rPr>
        <w:color w:val="221F1F"/>
        <w:sz w:val="16"/>
        <w:szCs w:val="16"/>
      </w:rPr>
      <w:t xml:space="preserve"> | ABN: 49 008 627 727</w:t>
    </w:r>
  </w:p>
  <w:p w14:paraId="7ACAB824" w14:textId="77777777" w:rsidR="004557DA" w:rsidRPr="00B02472" w:rsidRDefault="004557DA" w:rsidP="00B02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08ED8" w14:textId="77777777" w:rsidR="00CE1A0E" w:rsidRDefault="00CE1A0E" w:rsidP="008A0EEE">
      <w:r>
        <w:separator/>
      </w:r>
    </w:p>
  </w:footnote>
  <w:footnote w:type="continuationSeparator" w:id="0">
    <w:p w14:paraId="421A3F26" w14:textId="77777777" w:rsidR="00CE1A0E" w:rsidRDefault="00CE1A0E" w:rsidP="008A0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9BA48" w14:textId="77777777" w:rsidR="004F018D" w:rsidRPr="00AA1521" w:rsidRDefault="004F018D" w:rsidP="004F018D">
    <w:pPr>
      <w:spacing w:before="19"/>
      <w:ind w:right="624"/>
      <w:rPr>
        <w:sz w:val="24"/>
        <w:szCs w:val="24"/>
      </w:rPr>
    </w:pPr>
    <w:r>
      <w:rPr>
        <w:noProof/>
      </w:rPr>
      <w:drawing>
        <wp:anchor distT="0" distB="0" distL="114300" distR="114300" simplePos="0" relativeHeight="251675648" behindDoc="1" locked="0" layoutInCell="1" allowOverlap="1" wp14:anchorId="7F5C4F18" wp14:editId="13533E23">
          <wp:simplePos x="0" y="0"/>
          <wp:positionH relativeFrom="margin">
            <wp:posOffset>4390390</wp:posOffset>
          </wp:positionH>
          <wp:positionV relativeFrom="paragraph">
            <wp:posOffset>-128742</wp:posOffset>
          </wp:positionV>
          <wp:extent cx="1614805" cy="339418"/>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A Logo 2019 - FA - RGB.png"/>
                  <pic:cNvPicPr/>
                </pic:nvPicPr>
                <pic:blipFill>
                  <a:blip r:embed="rId1">
                    <a:extLst>
                      <a:ext uri="{28A0092B-C50C-407E-A947-70E740481C1C}">
                        <a14:useLocalDpi xmlns:a14="http://schemas.microsoft.com/office/drawing/2010/main" val="0"/>
                      </a:ext>
                    </a:extLst>
                  </a:blip>
                  <a:stretch>
                    <a:fillRect/>
                  </a:stretch>
                </pic:blipFill>
                <pic:spPr>
                  <a:xfrm>
                    <a:off x="0" y="0"/>
                    <a:ext cx="1614805" cy="339418"/>
                  </a:xfrm>
                  <a:prstGeom prst="rect">
                    <a:avLst/>
                  </a:prstGeom>
                </pic:spPr>
              </pic:pic>
            </a:graphicData>
          </a:graphic>
          <wp14:sizeRelH relativeFrom="page">
            <wp14:pctWidth>0</wp14:pctWidth>
          </wp14:sizeRelH>
          <wp14:sizeRelV relativeFrom="page">
            <wp14:pctHeight>0</wp14:pctHeight>
          </wp14:sizeRelV>
        </wp:anchor>
      </w:drawing>
    </w:r>
    <w:r>
      <w:rPr>
        <w:noProof/>
        <w:sz w:val="12"/>
        <w:szCs w:val="12"/>
      </w:rPr>
      <mc:AlternateContent>
        <mc:Choice Requires="wps">
          <w:drawing>
            <wp:anchor distT="4294967295" distB="4294967295" distL="114300" distR="114300" simplePos="0" relativeHeight="251674624" behindDoc="0" locked="0" layoutInCell="1" allowOverlap="1" wp14:anchorId="7B838646" wp14:editId="7FC32928">
              <wp:simplePos x="0" y="0"/>
              <wp:positionH relativeFrom="column">
                <wp:posOffset>0</wp:posOffset>
              </wp:positionH>
              <wp:positionV relativeFrom="paragraph">
                <wp:posOffset>194944</wp:posOffset>
              </wp:positionV>
              <wp:extent cx="4063365"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63365" cy="0"/>
                      </a:xfrm>
                      <a:prstGeom prst="line">
                        <a:avLst/>
                      </a:prstGeom>
                      <a:ln w="3175">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9FBE5" id="Straight Connector 4"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15.35pt" to="319.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" strokecolor="#404040 [2429]" strokeweight=".25pt">
              <o:lock v:ext="edit" shapetype="f"/>
            </v:line>
          </w:pict>
        </mc:Fallback>
      </mc:AlternateContent>
    </w:r>
    <w:r w:rsidRPr="00AA1521">
      <w:rPr>
        <w:color w:val="363435"/>
        <w:sz w:val="24"/>
        <w:szCs w:val="24"/>
      </w:rPr>
      <w:t xml:space="preserve">From the desk of </w:t>
    </w:r>
    <w:r>
      <w:rPr>
        <w:color w:val="363435"/>
        <w:sz w:val="24"/>
        <w:szCs w:val="24"/>
      </w:rPr>
      <w:t>John Roskam, Executive Director</w:t>
    </w:r>
  </w:p>
  <w:p w14:paraId="79208E15" w14:textId="77777777" w:rsidR="00C60AA0" w:rsidRDefault="00C60AA0" w:rsidP="00C60AA0">
    <w:pPr>
      <w:pStyle w:val="Header"/>
    </w:pPr>
  </w:p>
  <w:p w14:paraId="70F7A37A" w14:textId="77777777" w:rsidR="001E37D5" w:rsidRPr="00C60AA0" w:rsidRDefault="001E37D5" w:rsidP="00C60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FDB08" w14:textId="638EDFC3" w:rsidR="004557DA" w:rsidRPr="00AA1521" w:rsidRDefault="004836A3" w:rsidP="004557DA">
    <w:pPr>
      <w:spacing w:before="19"/>
      <w:ind w:right="624"/>
      <w:rPr>
        <w:sz w:val="24"/>
        <w:szCs w:val="24"/>
      </w:rPr>
    </w:pPr>
    <w:r>
      <w:rPr>
        <w:noProof/>
      </w:rPr>
      <w:drawing>
        <wp:anchor distT="0" distB="0" distL="114300" distR="114300" simplePos="0" relativeHeight="251667456" behindDoc="1" locked="0" layoutInCell="1" allowOverlap="1" wp14:anchorId="47945787" wp14:editId="20EEB0F0">
          <wp:simplePos x="0" y="0"/>
          <wp:positionH relativeFrom="margin">
            <wp:posOffset>4390390</wp:posOffset>
          </wp:positionH>
          <wp:positionV relativeFrom="paragraph">
            <wp:posOffset>-128742</wp:posOffset>
          </wp:positionV>
          <wp:extent cx="1614805" cy="339418"/>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A Logo 2019 - FA - RGB.png"/>
                  <pic:cNvPicPr/>
                </pic:nvPicPr>
                <pic:blipFill>
                  <a:blip r:embed="rId1">
                    <a:extLst>
                      <a:ext uri="{28A0092B-C50C-407E-A947-70E740481C1C}">
                        <a14:useLocalDpi xmlns:a14="http://schemas.microsoft.com/office/drawing/2010/main" val="0"/>
                      </a:ext>
                    </a:extLst>
                  </a:blip>
                  <a:stretch>
                    <a:fillRect/>
                  </a:stretch>
                </pic:blipFill>
                <pic:spPr>
                  <a:xfrm>
                    <a:off x="0" y="0"/>
                    <a:ext cx="1614805" cy="339418"/>
                  </a:xfrm>
                  <a:prstGeom prst="rect">
                    <a:avLst/>
                  </a:prstGeom>
                </pic:spPr>
              </pic:pic>
            </a:graphicData>
          </a:graphic>
          <wp14:sizeRelH relativeFrom="page">
            <wp14:pctWidth>0</wp14:pctWidth>
          </wp14:sizeRelH>
          <wp14:sizeRelV relativeFrom="page">
            <wp14:pctHeight>0</wp14:pctHeight>
          </wp14:sizeRelV>
        </wp:anchor>
      </w:drawing>
    </w:r>
    <w:r w:rsidR="00067CC6">
      <w:rPr>
        <w:noProof/>
        <w:sz w:val="12"/>
        <w:szCs w:val="12"/>
      </w:rPr>
      <mc:AlternateContent>
        <mc:Choice Requires="wps">
          <w:drawing>
            <wp:anchor distT="4294967295" distB="4294967295" distL="114300" distR="114300" simplePos="0" relativeHeight="251660288" behindDoc="0" locked="0" layoutInCell="1" allowOverlap="1" wp14:anchorId="000697F8" wp14:editId="1800C217">
              <wp:simplePos x="0" y="0"/>
              <wp:positionH relativeFrom="column">
                <wp:posOffset>0</wp:posOffset>
              </wp:positionH>
              <wp:positionV relativeFrom="paragraph">
                <wp:posOffset>194944</wp:posOffset>
              </wp:positionV>
              <wp:extent cx="4063365" cy="0"/>
              <wp:effectExtent l="0" t="0" r="0" b="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63365" cy="0"/>
                      </a:xfrm>
                      <a:prstGeom prst="line">
                        <a:avLst/>
                      </a:prstGeom>
                      <a:ln w="3175">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FCC8C" id="Straight Connector 4"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15.35pt" to="319.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" strokecolor="#404040 [2429]" strokeweight=".25pt">
              <o:lock v:ext="edit" shapetype="f"/>
            </v:line>
          </w:pict>
        </mc:Fallback>
      </mc:AlternateContent>
    </w:r>
    <w:r w:rsidR="004557DA" w:rsidRPr="00AA1521">
      <w:rPr>
        <w:color w:val="363435"/>
        <w:sz w:val="24"/>
        <w:szCs w:val="24"/>
      </w:rPr>
      <w:t xml:space="preserve">From the desk of </w:t>
    </w:r>
    <w:r w:rsidR="00F2247D">
      <w:rPr>
        <w:color w:val="363435"/>
        <w:sz w:val="24"/>
        <w:szCs w:val="24"/>
      </w:rPr>
      <w:t>Cian</w:t>
    </w:r>
    <w:r w:rsidR="00003F0B">
      <w:rPr>
        <w:color w:val="363435"/>
        <w:sz w:val="24"/>
        <w:szCs w:val="24"/>
      </w:rPr>
      <w:t xml:space="preserve"> </w:t>
    </w:r>
    <w:r w:rsidR="00F2247D">
      <w:rPr>
        <w:color w:val="363435"/>
        <w:sz w:val="24"/>
        <w:szCs w:val="24"/>
      </w:rPr>
      <w:t>Hussey</w:t>
    </w:r>
    <w:r w:rsidR="00003F0B">
      <w:rPr>
        <w:color w:val="363435"/>
        <w:sz w:val="24"/>
        <w:szCs w:val="24"/>
      </w:rPr>
      <w:t xml:space="preserve">, </w:t>
    </w:r>
    <w:r w:rsidR="00F2247D">
      <w:rPr>
        <w:color w:val="363435"/>
        <w:sz w:val="24"/>
        <w:szCs w:val="24"/>
      </w:rPr>
      <w:t>Research Fellow</w:t>
    </w:r>
  </w:p>
  <w:p w14:paraId="0C628C17" w14:textId="5F0A4CD5" w:rsidR="004557DA" w:rsidRPr="009A0AE7" w:rsidRDefault="00F2247D" w:rsidP="00673C01">
    <w:pPr>
      <w:pStyle w:val="Header"/>
      <w:spacing w:before="20" w:line="276" w:lineRule="auto"/>
      <w:rPr>
        <w:sz w:val="24"/>
        <w:szCs w:val="24"/>
      </w:rPr>
    </w:pPr>
    <w:r>
      <w:rPr>
        <w:sz w:val="24"/>
        <w:szCs w:val="24"/>
      </w:rPr>
      <w:t>chussey</w:t>
    </w:r>
    <w:r w:rsidR="009A0AE7" w:rsidRPr="009A0AE7">
      <w:rPr>
        <w:sz w:val="24"/>
        <w:szCs w:val="24"/>
      </w:rPr>
      <w:t>@ipa.org.au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F1D40"/>
    <w:multiLevelType w:val="multilevel"/>
    <w:tmpl w:val="9DFAF02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6C16DB1"/>
    <w:multiLevelType w:val="hybridMultilevel"/>
    <w:tmpl w:val="FC3E8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F9D0EB8"/>
    <w:multiLevelType w:val="hybridMultilevel"/>
    <w:tmpl w:val="7ABCE08E"/>
    <w:lvl w:ilvl="0" w:tplc="DC1EEA42">
      <w:start w:val="30"/>
      <w:numFmt w:val="bullet"/>
      <w:lvlText w:val="-"/>
      <w:lvlJc w:val="left"/>
      <w:pPr>
        <w:ind w:left="720" w:hanging="360"/>
      </w:pPr>
      <w:rPr>
        <w:rFonts w:ascii="Times New Roman" w:eastAsia="Times New Roman" w:hAnsi="Times New Roman" w:cs="Times New Roman" w:hint="default"/>
        <w:color w:val="363435"/>
        <w:w w:val="104"/>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activeWritingStyle w:appName="MSWord" w:lang="en-US" w:vendorID="64" w:dllVersion="6" w:nlCheck="1" w:checkStyle="0"/>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defaultTabStop w:val="720"/>
  <w:drawingGridHorizontalSpacing w:val="100"/>
  <w:drawingGridVerticalSpacing w:val="136"/>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CB"/>
    <w:rsid w:val="0000036A"/>
    <w:rsid w:val="00002184"/>
    <w:rsid w:val="00003F0B"/>
    <w:rsid w:val="00015340"/>
    <w:rsid w:val="0002355A"/>
    <w:rsid w:val="000541C8"/>
    <w:rsid w:val="0006180E"/>
    <w:rsid w:val="00065E06"/>
    <w:rsid w:val="00067CC6"/>
    <w:rsid w:val="00074F61"/>
    <w:rsid w:val="00084557"/>
    <w:rsid w:val="000875D9"/>
    <w:rsid w:val="00093E10"/>
    <w:rsid w:val="00097686"/>
    <w:rsid w:val="000A72BB"/>
    <w:rsid w:val="000C6561"/>
    <w:rsid w:val="00103A5C"/>
    <w:rsid w:val="001047BC"/>
    <w:rsid w:val="00135186"/>
    <w:rsid w:val="001370BE"/>
    <w:rsid w:val="00141DF4"/>
    <w:rsid w:val="00146499"/>
    <w:rsid w:val="00147FD4"/>
    <w:rsid w:val="00157F8C"/>
    <w:rsid w:val="00164EC2"/>
    <w:rsid w:val="0016640F"/>
    <w:rsid w:val="00172C32"/>
    <w:rsid w:val="001907F3"/>
    <w:rsid w:val="001A11AF"/>
    <w:rsid w:val="001A1340"/>
    <w:rsid w:val="001A3E02"/>
    <w:rsid w:val="001E37D5"/>
    <w:rsid w:val="001E58C1"/>
    <w:rsid w:val="001E7B90"/>
    <w:rsid w:val="001F672F"/>
    <w:rsid w:val="00204F92"/>
    <w:rsid w:val="00211457"/>
    <w:rsid w:val="002360D8"/>
    <w:rsid w:val="00236A79"/>
    <w:rsid w:val="00240092"/>
    <w:rsid w:val="00247894"/>
    <w:rsid w:val="002661AB"/>
    <w:rsid w:val="00266FE0"/>
    <w:rsid w:val="00273E9D"/>
    <w:rsid w:val="002850F6"/>
    <w:rsid w:val="00292386"/>
    <w:rsid w:val="002A19FB"/>
    <w:rsid w:val="002B354C"/>
    <w:rsid w:val="002E0299"/>
    <w:rsid w:val="002E7EFD"/>
    <w:rsid w:val="00302643"/>
    <w:rsid w:val="003135D7"/>
    <w:rsid w:val="00342B83"/>
    <w:rsid w:val="00343EB8"/>
    <w:rsid w:val="00365761"/>
    <w:rsid w:val="00385F38"/>
    <w:rsid w:val="003902CB"/>
    <w:rsid w:val="00392C4A"/>
    <w:rsid w:val="003B103D"/>
    <w:rsid w:val="003B5BBD"/>
    <w:rsid w:val="003C1C51"/>
    <w:rsid w:val="003F0480"/>
    <w:rsid w:val="004124F2"/>
    <w:rsid w:val="00416B9E"/>
    <w:rsid w:val="00422D5A"/>
    <w:rsid w:val="0043327C"/>
    <w:rsid w:val="00441E2E"/>
    <w:rsid w:val="00444ADF"/>
    <w:rsid w:val="004557DA"/>
    <w:rsid w:val="00471D95"/>
    <w:rsid w:val="004836A3"/>
    <w:rsid w:val="0048410A"/>
    <w:rsid w:val="00485451"/>
    <w:rsid w:val="004A1F21"/>
    <w:rsid w:val="004A48A1"/>
    <w:rsid w:val="004D0641"/>
    <w:rsid w:val="004D38D9"/>
    <w:rsid w:val="004D6177"/>
    <w:rsid w:val="004E04CF"/>
    <w:rsid w:val="004E0E13"/>
    <w:rsid w:val="004E426B"/>
    <w:rsid w:val="004F018D"/>
    <w:rsid w:val="004F6FAE"/>
    <w:rsid w:val="00515A6B"/>
    <w:rsid w:val="00523043"/>
    <w:rsid w:val="00537DC0"/>
    <w:rsid w:val="00540CAA"/>
    <w:rsid w:val="0056099A"/>
    <w:rsid w:val="0056458B"/>
    <w:rsid w:val="00572BFA"/>
    <w:rsid w:val="005812DF"/>
    <w:rsid w:val="00582829"/>
    <w:rsid w:val="00590E59"/>
    <w:rsid w:val="00594831"/>
    <w:rsid w:val="005A37FB"/>
    <w:rsid w:val="005A3F28"/>
    <w:rsid w:val="005A4346"/>
    <w:rsid w:val="005B1EAB"/>
    <w:rsid w:val="005D3C12"/>
    <w:rsid w:val="005D5821"/>
    <w:rsid w:val="005D644E"/>
    <w:rsid w:val="006149FC"/>
    <w:rsid w:val="00626CB8"/>
    <w:rsid w:val="00632882"/>
    <w:rsid w:val="00642D60"/>
    <w:rsid w:val="006450B8"/>
    <w:rsid w:val="006504F4"/>
    <w:rsid w:val="00652EC3"/>
    <w:rsid w:val="00673C01"/>
    <w:rsid w:val="006827E7"/>
    <w:rsid w:val="006907B7"/>
    <w:rsid w:val="00697A26"/>
    <w:rsid w:val="006B75E5"/>
    <w:rsid w:val="006C26EA"/>
    <w:rsid w:val="006D5643"/>
    <w:rsid w:val="006F1E60"/>
    <w:rsid w:val="00710C13"/>
    <w:rsid w:val="007176BF"/>
    <w:rsid w:val="00731B2E"/>
    <w:rsid w:val="007375BD"/>
    <w:rsid w:val="00740A50"/>
    <w:rsid w:val="007544E1"/>
    <w:rsid w:val="00765B0D"/>
    <w:rsid w:val="00770C1E"/>
    <w:rsid w:val="00786498"/>
    <w:rsid w:val="0079529B"/>
    <w:rsid w:val="007A1143"/>
    <w:rsid w:val="007A6E86"/>
    <w:rsid w:val="007B0419"/>
    <w:rsid w:val="007C0C66"/>
    <w:rsid w:val="007C1E85"/>
    <w:rsid w:val="007D273A"/>
    <w:rsid w:val="007D3F1F"/>
    <w:rsid w:val="007D7A85"/>
    <w:rsid w:val="007F0109"/>
    <w:rsid w:val="007F5EB9"/>
    <w:rsid w:val="008067F3"/>
    <w:rsid w:val="00817F0C"/>
    <w:rsid w:val="00821374"/>
    <w:rsid w:val="00875F06"/>
    <w:rsid w:val="00886C72"/>
    <w:rsid w:val="008925B2"/>
    <w:rsid w:val="008A0674"/>
    <w:rsid w:val="008A0EEE"/>
    <w:rsid w:val="008A1AD4"/>
    <w:rsid w:val="008B0A63"/>
    <w:rsid w:val="008B1D0E"/>
    <w:rsid w:val="008C2BFA"/>
    <w:rsid w:val="008C4150"/>
    <w:rsid w:val="008D1D40"/>
    <w:rsid w:val="008E33D2"/>
    <w:rsid w:val="00906A5A"/>
    <w:rsid w:val="00912673"/>
    <w:rsid w:val="00922893"/>
    <w:rsid w:val="009249A1"/>
    <w:rsid w:val="0093109E"/>
    <w:rsid w:val="00942348"/>
    <w:rsid w:val="00952521"/>
    <w:rsid w:val="00953606"/>
    <w:rsid w:val="00970467"/>
    <w:rsid w:val="00970C90"/>
    <w:rsid w:val="00973BA2"/>
    <w:rsid w:val="0098702E"/>
    <w:rsid w:val="00990B86"/>
    <w:rsid w:val="00990CFE"/>
    <w:rsid w:val="00992BEE"/>
    <w:rsid w:val="00993608"/>
    <w:rsid w:val="009A0AE7"/>
    <w:rsid w:val="009A42D2"/>
    <w:rsid w:val="009B43F8"/>
    <w:rsid w:val="009D7944"/>
    <w:rsid w:val="009D7E2D"/>
    <w:rsid w:val="009E593E"/>
    <w:rsid w:val="009F07D0"/>
    <w:rsid w:val="009F248A"/>
    <w:rsid w:val="009F3142"/>
    <w:rsid w:val="00A142EB"/>
    <w:rsid w:val="00A31528"/>
    <w:rsid w:val="00A31B28"/>
    <w:rsid w:val="00A428EC"/>
    <w:rsid w:val="00A61369"/>
    <w:rsid w:val="00A939EF"/>
    <w:rsid w:val="00A94D3D"/>
    <w:rsid w:val="00AA1521"/>
    <w:rsid w:val="00AA2AC2"/>
    <w:rsid w:val="00AA4AEE"/>
    <w:rsid w:val="00AD0E72"/>
    <w:rsid w:val="00AE0F81"/>
    <w:rsid w:val="00AE2043"/>
    <w:rsid w:val="00AE746B"/>
    <w:rsid w:val="00AF596D"/>
    <w:rsid w:val="00B00C23"/>
    <w:rsid w:val="00B02472"/>
    <w:rsid w:val="00B02FD7"/>
    <w:rsid w:val="00B3210C"/>
    <w:rsid w:val="00B34D76"/>
    <w:rsid w:val="00B440EB"/>
    <w:rsid w:val="00B510DA"/>
    <w:rsid w:val="00B568C4"/>
    <w:rsid w:val="00B57182"/>
    <w:rsid w:val="00B645B0"/>
    <w:rsid w:val="00B86712"/>
    <w:rsid w:val="00BA08A1"/>
    <w:rsid w:val="00BA1CD9"/>
    <w:rsid w:val="00BA5018"/>
    <w:rsid w:val="00BA5AB3"/>
    <w:rsid w:val="00BB7446"/>
    <w:rsid w:val="00BC7640"/>
    <w:rsid w:val="00BD78AF"/>
    <w:rsid w:val="00BE2442"/>
    <w:rsid w:val="00BF7C03"/>
    <w:rsid w:val="00C165FD"/>
    <w:rsid w:val="00C24940"/>
    <w:rsid w:val="00C26730"/>
    <w:rsid w:val="00C32942"/>
    <w:rsid w:val="00C33C2B"/>
    <w:rsid w:val="00C36EDE"/>
    <w:rsid w:val="00C37482"/>
    <w:rsid w:val="00C60AA0"/>
    <w:rsid w:val="00C70BD5"/>
    <w:rsid w:val="00C76601"/>
    <w:rsid w:val="00C80737"/>
    <w:rsid w:val="00CA62DA"/>
    <w:rsid w:val="00CB0B66"/>
    <w:rsid w:val="00CB45B4"/>
    <w:rsid w:val="00CC14D6"/>
    <w:rsid w:val="00CC1EFE"/>
    <w:rsid w:val="00CC477B"/>
    <w:rsid w:val="00CD3220"/>
    <w:rsid w:val="00CE1A0E"/>
    <w:rsid w:val="00CF1366"/>
    <w:rsid w:val="00CF3298"/>
    <w:rsid w:val="00D240DA"/>
    <w:rsid w:val="00D258A6"/>
    <w:rsid w:val="00D40E9F"/>
    <w:rsid w:val="00D45267"/>
    <w:rsid w:val="00D47CB9"/>
    <w:rsid w:val="00D574EB"/>
    <w:rsid w:val="00D63E67"/>
    <w:rsid w:val="00D6559A"/>
    <w:rsid w:val="00D7209F"/>
    <w:rsid w:val="00D7574A"/>
    <w:rsid w:val="00D908DC"/>
    <w:rsid w:val="00DB3881"/>
    <w:rsid w:val="00DC133C"/>
    <w:rsid w:val="00DC2EF5"/>
    <w:rsid w:val="00DD017E"/>
    <w:rsid w:val="00DE3032"/>
    <w:rsid w:val="00E02FB7"/>
    <w:rsid w:val="00E0335F"/>
    <w:rsid w:val="00E266D2"/>
    <w:rsid w:val="00E31242"/>
    <w:rsid w:val="00E320A5"/>
    <w:rsid w:val="00E37369"/>
    <w:rsid w:val="00E4022E"/>
    <w:rsid w:val="00E542F5"/>
    <w:rsid w:val="00E73934"/>
    <w:rsid w:val="00E916D8"/>
    <w:rsid w:val="00EA0311"/>
    <w:rsid w:val="00EA1108"/>
    <w:rsid w:val="00EA1A9B"/>
    <w:rsid w:val="00EA6DEF"/>
    <w:rsid w:val="00EB1E77"/>
    <w:rsid w:val="00EC5BBB"/>
    <w:rsid w:val="00ED61E9"/>
    <w:rsid w:val="00EE0184"/>
    <w:rsid w:val="00EF05E8"/>
    <w:rsid w:val="00F161E4"/>
    <w:rsid w:val="00F2247D"/>
    <w:rsid w:val="00F245FA"/>
    <w:rsid w:val="00F27682"/>
    <w:rsid w:val="00F363CD"/>
    <w:rsid w:val="00F56C23"/>
    <w:rsid w:val="00F67BF2"/>
    <w:rsid w:val="00F705C5"/>
    <w:rsid w:val="00F8002C"/>
    <w:rsid w:val="00F8163D"/>
    <w:rsid w:val="00F913D6"/>
    <w:rsid w:val="00FA69ED"/>
    <w:rsid w:val="00FA7197"/>
    <w:rsid w:val="00FC03A3"/>
    <w:rsid w:val="00FD2E95"/>
    <w:rsid w:val="00FF363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DB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8A0EEE"/>
    <w:pPr>
      <w:tabs>
        <w:tab w:val="center" w:pos="4513"/>
        <w:tab w:val="right" w:pos="9026"/>
      </w:tabs>
    </w:pPr>
  </w:style>
  <w:style w:type="character" w:customStyle="1" w:styleId="HeaderChar">
    <w:name w:val="Header Char"/>
    <w:basedOn w:val="DefaultParagraphFont"/>
    <w:link w:val="Header"/>
    <w:uiPriority w:val="99"/>
    <w:rsid w:val="008A0EEE"/>
  </w:style>
  <w:style w:type="paragraph" w:styleId="Footer">
    <w:name w:val="footer"/>
    <w:basedOn w:val="Normal"/>
    <w:link w:val="FooterChar"/>
    <w:uiPriority w:val="99"/>
    <w:unhideWhenUsed/>
    <w:rsid w:val="008A0EEE"/>
    <w:pPr>
      <w:tabs>
        <w:tab w:val="center" w:pos="4513"/>
        <w:tab w:val="right" w:pos="9026"/>
      </w:tabs>
    </w:pPr>
  </w:style>
  <w:style w:type="character" w:customStyle="1" w:styleId="FooterChar">
    <w:name w:val="Footer Char"/>
    <w:basedOn w:val="DefaultParagraphFont"/>
    <w:link w:val="Footer"/>
    <w:uiPriority w:val="99"/>
    <w:rsid w:val="008A0EEE"/>
  </w:style>
  <w:style w:type="character" w:styleId="Hyperlink">
    <w:name w:val="Hyperlink"/>
    <w:basedOn w:val="DefaultParagraphFont"/>
    <w:uiPriority w:val="99"/>
    <w:unhideWhenUsed/>
    <w:rsid w:val="00084557"/>
    <w:rPr>
      <w:color w:val="0000FF" w:themeColor="hyperlink"/>
      <w:u w:val="single"/>
    </w:rPr>
  </w:style>
  <w:style w:type="character" w:customStyle="1" w:styleId="UnresolvedMention1">
    <w:name w:val="Unresolved Mention1"/>
    <w:basedOn w:val="DefaultParagraphFont"/>
    <w:uiPriority w:val="99"/>
    <w:rsid w:val="001E58C1"/>
    <w:rPr>
      <w:color w:val="808080"/>
      <w:shd w:val="clear" w:color="auto" w:fill="E6E6E6"/>
    </w:rPr>
  </w:style>
  <w:style w:type="paragraph" w:styleId="PlainText">
    <w:name w:val="Plain Text"/>
    <w:basedOn w:val="Normal"/>
    <w:link w:val="PlainTextChar"/>
    <w:uiPriority w:val="99"/>
    <w:unhideWhenUsed/>
    <w:rsid w:val="00922893"/>
    <w:rPr>
      <w:rFonts w:ascii="Calibri" w:eastAsiaTheme="minorHAnsi" w:hAnsi="Calibri" w:cstheme="minorBidi"/>
      <w:sz w:val="22"/>
      <w:szCs w:val="21"/>
      <w:lang w:val="en-AU"/>
    </w:rPr>
  </w:style>
  <w:style w:type="character" w:customStyle="1" w:styleId="PlainTextChar">
    <w:name w:val="Plain Text Char"/>
    <w:basedOn w:val="DefaultParagraphFont"/>
    <w:link w:val="PlainText"/>
    <w:uiPriority w:val="99"/>
    <w:rsid w:val="00922893"/>
    <w:rPr>
      <w:rFonts w:ascii="Calibri" w:eastAsiaTheme="minorHAnsi" w:hAnsi="Calibri" w:cstheme="minorBidi"/>
      <w:sz w:val="22"/>
      <w:szCs w:val="21"/>
      <w:lang w:val="en-AU"/>
    </w:rPr>
  </w:style>
  <w:style w:type="paragraph" w:styleId="BalloonText">
    <w:name w:val="Balloon Text"/>
    <w:basedOn w:val="Normal"/>
    <w:link w:val="BalloonTextChar"/>
    <w:uiPriority w:val="99"/>
    <w:semiHidden/>
    <w:unhideWhenUsed/>
    <w:rsid w:val="00DB38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881"/>
    <w:rPr>
      <w:rFonts w:ascii="Segoe UI" w:hAnsi="Segoe UI" w:cs="Segoe UI"/>
      <w:sz w:val="18"/>
      <w:szCs w:val="18"/>
    </w:rPr>
  </w:style>
  <w:style w:type="paragraph" w:styleId="ListParagraph">
    <w:name w:val="List Paragraph"/>
    <w:basedOn w:val="Normal"/>
    <w:uiPriority w:val="34"/>
    <w:qFormat/>
    <w:rsid w:val="00A31B28"/>
    <w:pPr>
      <w:ind w:left="720"/>
      <w:contextualSpacing/>
    </w:pPr>
  </w:style>
  <w:style w:type="table" w:styleId="TableGrid">
    <w:name w:val="Table Grid"/>
    <w:basedOn w:val="TableNormal"/>
    <w:uiPriority w:val="59"/>
    <w:rsid w:val="00924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574EB"/>
    <w:rPr>
      <w:rFonts w:ascii="Calibri" w:eastAsiaTheme="minorHAnsi" w:hAnsi="Calibri" w:cs="Calibri"/>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312839">
      <w:bodyDiv w:val="1"/>
      <w:marLeft w:val="0"/>
      <w:marRight w:val="0"/>
      <w:marTop w:val="0"/>
      <w:marBottom w:val="0"/>
      <w:divBdr>
        <w:top w:val="none" w:sz="0" w:space="0" w:color="auto"/>
        <w:left w:val="none" w:sz="0" w:space="0" w:color="auto"/>
        <w:bottom w:val="none" w:sz="0" w:space="0" w:color="auto"/>
        <w:right w:val="none" w:sz="0" w:space="0" w:color="auto"/>
      </w:divBdr>
    </w:div>
    <w:div w:id="620068312">
      <w:bodyDiv w:val="1"/>
      <w:marLeft w:val="0"/>
      <w:marRight w:val="0"/>
      <w:marTop w:val="0"/>
      <w:marBottom w:val="0"/>
      <w:divBdr>
        <w:top w:val="none" w:sz="0" w:space="0" w:color="auto"/>
        <w:left w:val="none" w:sz="0" w:space="0" w:color="auto"/>
        <w:bottom w:val="none" w:sz="0" w:space="0" w:color="auto"/>
        <w:right w:val="none" w:sz="0" w:space="0" w:color="auto"/>
      </w:divBdr>
    </w:div>
    <w:div w:id="1260989681">
      <w:bodyDiv w:val="1"/>
      <w:marLeft w:val="0"/>
      <w:marRight w:val="0"/>
      <w:marTop w:val="0"/>
      <w:marBottom w:val="0"/>
      <w:divBdr>
        <w:top w:val="none" w:sz="0" w:space="0" w:color="auto"/>
        <w:left w:val="none" w:sz="0" w:space="0" w:color="auto"/>
        <w:bottom w:val="none" w:sz="0" w:space="0" w:color="auto"/>
        <w:right w:val="none" w:sz="0" w:space="0" w:color="auto"/>
      </w:divBdr>
    </w:div>
    <w:div w:id="1686443511">
      <w:bodyDiv w:val="1"/>
      <w:marLeft w:val="0"/>
      <w:marRight w:val="0"/>
      <w:marTop w:val="0"/>
      <w:marBottom w:val="0"/>
      <w:divBdr>
        <w:top w:val="none" w:sz="0" w:space="0" w:color="auto"/>
        <w:left w:val="none" w:sz="0" w:space="0" w:color="auto"/>
        <w:bottom w:val="none" w:sz="0" w:space="0" w:color="auto"/>
        <w:right w:val="none" w:sz="0" w:space="0" w:color="auto"/>
      </w:divBdr>
    </w:div>
    <w:div w:id="1889217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5.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N/A</RoutingTargetFolder>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2021FG-108-11052</_dlc_DocId>
    <TaxCatchAll xmlns="0f563589-9cf9-4143-b1eb-fb0534803d38">
      <Value>7</Value>
    </TaxCatchAll>
    <_dlc_DocIdUrl xmlns="0f563589-9cf9-4143-b1eb-fb0534803d38">
      <Url>http://tweb/sites/fg/bpd/_layouts/15/DocIdRedir.aspx?ID=2021FG-108-11052</Url>
      <Description>2021FG-108-11052</Description>
    </_dlc_DocIdUrl>
    <RoutingTargetPath xmlns="http://schemas.microsoft.com/sharepoint/v3">N/A</RoutingTargetPath>
    <IconOverlay xmlns="http://schemas.microsoft.com/sharepoint/v4" xsi:nil="true"/>
  </documentManagement>
</p:properti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CC3635-4895-49C3-9270-D023E16D605E}">
  <ds:schemaRefs>
    <ds:schemaRef ds:uri="office.server.policy"/>
  </ds:schemaRefs>
</ds:datastoreItem>
</file>

<file path=customXml/itemProps2.xml><?xml version="1.0" encoding="utf-8"?>
<ds:datastoreItem xmlns:ds="http://schemas.openxmlformats.org/officeDocument/2006/customXml" ds:itemID="{8771A00B-99E1-4E70-90CB-886B662AD556}">
  <ds:schemaRefs>
    <ds:schemaRef ds:uri="http://schemas.microsoft.com/sharepoint/events"/>
  </ds:schemaRefs>
</ds:datastoreItem>
</file>

<file path=customXml/itemProps3.xml><?xml version="1.0" encoding="utf-8"?>
<ds:datastoreItem xmlns:ds="http://schemas.openxmlformats.org/officeDocument/2006/customXml" ds:itemID="{821C735B-E482-49C9-8FAC-7FC5F52BCB51}">
  <ds:schemaRefs>
    <ds:schemaRef ds:uri="http://schemas.openxmlformats.org/officeDocument/2006/bibliography"/>
  </ds:schemaRefs>
</ds:datastoreItem>
</file>

<file path=customXml/itemProps4.xml><?xml version="1.0" encoding="utf-8"?>
<ds:datastoreItem xmlns:ds="http://schemas.openxmlformats.org/officeDocument/2006/customXml" ds:itemID="{704C1084-AF3A-400A-A960-2E583316833A}">
  <ds:schemaRefs>
    <ds:schemaRef ds:uri="Microsoft.SharePoint.Taxonomy.ContentTypeSync"/>
  </ds:schemaRefs>
</ds:datastoreItem>
</file>

<file path=customXml/itemProps5.xml><?xml version="1.0" encoding="utf-8"?>
<ds:datastoreItem xmlns:ds="http://schemas.openxmlformats.org/officeDocument/2006/customXml" ds:itemID="{FACB5768-4060-407A-918C-2F3F9C8D7852}">
  <ds:schemaRefs>
    <ds:schemaRef ds:uri="http://schemas.microsoft.com/office/2006/metadata/properties"/>
    <ds:schemaRef ds:uri="http://schemas.microsoft.com/office/infopath/2007/PartnerControls"/>
    <ds:schemaRef ds:uri="http://schemas.microsoft.com/sharepoint/v3"/>
    <ds:schemaRef ds:uri="e544e5cc-ab70-42e1-849e-1a0f8bb1f4ef"/>
    <ds:schemaRef ds:uri="0f563589-9cf9-4143-b1eb-fb0534803d38"/>
    <ds:schemaRef ds:uri="http://schemas.microsoft.com/sharepoint/v4"/>
  </ds:schemaRefs>
</ds:datastoreItem>
</file>

<file path=customXml/itemProps6.xml><?xml version="1.0" encoding="utf-8"?>
<ds:datastoreItem xmlns:ds="http://schemas.openxmlformats.org/officeDocument/2006/customXml" ds:itemID="{960F7E4C-248A-42DC-918D-CC28073DF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4C23DF0-20BB-4FE0-99D6-5B646D7C0A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1650</Characters>
  <Application>Microsoft Office Word</Application>
  <DocSecurity>0</DocSecurity>
  <Lines>45</Lines>
  <Paragraphs>15</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of Public Affairs - 2021-22 Pre-Budget Submissions</dc:title>
  <dc:creator/>
  <cp:lastModifiedBy/>
  <cp:revision>1</cp:revision>
  <dcterms:created xsi:type="dcterms:W3CDTF">2021-05-06T00:44:00Z</dcterms:created>
  <dcterms:modified xsi:type="dcterms:W3CDTF">2021-05-06T00:44:00Z</dcterms:modified>
  <dc:language>English</dc:language>
</cp:coreProperties>
</file>