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49EB1" w14:textId="14B2BBB8" w:rsidR="00EF505E" w:rsidRPr="001D5DA8" w:rsidRDefault="00EF505E">
      <w:pPr>
        <w:rPr>
          <w:rFonts w:cstheme="minorHAnsi"/>
          <w:sz w:val="20"/>
          <w:szCs w:val="20"/>
        </w:rPr>
      </w:pPr>
    </w:p>
    <w:p w14:paraId="27D834F2" w14:textId="13157B19" w:rsidR="00D07A50" w:rsidRPr="001D5DA8" w:rsidRDefault="00FB034E">
      <w:pPr>
        <w:rPr>
          <w:rFonts w:eastAsia="Times New Roman" w:cstheme="minorHAnsi"/>
          <w:sz w:val="20"/>
          <w:szCs w:val="20"/>
          <w:lang w:val="en-AU" w:eastAsia="en-GB"/>
        </w:rPr>
      </w:pPr>
      <w:r w:rsidRPr="001D5DA8">
        <w:rPr>
          <w:rFonts w:eastAsia="Times New Roman" w:cstheme="minorHAnsi"/>
          <w:color w:val="000000"/>
          <w:sz w:val="20"/>
          <w:szCs w:val="20"/>
          <w:shd w:val="clear" w:color="auto" w:fill="FFFFFF"/>
          <w:lang w:val="en-AU" w:eastAsia="en-GB"/>
        </w:rPr>
        <w:t>Australian Government</w:t>
      </w:r>
    </w:p>
    <w:p w14:paraId="04201449" w14:textId="4BEB6289" w:rsidR="00D07A50" w:rsidRPr="001D5DA8" w:rsidRDefault="00FB034E" w:rsidP="00D07A50">
      <w:pPr>
        <w:rPr>
          <w:rFonts w:cstheme="minorHAnsi"/>
          <w:b/>
          <w:bCs/>
          <w:sz w:val="20"/>
          <w:szCs w:val="20"/>
          <w:lang w:val="en-AU"/>
        </w:rPr>
      </w:pPr>
      <w:r w:rsidRPr="001D5DA8">
        <w:rPr>
          <w:rFonts w:cstheme="minorHAnsi"/>
          <w:b/>
          <w:bCs/>
          <w:sz w:val="20"/>
          <w:szCs w:val="20"/>
          <w:lang w:val="en-AU"/>
        </w:rPr>
        <w:t>Treasury Consultation Hub</w:t>
      </w:r>
    </w:p>
    <w:p w14:paraId="4C159436" w14:textId="77777777" w:rsidR="00FB034E" w:rsidRPr="001D5DA8" w:rsidRDefault="00FB034E">
      <w:pPr>
        <w:rPr>
          <w:rFonts w:cstheme="minorHAnsi"/>
          <w:sz w:val="20"/>
          <w:szCs w:val="20"/>
        </w:rPr>
      </w:pPr>
    </w:p>
    <w:p w14:paraId="216B3B55" w14:textId="77777777" w:rsidR="00EF505E" w:rsidRPr="001D5DA8" w:rsidRDefault="00EF505E" w:rsidP="0057287A">
      <w:pPr>
        <w:pStyle w:val="UTSLetterBodytext"/>
        <w:spacing w:after="240"/>
        <w:ind w:right="567"/>
        <w:rPr>
          <w:rFonts w:asciiTheme="minorHAnsi" w:hAnsiTheme="minorHAnsi" w:cstheme="minorHAnsi"/>
        </w:rPr>
      </w:pPr>
    </w:p>
    <w:p w14:paraId="11663B1D" w14:textId="46880320" w:rsidR="0057287A" w:rsidRPr="001D5DA8" w:rsidRDefault="000468B9" w:rsidP="0057287A">
      <w:pPr>
        <w:pStyle w:val="UTSLetterBodytext"/>
        <w:spacing w:after="240"/>
        <w:ind w:right="567"/>
        <w:rPr>
          <w:rFonts w:asciiTheme="minorHAnsi" w:hAnsiTheme="minorHAnsi" w:cstheme="minorHAnsi"/>
        </w:rPr>
      </w:pPr>
      <w:r w:rsidRPr="001D5DA8">
        <w:rPr>
          <w:rFonts w:asciiTheme="minorHAnsi" w:hAnsiTheme="minorHAnsi" w:cstheme="minorHAnsi"/>
        </w:rPr>
        <w:t>2</w:t>
      </w:r>
      <w:r w:rsidR="00FB034E" w:rsidRPr="001D5DA8">
        <w:rPr>
          <w:rFonts w:asciiTheme="minorHAnsi" w:hAnsiTheme="minorHAnsi" w:cstheme="minorHAnsi"/>
        </w:rPr>
        <w:t>7</w:t>
      </w:r>
      <w:r w:rsidR="00CE0DF2" w:rsidRPr="001D5DA8">
        <w:rPr>
          <w:rFonts w:asciiTheme="minorHAnsi" w:hAnsiTheme="minorHAnsi" w:cstheme="minorHAnsi"/>
        </w:rPr>
        <w:t xml:space="preserve"> January 202</w:t>
      </w:r>
      <w:r w:rsidR="00FB034E" w:rsidRPr="001D5DA8">
        <w:rPr>
          <w:rFonts w:asciiTheme="minorHAnsi" w:hAnsiTheme="minorHAnsi" w:cstheme="minorHAnsi"/>
        </w:rPr>
        <w:t>1</w:t>
      </w:r>
    </w:p>
    <w:p w14:paraId="102DDBA9" w14:textId="77777777" w:rsidR="008569CE" w:rsidRPr="001D5DA8" w:rsidRDefault="008569CE" w:rsidP="008569CE">
      <w:pPr>
        <w:pStyle w:val="UTSLetterBodytext"/>
        <w:spacing w:after="0" w:line="240" w:lineRule="auto"/>
        <w:ind w:right="567"/>
        <w:rPr>
          <w:rFonts w:asciiTheme="minorHAnsi" w:hAnsiTheme="minorHAnsi" w:cstheme="minorHAnsi"/>
          <w:b/>
          <w:bCs/>
        </w:rPr>
      </w:pPr>
    </w:p>
    <w:p w14:paraId="0106AFCB" w14:textId="480CE88E" w:rsidR="00D07A50" w:rsidRPr="001D5DA8" w:rsidRDefault="0057287A" w:rsidP="008569CE">
      <w:pPr>
        <w:pStyle w:val="UTSLetterBodytext"/>
        <w:spacing w:after="0" w:line="240" w:lineRule="auto"/>
        <w:ind w:right="567"/>
        <w:rPr>
          <w:rFonts w:asciiTheme="minorHAnsi" w:hAnsiTheme="minorHAnsi" w:cstheme="minorHAnsi"/>
          <w:b/>
          <w:bCs/>
        </w:rPr>
      </w:pPr>
      <w:r w:rsidRPr="001D5DA8">
        <w:rPr>
          <w:rFonts w:asciiTheme="minorHAnsi" w:hAnsiTheme="minorHAnsi" w:cstheme="minorHAnsi"/>
          <w:b/>
          <w:bCs/>
        </w:rPr>
        <w:t xml:space="preserve">ANZSPM </w:t>
      </w:r>
      <w:r w:rsidR="00FB034E" w:rsidRPr="001D5DA8">
        <w:rPr>
          <w:rFonts w:asciiTheme="minorHAnsi" w:hAnsiTheme="minorHAnsi" w:cstheme="minorHAnsi"/>
          <w:b/>
          <w:bCs/>
        </w:rPr>
        <w:t>Pre-Budget Submission 2021-2022</w:t>
      </w:r>
    </w:p>
    <w:p w14:paraId="0F088F68" w14:textId="77777777" w:rsidR="008569CE" w:rsidRPr="001D5DA8" w:rsidRDefault="008569CE" w:rsidP="008569CE">
      <w:pPr>
        <w:pStyle w:val="UTSLetterBodytext"/>
        <w:spacing w:after="0" w:line="240" w:lineRule="auto"/>
        <w:ind w:right="567"/>
        <w:rPr>
          <w:rFonts w:asciiTheme="minorHAnsi" w:hAnsiTheme="minorHAnsi" w:cstheme="minorHAnsi"/>
        </w:rPr>
      </w:pPr>
    </w:p>
    <w:p w14:paraId="6C1D7442" w14:textId="22E17DB9" w:rsidR="00CE0DF2" w:rsidRPr="001D5DA8" w:rsidRDefault="0057287A" w:rsidP="008569CE">
      <w:pPr>
        <w:pStyle w:val="UTSLetterBodytext"/>
        <w:spacing w:after="0" w:line="240" w:lineRule="auto"/>
        <w:ind w:right="567"/>
        <w:rPr>
          <w:rFonts w:asciiTheme="minorHAnsi" w:hAnsiTheme="minorHAnsi" w:cstheme="minorHAnsi"/>
          <w:lang w:eastAsia="en-GB"/>
        </w:rPr>
      </w:pPr>
      <w:r w:rsidRPr="001D5DA8">
        <w:rPr>
          <w:rFonts w:asciiTheme="minorHAnsi" w:hAnsiTheme="minorHAnsi" w:cstheme="minorHAnsi"/>
        </w:rPr>
        <w:t xml:space="preserve">The Australian and New Zealand Society of Palliative Medicine (ANZSPM) </w:t>
      </w:r>
      <w:r w:rsidR="00CE0DF2" w:rsidRPr="001D5DA8">
        <w:rPr>
          <w:rFonts w:asciiTheme="minorHAnsi" w:hAnsiTheme="minorHAnsi" w:cstheme="minorHAnsi"/>
        </w:rPr>
        <w:t>welcomes</w:t>
      </w:r>
      <w:r w:rsidRPr="001D5DA8">
        <w:rPr>
          <w:rFonts w:asciiTheme="minorHAnsi" w:hAnsiTheme="minorHAnsi" w:cstheme="minorHAnsi"/>
        </w:rPr>
        <w:t xml:space="preserve"> the opportunity to make </w:t>
      </w:r>
      <w:r w:rsidR="00A9278A">
        <w:rPr>
          <w:rFonts w:asciiTheme="minorHAnsi" w:hAnsiTheme="minorHAnsi" w:cstheme="minorHAnsi"/>
        </w:rPr>
        <w:t xml:space="preserve">this </w:t>
      </w:r>
      <w:r w:rsidR="00AA1BD7">
        <w:rPr>
          <w:rFonts w:asciiTheme="minorHAnsi" w:hAnsiTheme="minorHAnsi" w:cstheme="minorHAnsi"/>
        </w:rPr>
        <w:t>pre-budget submission.</w:t>
      </w:r>
    </w:p>
    <w:p w14:paraId="75CC752C" w14:textId="77777777" w:rsidR="008569CE" w:rsidRPr="001D5DA8" w:rsidRDefault="008569CE" w:rsidP="008569CE">
      <w:pPr>
        <w:rPr>
          <w:rFonts w:cstheme="minorHAnsi"/>
          <w:sz w:val="20"/>
          <w:szCs w:val="20"/>
        </w:rPr>
      </w:pPr>
    </w:p>
    <w:p w14:paraId="12C98A4E" w14:textId="0A9DCAED" w:rsidR="002F530C" w:rsidRPr="001D5DA8" w:rsidRDefault="002F530C" w:rsidP="008569CE">
      <w:pPr>
        <w:rPr>
          <w:rFonts w:cstheme="minorHAnsi"/>
          <w:sz w:val="20"/>
          <w:szCs w:val="20"/>
        </w:rPr>
      </w:pPr>
      <w:r w:rsidRPr="001D5DA8">
        <w:rPr>
          <w:rFonts w:cstheme="minorHAnsi"/>
          <w:sz w:val="20"/>
          <w:szCs w:val="20"/>
        </w:rPr>
        <w:t>ANZSPM is a specialty medical society that facilitates professional development for its members and promotes the practice of palliative medicine, in order to improve the quality of care for people with life-</w:t>
      </w:r>
      <w:r w:rsidR="000468B9" w:rsidRPr="001D5DA8">
        <w:rPr>
          <w:rFonts w:cstheme="minorHAnsi"/>
          <w:sz w:val="20"/>
          <w:szCs w:val="20"/>
        </w:rPr>
        <w:t>limiting</w:t>
      </w:r>
      <w:r w:rsidRPr="001D5DA8">
        <w:rPr>
          <w:rFonts w:cstheme="minorHAnsi"/>
          <w:sz w:val="20"/>
          <w:szCs w:val="20"/>
        </w:rPr>
        <w:t xml:space="preserve"> illness. Our members are medical practitioners who provide care for people with a life-</w:t>
      </w:r>
      <w:r w:rsidR="000468B9" w:rsidRPr="001D5DA8">
        <w:rPr>
          <w:rFonts w:cstheme="minorHAnsi"/>
          <w:sz w:val="20"/>
          <w:szCs w:val="20"/>
        </w:rPr>
        <w:t>limiting</w:t>
      </w:r>
      <w:r w:rsidRPr="001D5DA8">
        <w:rPr>
          <w:rFonts w:cstheme="minorHAnsi"/>
          <w:sz w:val="20"/>
          <w:szCs w:val="20"/>
        </w:rPr>
        <w:t xml:space="preserve"> illness and include palliative medicine specialists, palliative medicine training registrars and other doctors</w:t>
      </w:r>
      <w:r w:rsidR="00297D77" w:rsidRPr="001D5DA8">
        <w:rPr>
          <w:rFonts w:cstheme="minorHAnsi"/>
          <w:sz w:val="20"/>
          <w:szCs w:val="20"/>
        </w:rPr>
        <w:t xml:space="preserve"> with an interest in palliative care</w:t>
      </w:r>
      <w:r w:rsidRPr="001D5DA8">
        <w:rPr>
          <w:rFonts w:cstheme="minorHAnsi"/>
          <w:sz w:val="20"/>
          <w:szCs w:val="20"/>
        </w:rPr>
        <w:t xml:space="preserve"> such as general practitioners, oncologists, haematologists, intensivists, psychiatrists and geriatricians. </w:t>
      </w:r>
    </w:p>
    <w:p w14:paraId="15DEAA6D" w14:textId="77777777" w:rsidR="008569CE" w:rsidRPr="001D5DA8" w:rsidRDefault="008569CE" w:rsidP="008569CE">
      <w:pPr>
        <w:pStyle w:val="UTSLetterBodytext"/>
        <w:spacing w:after="0" w:line="240" w:lineRule="auto"/>
        <w:ind w:right="567"/>
        <w:rPr>
          <w:rFonts w:asciiTheme="minorHAnsi" w:hAnsiTheme="minorHAnsi" w:cstheme="minorHAnsi"/>
        </w:rPr>
      </w:pPr>
    </w:p>
    <w:p w14:paraId="4E4819CA" w14:textId="4D8FEB8D" w:rsidR="001D5DA8" w:rsidRDefault="008F7C05" w:rsidP="008569CE">
      <w:pPr>
        <w:pStyle w:val="UTSLetterBodytext"/>
        <w:spacing w:after="0" w:line="240" w:lineRule="auto"/>
        <w:ind w:right="567"/>
        <w:rPr>
          <w:rFonts w:asciiTheme="minorHAnsi" w:hAnsiTheme="minorHAnsi" w:cstheme="minorHAnsi"/>
        </w:rPr>
      </w:pPr>
      <w:r w:rsidRPr="001D5DA8">
        <w:rPr>
          <w:rFonts w:asciiTheme="minorHAnsi" w:hAnsiTheme="minorHAnsi" w:cstheme="minorHAnsi"/>
          <w:b/>
          <w:bCs/>
        </w:rPr>
        <w:t xml:space="preserve">ANZSPM </w:t>
      </w:r>
      <w:r w:rsidR="00FB034E" w:rsidRPr="001D5DA8">
        <w:rPr>
          <w:rFonts w:asciiTheme="minorHAnsi" w:hAnsiTheme="minorHAnsi" w:cstheme="minorHAnsi"/>
          <w:b/>
          <w:bCs/>
        </w:rPr>
        <w:t>writes in support of the Palliative Care Australia</w:t>
      </w:r>
      <w:r w:rsidR="001D5DA8">
        <w:rPr>
          <w:rFonts w:asciiTheme="minorHAnsi" w:hAnsiTheme="minorHAnsi" w:cstheme="minorHAnsi"/>
          <w:b/>
          <w:bCs/>
        </w:rPr>
        <w:t xml:space="preserve"> (PCA)</w:t>
      </w:r>
      <w:r w:rsidR="00FB034E" w:rsidRPr="001D5DA8">
        <w:rPr>
          <w:rFonts w:asciiTheme="minorHAnsi" w:hAnsiTheme="minorHAnsi" w:cstheme="minorHAnsi"/>
          <w:b/>
          <w:bCs/>
        </w:rPr>
        <w:t xml:space="preserve"> Pre-Budget Submission</w:t>
      </w:r>
      <w:r w:rsidR="00FB034E" w:rsidRPr="001D5DA8">
        <w:rPr>
          <w:rFonts w:asciiTheme="minorHAnsi" w:hAnsiTheme="minorHAnsi" w:cstheme="minorHAnsi"/>
        </w:rPr>
        <w:t xml:space="preserve">, which speaks more broadly to the National Palliative Care Strategy 2018 and which addresses the broad unmet needs of Australians living with a life-limiting illness. </w:t>
      </w:r>
      <w:r w:rsidR="001D5DA8">
        <w:rPr>
          <w:rFonts w:asciiTheme="minorHAnsi" w:hAnsiTheme="minorHAnsi" w:cstheme="minorHAnsi"/>
        </w:rPr>
        <w:t>PCA puts forward a compelling and comprehensive case for a significant new government investment in palliative care</w:t>
      </w:r>
      <w:r w:rsidR="0065776A">
        <w:rPr>
          <w:rFonts w:asciiTheme="minorHAnsi" w:hAnsiTheme="minorHAnsi" w:cstheme="minorHAnsi"/>
        </w:rPr>
        <w:t>.  The package is summarised below.</w:t>
      </w:r>
    </w:p>
    <w:p w14:paraId="0FC51A8B" w14:textId="179806DD" w:rsidR="0065776A" w:rsidRDefault="0065776A" w:rsidP="008569CE">
      <w:pPr>
        <w:pStyle w:val="UTSLetterBodytext"/>
        <w:spacing w:after="0" w:line="240" w:lineRule="auto"/>
        <w:ind w:right="567"/>
        <w:rPr>
          <w:rFonts w:asciiTheme="minorHAnsi" w:hAnsiTheme="minorHAnsi" w:cstheme="minorHAnsi"/>
        </w:rPr>
      </w:pPr>
    </w:p>
    <w:p w14:paraId="3E4C00E3" w14:textId="77777777" w:rsidR="0065776A" w:rsidRDefault="0065776A" w:rsidP="008569CE">
      <w:pPr>
        <w:pStyle w:val="UTSLetterBodytext"/>
        <w:spacing w:after="0" w:line="240" w:lineRule="auto"/>
        <w:ind w:right="567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2782"/>
      </w:tblGrid>
      <w:tr w:rsidR="0065776A" w:rsidRPr="002036A8" w14:paraId="0413A143" w14:textId="77777777" w:rsidTr="0065776A">
        <w:tc>
          <w:tcPr>
            <w:tcW w:w="6232" w:type="dxa"/>
          </w:tcPr>
          <w:p w14:paraId="36245F5A" w14:textId="77777777" w:rsidR="00A9278A" w:rsidRDefault="00A9278A" w:rsidP="006B1AF5">
            <w:pPr>
              <w:rPr>
                <w:b/>
                <w:bCs/>
                <w:sz w:val="18"/>
                <w:szCs w:val="18"/>
              </w:rPr>
            </w:pPr>
          </w:p>
          <w:p w14:paraId="5D9C32F7" w14:textId="4978B0D3" w:rsidR="0065776A" w:rsidRPr="002036A8" w:rsidRDefault="0065776A" w:rsidP="006B1AF5">
            <w:pPr>
              <w:rPr>
                <w:b/>
                <w:bCs/>
                <w:sz w:val="18"/>
                <w:szCs w:val="18"/>
              </w:rPr>
            </w:pPr>
            <w:r w:rsidRPr="002036A8">
              <w:rPr>
                <w:b/>
                <w:bCs/>
                <w:sz w:val="18"/>
                <w:szCs w:val="18"/>
              </w:rPr>
              <w:t>Key Initiatives</w:t>
            </w:r>
          </w:p>
        </w:tc>
        <w:tc>
          <w:tcPr>
            <w:tcW w:w="2784" w:type="dxa"/>
          </w:tcPr>
          <w:p w14:paraId="4C5C180E" w14:textId="77777777" w:rsidR="0065776A" w:rsidRPr="002036A8" w:rsidRDefault="0065776A" w:rsidP="006B1AF5">
            <w:pPr>
              <w:rPr>
                <w:sz w:val="18"/>
                <w:szCs w:val="18"/>
              </w:rPr>
            </w:pPr>
          </w:p>
        </w:tc>
      </w:tr>
      <w:tr w:rsidR="0065776A" w:rsidRPr="002036A8" w14:paraId="1BFB5013" w14:textId="77777777" w:rsidTr="0065776A">
        <w:tc>
          <w:tcPr>
            <w:tcW w:w="6232" w:type="dxa"/>
          </w:tcPr>
          <w:p w14:paraId="001E4875" w14:textId="7BFD8A8E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 xml:space="preserve">Increase palliative care funding in </w:t>
            </w:r>
            <w:r w:rsidR="00EB29F8" w:rsidRPr="002036A8">
              <w:rPr>
                <w:sz w:val="18"/>
                <w:szCs w:val="18"/>
              </w:rPr>
              <w:t>community-based</w:t>
            </w:r>
            <w:r w:rsidRPr="002036A8">
              <w:rPr>
                <w:sz w:val="18"/>
                <w:szCs w:val="18"/>
              </w:rPr>
              <w:t xml:space="preserve"> settings</w:t>
            </w:r>
          </w:p>
        </w:tc>
        <w:tc>
          <w:tcPr>
            <w:tcW w:w="2784" w:type="dxa"/>
          </w:tcPr>
          <w:p w14:paraId="24CE5E10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$240 million per year</w:t>
            </w:r>
          </w:p>
        </w:tc>
      </w:tr>
      <w:tr w:rsidR="0065776A" w:rsidRPr="002036A8" w14:paraId="651AE078" w14:textId="77777777" w:rsidTr="0065776A">
        <w:tc>
          <w:tcPr>
            <w:tcW w:w="6232" w:type="dxa"/>
          </w:tcPr>
          <w:p w14:paraId="133BBCFA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Increase palliative care funding in hospitals</w:t>
            </w:r>
          </w:p>
        </w:tc>
        <w:tc>
          <w:tcPr>
            <w:tcW w:w="2784" w:type="dxa"/>
          </w:tcPr>
          <w:p w14:paraId="75CD6EA7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$50 million per year</w:t>
            </w:r>
          </w:p>
        </w:tc>
      </w:tr>
      <w:tr w:rsidR="0065776A" w:rsidRPr="002036A8" w14:paraId="6314A71B" w14:textId="77777777" w:rsidTr="0065776A">
        <w:tc>
          <w:tcPr>
            <w:tcW w:w="6232" w:type="dxa"/>
          </w:tcPr>
          <w:p w14:paraId="532259B2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Increase palliative care funding in residential aged care</w:t>
            </w:r>
          </w:p>
        </w:tc>
        <w:tc>
          <w:tcPr>
            <w:tcW w:w="2784" w:type="dxa"/>
          </w:tcPr>
          <w:p w14:paraId="67D7F666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$75 million per year</w:t>
            </w:r>
          </w:p>
        </w:tc>
      </w:tr>
      <w:tr w:rsidR="0065776A" w:rsidRPr="002036A8" w14:paraId="7F7ABAD7" w14:textId="77777777" w:rsidTr="0065776A">
        <w:tc>
          <w:tcPr>
            <w:tcW w:w="6232" w:type="dxa"/>
          </w:tcPr>
          <w:p w14:paraId="2A5BA0E9" w14:textId="77777777" w:rsidR="0065776A" w:rsidRPr="002036A8" w:rsidRDefault="0065776A" w:rsidP="006B1AF5">
            <w:pPr>
              <w:rPr>
                <w:b/>
                <w:bCs/>
                <w:sz w:val="18"/>
                <w:szCs w:val="18"/>
              </w:rPr>
            </w:pPr>
          </w:p>
          <w:p w14:paraId="1838C5EA" w14:textId="77777777" w:rsidR="0065776A" w:rsidRPr="002036A8" w:rsidRDefault="0065776A" w:rsidP="006B1AF5">
            <w:pPr>
              <w:rPr>
                <w:b/>
                <w:bCs/>
                <w:sz w:val="18"/>
                <w:szCs w:val="18"/>
              </w:rPr>
            </w:pPr>
            <w:r w:rsidRPr="002036A8">
              <w:rPr>
                <w:b/>
                <w:bCs/>
                <w:sz w:val="18"/>
                <w:szCs w:val="18"/>
              </w:rPr>
              <w:t>Supporting Initiatives</w:t>
            </w:r>
          </w:p>
        </w:tc>
        <w:tc>
          <w:tcPr>
            <w:tcW w:w="2784" w:type="dxa"/>
          </w:tcPr>
          <w:p w14:paraId="550D6F7C" w14:textId="77777777" w:rsidR="0065776A" w:rsidRPr="002036A8" w:rsidRDefault="0065776A" w:rsidP="006B1AF5">
            <w:pPr>
              <w:rPr>
                <w:sz w:val="18"/>
                <w:szCs w:val="18"/>
              </w:rPr>
            </w:pPr>
          </w:p>
        </w:tc>
      </w:tr>
      <w:tr w:rsidR="0065776A" w:rsidRPr="002036A8" w14:paraId="771FE9F8" w14:textId="77777777" w:rsidTr="0065776A">
        <w:tc>
          <w:tcPr>
            <w:tcW w:w="6232" w:type="dxa"/>
          </w:tcPr>
          <w:p w14:paraId="225EBF4C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Appoint a Palliative Care Commissioner to coordinate and champion palliative care nationally for older Australians</w:t>
            </w:r>
          </w:p>
        </w:tc>
        <w:tc>
          <w:tcPr>
            <w:tcW w:w="2784" w:type="dxa"/>
          </w:tcPr>
          <w:p w14:paraId="27DD7D62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$1.1 million per year</w:t>
            </w:r>
          </w:p>
        </w:tc>
      </w:tr>
      <w:tr w:rsidR="0065776A" w:rsidRPr="002036A8" w14:paraId="49ABB8C4" w14:textId="77777777" w:rsidTr="0065776A">
        <w:tc>
          <w:tcPr>
            <w:tcW w:w="6232" w:type="dxa"/>
          </w:tcPr>
          <w:p w14:paraId="1E5FD957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Establish National Minimum Data Sets for palliative care</w:t>
            </w:r>
          </w:p>
        </w:tc>
        <w:tc>
          <w:tcPr>
            <w:tcW w:w="2784" w:type="dxa"/>
          </w:tcPr>
          <w:p w14:paraId="5E219706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$10 million over three years</w:t>
            </w:r>
          </w:p>
        </w:tc>
      </w:tr>
      <w:tr w:rsidR="0065776A" w:rsidRPr="002036A8" w14:paraId="761A8B31" w14:textId="77777777" w:rsidTr="0065776A">
        <w:tc>
          <w:tcPr>
            <w:tcW w:w="6232" w:type="dxa"/>
          </w:tcPr>
          <w:p w14:paraId="5BDC0D25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Develop a National Palliative Care Workforce Strategy</w:t>
            </w:r>
          </w:p>
        </w:tc>
        <w:tc>
          <w:tcPr>
            <w:tcW w:w="2784" w:type="dxa"/>
          </w:tcPr>
          <w:p w14:paraId="23F12B65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$750,000</w:t>
            </w:r>
          </w:p>
        </w:tc>
      </w:tr>
      <w:tr w:rsidR="0065776A" w:rsidRPr="002036A8" w14:paraId="30503921" w14:textId="77777777" w:rsidTr="0065776A">
        <w:tc>
          <w:tcPr>
            <w:tcW w:w="6232" w:type="dxa"/>
          </w:tcPr>
          <w:p w14:paraId="735ADE45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Establish a Palliative Care postgraduate scholarship programme</w:t>
            </w:r>
          </w:p>
        </w:tc>
        <w:tc>
          <w:tcPr>
            <w:tcW w:w="2784" w:type="dxa"/>
          </w:tcPr>
          <w:p w14:paraId="000DE67F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$20 million</w:t>
            </w:r>
          </w:p>
        </w:tc>
      </w:tr>
      <w:tr w:rsidR="0065776A" w:rsidRPr="002036A8" w14:paraId="361E8F86" w14:textId="77777777" w:rsidTr="0065776A">
        <w:tc>
          <w:tcPr>
            <w:tcW w:w="6232" w:type="dxa"/>
          </w:tcPr>
          <w:p w14:paraId="10AC7A2A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Investment in palliative care research</w:t>
            </w:r>
          </w:p>
        </w:tc>
        <w:tc>
          <w:tcPr>
            <w:tcW w:w="2784" w:type="dxa"/>
          </w:tcPr>
          <w:p w14:paraId="43D74FD6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$20 million over three years</w:t>
            </w:r>
          </w:p>
        </w:tc>
      </w:tr>
      <w:tr w:rsidR="0065776A" w:rsidRPr="002036A8" w14:paraId="01F8A02E" w14:textId="77777777" w:rsidTr="0065776A">
        <w:tc>
          <w:tcPr>
            <w:tcW w:w="6232" w:type="dxa"/>
          </w:tcPr>
          <w:p w14:paraId="4D74C5CB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 xml:space="preserve">Development and Implementation of a National Disaster Grief, </w:t>
            </w:r>
            <w:r w:rsidRPr="002036A8">
              <w:rPr>
                <w:sz w:val="18"/>
                <w:szCs w:val="18"/>
              </w:rPr>
              <w:tab/>
            </w:r>
          </w:p>
          <w:p w14:paraId="13D4ECD8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Bereavement and Mental Health Framework</w:t>
            </w:r>
          </w:p>
        </w:tc>
        <w:tc>
          <w:tcPr>
            <w:tcW w:w="2784" w:type="dxa"/>
          </w:tcPr>
          <w:p w14:paraId="6A8EC3C1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$20 million over three years</w:t>
            </w:r>
          </w:p>
        </w:tc>
      </w:tr>
      <w:tr w:rsidR="0065776A" w:rsidRPr="002036A8" w14:paraId="75947C16" w14:textId="77777777" w:rsidTr="0065776A">
        <w:tc>
          <w:tcPr>
            <w:tcW w:w="6232" w:type="dxa"/>
          </w:tcPr>
          <w:p w14:paraId="3A25A8C1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Establish a National Grief Awareness Day</w:t>
            </w:r>
          </w:p>
        </w:tc>
        <w:tc>
          <w:tcPr>
            <w:tcW w:w="2784" w:type="dxa"/>
          </w:tcPr>
          <w:p w14:paraId="51C7B5C1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$300,000 over three years</w:t>
            </w:r>
          </w:p>
        </w:tc>
      </w:tr>
      <w:tr w:rsidR="0065776A" w:rsidRPr="002036A8" w14:paraId="7867F0D5" w14:textId="77777777" w:rsidTr="0065776A">
        <w:tc>
          <w:tcPr>
            <w:tcW w:w="6232" w:type="dxa"/>
          </w:tcPr>
          <w:p w14:paraId="5C694310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Establish an education program on quality use of opioids for cancer pain and pain management in palliative care patients</w:t>
            </w:r>
          </w:p>
        </w:tc>
        <w:tc>
          <w:tcPr>
            <w:tcW w:w="2784" w:type="dxa"/>
          </w:tcPr>
          <w:p w14:paraId="4D3EAC61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$2 million over three years</w:t>
            </w:r>
          </w:p>
        </w:tc>
      </w:tr>
      <w:tr w:rsidR="0065776A" w:rsidRPr="002036A8" w14:paraId="15904685" w14:textId="77777777" w:rsidTr="0065776A">
        <w:tc>
          <w:tcPr>
            <w:tcW w:w="6232" w:type="dxa"/>
          </w:tcPr>
          <w:p w14:paraId="468F154A" w14:textId="77777777" w:rsidR="0065776A" w:rsidRPr="002036A8" w:rsidRDefault="0065776A" w:rsidP="006B1AF5">
            <w:pPr>
              <w:rPr>
                <w:b/>
                <w:bCs/>
                <w:sz w:val="18"/>
                <w:szCs w:val="18"/>
              </w:rPr>
            </w:pPr>
          </w:p>
          <w:p w14:paraId="7A307FBC" w14:textId="77777777" w:rsidR="0065776A" w:rsidRPr="002036A8" w:rsidRDefault="0065776A" w:rsidP="006B1AF5">
            <w:pPr>
              <w:rPr>
                <w:b/>
                <w:bCs/>
                <w:sz w:val="18"/>
                <w:szCs w:val="18"/>
              </w:rPr>
            </w:pPr>
            <w:r w:rsidRPr="002036A8">
              <w:rPr>
                <w:b/>
                <w:bCs/>
                <w:sz w:val="18"/>
                <w:szCs w:val="18"/>
              </w:rPr>
              <w:t>Broader health and Aged Care system Initiatives</w:t>
            </w:r>
          </w:p>
        </w:tc>
        <w:tc>
          <w:tcPr>
            <w:tcW w:w="2784" w:type="dxa"/>
          </w:tcPr>
          <w:p w14:paraId="31A156EB" w14:textId="77777777" w:rsidR="0065776A" w:rsidRPr="002036A8" w:rsidRDefault="0065776A" w:rsidP="006B1AF5">
            <w:pPr>
              <w:rPr>
                <w:sz w:val="18"/>
                <w:szCs w:val="18"/>
              </w:rPr>
            </w:pPr>
          </w:p>
        </w:tc>
      </w:tr>
      <w:tr w:rsidR="0065776A" w:rsidRPr="002036A8" w14:paraId="7DFFA0F4" w14:textId="77777777" w:rsidTr="0065776A">
        <w:tc>
          <w:tcPr>
            <w:tcW w:w="9016" w:type="dxa"/>
            <w:gridSpan w:val="2"/>
          </w:tcPr>
          <w:p w14:paraId="5AEE2B4A" w14:textId="77777777" w:rsidR="0065776A" w:rsidRPr="002036A8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>Fully fund the recommendations of the Royal Commission into Aged Care Quality and Safety</w:t>
            </w:r>
          </w:p>
        </w:tc>
      </w:tr>
      <w:tr w:rsidR="0065776A" w:rsidRPr="002036A8" w14:paraId="5BE21CFB" w14:textId="77777777" w:rsidTr="0065776A">
        <w:tc>
          <w:tcPr>
            <w:tcW w:w="9016" w:type="dxa"/>
            <w:gridSpan w:val="2"/>
          </w:tcPr>
          <w:p w14:paraId="18032725" w14:textId="77777777" w:rsidR="0065776A" w:rsidRDefault="0065776A" w:rsidP="006B1AF5">
            <w:pPr>
              <w:rPr>
                <w:sz w:val="18"/>
                <w:szCs w:val="18"/>
              </w:rPr>
            </w:pPr>
            <w:r w:rsidRPr="002036A8">
              <w:rPr>
                <w:sz w:val="18"/>
                <w:szCs w:val="18"/>
              </w:rPr>
              <w:t xml:space="preserve">Fully fund the recommendations of the Medicare Benefits Schedule (MBS) Review Taskforce </w:t>
            </w:r>
          </w:p>
          <w:p w14:paraId="52CEA022" w14:textId="2C6ACB39" w:rsidR="00A9278A" w:rsidRPr="002036A8" w:rsidRDefault="00A9278A" w:rsidP="006B1AF5">
            <w:pPr>
              <w:rPr>
                <w:sz w:val="18"/>
                <w:szCs w:val="18"/>
              </w:rPr>
            </w:pPr>
          </w:p>
        </w:tc>
      </w:tr>
    </w:tbl>
    <w:p w14:paraId="375EEC68" w14:textId="77777777" w:rsidR="001D5DA8" w:rsidRDefault="001D5DA8" w:rsidP="008569CE">
      <w:pPr>
        <w:pStyle w:val="UTSLetterBodytext"/>
        <w:spacing w:after="0" w:line="240" w:lineRule="auto"/>
        <w:ind w:right="567"/>
        <w:rPr>
          <w:rFonts w:asciiTheme="minorHAnsi" w:hAnsiTheme="minorHAnsi" w:cstheme="minorHAnsi"/>
        </w:rPr>
      </w:pPr>
    </w:p>
    <w:p w14:paraId="4E96A5DB" w14:textId="77777777" w:rsidR="001D5DA8" w:rsidRDefault="001D5DA8" w:rsidP="008569CE">
      <w:pPr>
        <w:pStyle w:val="UTSLetterBodytext"/>
        <w:spacing w:after="0" w:line="240" w:lineRule="auto"/>
        <w:ind w:right="567"/>
        <w:rPr>
          <w:rFonts w:asciiTheme="minorHAnsi" w:hAnsiTheme="minorHAnsi" w:cstheme="minorHAnsi"/>
        </w:rPr>
      </w:pPr>
    </w:p>
    <w:p w14:paraId="5BA2B398" w14:textId="60D1B35D" w:rsidR="00CE0DF2" w:rsidRDefault="0065776A" w:rsidP="008569CE">
      <w:pPr>
        <w:pStyle w:val="UTSLetterBodytext"/>
        <w:spacing w:after="0" w:line="240" w:lineRule="auto"/>
        <w:ind w:righ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</w:t>
      </w:r>
      <w:r w:rsidR="00FB034E" w:rsidRPr="001D5DA8">
        <w:rPr>
          <w:rFonts w:asciiTheme="minorHAnsi" w:hAnsiTheme="minorHAnsi" w:cstheme="minorHAnsi"/>
        </w:rPr>
        <w:t xml:space="preserve"> seek to also inform the Australian Government of the critical areas of investment from the perspective of those clinicians who have chosen to specialise in the delivery of palliative medicine</w:t>
      </w:r>
      <w:r w:rsidR="00D41903" w:rsidRPr="001D5DA8">
        <w:rPr>
          <w:rFonts w:asciiTheme="minorHAnsi" w:hAnsiTheme="minorHAnsi" w:cstheme="minorHAnsi"/>
        </w:rPr>
        <w:t>.</w:t>
      </w:r>
      <w:r w:rsidR="00260CF6">
        <w:rPr>
          <w:rFonts w:asciiTheme="minorHAnsi" w:hAnsiTheme="minorHAnsi" w:cstheme="minorHAnsi"/>
        </w:rPr>
        <w:t xml:space="preserve"> </w:t>
      </w:r>
      <w:r w:rsidR="00A9278A">
        <w:rPr>
          <w:rFonts w:asciiTheme="minorHAnsi" w:hAnsiTheme="minorHAnsi" w:cstheme="minorHAnsi"/>
        </w:rPr>
        <w:t xml:space="preserve">From the perspective of our membership, </w:t>
      </w:r>
      <w:r w:rsidR="00AA1BD7">
        <w:rPr>
          <w:rFonts w:asciiTheme="minorHAnsi" w:hAnsiTheme="minorHAnsi" w:cstheme="minorHAnsi"/>
        </w:rPr>
        <w:t xml:space="preserve">we list below the </w:t>
      </w:r>
      <w:r w:rsidR="00A9278A">
        <w:rPr>
          <w:rFonts w:asciiTheme="minorHAnsi" w:hAnsiTheme="minorHAnsi" w:cstheme="minorHAnsi"/>
        </w:rPr>
        <w:t xml:space="preserve">key priorities that, if addressed, would </w:t>
      </w:r>
      <w:r w:rsidR="00A9278A">
        <w:rPr>
          <w:rFonts w:asciiTheme="minorHAnsi" w:hAnsiTheme="minorHAnsi" w:cstheme="minorHAnsi"/>
        </w:rPr>
        <w:lastRenderedPageBreak/>
        <w:t>significantly contribute to the Australian Government’s strategic goal of quality palliative care, as and where it is needed.</w:t>
      </w:r>
    </w:p>
    <w:p w14:paraId="421202CF" w14:textId="48029810" w:rsidR="0056082D" w:rsidRPr="001D5DA8" w:rsidRDefault="0056082D" w:rsidP="008569CE">
      <w:pPr>
        <w:pStyle w:val="UTSLetterBodytext"/>
        <w:spacing w:after="0" w:line="240" w:lineRule="auto"/>
        <w:ind w:right="567"/>
        <w:rPr>
          <w:rFonts w:asciiTheme="minorHAnsi" w:hAnsiTheme="minorHAnsi" w:cstheme="minorHAnsi"/>
        </w:rPr>
      </w:pPr>
    </w:p>
    <w:p w14:paraId="3833A00B" w14:textId="7AA1B223" w:rsidR="0056082D" w:rsidRPr="00260CF6" w:rsidRDefault="00260CF6" w:rsidP="008569CE">
      <w:pPr>
        <w:pStyle w:val="UTSLetterBodytext"/>
        <w:numPr>
          <w:ilvl w:val="0"/>
          <w:numId w:val="13"/>
        </w:numPr>
        <w:spacing w:after="0" w:line="240" w:lineRule="auto"/>
        <w:ind w:righ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Addressing p</w:t>
      </w:r>
      <w:r w:rsidR="0056082D" w:rsidRPr="001D5DA8">
        <w:rPr>
          <w:rFonts w:asciiTheme="minorHAnsi" w:hAnsiTheme="minorHAnsi" w:cstheme="minorHAnsi"/>
        </w:rPr>
        <w:t>alliative medicine workforce shortages</w:t>
      </w:r>
    </w:p>
    <w:p w14:paraId="3188622E" w14:textId="1791B605" w:rsidR="0056082D" w:rsidRPr="00260CF6" w:rsidRDefault="0056082D" w:rsidP="008569CE">
      <w:pPr>
        <w:pStyle w:val="UTSLetterBodytext"/>
        <w:numPr>
          <w:ilvl w:val="0"/>
          <w:numId w:val="13"/>
        </w:numPr>
        <w:spacing w:after="0" w:line="240" w:lineRule="auto"/>
        <w:ind w:right="567"/>
        <w:rPr>
          <w:rFonts w:asciiTheme="minorHAnsi" w:hAnsiTheme="minorHAnsi" w:cstheme="minorHAnsi"/>
        </w:rPr>
      </w:pPr>
      <w:r w:rsidRPr="001D5DA8">
        <w:rPr>
          <w:rFonts w:asciiTheme="minorHAnsi" w:hAnsiTheme="minorHAnsi" w:cstheme="minorHAnsi"/>
        </w:rPr>
        <w:t>Improv</w:t>
      </w:r>
      <w:r w:rsidR="00260CF6">
        <w:rPr>
          <w:rFonts w:asciiTheme="minorHAnsi" w:hAnsiTheme="minorHAnsi" w:cstheme="minorHAnsi"/>
        </w:rPr>
        <w:t>ing</w:t>
      </w:r>
      <w:r w:rsidRPr="001D5DA8">
        <w:rPr>
          <w:rFonts w:asciiTheme="minorHAnsi" w:hAnsiTheme="minorHAnsi" w:cstheme="minorHAnsi"/>
        </w:rPr>
        <w:t xml:space="preserve"> palliative care data</w:t>
      </w:r>
    </w:p>
    <w:p w14:paraId="6330B420" w14:textId="48B96272" w:rsidR="00260CF6" w:rsidRPr="00260CF6" w:rsidRDefault="00260CF6" w:rsidP="00260CF6">
      <w:pPr>
        <w:pStyle w:val="ListParagraph"/>
        <w:numPr>
          <w:ilvl w:val="0"/>
          <w:numId w:val="13"/>
        </w:numPr>
        <w:rPr>
          <w:rFonts w:cstheme="minorHAnsi"/>
          <w:sz w:val="20"/>
          <w:szCs w:val="20"/>
          <w:lang w:val="en-AU"/>
        </w:rPr>
      </w:pPr>
      <w:r>
        <w:rPr>
          <w:rFonts w:cstheme="minorHAnsi"/>
          <w:sz w:val="20"/>
          <w:szCs w:val="20"/>
          <w:lang w:val="en-AU"/>
        </w:rPr>
        <w:t xml:space="preserve">Identifying the needs of </w:t>
      </w:r>
      <w:r w:rsidR="00EB29F8">
        <w:rPr>
          <w:rFonts w:cstheme="minorHAnsi"/>
          <w:sz w:val="20"/>
          <w:szCs w:val="20"/>
          <w:lang w:val="en-AU"/>
        </w:rPr>
        <w:t>the palliative care population</w:t>
      </w:r>
      <w:r>
        <w:rPr>
          <w:rFonts w:cstheme="minorHAnsi"/>
          <w:sz w:val="20"/>
          <w:szCs w:val="20"/>
          <w:lang w:val="en-AU"/>
        </w:rPr>
        <w:t xml:space="preserve"> as requiring of special consideration in policy and funding for the q</w:t>
      </w:r>
      <w:r w:rsidRPr="001D5DA8">
        <w:rPr>
          <w:rFonts w:cstheme="minorHAnsi"/>
          <w:sz w:val="20"/>
          <w:szCs w:val="20"/>
          <w:lang w:val="en-AU"/>
        </w:rPr>
        <w:t>uality use of medicines</w:t>
      </w:r>
    </w:p>
    <w:p w14:paraId="28759304" w14:textId="0B0288CF" w:rsidR="008569CE" w:rsidRPr="00260CF6" w:rsidRDefault="0056082D" w:rsidP="008569CE">
      <w:pPr>
        <w:pStyle w:val="UTSLetterBodytext"/>
        <w:numPr>
          <w:ilvl w:val="0"/>
          <w:numId w:val="13"/>
        </w:numPr>
        <w:spacing w:after="0" w:line="240" w:lineRule="auto"/>
        <w:ind w:right="567"/>
        <w:rPr>
          <w:rFonts w:asciiTheme="minorHAnsi" w:hAnsiTheme="minorHAnsi" w:cstheme="minorHAnsi"/>
        </w:rPr>
      </w:pPr>
      <w:r w:rsidRPr="001D5DA8">
        <w:rPr>
          <w:rFonts w:asciiTheme="minorHAnsi" w:hAnsiTheme="minorHAnsi" w:cstheme="minorHAnsi"/>
        </w:rPr>
        <w:t xml:space="preserve">Investment in </w:t>
      </w:r>
      <w:r w:rsidR="00260CF6">
        <w:rPr>
          <w:rFonts w:asciiTheme="minorHAnsi" w:hAnsiTheme="minorHAnsi" w:cstheme="minorHAnsi"/>
        </w:rPr>
        <w:t>research to develop</w:t>
      </w:r>
      <w:r w:rsidRPr="001D5DA8">
        <w:rPr>
          <w:rFonts w:asciiTheme="minorHAnsi" w:hAnsiTheme="minorHAnsi" w:cstheme="minorHAnsi"/>
        </w:rPr>
        <w:t xml:space="preserve"> innovative palliative care models, with particular attention paid to optimising transitions between places of care</w:t>
      </w:r>
      <w:r w:rsidR="001D5DA8" w:rsidRPr="001D5DA8">
        <w:rPr>
          <w:rFonts w:asciiTheme="minorHAnsi" w:hAnsiTheme="minorHAnsi" w:cstheme="minorHAnsi"/>
        </w:rPr>
        <w:t xml:space="preserve"> and achieving equity of access and high standards across the wide range of care contexts (home-based, aged care facilities, and regional, rural and remote care delivery; culturally safe palliative care for Aboriginal and Torres Strait Islander Australians; and palliative care in culturally and linguistically diverse communities)</w:t>
      </w:r>
      <w:r w:rsidR="00260CF6">
        <w:rPr>
          <w:rFonts w:asciiTheme="minorHAnsi" w:hAnsiTheme="minorHAnsi" w:cstheme="minorHAnsi"/>
        </w:rPr>
        <w:t xml:space="preserve">. </w:t>
      </w:r>
    </w:p>
    <w:p w14:paraId="5AE10F8A" w14:textId="64270F09" w:rsidR="001D5DA8" w:rsidRDefault="001D5DA8" w:rsidP="001D5DA8">
      <w:pPr>
        <w:pStyle w:val="ListParagraph"/>
        <w:numPr>
          <w:ilvl w:val="0"/>
          <w:numId w:val="13"/>
        </w:numPr>
        <w:rPr>
          <w:rFonts w:cstheme="minorHAnsi"/>
          <w:sz w:val="20"/>
          <w:szCs w:val="20"/>
          <w:lang w:val="en-AU"/>
        </w:rPr>
      </w:pPr>
      <w:r w:rsidRPr="001D5DA8">
        <w:rPr>
          <w:rFonts w:cstheme="minorHAnsi"/>
          <w:sz w:val="20"/>
          <w:szCs w:val="20"/>
          <w:lang w:val="en-AU"/>
        </w:rPr>
        <w:t>Investment in research to build the evidence base for palliative interventions</w:t>
      </w:r>
      <w:r w:rsidR="00A9278A">
        <w:rPr>
          <w:rFonts w:cstheme="minorHAnsi"/>
          <w:sz w:val="20"/>
          <w:szCs w:val="20"/>
          <w:lang w:val="en-AU"/>
        </w:rPr>
        <w:t>.</w:t>
      </w:r>
    </w:p>
    <w:p w14:paraId="758D1340" w14:textId="125B0B5A" w:rsidR="00260CF6" w:rsidRDefault="00260CF6" w:rsidP="00260CF6">
      <w:pPr>
        <w:rPr>
          <w:rFonts w:cstheme="minorHAnsi"/>
          <w:sz w:val="20"/>
          <w:szCs w:val="20"/>
          <w:lang w:val="en-AU"/>
        </w:rPr>
      </w:pPr>
    </w:p>
    <w:p w14:paraId="49CF2B59" w14:textId="77777777" w:rsidR="00260CF6" w:rsidRPr="00260CF6" w:rsidRDefault="00260CF6" w:rsidP="00260CF6">
      <w:pPr>
        <w:rPr>
          <w:rFonts w:cstheme="minorHAnsi"/>
          <w:sz w:val="20"/>
          <w:szCs w:val="20"/>
          <w:lang w:val="en-AU"/>
        </w:rPr>
      </w:pPr>
    </w:p>
    <w:p w14:paraId="1B84854C" w14:textId="00031B6D" w:rsidR="00A9278A" w:rsidRPr="00A9278A" w:rsidRDefault="00A9278A" w:rsidP="008569CE">
      <w:pPr>
        <w:rPr>
          <w:rFonts w:cstheme="minorHAnsi"/>
          <w:sz w:val="20"/>
          <w:szCs w:val="20"/>
        </w:rPr>
      </w:pPr>
      <w:r w:rsidRPr="00A9278A">
        <w:rPr>
          <w:rFonts w:cstheme="minorHAnsi"/>
          <w:sz w:val="20"/>
          <w:szCs w:val="20"/>
        </w:rPr>
        <w:t xml:space="preserve">These critical areas of investment are addressed by PCA’s pre-budget submission, which also makes recommendations for service-focussed and underpinning investments at a time where great need has been identified in this aspect of Australia’s health system. </w:t>
      </w:r>
    </w:p>
    <w:p w14:paraId="123FCD23" w14:textId="34AD7575" w:rsidR="00A9278A" w:rsidRPr="00A9278A" w:rsidRDefault="00A9278A" w:rsidP="008569CE">
      <w:pPr>
        <w:rPr>
          <w:rFonts w:cstheme="minorHAnsi"/>
          <w:sz w:val="20"/>
          <w:szCs w:val="20"/>
        </w:rPr>
      </w:pPr>
    </w:p>
    <w:p w14:paraId="7D7FE493" w14:textId="6A7098AD" w:rsidR="00A9278A" w:rsidRPr="00A9278A" w:rsidRDefault="00A9278A" w:rsidP="008569CE">
      <w:pPr>
        <w:rPr>
          <w:rFonts w:cstheme="minorHAnsi"/>
          <w:sz w:val="20"/>
          <w:szCs w:val="20"/>
        </w:rPr>
      </w:pPr>
      <w:r w:rsidRPr="00A9278A">
        <w:rPr>
          <w:rFonts w:cstheme="minorHAnsi"/>
          <w:sz w:val="20"/>
          <w:szCs w:val="20"/>
        </w:rPr>
        <w:t xml:space="preserve">We also commend PCA for its work with KPMG to rigorously explore the economic case supporting its pre-budget submission, and we commend </w:t>
      </w:r>
      <w:r w:rsidRPr="00A9278A">
        <w:rPr>
          <w:sz w:val="20"/>
          <w:szCs w:val="20"/>
        </w:rPr>
        <w:t xml:space="preserve">PCA’s </w:t>
      </w:r>
      <w:r w:rsidRPr="00A9278A">
        <w:rPr>
          <w:b/>
          <w:bCs/>
          <w:i/>
          <w:iCs/>
          <w:sz w:val="20"/>
          <w:szCs w:val="20"/>
        </w:rPr>
        <w:t>Palli8 p</w:t>
      </w:r>
      <w:r w:rsidR="00AA1BD7">
        <w:rPr>
          <w:b/>
          <w:bCs/>
          <w:i/>
          <w:iCs/>
          <w:sz w:val="20"/>
          <w:szCs w:val="20"/>
        </w:rPr>
        <w:t>lan</w:t>
      </w:r>
      <w:r w:rsidRPr="00A9278A">
        <w:rPr>
          <w:sz w:val="20"/>
          <w:szCs w:val="20"/>
        </w:rPr>
        <w:t>,</w:t>
      </w:r>
      <w:r w:rsidRPr="00A9278A">
        <w:rPr>
          <w:b/>
          <w:bCs/>
          <w:i/>
          <w:iCs/>
          <w:sz w:val="20"/>
          <w:szCs w:val="20"/>
        </w:rPr>
        <w:t xml:space="preserve"> </w:t>
      </w:r>
      <w:r w:rsidRPr="00A9278A">
        <w:rPr>
          <w:sz w:val="20"/>
          <w:szCs w:val="20"/>
        </w:rPr>
        <w:t>an eight-point plan for palliative care in aged care.</w:t>
      </w:r>
    </w:p>
    <w:p w14:paraId="142F9210" w14:textId="77777777" w:rsidR="00A9278A" w:rsidRPr="00A9278A" w:rsidRDefault="00A9278A" w:rsidP="008569CE">
      <w:pPr>
        <w:rPr>
          <w:rFonts w:cstheme="minorHAnsi"/>
          <w:sz w:val="20"/>
          <w:szCs w:val="20"/>
        </w:rPr>
      </w:pPr>
    </w:p>
    <w:p w14:paraId="49211A70" w14:textId="66DC4875" w:rsidR="0056082D" w:rsidRDefault="00A9278A" w:rsidP="008569CE">
      <w:pPr>
        <w:rPr>
          <w:rFonts w:cstheme="minorHAnsi"/>
          <w:sz w:val="20"/>
          <w:szCs w:val="20"/>
        </w:rPr>
      </w:pPr>
      <w:r w:rsidRPr="00A9278A">
        <w:rPr>
          <w:rFonts w:cstheme="minorHAnsi"/>
          <w:sz w:val="20"/>
          <w:szCs w:val="20"/>
        </w:rPr>
        <w:t xml:space="preserve">ANZSPM is committed to working with PCA, the Royal Australian College of Physicians, industry and government towards achieving significant positive change in </w:t>
      </w:r>
      <w:r w:rsidR="00AA1BD7">
        <w:rPr>
          <w:rFonts w:cstheme="minorHAnsi"/>
          <w:sz w:val="20"/>
          <w:szCs w:val="20"/>
        </w:rPr>
        <w:t>this</w:t>
      </w:r>
      <w:r w:rsidRPr="00A9278A">
        <w:rPr>
          <w:rFonts w:cstheme="minorHAnsi"/>
          <w:sz w:val="20"/>
          <w:szCs w:val="20"/>
        </w:rPr>
        <w:t xml:space="preserve"> area of high priority for Australians.</w:t>
      </w:r>
    </w:p>
    <w:p w14:paraId="2BD4A89E" w14:textId="18556F65" w:rsidR="00AA1BD7" w:rsidRDefault="00AA1BD7" w:rsidP="008569CE">
      <w:pPr>
        <w:rPr>
          <w:rFonts w:cstheme="minorHAnsi"/>
          <w:sz w:val="20"/>
          <w:szCs w:val="20"/>
        </w:rPr>
      </w:pPr>
    </w:p>
    <w:p w14:paraId="209F3FCC" w14:textId="0AAB498F" w:rsidR="00AA1BD7" w:rsidRPr="00A9278A" w:rsidRDefault="00AA1BD7" w:rsidP="008569CE">
      <w:pPr>
        <w:rPr>
          <w:rFonts w:cstheme="minorHAnsi"/>
          <w:sz w:val="20"/>
          <w:szCs w:val="20"/>
          <w:lang w:val="en-AU"/>
        </w:rPr>
      </w:pPr>
      <w:r>
        <w:rPr>
          <w:rFonts w:cstheme="minorHAnsi"/>
          <w:sz w:val="20"/>
          <w:szCs w:val="20"/>
        </w:rPr>
        <w:t>We are available for further advice if and as needed.</w:t>
      </w:r>
    </w:p>
    <w:p w14:paraId="1C0951C0" w14:textId="23474060" w:rsidR="0056082D" w:rsidRPr="00A9278A" w:rsidRDefault="0056082D" w:rsidP="008569CE">
      <w:pPr>
        <w:rPr>
          <w:rFonts w:cstheme="minorHAnsi"/>
          <w:sz w:val="20"/>
          <w:szCs w:val="20"/>
          <w:lang w:val="en-AU"/>
        </w:rPr>
      </w:pPr>
    </w:p>
    <w:p w14:paraId="7919989D" w14:textId="41649521" w:rsidR="0056082D" w:rsidRPr="001D5DA8" w:rsidRDefault="00260CF6" w:rsidP="008569CE">
      <w:pPr>
        <w:rPr>
          <w:rFonts w:cstheme="minorHAnsi"/>
          <w:b/>
          <w:bCs/>
          <w:sz w:val="20"/>
          <w:szCs w:val="20"/>
          <w:lang w:val="en-AU"/>
        </w:rPr>
      </w:pPr>
      <w:r>
        <w:rPr>
          <w:rFonts w:cstheme="minorHAnsi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5B70A" wp14:editId="6CBB875C">
                <wp:simplePos x="0" y="0"/>
                <wp:positionH relativeFrom="column">
                  <wp:posOffset>2962275</wp:posOffset>
                </wp:positionH>
                <wp:positionV relativeFrom="paragraph">
                  <wp:posOffset>5398</wp:posOffset>
                </wp:positionV>
                <wp:extent cx="2209483" cy="937895"/>
                <wp:effectExtent l="0" t="0" r="63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483" cy="937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8D3144" w14:textId="39665B11" w:rsidR="00260CF6" w:rsidRDefault="00260CF6">
                            <w:r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val="en-AU" w:eastAsia="en-AU"/>
                              </w:rPr>
                              <w:drawing>
                                <wp:inline distT="0" distB="0" distL="0" distR="0" wp14:anchorId="26C076D1" wp14:editId="4C440270">
                                  <wp:extent cx="1458555" cy="895350"/>
                                  <wp:effectExtent l="0" t="0" r="8890" b="0"/>
                                  <wp:docPr id="2" name="Picture 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5225" cy="9055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5B7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3.25pt;margin-top:.45pt;width:174pt;height: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f8QgIAAHkEAAAOAAAAZHJzL2Uyb0RvYy54bWysVFFv2jAQfp+0/2D5fSRAaCEiVIyKaRJq&#10;K8HUZ+M4JJLj82xDwn79zk6gtNvTtBdzvrt8vu++O+YPbS3JSRhbgcrocBBTIhSHvFKHjP7Yrb9M&#10;KbGOqZxJUCKjZ2Hpw+Lzp3mjUzGCEmQuDEEQZdNGZ7R0TqdRZHkpamYHoIXCYAGmZg6v5hDlhjWI&#10;XstoFMd3UQMm1wa4sBa9j12QLgJ+UQjunovCCkdkRrE2F04Tzr0/o8WcpQfDdFnxvgz2D1XUrFL4&#10;6BXqkTlGjqb6A6quuAELhRtwqCMoioqLwAHZDOMPbLYl0yJwweZYfW2T/X+w/On0YkiVZzShRLEa&#10;JdqJ1pGv0JLEd6fRNsWkrcY016IbVb74LTo96bYwtf9FOgTj2OfztbcejKNzNIpnyXRMCcfYbHw/&#10;nU08TPT2tTbWfRNQE29k1KB2oaXstLGuS72k+McsyCpfV1KGi58XsZKGnBgqLV2oEcHfZUlFmoze&#10;jSdxAFbgP++QpcJaPNeOk7dcu2/7BuwhPyN/A938WM3XFRa5Yda9MIMDg5RxCdwzHoUEfAR6i5IS&#10;zK+/+X0+6ohRShocwIzan0dmBCXyu0KFZ8Mk8RMbLsnkfoQXcxvZ30bUsV4BMh/iumkeTJ/v5MUs&#10;DNSvuCtL/yqGmOL4dkbdxVy5bi1w17hYLkMSzqhmbqO2mnto32kvwa59ZUb3OjlU+Akuo8rSD3J1&#10;uf5LBcujg6IKWvoGd13t+47zHaah30W/QLf3kPX2j7H4DQAA//8DAFBLAwQUAAYACAAAACEA3vOQ&#10;AN8AAAAIAQAADwAAAGRycy9kb3ducmV2LnhtbEyPTU+DQBCG7yb+h82YeDF2qaUUkaUxxo/Em6Vq&#10;vG3ZEYjsLGG3gP/e8aTHN++Td57Jt7PtxIiDbx0pWC4iEEiVMy3VCvblw2UKwgdNRneOUME3etgW&#10;pye5zoyb6AXHXagFj5DPtIImhD6T0lcNWu0Xrkfi7tMNVgeOQy3NoCcet528iqJEWt0SX2h0j3cN&#10;Vl+7o1XwcVG/P/v58XVarVf9/dNYbt5MqdT52Xx7AyLgHP5g+NVndSjY6eCOZLzoFMRJsmZUwTUI&#10;rtNlzPHAXJwmIItc/n+g+AEAAP//AwBQSwECLQAUAAYACAAAACEAtoM4kv4AAADhAQAAEwAAAAAA&#10;AAAAAAAAAAAAAAAAW0NvbnRlbnRfVHlwZXNdLnhtbFBLAQItABQABgAIAAAAIQA4/SH/1gAAAJQB&#10;AAALAAAAAAAAAAAAAAAAAC8BAABfcmVscy8ucmVsc1BLAQItABQABgAIAAAAIQCLb1f8QgIAAHkE&#10;AAAOAAAAAAAAAAAAAAAAAC4CAABkcnMvZTJvRG9jLnhtbFBLAQItABQABgAIAAAAIQDe85AA3wAA&#10;AAgBAAAPAAAAAAAAAAAAAAAAAJwEAABkcnMvZG93bnJldi54bWxQSwUGAAAAAAQABADzAAAAqAUA&#10;AAAA&#10;" fillcolor="white [3201]" stroked="f" strokeweight=".5pt">
                <v:textbox>
                  <w:txbxContent>
                    <w:p w14:paraId="288D3144" w14:textId="39665B11" w:rsidR="00260CF6" w:rsidRDefault="00260CF6">
                      <w:r>
                        <w:rPr>
                          <w:rFonts w:cstheme="minorHAnsi"/>
                          <w:noProof/>
                          <w:sz w:val="20"/>
                          <w:szCs w:val="20"/>
                          <w:lang w:val="en-AU" w:eastAsia="en-AU"/>
                        </w:rPr>
                        <w:drawing>
                          <wp:inline distT="0" distB="0" distL="0" distR="0" wp14:anchorId="26C076D1" wp14:editId="4C440270">
                            <wp:extent cx="1458555" cy="895350"/>
                            <wp:effectExtent l="0" t="0" r="8890" b="0"/>
                            <wp:docPr id="2" name="Picture 2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&#10;&#10;Description automatically generated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5225" cy="9055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5C64A58" w14:textId="015BFF7A" w:rsidR="00FC3126" w:rsidRPr="001D5DA8" w:rsidRDefault="0057287A" w:rsidP="00440E45">
      <w:pPr>
        <w:rPr>
          <w:rFonts w:cstheme="minorHAnsi"/>
          <w:sz w:val="20"/>
          <w:szCs w:val="20"/>
          <w:lang w:val="en-AU"/>
        </w:rPr>
      </w:pPr>
      <w:r w:rsidRPr="001D5DA8">
        <w:rPr>
          <w:rFonts w:cstheme="minorHAnsi"/>
          <w:sz w:val="20"/>
          <w:szCs w:val="20"/>
          <w:lang w:val="en-AU"/>
        </w:rPr>
        <w:t>Yours sincerely,</w:t>
      </w:r>
    </w:p>
    <w:p w14:paraId="12854F04" w14:textId="77777777" w:rsidR="008569CE" w:rsidRPr="001D5DA8" w:rsidRDefault="008569CE" w:rsidP="008F7C05">
      <w:pPr>
        <w:tabs>
          <w:tab w:val="right" w:pos="8263"/>
        </w:tabs>
        <w:rPr>
          <w:rFonts w:cstheme="minorHAnsi"/>
          <w:sz w:val="20"/>
          <w:szCs w:val="20"/>
          <w:lang w:val="en-AU"/>
        </w:rPr>
      </w:pPr>
    </w:p>
    <w:p w14:paraId="633C315B" w14:textId="3B3F89C8" w:rsidR="0057287A" w:rsidRPr="001D5DA8" w:rsidRDefault="00260CF6" w:rsidP="00440E45">
      <w:pPr>
        <w:tabs>
          <w:tab w:val="right" w:pos="3119"/>
        </w:tabs>
        <w:ind w:right="-52"/>
        <w:rPr>
          <w:rFonts w:cstheme="minorHAnsi"/>
          <w:sz w:val="20"/>
          <w:szCs w:val="20"/>
          <w:lang w:val="en-AU"/>
        </w:rPr>
      </w:pPr>
      <w:r>
        <w:rPr>
          <w:rFonts w:cstheme="minorHAnsi"/>
          <w:noProof/>
          <w:sz w:val="20"/>
          <w:szCs w:val="20"/>
          <w:lang w:val="en-AU" w:eastAsia="en-AU"/>
        </w:rPr>
        <w:drawing>
          <wp:inline distT="0" distB="0" distL="0" distR="0" wp14:anchorId="0D0A3859" wp14:editId="58539566">
            <wp:extent cx="2062112" cy="566738"/>
            <wp:effectExtent l="0" t="0" r="0" b="5080"/>
            <wp:docPr id="1" name="Picture 1" descr="A picture containing insect, tea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nsect, tea ball&#10;&#10;Description automatically generated"/>
                    <pic:cNvPicPr/>
                  </pic:nvPicPr>
                  <pic:blipFill>
                    <a:blip r:embed="rId1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74" cy="57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0E45" w:rsidRPr="001D5DA8">
        <w:rPr>
          <w:rFonts w:cstheme="minorHAnsi"/>
          <w:sz w:val="20"/>
          <w:szCs w:val="20"/>
          <w:lang w:val="en-AU"/>
        </w:rPr>
        <w:tab/>
      </w:r>
      <w:r w:rsidR="00440E45" w:rsidRPr="001D5DA8">
        <w:rPr>
          <w:rFonts w:cstheme="minorHAnsi"/>
          <w:sz w:val="20"/>
          <w:szCs w:val="20"/>
          <w:lang w:val="en-AU"/>
        </w:rPr>
        <w:tab/>
      </w:r>
      <w:r w:rsidR="00440E45" w:rsidRPr="001D5DA8">
        <w:rPr>
          <w:rFonts w:cstheme="minorHAnsi"/>
          <w:sz w:val="20"/>
          <w:szCs w:val="20"/>
          <w:lang w:val="en-AU"/>
        </w:rPr>
        <w:tab/>
      </w:r>
    </w:p>
    <w:p w14:paraId="173E6147" w14:textId="0E66ADA0" w:rsidR="0057287A" w:rsidRPr="001D5DA8" w:rsidRDefault="00D47C15" w:rsidP="0057287A">
      <w:pPr>
        <w:outlineLvl w:val="0"/>
        <w:rPr>
          <w:rFonts w:cstheme="minorHAnsi"/>
          <w:sz w:val="20"/>
          <w:szCs w:val="20"/>
          <w:lang w:val="en-AU"/>
        </w:rPr>
      </w:pPr>
      <w:r w:rsidRPr="001D5DA8">
        <w:rPr>
          <w:rFonts w:cstheme="minorHAnsi"/>
          <w:sz w:val="20"/>
          <w:szCs w:val="20"/>
          <w:lang w:val="en-AU"/>
        </w:rPr>
        <w:t>A/</w:t>
      </w:r>
      <w:r w:rsidR="0057287A" w:rsidRPr="001D5DA8">
        <w:rPr>
          <w:rFonts w:cstheme="minorHAnsi"/>
          <w:sz w:val="20"/>
          <w:szCs w:val="20"/>
          <w:lang w:val="en-AU"/>
        </w:rPr>
        <w:t xml:space="preserve">Prof </w:t>
      </w:r>
      <w:r w:rsidRPr="001D5DA8">
        <w:rPr>
          <w:rFonts w:cstheme="minorHAnsi"/>
          <w:sz w:val="20"/>
          <w:szCs w:val="20"/>
          <w:lang w:val="en-AU"/>
        </w:rPr>
        <w:t>Leeroy William</w:t>
      </w:r>
      <w:r w:rsidR="0057287A" w:rsidRPr="001D5DA8">
        <w:rPr>
          <w:rFonts w:cstheme="minorHAnsi"/>
          <w:sz w:val="20"/>
          <w:szCs w:val="20"/>
          <w:lang w:val="en-AU"/>
        </w:rPr>
        <w:tab/>
      </w:r>
      <w:r w:rsidR="0057287A" w:rsidRPr="001D5DA8">
        <w:rPr>
          <w:rFonts w:cstheme="minorHAnsi"/>
          <w:sz w:val="20"/>
          <w:szCs w:val="20"/>
          <w:lang w:val="en-AU"/>
        </w:rPr>
        <w:tab/>
      </w:r>
      <w:r w:rsidR="0057287A" w:rsidRPr="001D5DA8">
        <w:rPr>
          <w:rFonts w:cstheme="minorHAnsi"/>
          <w:sz w:val="20"/>
          <w:szCs w:val="20"/>
          <w:lang w:val="en-AU"/>
        </w:rPr>
        <w:tab/>
      </w:r>
      <w:r w:rsidR="0057287A" w:rsidRPr="001D5DA8">
        <w:rPr>
          <w:rFonts w:cstheme="minorHAnsi"/>
          <w:sz w:val="20"/>
          <w:szCs w:val="20"/>
          <w:lang w:val="en-AU"/>
        </w:rPr>
        <w:tab/>
      </w:r>
      <w:r w:rsidR="0057287A" w:rsidRPr="001D5DA8">
        <w:rPr>
          <w:rFonts w:cstheme="minorHAnsi"/>
          <w:sz w:val="20"/>
          <w:szCs w:val="20"/>
          <w:lang w:val="en-AU"/>
        </w:rPr>
        <w:tab/>
      </w:r>
      <w:r w:rsidR="00260CF6">
        <w:rPr>
          <w:rFonts w:cstheme="minorHAnsi"/>
          <w:sz w:val="20"/>
          <w:szCs w:val="20"/>
          <w:lang w:val="en-AU"/>
        </w:rPr>
        <w:t>Janice Besch</w:t>
      </w:r>
    </w:p>
    <w:p w14:paraId="4E7E40D3" w14:textId="37D29445" w:rsidR="0057287A" w:rsidRPr="001D5DA8" w:rsidRDefault="0057287A" w:rsidP="0057287A">
      <w:pPr>
        <w:rPr>
          <w:rFonts w:cstheme="minorHAnsi"/>
          <w:sz w:val="20"/>
          <w:szCs w:val="20"/>
        </w:rPr>
      </w:pPr>
      <w:r w:rsidRPr="001D5DA8">
        <w:rPr>
          <w:rFonts w:cstheme="minorHAnsi"/>
          <w:sz w:val="20"/>
          <w:szCs w:val="20"/>
          <w:lang w:val="en-AU"/>
        </w:rPr>
        <w:t>President</w:t>
      </w:r>
      <w:r w:rsidRPr="001D5DA8">
        <w:rPr>
          <w:rFonts w:cstheme="minorHAnsi"/>
          <w:sz w:val="20"/>
          <w:szCs w:val="20"/>
          <w:lang w:val="en-AU"/>
        </w:rPr>
        <w:tab/>
      </w:r>
      <w:r w:rsidRPr="001D5DA8">
        <w:rPr>
          <w:rFonts w:cstheme="minorHAnsi"/>
          <w:sz w:val="20"/>
          <w:szCs w:val="20"/>
          <w:lang w:val="en-AU"/>
        </w:rPr>
        <w:tab/>
      </w:r>
      <w:r w:rsidRPr="001D5DA8">
        <w:rPr>
          <w:rFonts w:cstheme="minorHAnsi"/>
          <w:sz w:val="20"/>
          <w:szCs w:val="20"/>
          <w:lang w:val="en-AU"/>
        </w:rPr>
        <w:tab/>
      </w:r>
      <w:r w:rsidRPr="001D5DA8">
        <w:rPr>
          <w:rFonts w:cstheme="minorHAnsi"/>
          <w:sz w:val="20"/>
          <w:szCs w:val="20"/>
          <w:lang w:val="en-AU"/>
        </w:rPr>
        <w:tab/>
      </w:r>
      <w:r w:rsidRPr="001D5DA8">
        <w:rPr>
          <w:rFonts w:cstheme="minorHAnsi"/>
          <w:sz w:val="20"/>
          <w:szCs w:val="20"/>
          <w:lang w:val="en-AU"/>
        </w:rPr>
        <w:tab/>
      </w:r>
      <w:r w:rsidRPr="001D5DA8">
        <w:rPr>
          <w:rFonts w:cstheme="minorHAnsi"/>
          <w:sz w:val="20"/>
          <w:szCs w:val="20"/>
          <w:lang w:val="en-AU"/>
        </w:rPr>
        <w:tab/>
      </w:r>
      <w:r w:rsidR="00407580" w:rsidRPr="001D5DA8">
        <w:rPr>
          <w:rFonts w:cstheme="minorHAnsi"/>
          <w:sz w:val="20"/>
          <w:szCs w:val="20"/>
          <w:lang w:val="en-AU"/>
        </w:rPr>
        <w:t>Chief Executive Officer</w:t>
      </w:r>
    </w:p>
    <w:sectPr w:rsidR="0057287A" w:rsidRPr="001D5DA8" w:rsidSect="0040758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2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00484" w14:textId="77777777" w:rsidR="00984B07" w:rsidRDefault="00984B07" w:rsidP="0057287A">
      <w:r>
        <w:separator/>
      </w:r>
    </w:p>
  </w:endnote>
  <w:endnote w:type="continuationSeparator" w:id="0">
    <w:p w14:paraId="0829E7CA" w14:textId="77777777" w:rsidR="00984B07" w:rsidRDefault="00984B07" w:rsidP="0057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571798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E8D465" w14:textId="76BBFDA4" w:rsidR="00B74A8E" w:rsidRDefault="00B74A8E" w:rsidP="00DC35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C1AB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E9F7352" w14:textId="77777777" w:rsidR="00B74A8E" w:rsidRDefault="00B74A8E" w:rsidP="00B74A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624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3E75CE" w14:textId="43F4718F" w:rsidR="00B74A8E" w:rsidRDefault="00B74A8E" w:rsidP="00DC35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535FE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EADB2DE" w14:textId="77777777" w:rsidR="00B74A8E" w:rsidRDefault="00B74A8E" w:rsidP="00B74A8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1B7CA" w14:textId="2783050A" w:rsidR="00407580" w:rsidRPr="00407580" w:rsidRDefault="00407580" w:rsidP="00407580">
    <w:pPr>
      <w:pStyle w:val="Footer"/>
      <w:jc w:val="center"/>
      <w:rPr>
        <w:rFonts w:ascii="Calibri" w:hAnsi="Calibri"/>
        <w:sz w:val="18"/>
        <w:szCs w:val="18"/>
      </w:rPr>
    </w:pPr>
    <w:r w:rsidRPr="00C60A81">
      <w:rPr>
        <w:rFonts w:ascii="Calibri" w:hAnsi="Calibri"/>
        <w:sz w:val="18"/>
        <w:szCs w:val="18"/>
      </w:rPr>
      <w:t xml:space="preserve">PO Box 7001 Watson ACT 2602 | </w:t>
    </w:r>
    <w:hyperlink r:id="rId1" w:history="1">
      <w:r w:rsidRPr="00C60A81">
        <w:rPr>
          <w:rStyle w:val="Hyperlink"/>
          <w:rFonts w:ascii="Calibri" w:hAnsi="Calibri"/>
          <w:sz w:val="18"/>
          <w:szCs w:val="18"/>
        </w:rPr>
        <w:t>www.anzspm.org.au</w:t>
      </w:r>
    </w:hyperlink>
    <w:r w:rsidRPr="00C60A81">
      <w:rPr>
        <w:rFonts w:ascii="Calibri" w:hAnsi="Calibri"/>
        <w:sz w:val="18"/>
        <w:szCs w:val="18"/>
      </w:rPr>
      <w:t xml:space="preserve"> | </w:t>
    </w:r>
    <w:hyperlink r:id="rId2" w:history="1">
      <w:r w:rsidRPr="00C60A81">
        <w:rPr>
          <w:rStyle w:val="Hyperlink"/>
          <w:rFonts w:ascii="Calibri" w:hAnsi="Calibri"/>
          <w:sz w:val="18"/>
          <w:szCs w:val="18"/>
        </w:rPr>
        <w:t>info@anzspm.org.au</w:t>
      </w:r>
    </w:hyperlink>
    <w:r w:rsidRPr="00C60A81">
      <w:rPr>
        <w:rFonts w:ascii="Calibri" w:hAnsi="Calibri"/>
        <w:sz w:val="18"/>
        <w:szCs w:val="18"/>
      </w:rPr>
      <w:t xml:space="preserve"> | +61 2 6189 2244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E4318" w14:textId="77777777" w:rsidR="00984B07" w:rsidRDefault="00984B07" w:rsidP="0057287A">
      <w:r>
        <w:separator/>
      </w:r>
    </w:p>
  </w:footnote>
  <w:footnote w:type="continuationSeparator" w:id="0">
    <w:p w14:paraId="5C2316ED" w14:textId="77777777" w:rsidR="00984B07" w:rsidRDefault="00984B07" w:rsidP="0057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44EEF" w14:textId="0998D576" w:rsidR="008569CE" w:rsidRDefault="008569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140F8" w14:textId="4741B5C8" w:rsidR="008569CE" w:rsidRDefault="008569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E4218" w14:textId="20417100" w:rsidR="00407580" w:rsidRDefault="00407580" w:rsidP="00407580">
    <w:pPr>
      <w:pStyle w:val="Header"/>
      <w:rPr>
        <w:rFonts w:ascii="Bookman Old Style" w:hAnsi="Bookman Old Style"/>
        <w:sz w:val="44"/>
      </w:rPr>
    </w:pPr>
    <w:r w:rsidRPr="00EE5142">
      <w:rPr>
        <w:rFonts w:ascii="Bookman Old Style" w:hAnsi="Bookman Old Style"/>
        <w:noProof/>
        <w:sz w:val="44"/>
        <w:lang w:val="en-AU" w:eastAsia="en-AU"/>
      </w:rPr>
      <w:drawing>
        <wp:inline distT="0" distB="0" distL="0" distR="0" wp14:anchorId="4FF9FA0F" wp14:editId="43FAF5A1">
          <wp:extent cx="2146300" cy="647700"/>
          <wp:effectExtent l="0" t="0" r="12700" b="12700"/>
          <wp:docPr id="3" name="Picture 3" descr="NEW ANZSP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ANZSP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sz w:val="44"/>
      </w:rPr>
      <w:t xml:space="preserve">   </w:t>
    </w:r>
  </w:p>
  <w:tbl>
    <w:tblPr>
      <w:tblW w:w="9262" w:type="dxa"/>
      <w:tblInd w:w="10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326"/>
      <w:gridCol w:w="6936"/>
    </w:tblGrid>
    <w:tr w:rsidR="00407580" w:rsidRPr="005C614C" w14:paraId="460ED78A" w14:textId="77777777" w:rsidTr="00E10137">
      <w:trPr>
        <w:trHeight w:val="1"/>
      </w:trPr>
      <w:tc>
        <w:tcPr>
          <w:tcW w:w="2326" w:type="dxa"/>
        </w:tcPr>
        <w:p w14:paraId="560A97CA" w14:textId="77777777" w:rsidR="00407580" w:rsidRPr="005C614C" w:rsidRDefault="00407580" w:rsidP="00407580">
          <w:pPr>
            <w:pStyle w:val="Footer"/>
            <w:tabs>
              <w:tab w:val="left" w:pos="2127"/>
            </w:tabs>
            <w:ind w:right="1593" w:hanging="142"/>
            <w:jc w:val="both"/>
            <w:rPr>
              <w:sz w:val="16"/>
              <w:szCs w:val="16"/>
            </w:rPr>
          </w:pPr>
        </w:p>
      </w:tc>
      <w:tc>
        <w:tcPr>
          <w:tcW w:w="6936" w:type="dxa"/>
          <w:tcBorders>
            <w:top w:val="single" w:sz="4" w:space="0" w:color="auto"/>
          </w:tcBorders>
        </w:tcPr>
        <w:p w14:paraId="6F6E10FF" w14:textId="77777777" w:rsidR="00407580" w:rsidRPr="000D602B" w:rsidRDefault="00407580" w:rsidP="00407580">
          <w:pPr>
            <w:pStyle w:val="Footer"/>
            <w:tabs>
              <w:tab w:val="center" w:pos="3261"/>
            </w:tabs>
            <w:spacing w:before="80"/>
            <w:jc w:val="right"/>
            <w:rPr>
              <w:rFonts w:ascii="Arial Narrow" w:hAnsi="Arial Narrow"/>
              <w:sz w:val="16"/>
              <w:szCs w:val="16"/>
            </w:rPr>
          </w:pPr>
          <w:r w:rsidRPr="00170A30">
            <w:rPr>
              <w:rFonts w:ascii="Arial Narrow" w:hAnsi="Arial Narrow" w:cs="Arial"/>
              <w:sz w:val="17"/>
              <w:szCs w:val="17"/>
            </w:rPr>
            <w:t>The Australian &amp; New Zealand Soc</w:t>
          </w:r>
          <w:r>
            <w:rPr>
              <w:rFonts w:ascii="Arial Narrow" w:hAnsi="Arial Narrow" w:cs="Arial"/>
              <w:sz w:val="17"/>
              <w:szCs w:val="17"/>
            </w:rPr>
            <w:t xml:space="preserve">iety of Palliative Medicine Inc. </w:t>
          </w:r>
          <w:r w:rsidRPr="00170A30">
            <w:rPr>
              <w:rFonts w:ascii="Arial Narrow" w:hAnsi="Arial Narrow"/>
              <w:sz w:val="16"/>
              <w:szCs w:val="16"/>
            </w:rPr>
            <w:t>ABN 54 931 717 498</w:t>
          </w:r>
        </w:p>
        <w:p w14:paraId="6C8F0710" w14:textId="77777777" w:rsidR="00407580" w:rsidRPr="005C614C" w:rsidRDefault="00407580" w:rsidP="00407580">
          <w:pPr>
            <w:pStyle w:val="Footer"/>
            <w:ind w:left="1887"/>
            <w:jc w:val="right"/>
            <w:rPr>
              <w:sz w:val="16"/>
              <w:szCs w:val="16"/>
            </w:rPr>
          </w:pPr>
        </w:p>
      </w:tc>
    </w:tr>
  </w:tbl>
  <w:p w14:paraId="2BA3EFC2" w14:textId="77777777" w:rsidR="00407580" w:rsidRDefault="004075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007B0"/>
    <w:multiLevelType w:val="hybridMultilevel"/>
    <w:tmpl w:val="9B6C1030"/>
    <w:lvl w:ilvl="0" w:tplc="F0D4BF5A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032BE"/>
    <w:multiLevelType w:val="multilevel"/>
    <w:tmpl w:val="A456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B73D3"/>
    <w:multiLevelType w:val="hybridMultilevel"/>
    <w:tmpl w:val="4844CD82"/>
    <w:lvl w:ilvl="0" w:tplc="D12AC1C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50628"/>
    <w:multiLevelType w:val="hybridMultilevel"/>
    <w:tmpl w:val="9EC46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03159"/>
    <w:multiLevelType w:val="hybridMultilevel"/>
    <w:tmpl w:val="9BF47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F4DE6"/>
    <w:multiLevelType w:val="multilevel"/>
    <w:tmpl w:val="8B3E3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5D2020"/>
    <w:multiLevelType w:val="hybridMultilevel"/>
    <w:tmpl w:val="C6C06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55270A"/>
    <w:multiLevelType w:val="hybridMultilevel"/>
    <w:tmpl w:val="C69E2B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FF5A5B"/>
    <w:multiLevelType w:val="hybridMultilevel"/>
    <w:tmpl w:val="1236E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D43C9C"/>
    <w:multiLevelType w:val="multilevel"/>
    <w:tmpl w:val="F8E29F1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98275E4"/>
    <w:multiLevelType w:val="multilevel"/>
    <w:tmpl w:val="FA3435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EE418F"/>
    <w:multiLevelType w:val="hybridMultilevel"/>
    <w:tmpl w:val="465EE5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320318"/>
    <w:multiLevelType w:val="hybridMultilevel"/>
    <w:tmpl w:val="A574CE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11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pile-doc-id" w:val="D862R922N313K133"/>
    <w:docVar w:name="paperpile-doc-name" w:val="2021 ANZSPM Pre-budget Submission.docx"/>
  </w:docVars>
  <w:rsids>
    <w:rsidRoot w:val="0057287A"/>
    <w:rsid w:val="00010BBA"/>
    <w:rsid w:val="00020C83"/>
    <w:rsid w:val="00020D3B"/>
    <w:rsid w:val="00024FCC"/>
    <w:rsid w:val="00032B24"/>
    <w:rsid w:val="00037705"/>
    <w:rsid w:val="000468B9"/>
    <w:rsid w:val="00084609"/>
    <w:rsid w:val="00084CC1"/>
    <w:rsid w:val="00091917"/>
    <w:rsid w:val="000A6565"/>
    <w:rsid w:val="000C1AB8"/>
    <w:rsid w:val="000E5BBC"/>
    <w:rsid w:val="00101FD9"/>
    <w:rsid w:val="0010242B"/>
    <w:rsid w:val="00125391"/>
    <w:rsid w:val="00136606"/>
    <w:rsid w:val="001466FE"/>
    <w:rsid w:val="00195EB4"/>
    <w:rsid w:val="001A5CA4"/>
    <w:rsid w:val="001C7E32"/>
    <w:rsid w:val="001D516D"/>
    <w:rsid w:val="001D5BF2"/>
    <w:rsid w:val="001D5DA8"/>
    <w:rsid w:val="001D609B"/>
    <w:rsid w:val="0021331F"/>
    <w:rsid w:val="00214594"/>
    <w:rsid w:val="00231338"/>
    <w:rsid w:val="00233B2C"/>
    <w:rsid w:val="0023449C"/>
    <w:rsid w:val="002530E8"/>
    <w:rsid w:val="00260CF6"/>
    <w:rsid w:val="00290722"/>
    <w:rsid w:val="00293352"/>
    <w:rsid w:val="00297D77"/>
    <w:rsid w:val="002B3B43"/>
    <w:rsid w:val="002E1857"/>
    <w:rsid w:val="002F530C"/>
    <w:rsid w:val="00324550"/>
    <w:rsid w:val="00326F1A"/>
    <w:rsid w:val="003401E1"/>
    <w:rsid w:val="00340855"/>
    <w:rsid w:val="00360C9C"/>
    <w:rsid w:val="00372C23"/>
    <w:rsid w:val="00385365"/>
    <w:rsid w:val="00407580"/>
    <w:rsid w:val="00440E45"/>
    <w:rsid w:val="004535FE"/>
    <w:rsid w:val="004A6D0B"/>
    <w:rsid w:val="004B70B2"/>
    <w:rsid w:val="005201B0"/>
    <w:rsid w:val="00553332"/>
    <w:rsid w:val="0056082D"/>
    <w:rsid w:val="0057287A"/>
    <w:rsid w:val="00584DB7"/>
    <w:rsid w:val="0059393B"/>
    <w:rsid w:val="005A22EB"/>
    <w:rsid w:val="005B0374"/>
    <w:rsid w:val="005B4A02"/>
    <w:rsid w:val="005C243E"/>
    <w:rsid w:val="005C693F"/>
    <w:rsid w:val="005F23E0"/>
    <w:rsid w:val="00651643"/>
    <w:rsid w:val="006522CC"/>
    <w:rsid w:val="0065776A"/>
    <w:rsid w:val="00662D80"/>
    <w:rsid w:val="00693171"/>
    <w:rsid w:val="006D717D"/>
    <w:rsid w:val="006E2A4E"/>
    <w:rsid w:val="007076D0"/>
    <w:rsid w:val="007155CD"/>
    <w:rsid w:val="00715CA5"/>
    <w:rsid w:val="007449C8"/>
    <w:rsid w:val="00797460"/>
    <w:rsid w:val="007A5887"/>
    <w:rsid w:val="007B0017"/>
    <w:rsid w:val="007F62BA"/>
    <w:rsid w:val="00817661"/>
    <w:rsid w:val="0082254D"/>
    <w:rsid w:val="00826E2A"/>
    <w:rsid w:val="00826FB7"/>
    <w:rsid w:val="008351A6"/>
    <w:rsid w:val="008569CE"/>
    <w:rsid w:val="00860197"/>
    <w:rsid w:val="00867EEA"/>
    <w:rsid w:val="00873BDF"/>
    <w:rsid w:val="008C0637"/>
    <w:rsid w:val="008C0790"/>
    <w:rsid w:val="008C7BCD"/>
    <w:rsid w:val="008D58A7"/>
    <w:rsid w:val="008F1EBD"/>
    <w:rsid w:val="008F6237"/>
    <w:rsid w:val="008F7C05"/>
    <w:rsid w:val="00901591"/>
    <w:rsid w:val="00902729"/>
    <w:rsid w:val="009105ED"/>
    <w:rsid w:val="00922DE5"/>
    <w:rsid w:val="00925D68"/>
    <w:rsid w:val="00942F3E"/>
    <w:rsid w:val="00966E75"/>
    <w:rsid w:val="00981425"/>
    <w:rsid w:val="00984B07"/>
    <w:rsid w:val="009C31F1"/>
    <w:rsid w:val="009D61FF"/>
    <w:rsid w:val="00A06C0B"/>
    <w:rsid w:val="00A30606"/>
    <w:rsid w:val="00A31EE7"/>
    <w:rsid w:val="00A57669"/>
    <w:rsid w:val="00A67EDE"/>
    <w:rsid w:val="00A81326"/>
    <w:rsid w:val="00A9278A"/>
    <w:rsid w:val="00AA1BD7"/>
    <w:rsid w:val="00AE5B5D"/>
    <w:rsid w:val="00AE7CC4"/>
    <w:rsid w:val="00AF50A4"/>
    <w:rsid w:val="00B476FD"/>
    <w:rsid w:val="00B65F91"/>
    <w:rsid w:val="00B74A8E"/>
    <w:rsid w:val="00B81285"/>
    <w:rsid w:val="00B912A2"/>
    <w:rsid w:val="00B92419"/>
    <w:rsid w:val="00B946EE"/>
    <w:rsid w:val="00BA0323"/>
    <w:rsid w:val="00BA42EB"/>
    <w:rsid w:val="00BE051B"/>
    <w:rsid w:val="00BE3238"/>
    <w:rsid w:val="00C10447"/>
    <w:rsid w:val="00C40EED"/>
    <w:rsid w:val="00C51C52"/>
    <w:rsid w:val="00C65761"/>
    <w:rsid w:val="00C8332D"/>
    <w:rsid w:val="00C97697"/>
    <w:rsid w:val="00CB18DD"/>
    <w:rsid w:val="00CB3A5C"/>
    <w:rsid w:val="00CB7F77"/>
    <w:rsid w:val="00CE0DF2"/>
    <w:rsid w:val="00CF6AE0"/>
    <w:rsid w:val="00D07A50"/>
    <w:rsid w:val="00D3258C"/>
    <w:rsid w:val="00D41903"/>
    <w:rsid w:val="00D47C15"/>
    <w:rsid w:val="00D667A1"/>
    <w:rsid w:val="00D77E1F"/>
    <w:rsid w:val="00D9563F"/>
    <w:rsid w:val="00D9698E"/>
    <w:rsid w:val="00DA606C"/>
    <w:rsid w:val="00DD7BC2"/>
    <w:rsid w:val="00E23CBD"/>
    <w:rsid w:val="00E37449"/>
    <w:rsid w:val="00E375EF"/>
    <w:rsid w:val="00E60B8D"/>
    <w:rsid w:val="00E61B5A"/>
    <w:rsid w:val="00E97417"/>
    <w:rsid w:val="00EA4335"/>
    <w:rsid w:val="00EB29F8"/>
    <w:rsid w:val="00ED5C1C"/>
    <w:rsid w:val="00EF505E"/>
    <w:rsid w:val="00F05E77"/>
    <w:rsid w:val="00F2627E"/>
    <w:rsid w:val="00FB034E"/>
    <w:rsid w:val="00FC3126"/>
    <w:rsid w:val="00FD44CC"/>
    <w:rsid w:val="00FE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14CFD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728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7287A"/>
    <w:rPr>
      <w:rFonts w:eastAsiaTheme="minorEastAsia"/>
    </w:rPr>
  </w:style>
  <w:style w:type="paragraph" w:styleId="Footer">
    <w:name w:val="footer"/>
    <w:basedOn w:val="Normal"/>
    <w:link w:val="FooterChar"/>
    <w:unhideWhenUsed/>
    <w:rsid w:val="005728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7287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7287A"/>
  </w:style>
  <w:style w:type="paragraph" w:customStyle="1" w:styleId="UTSLetterBodytext">
    <w:name w:val="UTS Letter Body text"/>
    <w:basedOn w:val="Normal"/>
    <w:rsid w:val="0057287A"/>
    <w:pPr>
      <w:spacing w:after="120" w:line="240" w:lineRule="exact"/>
      <w:ind w:right="1985"/>
    </w:pPr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UnresolvedMention1">
    <w:name w:val="Unresolved Mention1"/>
    <w:basedOn w:val="DefaultParagraphFont"/>
    <w:uiPriority w:val="99"/>
    <w:rsid w:val="005728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31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B5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B5D"/>
    <w:rPr>
      <w:rFonts w:ascii="Times New Roman" w:eastAsiaTheme="minorEastAsia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74A8E"/>
  </w:style>
  <w:style w:type="paragraph" w:styleId="FootnoteText">
    <w:name w:val="footnote text"/>
    <w:basedOn w:val="Normal"/>
    <w:link w:val="FootnoteTextChar"/>
    <w:uiPriority w:val="99"/>
    <w:semiHidden/>
    <w:unhideWhenUsed/>
    <w:rsid w:val="00D47C15"/>
    <w:rPr>
      <w:rFonts w:eastAsiaTheme="minorHAnsi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C15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D47C1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47C15"/>
    <w:rPr>
      <w:color w:val="954F72" w:themeColor="followedHyperlink"/>
      <w:u w:val="single"/>
    </w:rPr>
  </w:style>
  <w:style w:type="character" w:customStyle="1" w:styleId="size">
    <w:name w:val="size"/>
    <w:basedOn w:val="DefaultParagraphFont"/>
    <w:rsid w:val="00CE0DF2"/>
  </w:style>
  <w:style w:type="character" w:customStyle="1" w:styleId="apple-converted-space">
    <w:name w:val="apple-converted-space"/>
    <w:basedOn w:val="DefaultParagraphFont"/>
    <w:rsid w:val="00CE0DF2"/>
  </w:style>
  <w:style w:type="character" w:customStyle="1" w:styleId="qt-apple-converted-space">
    <w:name w:val="qt-apple-converted-space"/>
    <w:basedOn w:val="DefaultParagraphFont"/>
    <w:rsid w:val="00CE0DF2"/>
  </w:style>
  <w:style w:type="table" w:styleId="TableGrid">
    <w:name w:val="Table Grid"/>
    <w:basedOn w:val="TableNormal"/>
    <w:uiPriority w:val="39"/>
    <w:rsid w:val="007A5887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D07A50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20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C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C8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C83"/>
    <w:rPr>
      <w:rFonts w:eastAsiaTheme="minorEastAsia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A9278A"/>
    <w:rPr>
      <w:rFonts w:eastAsiaTheme="minorHAnsi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9278A"/>
    <w:rPr>
      <w:lang w:val="en-AU"/>
    </w:rPr>
  </w:style>
  <w:style w:type="character" w:styleId="EndnoteReference">
    <w:name w:val="endnote reference"/>
    <w:basedOn w:val="DefaultParagraphFont"/>
    <w:uiPriority w:val="99"/>
    <w:unhideWhenUsed/>
    <w:rsid w:val="00A927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5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0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2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6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nzspm.org.au" TargetMode="External"/><Relationship Id="rId1" Type="http://schemas.openxmlformats.org/officeDocument/2006/relationships/hyperlink" Target="http://www.anzspm.org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58EB9BF65DAD8C42B8B4A94A1D11A674" ma:contentTypeVersion="37663" ma:contentTypeDescription=" " ma:contentTypeScope="" ma:versionID="41decff55eb9e7010e1acf28c2ae8911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xmlns:ns5="http://schemas.microsoft.com/sharepoint/v4" targetNamespace="http://schemas.microsoft.com/office/2006/metadata/properties" ma:root="true" ma:fieldsID="917efd5f203f4d53a891ba4a2dd250dc" ns1:_="" ns2:_="" ns3:_="" ns5:_="">
    <xsd:import namespace="http://schemas.microsoft.com/sharepoint/v3"/>
    <xsd:import namespace="0f563589-9cf9-4143-b1eb-fb0534803d38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RoutingTargetPath"/>
                <xsd:element ref="ns1:RoutingTargetFold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RoutingTargetPath" ma:index="18" ma:displayName="Target Path" ma:description="" ma:internalName="RoutingTargetPath">
      <xsd:simpleType>
        <xsd:restriction base="dms:Text">
          <xsd:maxLength value="255"/>
        </xsd:restriction>
      </xsd:simpleType>
    </xsd:element>
    <xsd:element name="RoutingTargetFolder" ma:index="19" ma:displayName="Target Folder" ma:internalName="RoutingTarget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7;#TSY RA-8730 - Retain as national archives|77f958b9-774b-411f-8853-551bb899336c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TargetPath xmlns="http://schemas.microsoft.com/sharepoint/v3">N/A</RoutingTargetPath>
    <IconOverlay xmlns="http://schemas.microsoft.com/sharepoint/v4" xsi:nil="true"/>
    <RoutingTargetFolder xmlns="http://schemas.microsoft.com/sharepoint/v3">N/A</RoutingTargetFolder>
    <TaxCatchAll xmlns="0f563589-9cf9-4143-b1eb-fb0534803d38">
      <Value>7</Value>
    </TaxCatchAll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RA-8730 - Retain as national archives</TermName>
          <TermId xmlns="http://schemas.microsoft.com/office/infopath/2007/PartnerControls">77f958b9-774b-411f-8853-551bb899336c</TermId>
        </TermInfo>
      </Terms>
    </lb508a4dc5e84436a0fe496b536466aa>
    <_dlc_DocId xmlns="0f563589-9cf9-4143-b1eb-fb0534803d38">2021FG-108-10033</_dlc_DocId>
    <_dlc_DocIdUrl xmlns="0f563589-9cf9-4143-b1eb-fb0534803d38">
      <Url>http://tweb/sites/fg/bpd/_layouts/15/DocIdRedir.aspx?ID=2021FG-108-10033</Url>
      <Description>2021FG-108-10033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7.xml><?xml version="1.0" encoding="utf-8"?>
<?mso-contentType ?>
<SharedContentType xmlns="Microsoft.SharePoint.Taxonomy.ContentTypeSync" SourceId="bb330c83-4366-417f-afba-a14519698ff5" ContentTypeId="0x010100E726210826AA43828690450C811EB923009CA11FFD1E014DF4B1FA162D0F61129800536EFC5E36A043E99FB960C1AA37427A" PreviousValue="false"/>
</file>

<file path=customXml/itemProps1.xml><?xml version="1.0" encoding="utf-8"?>
<ds:datastoreItem xmlns:ds="http://schemas.openxmlformats.org/officeDocument/2006/customXml" ds:itemID="{E1171FD7-84C7-4497-A005-4F05C94B6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E6BCC-31D2-47FE-BF9F-D4B0BBED903B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544e5cc-ab70-42e1-849e-1a0f8bb1f4ef"/>
    <ds:schemaRef ds:uri="0f563589-9cf9-4143-b1eb-fb0534803d3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5A6321-7C1D-465D-B319-0C1C60F347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49F4DC-09ED-4AC0-B7BD-619A4786E35B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9D628C7F-9DE5-424C-9612-C71A1B22749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84998BB-910B-4283-858E-4EAAB21DE1D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BAB852F-F0DB-4542-A1B9-18F82663305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3858</Characters>
  <Application>Microsoft Office Word</Application>
  <DocSecurity>0</DocSecurity>
  <Lines>101</Lines>
  <Paragraphs>48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and New Zealand Society of Palliative Medicine - 2021-22 Pre-Budget Submissions</dc:title>
  <dc:creator/>
  <cp:lastModifiedBy/>
  <cp:revision>1</cp:revision>
  <dcterms:created xsi:type="dcterms:W3CDTF">2021-05-06T00:44:00Z</dcterms:created>
  <dcterms:modified xsi:type="dcterms:W3CDTF">2021-05-06T00:44:00Z</dcterms:modified>
  <dc:language>English</dc:language>
</cp:coreProperties>
</file>