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4F186" w14:textId="5F63D719" w:rsidR="00D16E45" w:rsidRPr="00424313" w:rsidRDefault="00424313" w:rsidP="00D16E45">
      <w:pPr>
        <w:spacing w:before="100" w:beforeAutospacing="1" w:after="100" w:afterAutospacing="1"/>
        <w:rPr>
          <w:rFonts w:asciiTheme="majorHAnsi" w:eastAsia="Times New Roman" w:hAnsiTheme="majorHAnsi" w:cstheme="majorHAnsi"/>
          <w:sz w:val="22"/>
          <w:szCs w:val="22"/>
        </w:rPr>
      </w:pPr>
      <w:r w:rsidRPr="00424313">
        <w:rPr>
          <w:rFonts w:asciiTheme="majorHAnsi" w:hAnsiTheme="majorHAnsi" w:cstheme="majorHAnsi"/>
          <w:noProof/>
          <w:sz w:val="22"/>
          <w:szCs w:val="22"/>
          <w:lang w:eastAsia="en-AU"/>
        </w:rPr>
        <mc:AlternateContent>
          <mc:Choice Requires="wps">
            <w:drawing>
              <wp:anchor distT="0" distB="0" distL="114300" distR="114300" simplePos="0" relativeHeight="251661312" behindDoc="0" locked="0" layoutInCell="1" allowOverlap="1" wp14:anchorId="568B439E" wp14:editId="0AE96E40">
                <wp:simplePos x="0" y="0"/>
                <wp:positionH relativeFrom="column">
                  <wp:posOffset>3073400</wp:posOffset>
                </wp:positionH>
                <wp:positionV relativeFrom="paragraph">
                  <wp:posOffset>0</wp:posOffset>
                </wp:positionV>
                <wp:extent cx="3199765" cy="1371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199765"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67B1C8" w14:textId="77777777" w:rsidR="00C372D7" w:rsidRPr="00695CB9" w:rsidRDefault="00C372D7" w:rsidP="00240E4D">
                            <w:pPr>
                              <w:pStyle w:val="Header"/>
                              <w:jc w:val="right"/>
                              <w:rPr>
                                <w:rFonts w:ascii="Trebuchet MS" w:hAnsi="Trebuchet MS" w:cs="Arial"/>
                                <w:b/>
                                <w:color w:val="0A2240"/>
                                <w:sz w:val="18"/>
                                <w:szCs w:val="18"/>
                              </w:rPr>
                            </w:pPr>
                            <w:r w:rsidRPr="00695CB9">
                              <w:rPr>
                                <w:rFonts w:ascii="Trebuchet MS" w:hAnsi="Trebuchet MS" w:cs="Arial"/>
                                <w:b/>
                                <w:color w:val="0A2240"/>
                                <w:sz w:val="18"/>
                                <w:szCs w:val="18"/>
                              </w:rPr>
                              <w:t xml:space="preserve">Association of Financial Advisers Ltd </w:t>
                            </w:r>
                          </w:p>
                          <w:p w14:paraId="6F1C1454" w14:textId="77777777" w:rsidR="00C372D7" w:rsidRPr="00695CB9" w:rsidRDefault="00C372D7" w:rsidP="00240E4D">
                            <w:pPr>
                              <w:pStyle w:val="Header"/>
                              <w:jc w:val="right"/>
                              <w:rPr>
                                <w:rStyle w:val="A1"/>
                                <w:rFonts w:ascii="Trebuchet MS" w:hAnsi="Trebuchet MS" w:cs="Arial"/>
                                <w:color w:val="0A2240"/>
                              </w:rPr>
                            </w:pPr>
                            <w:r w:rsidRPr="00695CB9">
                              <w:rPr>
                                <w:rStyle w:val="A1"/>
                                <w:rFonts w:ascii="Trebuchet MS" w:hAnsi="Trebuchet MS" w:cs="Arial"/>
                                <w:color w:val="0A2240"/>
                              </w:rPr>
                              <w:t xml:space="preserve">ACN: 008 619 921  </w:t>
                            </w:r>
                          </w:p>
                          <w:p w14:paraId="2344D015" w14:textId="6C4CF54B"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ABN: 29 008 619 921 </w:t>
                            </w:r>
                          </w:p>
                          <w:p w14:paraId="21EF68F5" w14:textId="77777777" w:rsidR="00C372D7" w:rsidRPr="00695CB9" w:rsidRDefault="00C372D7" w:rsidP="00240E4D">
                            <w:pPr>
                              <w:pStyle w:val="Header"/>
                              <w:jc w:val="right"/>
                              <w:rPr>
                                <w:rStyle w:val="A1"/>
                                <w:rFonts w:ascii="Trebuchet MS" w:hAnsi="Trebuchet MS" w:cs="Arial"/>
                                <w:color w:val="0A2240"/>
                              </w:rPr>
                            </w:pPr>
                            <w:r w:rsidRPr="00695CB9">
                              <w:rPr>
                                <w:rStyle w:val="A1"/>
                                <w:rFonts w:ascii="Trebuchet MS" w:hAnsi="Trebuchet MS" w:cs="Arial"/>
                                <w:color w:val="0A2240"/>
                              </w:rPr>
                              <w:t xml:space="preserve">PO Box Q279 </w:t>
                            </w:r>
                          </w:p>
                          <w:p w14:paraId="789A42BC"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Queen Victoria Building NSW 1230 </w:t>
                            </w:r>
                          </w:p>
                          <w:p w14:paraId="50FF2E4B"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T 02 9267 4003 F 02 9267 5003 </w:t>
                            </w:r>
                          </w:p>
                          <w:p w14:paraId="689FC0CB"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Member Freecall: 1800 656 009 </w:t>
                            </w:r>
                          </w:p>
                          <w:p w14:paraId="53B42BDF" w14:textId="23BEB391" w:rsidR="00C372D7" w:rsidRPr="00695CB9" w:rsidRDefault="00582C77" w:rsidP="00240E4D">
                            <w:pPr>
                              <w:pStyle w:val="Header"/>
                              <w:jc w:val="right"/>
                              <w:rPr>
                                <w:rFonts w:ascii="Trebuchet MS" w:hAnsi="Trebuchet MS" w:cs="Helvetica 45 Light"/>
                                <w:color w:val="95C0D8"/>
                                <w:sz w:val="18"/>
                                <w:szCs w:val="18"/>
                              </w:rPr>
                            </w:pPr>
                            <w:hyperlink r:id="rId14" w:history="1">
                              <w:r w:rsidR="00C372D7" w:rsidRPr="00695CB9">
                                <w:rPr>
                                  <w:rStyle w:val="Hyperlink"/>
                                  <w:rFonts w:ascii="Trebuchet MS" w:hAnsi="Trebuchet MS" w:cs="Arial"/>
                                  <w:color w:val="95C0D8"/>
                                  <w:sz w:val="18"/>
                                  <w:szCs w:val="18"/>
                                </w:rPr>
                                <w:t>www.afa.asn.au</w:t>
                              </w:r>
                            </w:hyperlink>
                            <w:r w:rsidR="00C372D7" w:rsidRPr="00695CB9">
                              <w:rPr>
                                <w:rStyle w:val="A1"/>
                                <w:rFonts w:ascii="Trebuchet MS" w:hAnsi="Trebuchet MS" w:cs="Helvetica 55 Roman"/>
                                <w:color w:val="95C0D8"/>
                              </w:rPr>
                              <w:t xml:space="preserve"> </w:t>
                            </w:r>
                          </w:p>
                          <w:p w14:paraId="4203FB14" w14:textId="77777777" w:rsidR="00C372D7" w:rsidRPr="00695CB9" w:rsidRDefault="00C372D7" w:rsidP="00240E4D">
                            <w:pPr>
                              <w:rPr>
                                <w:color w:val="95C0D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B439E" id="_x0000_t202" coordsize="21600,21600" o:spt="202" path="m,l,21600r21600,l21600,xe">
                <v:stroke joinstyle="miter"/>
                <v:path gradientshapeok="t" o:connecttype="rect"/>
              </v:shapetype>
              <v:shape id="Text Box 3" o:spid="_x0000_s1026" type="#_x0000_t202" style="position:absolute;margin-left:242pt;margin-top:0;width:251.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" filled="f" stroked="f">
                <v:textbox>
                  <w:txbxContent>
                    <w:p w14:paraId="5267B1C8" w14:textId="77777777" w:rsidR="00C372D7" w:rsidRPr="00695CB9" w:rsidRDefault="00C372D7" w:rsidP="00240E4D">
                      <w:pPr>
                        <w:pStyle w:val="Header"/>
                        <w:jc w:val="right"/>
                        <w:rPr>
                          <w:rFonts w:ascii="Trebuchet MS" w:hAnsi="Trebuchet MS" w:cs="Arial"/>
                          <w:b/>
                          <w:color w:val="0A2240"/>
                          <w:sz w:val="18"/>
                          <w:szCs w:val="18"/>
                        </w:rPr>
                      </w:pPr>
                      <w:r w:rsidRPr="00695CB9">
                        <w:rPr>
                          <w:rFonts w:ascii="Trebuchet MS" w:hAnsi="Trebuchet MS" w:cs="Arial"/>
                          <w:b/>
                          <w:color w:val="0A2240"/>
                          <w:sz w:val="18"/>
                          <w:szCs w:val="18"/>
                        </w:rPr>
                        <w:t xml:space="preserve">Association of Financial Advisers Ltd </w:t>
                      </w:r>
                    </w:p>
                    <w:p w14:paraId="6F1C1454" w14:textId="77777777" w:rsidR="00C372D7" w:rsidRPr="00695CB9" w:rsidRDefault="00C372D7" w:rsidP="00240E4D">
                      <w:pPr>
                        <w:pStyle w:val="Header"/>
                        <w:jc w:val="right"/>
                        <w:rPr>
                          <w:rStyle w:val="A1"/>
                          <w:rFonts w:ascii="Trebuchet MS" w:hAnsi="Trebuchet MS" w:cs="Arial"/>
                          <w:color w:val="0A2240"/>
                        </w:rPr>
                      </w:pPr>
                      <w:r w:rsidRPr="00695CB9">
                        <w:rPr>
                          <w:rStyle w:val="A1"/>
                          <w:rFonts w:ascii="Trebuchet MS" w:hAnsi="Trebuchet MS" w:cs="Arial"/>
                          <w:color w:val="0A2240"/>
                        </w:rPr>
                        <w:t xml:space="preserve">ACN: 008 619 921  </w:t>
                      </w:r>
                    </w:p>
                    <w:p w14:paraId="2344D015" w14:textId="6C4CF54B"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ABN: 29 008 619 921 </w:t>
                      </w:r>
                    </w:p>
                    <w:p w14:paraId="21EF68F5" w14:textId="77777777" w:rsidR="00C372D7" w:rsidRPr="00695CB9" w:rsidRDefault="00C372D7" w:rsidP="00240E4D">
                      <w:pPr>
                        <w:pStyle w:val="Header"/>
                        <w:jc w:val="right"/>
                        <w:rPr>
                          <w:rStyle w:val="A1"/>
                          <w:rFonts w:ascii="Trebuchet MS" w:hAnsi="Trebuchet MS" w:cs="Arial"/>
                          <w:color w:val="0A2240"/>
                        </w:rPr>
                      </w:pPr>
                      <w:r w:rsidRPr="00695CB9">
                        <w:rPr>
                          <w:rStyle w:val="A1"/>
                          <w:rFonts w:ascii="Trebuchet MS" w:hAnsi="Trebuchet MS" w:cs="Arial"/>
                          <w:color w:val="0A2240"/>
                        </w:rPr>
                        <w:t xml:space="preserve">PO Box Q279 </w:t>
                      </w:r>
                    </w:p>
                    <w:p w14:paraId="789A42BC"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Queen Victoria Building NSW 1230 </w:t>
                      </w:r>
                    </w:p>
                    <w:p w14:paraId="50FF2E4B"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T 02 9267 4003 F 02 9267 5003 </w:t>
                      </w:r>
                    </w:p>
                    <w:p w14:paraId="689FC0CB" w14:textId="77777777" w:rsidR="00C372D7" w:rsidRPr="00695CB9" w:rsidRDefault="00C372D7" w:rsidP="00240E4D">
                      <w:pPr>
                        <w:pStyle w:val="Header"/>
                        <w:jc w:val="right"/>
                        <w:rPr>
                          <w:rStyle w:val="A1"/>
                          <w:rFonts w:ascii="Trebuchet MS" w:hAnsi="Trebuchet MS" w:cs="Arial"/>
                          <w:b w:val="0"/>
                          <w:bCs w:val="0"/>
                          <w:color w:val="0A2240"/>
                        </w:rPr>
                      </w:pPr>
                      <w:r w:rsidRPr="00695CB9">
                        <w:rPr>
                          <w:rStyle w:val="A1"/>
                          <w:rFonts w:ascii="Trebuchet MS" w:hAnsi="Trebuchet MS" w:cs="Arial"/>
                          <w:color w:val="0A2240"/>
                        </w:rPr>
                        <w:t xml:space="preserve">Member Freecall: 1800 656 009 </w:t>
                      </w:r>
                    </w:p>
                    <w:p w14:paraId="53B42BDF" w14:textId="23BEB391" w:rsidR="00C372D7" w:rsidRPr="00695CB9" w:rsidRDefault="00582C77" w:rsidP="00240E4D">
                      <w:pPr>
                        <w:pStyle w:val="Header"/>
                        <w:jc w:val="right"/>
                        <w:rPr>
                          <w:rFonts w:ascii="Trebuchet MS" w:hAnsi="Trebuchet MS" w:cs="Helvetica 45 Light"/>
                          <w:color w:val="95C0D8"/>
                          <w:sz w:val="18"/>
                          <w:szCs w:val="18"/>
                        </w:rPr>
                      </w:pPr>
                      <w:hyperlink r:id="rId15" w:history="1">
                        <w:r w:rsidR="00C372D7" w:rsidRPr="00695CB9">
                          <w:rPr>
                            <w:rStyle w:val="Hyperlink"/>
                            <w:rFonts w:ascii="Trebuchet MS" w:hAnsi="Trebuchet MS" w:cs="Arial"/>
                            <w:color w:val="95C0D8"/>
                            <w:sz w:val="18"/>
                            <w:szCs w:val="18"/>
                          </w:rPr>
                          <w:t>www.afa.asn.au</w:t>
                        </w:r>
                      </w:hyperlink>
                      <w:r w:rsidR="00C372D7" w:rsidRPr="00695CB9">
                        <w:rPr>
                          <w:rStyle w:val="A1"/>
                          <w:rFonts w:ascii="Trebuchet MS" w:hAnsi="Trebuchet MS" w:cs="Helvetica 55 Roman"/>
                          <w:color w:val="95C0D8"/>
                        </w:rPr>
                        <w:t xml:space="preserve"> </w:t>
                      </w:r>
                    </w:p>
                    <w:p w14:paraId="4203FB14" w14:textId="77777777" w:rsidR="00C372D7" w:rsidRPr="00695CB9" w:rsidRDefault="00C372D7" w:rsidP="00240E4D">
                      <w:pPr>
                        <w:rPr>
                          <w:color w:val="95C0D8"/>
                        </w:rPr>
                      </w:pPr>
                    </w:p>
                  </w:txbxContent>
                </v:textbox>
                <w10:wrap type="square"/>
              </v:shape>
            </w:pict>
          </mc:Fallback>
        </mc:AlternateContent>
      </w:r>
      <w:r w:rsidR="00966BB2" w:rsidRPr="00424313">
        <w:rPr>
          <w:rFonts w:asciiTheme="majorHAnsi" w:hAnsiTheme="majorHAnsi" w:cstheme="majorHAnsi"/>
          <w:noProof/>
          <w:sz w:val="20"/>
          <w:lang w:eastAsia="en-AU"/>
        </w:rPr>
        <w:drawing>
          <wp:inline distT="0" distB="0" distL="0" distR="0" wp14:anchorId="14CCE89A" wp14:editId="19D713EE">
            <wp:extent cx="2000250" cy="1193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6"/>
                    <a:srcRect l="9710" t="12757" r="9883" b="11515"/>
                    <a:stretch/>
                  </pic:blipFill>
                  <pic:spPr bwMode="auto">
                    <a:xfrm>
                      <a:off x="0" y="0"/>
                      <a:ext cx="2014467" cy="1202371"/>
                    </a:xfrm>
                    <a:prstGeom prst="rect">
                      <a:avLst/>
                    </a:prstGeom>
                    <a:ln>
                      <a:noFill/>
                    </a:ln>
                    <a:extLst>
                      <a:ext uri="{53640926-AAD7-44D8-BBD7-CCE9431645EC}">
                        <a14:shadowObscured xmlns:a14="http://schemas.microsoft.com/office/drawing/2010/main"/>
                      </a:ext>
                    </a:extLst>
                  </pic:spPr>
                </pic:pic>
              </a:graphicData>
            </a:graphic>
          </wp:inline>
        </w:drawing>
      </w:r>
    </w:p>
    <w:p w14:paraId="6122DD78" w14:textId="2BFF1210" w:rsidR="00F964B5" w:rsidRPr="00107405" w:rsidRDefault="00425513" w:rsidP="00F964B5">
      <w:pPr>
        <w:rPr>
          <w:rFonts w:asciiTheme="majorHAnsi" w:hAnsiTheme="majorHAnsi" w:cstheme="majorHAnsi"/>
          <w:color w:val="0A2240"/>
          <w:sz w:val="22"/>
          <w:szCs w:val="22"/>
        </w:rPr>
      </w:pPr>
      <w:r w:rsidRPr="00107405">
        <w:rPr>
          <w:rFonts w:asciiTheme="majorHAnsi" w:hAnsiTheme="majorHAnsi" w:cstheme="majorHAnsi"/>
          <w:color w:val="0A2240"/>
          <w:sz w:val="22"/>
          <w:szCs w:val="22"/>
        </w:rPr>
        <w:t>2</w:t>
      </w:r>
      <w:r w:rsidR="0049312F">
        <w:rPr>
          <w:rFonts w:asciiTheme="majorHAnsi" w:hAnsiTheme="majorHAnsi" w:cstheme="majorHAnsi"/>
          <w:color w:val="0A2240"/>
          <w:sz w:val="22"/>
          <w:szCs w:val="22"/>
        </w:rPr>
        <w:t>9</w:t>
      </w:r>
      <w:r w:rsidR="008B0E0A" w:rsidRPr="00107405">
        <w:rPr>
          <w:rFonts w:asciiTheme="majorHAnsi" w:hAnsiTheme="majorHAnsi" w:cstheme="majorHAnsi"/>
          <w:color w:val="0A2240"/>
          <w:sz w:val="22"/>
          <w:szCs w:val="22"/>
        </w:rPr>
        <w:t xml:space="preserve"> </w:t>
      </w:r>
      <w:r w:rsidRPr="00107405">
        <w:rPr>
          <w:rFonts w:asciiTheme="majorHAnsi" w:hAnsiTheme="majorHAnsi" w:cstheme="majorHAnsi"/>
          <w:color w:val="0A2240"/>
          <w:sz w:val="22"/>
          <w:szCs w:val="22"/>
        </w:rPr>
        <w:t>January</w:t>
      </w:r>
      <w:r w:rsidR="00182C72" w:rsidRPr="00107405">
        <w:rPr>
          <w:rFonts w:asciiTheme="majorHAnsi" w:hAnsiTheme="majorHAnsi" w:cstheme="majorHAnsi"/>
          <w:color w:val="0A2240"/>
          <w:sz w:val="22"/>
          <w:szCs w:val="22"/>
        </w:rPr>
        <w:t xml:space="preserve"> 202</w:t>
      </w:r>
      <w:r w:rsidRPr="00107405">
        <w:rPr>
          <w:rFonts w:asciiTheme="majorHAnsi" w:hAnsiTheme="majorHAnsi" w:cstheme="majorHAnsi"/>
          <w:color w:val="0A2240"/>
          <w:sz w:val="22"/>
          <w:szCs w:val="22"/>
        </w:rPr>
        <w:t>1</w:t>
      </w:r>
    </w:p>
    <w:p w14:paraId="3EC8EE02" w14:textId="2B5F335B" w:rsidR="00745408" w:rsidRPr="00107405" w:rsidRDefault="00745408" w:rsidP="00265599">
      <w:pPr>
        <w:rPr>
          <w:rFonts w:asciiTheme="majorHAnsi" w:eastAsia="Times New Roman" w:hAnsiTheme="majorHAnsi" w:cstheme="majorHAnsi"/>
          <w:color w:val="CAE1E8"/>
          <w:sz w:val="22"/>
          <w:szCs w:val="22"/>
        </w:rPr>
      </w:pPr>
    </w:p>
    <w:p w14:paraId="5948200A" w14:textId="77777777" w:rsidR="00107405" w:rsidRPr="00107405" w:rsidRDefault="00107405" w:rsidP="00107405">
      <w:pPr>
        <w:rPr>
          <w:rFonts w:asciiTheme="majorHAnsi" w:hAnsiTheme="majorHAnsi" w:cstheme="majorHAnsi"/>
          <w:color w:val="0A2240"/>
          <w:sz w:val="22"/>
          <w:szCs w:val="22"/>
        </w:rPr>
      </w:pPr>
      <w:r w:rsidRPr="00107405">
        <w:rPr>
          <w:rFonts w:asciiTheme="majorHAnsi" w:hAnsiTheme="majorHAnsi" w:cstheme="majorHAnsi"/>
          <w:color w:val="0A2240"/>
          <w:sz w:val="22"/>
          <w:szCs w:val="22"/>
        </w:rPr>
        <w:t>Treasury</w:t>
      </w:r>
    </w:p>
    <w:p w14:paraId="3F020C6E" w14:textId="77777777" w:rsidR="00107405" w:rsidRPr="00107405" w:rsidRDefault="00107405" w:rsidP="00107405">
      <w:pPr>
        <w:rPr>
          <w:rFonts w:asciiTheme="majorHAnsi" w:hAnsiTheme="majorHAnsi" w:cstheme="majorHAnsi"/>
          <w:color w:val="0A2240"/>
          <w:sz w:val="22"/>
          <w:szCs w:val="22"/>
        </w:rPr>
      </w:pPr>
      <w:r w:rsidRPr="00107405">
        <w:rPr>
          <w:rFonts w:asciiTheme="majorHAnsi" w:hAnsiTheme="majorHAnsi" w:cstheme="majorHAnsi"/>
          <w:color w:val="0A2240"/>
          <w:sz w:val="22"/>
          <w:szCs w:val="22"/>
        </w:rPr>
        <w:t>Langton Cres</w:t>
      </w:r>
    </w:p>
    <w:p w14:paraId="0954FA03" w14:textId="4CA3A7E9" w:rsidR="00F964B5" w:rsidRPr="00107405" w:rsidRDefault="00107405" w:rsidP="00107405">
      <w:pPr>
        <w:rPr>
          <w:rFonts w:asciiTheme="majorHAnsi" w:hAnsiTheme="majorHAnsi" w:cstheme="majorHAnsi"/>
          <w:color w:val="0A2240"/>
          <w:sz w:val="22"/>
          <w:szCs w:val="22"/>
        </w:rPr>
      </w:pPr>
      <w:r w:rsidRPr="00107405">
        <w:rPr>
          <w:rFonts w:asciiTheme="majorHAnsi" w:hAnsiTheme="majorHAnsi" w:cstheme="majorHAnsi"/>
          <w:color w:val="0A2240"/>
          <w:sz w:val="22"/>
          <w:szCs w:val="22"/>
        </w:rPr>
        <w:t>Parkes ACT 2600</w:t>
      </w:r>
    </w:p>
    <w:p w14:paraId="088314F6" w14:textId="5FE645DA" w:rsidR="00883FDB" w:rsidRPr="00107405" w:rsidRDefault="00883FDB" w:rsidP="00265599">
      <w:pPr>
        <w:rPr>
          <w:rFonts w:asciiTheme="majorHAnsi" w:eastAsia="Times New Roman" w:hAnsiTheme="majorHAnsi" w:cstheme="majorHAnsi"/>
          <w:color w:val="0A2240"/>
          <w:sz w:val="22"/>
          <w:szCs w:val="22"/>
        </w:rPr>
      </w:pPr>
    </w:p>
    <w:p w14:paraId="286566AB" w14:textId="77777777" w:rsidR="00012C46" w:rsidRPr="00107405" w:rsidRDefault="00012C46" w:rsidP="00DF7961">
      <w:pPr>
        <w:jc w:val="both"/>
        <w:rPr>
          <w:rFonts w:asciiTheme="majorHAnsi" w:hAnsiTheme="majorHAnsi" w:cstheme="majorHAnsi"/>
          <w:color w:val="0A2240"/>
          <w:sz w:val="22"/>
          <w:szCs w:val="22"/>
        </w:rPr>
      </w:pPr>
    </w:p>
    <w:p w14:paraId="2F1AC19D" w14:textId="2CE98537" w:rsidR="00417CD9" w:rsidRPr="00107405" w:rsidRDefault="0049312F" w:rsidP="001C6AB6">
      <w:pPr>
        <w:pStyle w:val="Default"/>
        <w:jc w:val="center"/>
        <w:outlineLvl w:val="0"/>
        <w:rPr>
          <w:rFonts w:asciiTheme="majorHAnsi" w:hAnsiTheme="majorHAnsi" w:cstheme="majorHAnsi"/>
          <w:color w:val="0A2240"/>
        </w:rPr>
      </w:pPr>
      <w:r>
        <w:rPr>
          <w:rFonts w:asciiTheme="majorHAnsi" w:hAnsiTheme="majorHAnsi" w:cstheme="majorHAnsi"/>
          <w:b/>
          <w:bCs/>
          <w:color w:val="0A2240"/>
        </w:rPr>
        <w:t>AFA Submission – Pre-Budget 2021/22</w:t>
      </w:r>
    </w:p>
    <w:p w14:paraId="29FFC573" w14:textId="77777777" w:rsidR="003A0CE2" w:rsidRPr="00107405" w:rsidRDefault="003A0CE2" w:rsidP="00DE7E22">
      <w:pPr>
        <w:pStyle w:val="Default"/>
        <w:rPr>
          <w:rFonts w:asciiTheme="majorHAnsi" w:hAnsiTheme="majorHAnsi" w:cstheme="majorHAnsi"/>
          <w:color w:val="0A2240"/>
          <w:sz w:val="22"/>
          <w:szCs w:val="22"/>
        </w:rPr>
      </w:pPr>
    </w:p>
    <w:p w14:paraId="75B43623" w14:textId="77777777" w:rsidR="00107405" w:rsidRPr="008761C6" w:rsidRDefault="00107405" w:rsidP="00107405">
      <w:pPr>
        <w:pStyle w:val="Default"/>
        <w:rPr>
          <w:rFonts w:ascii="Calibri" w:hAnsi="Calibri" w:cs="Calibri"/>
          <w:sz w:val="22"/>
          <w:szCs w:val="22"/>
          <w:lang w:val="en-AU"/>
        </w:rPr>
      </w:pPr>
      <w:r w:rsidRPr="008761C6">
        <w:rPr>
          <w:rFonts w:ascii="Calibri" w:hAnsi="Calibri" w:cs="Calibri"/>
          <w:sz w:val="22"/>
          <w:szCs w:val="22"/>
          <w:lang w:val="en-AU"/>
        </w:rPr>
        <w:t>The Association of Financial Advisers Limited (</w:t>
      </w:r>
      <w:r w:rsidRPr="008761C6">
        <w:rPr>
          <w:rFonts w:ascii="Calibri" w:hAnsi="Calibri" w:cs="Calibri"/>
          <w:b/>
          <w:bCs/>
          <w:sz w:val="22"/>
          <w:szCs w:val="22"/>
          <w:lang w:val="en-AU"/>
        </w:rPr>
        <w:t>AFA</w:t>
      </w:r>
      <w:r w:rsidRPr="008761C6">
        <w:rPr>
          <w:rFonts w:ascii="Calibri" w:hAnsi="Calibri" w:cs="Calibri"/>
          <w:sz w:val="22"/>
          <w:szCs w:val="22"/>
          <w:lang w:val="en-AU"/>
        </w:rPr>
        <w:t xml:space="preserve">) has served the financial advice industry for over 70 years.  Our objective is to achieve </w:t>
      </w:r>
      <w:r w:rsidRPr="008761C6">
        <w:rPr>
          <w:rFonts w:ascii="Calibri" w:hAnsi="Calibri" w:cs="Calibri"/>
          <w:i/>
          <w:iCs/>
          <w:sz w:val="22"/>
          <w:szCs w:val="22"/>
          <w:lang w:val="en-AU"/>
        </w:rPr>
        <w:t xml:space="preserve">Great Advice for More Australians </w:t>
      </w:r>
      <w:r w:rsidRPr="008761C6">
        <w:rPr>
          <w:rFonts w:ascii="Calibri" w:hAnsi="Calibri" w:cs="Calibri"/>
          <w:sz w:val="22"/>
          <w:szCs w:val="22"/>
          <w:lang w:val="en-AU"/>
        </w:rPr>
        <w:t xml:space="preserve">and we do this through: </w:t>
      </w:r>
    </w:p>
    <w:p w14:paraId="1D8DCFCF" w14:textId="77777777" w:rsidR="00107405" w:rsidRPr="008761C6" w:rsidRDefault="00107405" w:rsidP="00107405">
      <w:pPr>
        <w:pStyle w:val="Default"/>
        <w:rPr>
          <w:rFonts w:ascii="Calibri" w:hAnsi="Calibri" w:cs="Calibri"/>
          <w:sz w:val="22"/>
          <w:szCs w:val="22"/>
          <w:lang w:val="en-AU"/>
        </w:rPr>
      </w:pPr>
    </w:p>
    <w:p w14:paraId="6469EBAC" w14:textId="77777777"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advocating for appropriate policy settings for financial advice </w:t>
      </w:r>
    </w:p>
    <w:p w14:paraId="4E831D85" w14:textId="0A640F69"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enforcing a </w:t>
      </w:r>
      <w:r w:rsidR="00E12F43">
        <w:rPr>
          <w:rFonts w:ascii="Calibri" w:hAnsi="Calibri" w:cs="Calibri"/>
          <w:sz w:val="22"/>
          <w:szCs w:val="22"/>
          <w:lang w:val="en-AU"/>
        </w:rPr>
        <w:t>c</w:t>
      </w:r>
      <w:r w:rsidRPr="008761C6">
        <w:rPr>
          <w:rFonts w:ascii="Calibri" w:hAnsi="Calibri" w:cs="Calibri"/>
          <w:sz w:val="22"/>
          <w:szCs w:val="22"/>
          <w:lang w:val="en-AU"/>
        </w:rPr>
        <w:t xml:space="preserve">ode of </w:t>
      </w:r>
      <w:r w:rsidR="00E12F43">
        <w:rPr>
          <w:rFonts w:ascii="Calibri" w:hAnsi="Calibri" w:cs="Calibri"/>
          <w:sz w:val="22"/>
          <w:szCs w:val="22"/>
          <w:lang w:val="en-AU"/>
        </w:rPr>
        <w:t>e</w:t>
      </w:r>
      <w:r w:rsidR="00E12F43" w:rsidRPr="008761C6">
        <w:rPr>
          <w:rFonts w:ascii="Calibri" w:hAnsi="Calibri" w:cs="Calibri"/>
          <w:sz w:val="22"/>
          <w:szCs w:val="22"/>
          <w:lang w:val="en-AU"/>
        </w:rPr>
        <w:t xml:space="preserve">thical </w:t>
      </w:r>
      <w:r w:rsidR="00E12F43">
        <w:rPr>
          <w:rFonts w:ascii="Calibri" w:hAnsi="Calibri" w:cs="Calibri"/>
          <w:sz w:val="22"/>
          <w:szCs w:val="22"/>
          <w:lang w:val="en-AU"/>
        </w:rPr>
        <w:t>c</w:t>
      </w:r>
      <w:r w:rsidRPr="008761C6">
        <w:rPr>
          <w:rFonts w:ascii="Calibri" w:hAnsi="Calibri" w:cs="Calibri"/>
          <w:sz w:val="22"/>
          <w:szCs w:val="22"/>
          <w:lang w:val="en-AU"/>
        </w:rPr>
        <w:t xml:space="preserve">onduct </w:t>
      </w:r>
    </w:p>
    <w:p w14:paraId="171050B5" w14:textId="77777777"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investing in consumer-based research </w:t>
      </w:r>
    </w:p>
    <w:p w14:paraId="67F4FDFA" w14:textId="77777777"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developing professional development pathways for financial advisers </w:t>
      </w:r>
    </w:p>
    <w:p w14:paraId="3CC051F0" w14:textId="77777777"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connecting key stakeholders within the financial advice community </w:t>
      </w:r>
    </w:p>
    <w:p w14:paraId="3914302A" w14:textId="77777777" w:rsidR="00107405" w:rsidRPr="008761C6" w:rsidRDefault="00107405" w:rsidP="00107405">
      <w:pPr>
        <w:pStyle w:val="Default"/>
        <w:numPr>
          <w:ilvl w:val="0"/>
          <w:numId w:val="1"/>
        </w:numPr>
        <w:ind w:left="714" w:hanging="430"/>
        <w:rPr>
          <w:rFonts w:ascii="Calibri" w:hAnsi="Calibri" w:cs="Calibri"/>
          <w:sz w:val="22"/>
          <w:szCs w:val="22"/>
          <w:lang w:val="en-AU"/>
        </w:rPr>
      </w:pPr>
      <w:r w:rsidRPr="008761C6">
        <w:rPr>
          <w:rFonts w:ascii="Calibri" w:hAnsi="Calibri" w:cs="Calibri"/>
          <w:sz w:val="22"/>
          <w:szCs w:val="22"/>
          <w:lang w:val="en-AU"/>
        </w:rPr>
        <w:t xml:space="preserve">educating consumers around the importance of financial advice </w:t>
      </w:r>
    </w:p>
    <w:p w14:paraId="56889C24" w14:textId="77777777" w:rsidR="00107405" w:rsidRPr="008761C6" w:rsidRDefault="00107405" w:rsidP="00107405">
      <w:pPr>
        <w:pStyle w:val="Default"/>
        <w:ind w:left="714"/>
        <w:rPr>
          <w:rFonts w:ascii="Calibri" w:hAnsi="Calibri" w:cs="Calibri"/>
          <w:sz w:val="22"/>
          <w:szCs w:val="22"/>
          <w:lang w:val="en-AU"/>
        </w:rPr>
      </w:pPr>
    </w:p>
    <w:p w14:paraId="51DAE599" w14:textId="77777777" w:rsidR="00107405" w:rsidRPr="008761C6" w:rsidRDefault="00107405" w:rsidP="00107405">
      <w:pPr>
        <w:pStyle w:val="Default"/>
        <w:rPr>
          <w:rFonts w:ascii="Calibri" w:hAnsi="Calibri" w:cs="Calibri"/>
          <w:sz w:val="22"/>
          <w:szCs w:val="22"/>
          <w:lang w:val="en-AU"/>
        </w:rPr>
      </w:pPr>
      <w:r w:rsidRPr="008761C6">
        <w:rPr>
          <w:rFonts w:ascii="Calibri" w:hAnsi="Calibri" w:cs="Calibri"/>
          <w:sz w:val="22"/>
          <w:szCs w:val="22"/>
          <w:lang w:val="en-AU"/>
        </w:rPr>
        <w:t xml:space="preserve">The Board of the AFA is elected by the Membership and all Directors are currently practicing financial advisers.  This ensures that the policy positions taken by the AFA are framed with practical, workable outcomes in mind, but are also aligned to achieving our vision of having the quality of relationships shared between advisers and their clients understood and valued throughout society.  This will play a vital role in helping Australians reach their potential through building, managing and protecting their wealth. </w:t>
      </w:r>
    </w:p>
    <w:p w14:paraId="55A6F439" w14:textId="77777777" w:rsidR="00107405" w:rsidRPr="008761C6" w:rsidRDefault="00107405" w:rsidP="00107405">
      <w:pPr>
        <w:pStyle w:val="Default"/>
        <w:rPr>
          <w:rFonts w:ascii="Calibri" w:hAnsi="Calibri" w:cs="Calibri"/>
          <w:sz w:val="22"/>
          <w:szCs w:val="22"/>
          <w:lang w:val="en-AU"/>
        </w:rPr>
      </w:pPr>
    </w:p>
    <w:p w14:paraId="00F42027" w14:textId="77777777" w:rsidR="00107405" w:rsidRPr="008761C6" w:rsidRDefault="00107405" w:rsidP="00107405">
      <w:pPr>
        <w:pStyle w:val="Heading2"/>
        <w:spacing w:before="0"/>
        <w:rPr>
          <w:rFonts w:ascii="Calibri" w:hAnsi="Calibri" w:cs="Calibri"/>
          <w:b/>
          <w:sz w:val="22"/>
          <w:szCs w:val="22"/>
        </w:rPr>
      </w:pPr>
      <w:r w:rsidRPr="008761C6">
        <w:rPr>
          <w:rFonts w:ascii="Calibri" w:hAnsi="Calibri" w:cs="Calibri"/>
          <w:b/>
          <w:sz w:val="22"/>
          <w:szCs w:val="22"/>
        </w:rPr>
        <w:t xml:space="preserve">Introduction </w:t>
      </w:r>
    </w:p>
    <w:p w14:paraId="30822BCB" w14:textId="478F8EBD" w:rsidR="00107405" w:rsidRDefault="00107405" w:rsidP="00107405">
      <w:pPr>
        <w:jc w:val="both"/>
        <w:rPr>
          <w:rFonts w:ascii="Calibri" w:hAnsi="Calibri" w:cs="Calibri"/>
          <w:sz w:val="22"/>
          <w:szCs w:val="22"/>
        </w:rPr>
      </w:pPr>
    </w:p>
    <w:p w14:paraId="61C11834" w14:textId="22E9394A" w:rsidR="005E1DDA" w:rsidRDefault="00BD5434" w:rsidP="00DE7E22">
      <w:pPr>
        <w:rPr>
          <w:rFonts w:asciiTheme="majorHAnsi" w:hAnsiTheme="majorHAnsi" w:cstheme="majorHAnsi"/>
          <w:color w:val="0A2240"/>
          <w:sz w:val="22"/>
          <w:szCs w:val="22"/>
        </w:rPr>
      </w:pPr>
      <w:r>
        <w:rPr>
          <w:rFonts w:asciiTheme="majorHAnsi" w:hAnsiTheme="majorHAnsi" w:cstheme="majorHAnsi"/>
          <w:color w:val="0A2240"/>
          <w:sz w:val="22"/>
          <w:szCs w:val="22"/>
        </w:rPr>
        <w:t xml:space="preserve">The AFA welcomes the opportunity to provide Treasury with a pre-budget submission.  The COVID19 crisis </w:t>
      </w:r>
      <w:r w:rsidR="00781374">
        <w:rPr>
          <w:rFonts w:asciiTheme="majorHAnsi" w:hAnsiTheme="majorHAnsi" w:cstheme="majorHAnsi"/>
          <w:color w:val="0A2240"/>
          <w:sz w:val="22"/>
          <w:szCs w:val="22"/>
        </w:rPr>
        <w:t xml:space="preserve">has </w:t>
      </w:r>
      <w:r>
        <w:rPr>
          <w:rFonts w:asciiTheme="majorHAnsi" w:hAnsiTheme="majorHAnsi" w:cstheme="majorHAnsi"/>
          <w:color w:val="0A2240"/>
          <w:sz w:val="22"/>
          <w:szCs w:val="22"/>
        </w:rPr>
        <w:t>highlighted the importance of financial advice for Australians</w:t>
      </w:r>
      <w:r w:rsidR="0027472D">
        <w:rPr>
          <w:rFonts w:asciiTheme="majorHAnsi" w:hAnsiTheme="majorHAnsi" w:cstheme="majorHAnsi"/>
          <w:color w:val="0A2240"/>
          <w:sz w:val="22"/>
          <w:szCs w:val="22"/>
        </w:rPr>
        <w:t xml:space="preserve"> </w:t>
      </w:r>
      <w:r w:rsidR="009F6B8E">
        <w:rPr>
          <w:rFonts w:asciiTheme="majorHAnsi" w:hAnsiTheme="majorHAnsi" w:cstheme="majorHAnsi"/>
          <w:color w:val="0A2240"/>
          <w:sz w:val="22"/>
          <w:szCs w:val="22"/>
        </w:rPr>
        <w:t xml:space="preserve">through the </w:t>
      </w:r>
      <w:r w:rsidR="0027472D">
        <w:rPr>
          <w:rFonts w:asciiTheme="majorHAnsi" w:hAnsiTheme="majorHAnsi" w:cstheme="majorHAnsi"/>
          <w:color w:val="0A2240"/>
          <w:sz w:val="22"/>
          <w:szCs w:val="22"/>
        </w:rPr>
        <w:t>value it</w:t>
      </w:r>
      <w:r w:rsidR="009F6B8E">
        <w:rPr>
          <w:rFonts w:asciiTheme="majorHAnsi" w:hAnsiTheme="majorHAnsi" w:cstheme="majorHAnsi"/>
          <w:color w:val="0A2240"/>
          <w:sz w:val="22"/>
          <w:szCs w:val="22"/>
        </w:rPr>
        <w:t xml:space="preserve"> delivers </w:t>
      </w:r>
      <w:r w:rsidR="0027472D">
        <w:rPr>
          <w:rFonts w:asciiTheme="majorHAnsi" w:hAnsiTheme="majorHAnsi" w:cstheme="majorHAnsi"/>
          <w:color w:val="0A2240"/>
          <w:sz w:val="22"/>
          <w:szCs w:val="22"/>
        </w:rPr>
        <w:t xml:space="preserve">during times of adversity and financial uncertainty. </w:t>
      </w:r>
      <w:r>
        <w:rPr>
          <w:rFonts w:asciiTheme="majorHAnsi" w:hAnsiTheme="majorHAnsi" w:cstheme="majorHAnsi"/>
          <w:color w:val="0A2240"/>
          <w:sz w:val="22"/>
          <w:szCs w:val="22"/>
        </w:rPr>
        <w:t xml:space="preserve"> </w:t>
      </w:r>
      <w:r w:rsidR="009F6B8E">
        <w:rPr>
          <w:rFonts w:asciiTheme="majorHAnsi" w:hAnsiTheme="majorHAnsi" w:cstheme="majorHAnsi"/>
          <w:color w:val="0A2240"/>
          <w:sz w:val="22"/>
          <w:szCs w:val="22"/>
        </w:rPr>
        <w:t xml:space="preserve">During </w:t>
      </w:r>
      <w:r>
        <w:rPr>
          <w:rFonts w:asciiTheme="majorHAnsi" w:hAnsiTheme="majorHAnsi" w:cstheme="majorHAnsi"/>
          <w:color w:val="0A2240"/>
          <w:sz w:val="22"/>
          <w:szCs w:val="22"/>
        </w:rPr>
        <w:t xml:space="preserve">2020 </w:t>
      </w:r>
      <w:r w:rsidR="009F6B8E">
        <w:rPr>
          <w:rFonts w:asciiTheme="majorHAnsi" w:hAnsiTheme="majorHAnsi" w:cstheme="majorHAnsi"/>
          <w:color w:val="0A2240"/>
          <w:sz w:val="22"/>
          <w:szCs w:val="22"/>
        </w:rPr>
        <w:t>there was</w:t>
      </w:r>
      <w:r>
        <w:rPr>
          <w:rFonts w:asciiTheme="majorHAnsi" w:hAnsiTheme="majorHAnsi" w:cstheme="majorHAnsi"/>
          <w:color w:val="0A2240"/>
          <w:sz w:val="22"/>
          <w:szCs w:val="22"/>
        </w:rPr>
        <w:t xml:space="preserve"> an increased awareness</w:t>
      </w:r>
      <w:r w:rsidR="009F6B8E">
        <w:rPr>
          <w:rFonts w:asciiTheme="majorHAnsi" w:hAnsiTheme="majorHAnsi" w:cstheme="majorHAnsi"/>
          <w:color w:val="0A2240"/>
          <w:sz w:val="22"/>
          <w:szCs w:val="22"/>
        </w:rPr>
        <w:t xml:space="preserve"> within the </w:t>
      </w:r>
      <w:r w:rsidR="00E12F43">
        <w:rPr>
          <w:rFonts w:asciiTheme="majorHAnsi" w:hAnsiTheme="majorHAnsi" w:cstheme="majorHAnsi"/>
          <w:color w:val="0A2240"/>
          <w:sz w:val="22"/>
          <w:szCs w:val="22"/>
        </w:rPr>
        <w:t>broader financial services</w:t>
      </w:r>
      <w:r w:rsidR="009F6B8E">
        <w:rPr>
          <w:rFonts w:asciiTheme="majorHAnsi" w:hAnsiTheme="majorHAnsi" w:cstheme="majorHAnsi"/>
          <w:color w:val="0A2240"/>
          <w:sz w:val="22"/>
          <w:szCs w:val="22"/>
        </w:rPr>
        <w:t xml:space="preserve"> industry</w:t>
      </w:r>
      <w:r>
        <w:rPr>
          <w:rFonts w:asciiTheme="majorHAnsi" w:hAnsiTheme="majorHAnsi" w:cstheme="majorHAnsi"/>
          <w:color w:val="0A2240"/>
          <w:sz w:val="22"/>
          <w:szCs w:val="22"/>
        </w:rPr>
        <w:t xml:space="preserve"> </w:t>
      </w:r>
      <w:r w:rsidR="00E12F43">
        <w:rPr>
          <w:rFonts w:asciiTheme="majorHAnsi" w:hAnsiTheme="majorHAnsi" w:cstheme="majorHAnsi"/>
          <w:color w:val="0A2240"/>
          <w:sz w:val="22"/>
          <w:szCs w:val="22"/>
        </w:rPr>
        <w:t xml:space="preserve">and the community </w:t>
      </w:r>
      <w:r>
        <w:rPr>
          <w:rFonts w:asciiTheme="majorHAnsi" w:hAnsiTheme="majorHAnsi" w:cstheme="majorHAnsi"/>
          <w:color w:val="0A2240"/>
          <w:sz w:val="22"/>
          <w:szCs w:val="22"/>
        </w:rPr>
        <w:t>that a never</w:t>
      </w:r>
      <w:r w:rsidR="00E12F43">
        <w:rPr>
          <w:rFonts w:asciiTheme="majorHAnsi" w:hAnsiTheme="majorHAnsi" w:cstheme="majorHAnsi"/>
          <w:color w:val="0A2240"/>
          <w:sz w:val="22"/>
          <w:szCs w:val="22"/>
        </w:rPr>
        <w:t>-</w:t>
      </w:r>
      <w:r>
        <w:rPr>
          <w:rFonts w:asciiTheme="majorHAnsi" w:hAnsiTheme="majorHAnsi" w:cstheme="majorHAnsi"/>
          <w:color w:val="0A2240"/>
          <w:sz w:val="22"/>
          <w:szCs w:val="22"/>
        </w:rPr>
        <w:t xml:space="preserve">ending series of reforms </w:t>
      </w:r>
      <w:r w:rsidR="00781374">
        <w:rPr>
          <w:rFonts w:asciiTheme="majorHAnsi" w:hAnsiTheme="majorHAnsi" w:cstheme="majorHAnsi"/>
          <w:color w:val="0A2240"/>
          <w:sz w:val="22"/>
          <w:szCs w:val="22"/>
        </w:rPr>
        <w:t>h</w:t>
      </w:r>
      <w:r>
        <w:rPr>
          <w:rFonts w:asciiTheme="majorHAnsi" w:hAnsiTheme="majorHAnsi" w:cstheme="majorHAnsi"/>
          <w:color w:val="0A2240"/>
          <w:sz w:val="22"/>
          <w:szCs w:val="22"/>
        </w:rPr>
        <w:t>as materially increas</w:t>
      </w:r>
      <w:r w:rsidR="00781374">
        <w:rPr>
          <w:rFonts w:asciiTheme="majorHAnsi" w:hAnsiTheme="majorHAnsi" w:cstheme="majorHAnsi"/>
          <w:color w:val="0A2240"/>
          <w:sz w:val="22"/>
          <w:szCs w:val="22"/>
        </w:rPr>
        <w:t>ed</w:t>
      </w:r>
      <w:r>
        <w:rPr>
          <w:rFonts w:asciiTheme="majorHAnsi" w:hAnsiTheme="majorHAnsi" w:cstheme="majorHAnsi"/>
          <w:color w:val="0A2240"/>
          <w:sz w:val="22"/>
          <w:szCs w:val="22"/>
        </w:rPr>
        <w:t xml:space="preserve"> the cost of financial advice and significantly reduc</w:t>
      </w:r>
      <w:r w:rsidR="00781374">
        <w:rPr>
          <w:rFonts w:asciiTheme="majorHAnsi" w:hAnsiTheme="majorHAnsi" w:cstheme="majorHAnsi"/>
          <w:color w:val="0A2240"/>
          <w:sz w:val="22"/>
          <w:szCs w:val="22"/>
        </w:rPr>
        <w:t>ed</w:t>
      </w:r>
      <w:r>
        <w:rPr>
          <w:rFonts w:asciiTheme="majorHAnsi" w:hAnsiTheme="majorHAnsi" w:cstheme="majorHAnsi"/>
          <w:color w:val="0A2240"/>
          <w:sz w:val="22"/>
          <w:szCs w:val="22"/>
        </w:rPr>
        <w:t xml:space="preserve"> access to advice for everyday Australians.  It is clear that this outcome is </w:t>
      </w:r>
      <w:r w:rsidR="00781374">
        <w:rPr>
          <w:rFonts w:asciiTheme="majorHAnsi" w:hAnsiTheme="majorHAnsi" w:cstheme="majorHAnsi"/>
          <w:color w:val="0A2240"/>
          <w:sz w:val="22"/>
          <w:szCs w:val="22"/>
        </w:rPr>
        <w:t xml:space="preserve">now </w:t>
      </w:r>
      <w:r>
        <w:rPr>
          <w:rFonts w:asciiTheme="majorHAnsi" w:hAnsiTheme="majorHAnsi" w:cstheme="majorHAnsi"/>
          <w:color w:val="0A2240"/>
          <w:sz w:val="22"/>
          <w:szCs w:val="22"/>
        </w:rPr>
        <w:t>increasingly understood by the Government and ASIC.  The critical thing is to work out what can and should be done to reverse this disturbing trend</w:t>
      </w:r>
      <w:r w:rsidR="00E12F43">
        <w:rPr>
          <w:rFonts w:asciiTheme="majorHAnsi" w:hAnsiTheme="majorHAnsi" w:cstheme="majorHAnsi"/>
          <w:color w:val="0A2240"/>
          <w:sz w:val="22"/>
          <w:szCs w:val="22"/>
        </w:rPr>
        <w:t xml:space="preserve"> in access and affordability</w:t>
      </w:r>
      <w:r>
        <w:rPr>
          <w:rFonts w:asciiTheme="majorHAnsi" w:hAnsiTheme="majorHAnsi" w:cstheme="majorHAnsi"/>
          <w:color w:val="0A2240"/>
          <w:sz w:val="22"/>
          <w:szCs w:val="22"/>
        </w:rPr>
        <w:t>.</w:t>
      </w:r>
    </w:p>
    <w:p w14:paraId="19319BAF" w14:textId="46EFF29B" w:rsidR="00BD5434" w:rsidRDefault="00BD5434" w:rsidP="00DE7E22">
      <w:pPr>
        <w:rPr>
          <w:rFonts w:asciiTheme="majorHAnsi" w:hAnsiTheme="majorHAnsi" w:cstheme="majorHAnsi"/>
          <w:color w:val="0A2240"/>
          <w:sz w:val="22"/>
          <w:szCs w:val="22"/>
        </w:rPr>
      </w:pPr>
    </w:p>
    <w:p w14:paraId="7E3AEEDC" w14:textId="02BB73AC" w:rsidR="00CB245B" w:rsidRDefault="00CB245B" w:rsidP="00DE7E22">
      <w:pPr>
        <w:rPr>
          <w:rFonts w:asciiTheme="majorHAnsi" w:hAnsiTheme="majorHAnsi" w:cstheme="majorHAnsi"/>
          <w:color w:val="0A2240"/>
          <w:sz w:val="22"/>
          <w:szCs w:val="22"/>
        </w:rPr>
      </w:pPr>
      <w:r>
        <w:rPr>
          <w:rFonts w:asciiTheme="majorHAnsi" w:hAnsiTheme="majorHAnsi" w:cstheme="majorHAnsi"/>
          <w:color w:val="0A2240"/>
          <w:sz w:val="22"/>
          <w:szCs w:val="22"/>
        </w:rPr>
        <w:t>We understand that the Government is seeking to reduce the costs of doing business and to increase employment in small business.  The reality is very different in financial advice, where costs have been escalating rapidly and employment has fallen drastically.</w:t>
      </w:r>
    </w:p>
    <w:p w14:paraId="7C05C529" w14:textId="77777777" w:rsidR="00CB245B" w:rsidRDefault="00CB245B" w:rsidP="00DE7E22">
      <w:pPr>
        <w:rPr>
          <w:rFonts w:asciiTheme="majorHAnsi" w:hAnsiTheme="majorHAnsi" w:cstheme="majorHAnsi"/>
          <w:color w:val="0A2240"/>
          <w:sz w:val="22"/>
          <w:szCs w:val="22"/>
        </w:rPr>
      </w:pPr>
    </w:p>
    <w:p w14:paraId="4F8864F1" w14:textId="09B3C83C" w:rsidR="00BD5434" w:rsidRDefault="00BD5434" w:rsidP="00DE7E22">
      <w:pPr>
        <w:rPr>
          <w:rFonts w:asciiTheme="majorHAnsi" w:hAnsiTheme="majorHAnsi" w:cstheme="majorHAnsi"/>
          <w:color w:val="0A2240"/>
          <w:sz w:val="22"/>
          <w:szCs w:val="22"/>
        </w:rPr>
      </w:pPr>
      <w:r>
        <w:rPr>
          <w:rFonts w:asciiTheme="majorHAnsi" w:hAnsiTheme="majorHAnsi" w:cstheme="majorHAnsi"/>
          <w:color w:val="0A2240"/>
          <w:sz w:val="22"/>
          <w:szCs w:val="22"/>
        </w:rPr>
        <w:t xml:space="preserve">Contrary to the </w:t>
      </w:r>
      <w:r w:rsidR="009F6B8E">
        <w:rPr>
          <w:rFonts w:asciiTheme="majorHAnsi" w:hAnsiTheme="majorHAnsi" w:cstheme="majorHAnsi"/>
          <w:color w:val="0A2240"/>
          <w:sz w:val="22"/>
          <w:szCs w:val="22"/>
        </w:rPr>
        <w:t xml:space="preserve">largely negative </w:t>
      </w:r>
      <w:r>
        <w:rPr>
          <w:rFonts w:asciiTheme="majorHAnsi" w:hAnsiTheme="majorHAnsi" w:cstheme="majorHAnsi"/>
          <w:color w:val="0A2240"/>
          <w:sz w:val="22"/>
          <w:szCs w:val="22"/>
        </w:rPr>
        <w:t>perception</w:t>
      </w:r>
      <w:r w:rsidR="009F6B8E">
        <w:rPr>
          <w:rFonts w:asciiTheme="majorHAnsi" w:hAnsiTheme="majorHAnsi" w:cstheme="majorHAnsi"/>
          <w:color w:val="0A2240"/>
          <w:sz w:val="22"/>
          <w:szCs w:val="22"/>
        </w:rPr>
        <w:t xml:space="preserve"> of financial advisers</w:t>
      </w:r>
      <w:r>
        <w:rPr>
          <w:rFonts w:asciiTheme="majorHAnsi" w:hAnsiTheme="majorHAnsi" w:cstheme="majorHAnsi"/>
          <w:color w:val="0A2240"/>
          <w:sz w:val="22"/>
          <w:szCs w:val="22"/>
        </w:rPr>
        <w:t xml:space="preserve">, that has been promoted over recent years </w:t>
      </w:r>
      <w:r w:rsidR="009F6B8E">
        <w:rPr>
          <w:rFonts w:asciiTheme="majorHAnsi" w:hAnsiTheme="majorHAnsi" w:cstheme="majorHAnsi"/>
          <w:color w:val="0A2240"/>
          <w:sz w:val="22"/>
          <w:szCs w:val="22"/>
        </w:rPr>
        <w:t xml:space="preserve">through media and other self-interested stakeholder groups, </w:t>
      </w:r>
      <w:r>
        <w:rPr>
          <w:rFonts w:asciiTheme="majorHAnsi" w:hAnsiTheme="majorHAnsi" w:cstheme="majorHAnsi"/>
          <w:color w:val="0A2240"/>
          <w:sz w:val="22"/>
          <w:szCs w:val="22"/>
        </w:rPr>
        <w:t xml:space="preserve">and </w:t>
      </w:r>
      <w:r w:rsidR="009F6B8E">
        <w:rPr>
          <w:rFonts w:asciiTheme="majorHAnsi" w:hAnsiTheme="majorHAnsi" w:cstheme="majorHAnsi"/>
          <w:color w:val="0A2240"/>
          <w:sz w:val="22"/>
          <w:szCs w:val="22"/>
        </w:rPr>
        <w:t xml:space="preserve">influenced </w:t>
      </w:r>
      <w:r w:rsidR="00247C9B">
        <w:rPr>
          <w:rFonts w:asciiTheme="majorHAnsi" w:hAnsiTheme="majorHAnsi" w:cstheme="majorHAnsi"/>
          <w:color w:val="0A2240"/>
          <w:sz w:val="22"/>
          <w:szCs w:val="22"/>
        </w:rPr>
        <w:t>in many ways</w:t>
      </w:r>
      <w:r>
        <w:rPr>
          <w:rFonts w:asciiTheme="majorHAnsi" w:hAnsiTheme="majorHAnsi" w:cstheme="majorHAnsi"/>
          <w:color w:val="0A2240"/>
          <w:sz w:val="22"/>
          <w:szCs w:val="22"/>
        </w:rPr>
        <w:t xml:space="preserve"> by a Royal Commission that focussed almost exclusively on the wrong-doing of some large institutions, existing </w:t>
      </w:r>
      <w:r w:rsidR="00F30237">
        <w:rPr>
          <w:rFonts w:asciiTheme="majorHAnsi" w:hAnsiTheme="majorHAnsi" w:cstheme="majorHAnsi"/>
          <w:color w:val="0A2240"/>
          <w:sz w:val="22"/>
          <w:szCs w:val="22"/>
        </w:rPr>
        <w:t xml:space="preserve">financial advice </w:t>
      </w:r>
      <w:r>
        <w:rPr>
          <w:rFonts w:asciiTheme="majorHAnsi" w:hAnsiTheme="majorHAnsi" w:cstheme="majorHAnsi"/>
          <w:color w:val="0A2240"/>
          <w:sz w:val="22"/>
          <w:szCs w:val="22"/>
        </w:rPr>
        <w:t>clients highly value their financial adviser relationship and believe that they are getting much more back in return, when compared with what it costs.  This view has been enhanced by a large</w:t>
      </w:r>
      <w:r w:rsidR="00247C9B">
        <w:rPr>
          <w:rFonts w:asciiTheme="majorHAnsi" w:hAnsiTheme="majorHAnsi" w:cstheme="majorHAnsi"/>
          <w:color w:val="0A2240"/>
          <w:sz w:val="22"/>
          <w:szCs w:val="22"/>
        </w:rPr>
        <w:t>-</w:t>
      </w:r>
      <w:r>
        <w:rPr>
          <w:rFonts w:asciiTheme="majorHAnsi" w:hAnsiTheme="majorHAnsi" w:cstheme="majorHAnsi"/>
          <w:color w:val="0A2240"/>
          <w:sz w:val="22"/>
          <w:szCs w:val="22"/>
        </w:rPr>
        <w:t xml:space="preserve">scale research project recently completed by Core Data for IOOF.  The sceptical view put forward by the Banking Royal Commission on the value of financial advice </w:t>
      </w:r>
      <w:r w:rsidR="00247C9B">
        <w:rPr>
          <w:rFonts w:asciiTheme="majorHAnsi" w:hAnsiTheme="majorHAnsi" w:cstheme="majorHAnsi"/>
          <w:color w:val="0A2240"/>
          <w:sz w:val="22"/>
          <w:szCs w:val="22"/>
        </w:rPr>
        <w:t xml:space="preserve">to consumers </w:t>
      </w:r>
      <w:r>
        <w:rPr>
          <w:rFonts w:asciiTheme="majorHAnsi" w:hAnsiTheme="majorHAnsi" w:cstheme="majorHAnsi"/>
          <w:color w:val="0A2240"/>
          <w:sz w:val="22"/>
          <w:szCs w:val="22"/>
        </w:rPr>
        <w:t>has been dismissed by the many happy consumers of financial advice</w:t>
      </w:r>
      <w:r w:rsidR="00247C9B">
        <w:rPr>
          <w:rFonts w:asciiTheme="majorHAnsi" w:hAnsiTheme="majorHAnsi" w:cstheme="majorHAnsi"/>
          <w:color w:val="0A2240"/>
          <w:sz w:val="22"/>
          <w:szCs w:val="22"/>
        </w:rPr>
        <w:t xml:space="preserve"> in this study</w:t>
      </w:r>
      <w:r>
        <w:rPr>
          <w:rFonts w:asciiTheme="majorHAnsi" w:hAnsiTheme="majorHAnsi" w:cstheme="majorHAnsi"/>
          <w:color w:val="0A2240"/>
          <w:sz w:val="22"/>
          <w:szCs w:val="22"/>
        </w:rPr>
        <w:t xml:space="preserve">.  We would </w:t>
      </w:r>
      <w:r w:rsidR="00247C9B">
        <w:rPr>
          <w:rFonts w:asciiTheme="majorHAnsi" w:hAnsiTheme="majorHAnsi" w:cstheme="majorHAnsi"/>
          <w:color w:val="0A2240"/>
          <w:sz w:val="22"/>
          <w:szCs w:val="22"/>
        </w:rPr>
        <w:t xml:space="preserve">therefore </w:t>
      </w:r>
      <w:r>
        <w:rPr>
          <w:rFonts w:asciiTheme="majorHAnsi" w:hAnsiTheme="majorHAnsi" w:cstheme="majorHAnsi"/>
          <w:color w:val="0A2240"/>
          <w:sz w:val="22"/>
          <w:szCs w:val="22"/>
        </w:rPr>
        <w:t xml:space="preserve">argue that the Government should </w:t>
      </w:r>
      <w:r w:rsidR="00247C9B">
        <w:rPr>
          <w:rFonts w:asciiTheme="majorHAnsi" w:hAnsiTheme="majorHAnsi" w:cstheme="majorHAnsi"/>
          <w:color w:val="0A2240"/>
          <w:sz w:val="22"/>
          <w:szCs w:val="22"/>
        </w:rPr>
        <w:t>balance</w:t>
      </w:r>
      <w:r w:rsidR="00E12F43">
        <w:rPr>
          <w:rFonts w:asciiTheme="majorHAnsi" w:hAnsiTheme="majorHAnsi" w:cstheme="majorHAnsi"/>
          <w:color w:val="0A2240"/>
          <w:sz w:val="22"/>
          <w:szCs w:val="22"/>
        </w:rPr>
        <w:t xml:space="preserve"> what seems to be the</w:t>
      </w:r>
      <w:r w:rsidR="00247C9B">
        <w:rPr>
          <w:rFonts w:asciiTheme="majorHAnsi" w:hAnsiTheme="majorHAnsi" w:cstheme="majorHAnsi"/>
          <w:color w:val="0A2240"/>
          <w:sz w:val="22"/>
          <w:szCs w:val="22"/>
        </w:rPr>
        <w:t xml:space="preserve"> </w:t>
      </w:r>
      <w:r w:rsidR="00E12F43">
        <w:rPr>
          <w:rFonts w:asciiTheme="majorHAnsi" w:hAnsiTheme="majorHAnsi" w:cstheme="majorHAnsi"/>
          <w:color w:val="0A2240"/>
          <w:sz w:val="22"/>
          <w:szCs w:val="22"/>
        </w:rPr>
        <w:t xml:space="preserve">prevailing </w:t>
      </w:r>
      <w:r w:rsidR="00247C9B">
        <w:rPr>
          <w:rFonts w:asciiTheme="majorHAnsi" w:hAnsiTheme="majorHAnsi" w:cstheme="majorHAnsi"/>
          <w:color w:val="0A2240"/>
          <w:sz w:val="22"/>
          <w:szCs w:val="22"/>
        </w:rPr>
        <w:t>view</w:t>
      </w:r>
      <w:r w:rsidR="00E12F43">
        <w:rPr>
          <w:rFonts w:asciiTheme="majorHAnsi" w:hAnsiTheme="majorHAnsi" w:cstheme="majorHAnsi"/>
          <w:color w:val="0A2240"/>
          <w:sz w:val="22"/>
          <w:szCs w:val="22"/>
        </w:rPr>
        <w:t xml:space="preserve"> put forward by</w:t>
      </w:r>
      <w:r w:rsidR="00247C9B">
        <w:rPr>
          <w:rFonts w:asciiTheme="majorHAnsi" w:hAnsiTheme="majorHAnsi" w:cstheme="majorHAnsi"/>
          <w:color w:val="0A2240"/>
          <w:sz w:val="22"/>
          <w:szCs w:val="22"/>
        </w:rPr>
        <w:t xml:space="preserve"> </w:t>
      </w:r>
      <w:r w:rsidR="00E12F43">
        <w:rPr>
          <w:rFonts w:asciiTheme="majorHAnsi" w:hAnsiTheme="majorHAnsi" w:cstheme="majorHAnsi"/>
          <w:color w:val="0A2240"/>
          <w:sz w:val="22"/>
          <w:szCs w:val="22"/>
        </w:rPr>
        <w:t xml:space="preserve">uninformed detractors </w:t>
      </w:r>
      <w:r w:rsidR="00247C9B">
        <w:rPr>
          <w:rFonts w:asciiTheme="majorHAnsi" w:hAnsiTheme="majorHAnsi" w:cstheme="majorHAnsi"/>
          <w:color w:val="0A2240"/>
          <w:sz w:val="22"/>
          <w:szCs w:val="22"/>
        </w:rPr>
        <w:t xml:space="preserve">with evidence-based feedback from </w:t>
      </w:r>
      <w:r w:rsidR="00E91708">
        <w:rPr>
          <w:rFonts w:asciiTheme="majorHAnsi" w:hAnsiTheme="majorHAnsi" w:cstheme="majorHAnsi"/>
          <w:color w:val="0A2240"/>
          <w:sz w:val="22"/>
          <w:szCs w:val="22"/>
        </w:rPr>
        <w:t xml:space="preserve">actual existing </w:t>
      </w:r>
      <w:r>
        <w:rPr>
          <w:rFonts w:asciiTheme="majorHAnsi" w:hAnsiTheme="majorHAnsi" w:cstheme="majorHAnsi"/>
          <w:color w:val="0A2240"/>
          <w:sz w:val="22"/>
          <w:szCs w:val="22"/>
        </w:rPr>
        <w:t>clients.</w:t>
      </w:r>
    </w:p>
    <w:p w14:paraId="55928FD4" w14:textId="36B541B7" w:rsidR="00BD5434" w:rsidRDefault="00BD5434" w:rsidP="00DE7E22">
      <w:pPr>
        <w:rPr>
          <w:rFonts w:asciiTheme="majorHAnsi" w:hAnsiTheme="majorHAnsi" w:cstheme="majorHAnsi"/>
          <w:color w:val="0A2240"/>
          <w:sz w:val="22"/>
          <w:szCs w:val="22"/>
        </w:rPr>
      </w:pPr>
    </w:p>
    <w:p w14:paraId="62A6DBC0" w14:textId="51B4C975" w:rsidR="00E12F43" w:rsidRDefault="00E12F43" w:rsidP="00DE7E22">
      <w:pPr>
        <w:rPr>
          <w:rFonts w:asciiTheme="majorHAnsi" w:hAnsiTheme="majorHAnsi" w:cstheme="majorHAnsi"/>
          <w:color w:val="0A2240"/>
          <w:sz w:val="22"/>
          <w:szCs w:val="22"/>
        </w:rPr>
      </w:pPr>
      <w:r>
        <w:rPr>
          <w:rFonts w:asciiTheme="majorHAnsi" w:hAnsiTheme="majorHAnsi" w:cstheme="majorHAnsi"/>
          <w:color w:val="0A2240"/>
          <w:sz w:val="22"/>
          <w:szCs w:val="22"/>
        </w:rPr>
        <w:t>In fact</w:t>
      </w:r>
      <w:r w:rsidR="00E44762">
        <w:rPr>
          <w:rFonts w:asciiTheme="majorHAnsi" w:hAnsiTheme="majorHAnsi" w:cstheme="majorHAnsi"/>
          <w:color w:val="0A2240"/>
          <w:sz w:val="22"/>
          <w:szCs w:val="22"/>
        </w:rPr>
        <w:t>,</w:t>
      </w:r>
      <w:r>
        <w:rPr>
          <w:rFonts w:asciiTheme="majorHAnsi" w:hAnsiTheme="majorHAnsi" w:cstheme="majorHAnsi"/>
          <w:color w:val="0A2240"/>
          <w:sz w:val="22"/>
          <w:szCs w:val="22"/>
        </w:rPr>
        <w:t xml:space="preserve"> the Core Data research </w:t>
      </w:r>
      <w:r w:rsidR="00E44762">
        <w:rPr>
          <w:rFonts w:asciiTheme="majorHAnsi" w:hAnsiTheme="majorHAnsi" w:cstheme="majorHAnsi"/>
          <w:color w:val="0A2240"/>
          <w:sz w:val="22"/>
          <w:szCs w:val="22"/>
        </w:rPr>
        <w:t xml:space="preserve">reveals that the clients of </w:t>
      </w:r>
      <w:r>
        <w:rPr>
          <w:rFonts w:asciiTheme="majorHAnsi" w:hAnsiTheme="majorHAnsi" w:cstheme="majorHAnsi"/>
          <w:color w:val="0A2240"/>
          <w:sz w:val="22"/>
          <w:szCs w:val="22"/>
        </w:rPr>
        <w:t xml:space="preserve">IOOF </w:t>
      </w:r>
      <w:r w:rsidR="00E44762">
        <w:rPr>
          <w:rFonts w:asciiTheme="majorHAnsi" w:hAnsiTheme="majorHAnsi" w:cstheme="majorHAnsi"/>
          <w:color w:val="0A2240"/>
          <w:sz w:val="22"/>
          <w:szCs w:val="22"/>
        </w:rPr>
        <w:t>advisers</w:t>
      </w:r>
      <w:r>
        <w:rPr>
          <w:rFonts w:asciiTheme="majorHAnsi" w:hAnsiTheme="majorHAnsi" w:cstheme="majorHAnsi"/>
          <w:color w:val="0A2240"/>
          <w:sz w:val="22"/>
          <w:szCs w:val="22"/>
        </w:rPr>
        <w:t>:</w:t>
      </w:r>
    </w:p>
    <w:p w14:paraId="5D361047" w14:textId="57FEC5DD" w:rsidR="00E12F43" w:rsidRPr="00E44762" w:rsidRDefault="00E12F43" w:rsidP="00E44762">
      <w:pPr>
        <w:pStyle w:val="ListParagraph"/>
        <w:numPr>
          <w:ilvl w:val="0"/>
          <w:numId w:val="45"/>
        </w:numPr>
        <w:rPr>
          <w:rFonts w:asciiTheme="majorHAnsi" w:hAnsiTheme="majorHAnsi" w:cstheme="majorHAnsi"/>
          <w:color w:val="0A2240"/>
          <w:sz w:val="22"/>
          <w:szCs w:val="22"/>
        </w:rPr>
      </w:pPr>
      <w:r w:rsidRPr="00E44762">
        <w:rPr>
          <w:rFonts w:asciiTheme="majorHAnsi" w:hAnsiTheme="majorHAnsi" w:cstheme="majorHAnsi"/>
          <w:color w:val="0A2240"/>
          <w:sz w:val="22"/>
          <w:szCs w:val="22"/>
        </w:rPr>
        <w:t>Enjoy a sound understanding of the value of advice and are able to identify key elements of</w:t>
      </w:r>
      <w:r w:rsidRPr="00E12F43">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the advice offer that they recognise as having a value that exceeds the cost.</w:t>
      </w:r>
    </w:p>
    <w:p w14:paraId="79138ACC" w14:textId="6B164DD5" w:rsidR="00E12F43" w:rsidRPr="00E44762" w:rsidRDefault="00E12F43" w:rsidP="00E44762">
      <w:pPr>
        <w:pStyle w:val="ListParagraph"/>
        <w:numPr>
          <w:ilvl w:val="0"/>
          <w:numId w:val="45"/>
        </w:numPr>
        <w:rPr>
          <w:rFonts w:asciiTheme="majorHAnsi" w:hAnsiTheme="majorHAnsi" w:cstheme="majorHAnsi"/>
          <w:color w:val="0A2240"/>
          <w:sz w:val="22"/>
          <w:szCs w:val="22"/>
        </w:rPr>
      </w:pPr>
      <w:r w:rsidRPr="00E44762">
        <w:rPr>
          <w:rFonts w:asciiTheme="majorHAnsi" w:hAnsiTheme="majorHAnsi" w:cstheme="majorHAnsi"/>
          <w:color w:val="0A2240"/>
          <w:sz w:val="22"/>
          <w:szCs w:val="22"/>
        </w:rPr>
        <w:t>Highly regard and trust their advisers, demonstrate a significant level of loyalty and are strong</w:t>
      </w:r>
      <w:r w:rsidRPr="00E12F43">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net promoters</w:t>
      </w:r>
      <w:r w:rsidR="00E44762">
        <w:rPr>
          <w:rFonts w:asciiTheme="majorHAnsi" w:hAnsiTheme="majorHAnsi" w:cstheme="majorHAnsi"/>
          <w:color w:val="0A2240"/>
          <w:sz w:val="22"/>
          <w:szCs w:val="22"/>
        </w:rPr>
        <w:t>.</w:t>
      </w:r>
    </w:p>
    <w:p w14:paraId="39694D49" w14:textId="027C82C2" w:rsidR="00E12F43" w:rsidRPr="00E44762" w:rsidRDefault="00E12F43" w:rsidP="00E44762">
      <w:pPr>
        <w:pStyle w:val="ListParagraph"/>
        <w:numPr>
          <w:ilvl w:val="0"/>
          <w:numId w:val="45"/>
        </w:numPr>
        <w:rPr>
          <w:rFonts w:asciiTheme="majorHAnsi" w:hAnsiTheme="majorHAnsi" w:cstheme="majorHAnsi"/>
          <w:color w:val="0A2240"/>
          <w:sz w:val="22"/>
          <w:szCs w:val="22"/>
        </w:rPr>
      </w:pPr>
      <w:r w:rsidRPr="00E44762">
        <w:rPr>
          <w:rFonts w:asciiTheme="majorHAnsi" w:hAnsiTheme="majorHAnsi" w:cstheme="majorHAnsi"/>
          <w:color w:val="0A2240"/>
          <w:sz w:val="22"/>
          <w:szCs w:val="22"/>
        </w:rPr>
        <w:t>Exhibit a high level of self</w:t>
      </w:r>
      <w:r w:rsidR="00E44762">
        <w:rPr>
          <w:rFonts w:asciiTheme="majorHAnsi" w:hAnsiTheme="majorHAnsi" w:cstheme="majorHAnsi"/>
          <w:color w:val="0A2240"/>
          <w:sz w:val="22"/>
          <w:szCs w:val="22"/>
        </w:rPr>
        <w:t>-</w:t>
      </w:r>
      <w:r w:rsidRPr="00E44762">
        <w:rPr>
          <w:rFonts w:asciiTheme="majorHAnsi" w:hAnsiTheme="majorHAnsi" w:cstheme="majorHAnsi"/>
          <w:color w:val="0A2240"/>
          <w:sz w:val="22"/>
          <w:szCs w:val="22"/>
        </w:rPr>
        <w:t>assessed financial well</w:t>
      </w:r>
      <w:r w:rsidR="00E44762">
        <w:rPr>
          <w:rFonts w:asciiTheme="majorHAnsi" w:hAnsiTheme="majorHAnsi" w:cstheme="majorHAnsi"/>
          <w:color w:val="0A2240"/>
          <w:sz w:val="22"/>
          <w:szCs w:val="22"/>
        </w:rPr>
        <w:t>-</w:t>
      </w:r>
      <w:r w:rsidRPr="00E44762">
        <w:rPr>
          <w:rFonts w:asciiTheme="majorHAnsi" w:hAnsiTheme="majorHAnsi" w:cstheme="majorHAnsi"/>
          <w:color w:val="0A2240"/>
          <w:sz w:val="22"/>
          <w:szCs w:val="22"/>
        </w:rPr>
        <w:t>being, reflected in preparedness for</w:t>
      </w:r>
      <w:r w:rsidRPr="00E12F43">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retirement, a low tendency to worry about money and minimal impact of financial concern over</w:t>
      </w:r>
      <w:r w:rsidRPr="00E12F43">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their personal life and health.</w:t>
      </w:r>
    </w:p>
    <w:p w14:paraId="6144E403" w14:textId="7DB1069E" w:rsidR="00E12F43" w:rsidRPr="00E44762" w:rsidRDefault="00E12F43" w:rsidP="00E44762">
      <w:pPr>
        <w:pStyle w:val="ListParagraph"/>
        <w:numPr>
          <w:ilvl w:val="0"/>
          <w:numId w:val="45"/>
        </w:numPr>
        <w:rPr>
          <w:rFonts w:asciiTheme="majorHAnsi" w:hAnsiTheme="majorHAnsi" w:cstheme="majorHAnsi"/>
          <w:color w:val="0A2240"/>
          <w:sz w:val="22"/>
          <w:szCs w:val="22"/>
        </w:rPr>
      </w:pPr>
      <w:r w:rsidRPr="00E44762">
        <w:rPr>
          <w:rFonts w:asciiTheme="majorHAnsi" w:hAnsiTheme="majorHAnsi" w:cstheme="majorHAnsi"/>
          <w:color w:val="0A2240"/>
          <w:sz w:val="22"/>
          <w:szCs w:val="22"/>
        </w:rPr>
        <w:t>Find their journey through the advice process has provided them the ability to strongly rely on</w:t>
      </w:r>
      <w:r w:rsidR="00E44762" w:rsidRPr="00E44762">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their financial adviser for guidance, a clear understanding of the areas of their life in which</w:t>
      </w:r>
      <w:r w:rsidR="00E44762" w:rsidRPr="00E44762">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advice has helped them, greater confidence setting and achieving goals as well as a realistic</w:t>
      </w:r>
      <w:r w:rsidR="00E44762" w:rsidRPr="00E44762">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understanding of the cost.</w:t>
      </w:r>
    </w:p>
    <w:p w14:paraId="2A7FDD35" w14:textId="554CFB6A" w:rsidR="00E12F43" w:rsidRPr="00E44762" w:rsidRDefault="00E12F43" w:rsidP="00E44762">
      <w:pPr>
        <w:pStyle w:val="ListParagraph"/>
        <w:numPr>
          <w:ilvl w:val="0"/>
          <w:numId w:val="45"/>
        </w:numPr>
        <w:rPr>
          <w:rFonts w:asciiTheme="majorHAnsi" w:hAnsiTheme="majorHAnsi" w:cstheme="majorHAnsi"/>
          <w:color w:val="0A2240"/>
          <w:sz w:val="22"/>
          <w:szCs w:val="22"/>
        </w:rPr>
      </w:pPr>
      <w:r w:rsidRPr="00E44762">
        <w:rPr>
          <w:rFonts w:asciiTheme="majorHAnsi" w:hAnsiTheme="majorHAnsi" w:cstheme="majorHAnsi"/>
          <w:color w:val="0A2240"/>
          <w:sz w:val="22"/>
          <w:szCs w:val="22"/>
        </w:rPr>
        <w:t>Are fundamentally better off than unadvised consumers in a range of both tangible and less</w:t>
      </w:r>
      <w:r w:rsidR="00E44762" w:rsidRPr="00E44762">
        <w:rPr>
          <w:rFonts w:asciiTheme="majorHAnsi" w:hAnsiTheme="majorHAnsi" w:cstheme="majorHAnsi"/>
          <w:color w:val="0A2240"/>
          <w:sz w:val="22"/>
          <w:szCs w:val="22"/>
        </w:rPr>
        <w:t xml:space="preserve"> </w:t>
      </w:r>
      <w:r w:rsidRPr="00E44762">
        <w:rPr>
          <w:rFonts w:asciiTheme="majorHAnsi" w:hAnsiTheme="majorHAnsi" w:cstheme="majorHAnsi"/>
          <w:color w:val="0A2240"/>
          <w:sz w:val="22"/>
          <w:szCs w:val="22"/>
        </w:rPr>
        <w:t>tangible measures regardless of gender, age and wealth.</w:t>
      </w:r>
    </w:p>
    <w:p w14:paraId="2A2C097F" w14:textId="5AF65204" w:rsidR="00E12F43" w:rsidRDefault="00E12F43" w:rsidP="00DE7E22">
      <w:pPr>
        <w:rPr>
          <w:rFonts w:asciiTheme="majorHAnsi" w:hAnsiTheme="majorHAnsi" w:cstheme="majorHAnsi"/>
          <w:color w:val="0A2240"/>
          <w:sz w:val="22"/>
          <w:szCs w:val="22"/>
        </w:rPr>
      </w:pPr>
    </w:p>
    <w:p w14:paraId="7DAC84F3" w14:textId="550B561E" w:rsidR="00105E5E" w:rsidRPr="00424313" w:rsidRDefault="00E91708" w:rsidP="00105E5E">
      <w:pPr>
        <w:pStyle w:val="Heading2"/>
        <w:spacing w:before="0"/>
        <w:rPr>
          <w:rFonts w:cstheme="majorHAnsi"/>
          <w:b/>
          <w:color w:val="0A2240"/>
          <w:sz w:val="21"/>
          <w:szCs w:val="21"/>
        </w:rPr>
      </w:pPr>
      <w:r>
        <w:rPr>
          <w:rFonts w:cstheme="majorHAnsi"/>
          <w:b/>
          <w:color w:val="0A2240"/>
          <w:sz w:val="21"/>
          <w:szCs w:val="21"/>
        </w:rPr>
        <w:t xml:space="preserve">Background - </w:t>
      </w:r>
      <w:r w:rsidR="00B66093">
        <w:rPr>
          <w:rFonts w:cstheme="majorHAnsi"/>
          <w:b/>
          <w:color w:val="0A2240"/>
          <w:sz w:val="21"/>
          <w:szCs w:val="21"/>
        </w:rPr>
        <w:t>Decline in the Number of Financial Advisers</w:t>
      </w:r>
    </w:p>
    <w:p w14:paraId="61C27FC5" w14:textId="154E73D6" w:rsidR="00105E5E" w:rsidRDefault="00105E5E" w:rsidP="00DE7E22">
      <w:pPr>
        <w:rPr>
          <w:rFonts w:asciiTheme="majorHAnsi" w:hAnsiTheme="majorHAnsi" w:cstheme="majorHAnsi"/>
          <w:color w:val="0A2240"/>
          <w:sz w:val="22"/>
          <w:szCs w:val="22"/>
        </w:rPr>
      </w:pPr>
    </w:p>
    <w:p w14:paraId="2E8D5746" w14:textId="77777777" w:rsidR="00E44762" w:rsidRDefault="00247C9B" w:rsidP="007417A9">
      <w:pPr>
        <w:rPr>
          <w:rFonts w:asciiTheme="majorHAnsi" w:hAnsiTheme="majorHAnsi" w:cstheme="majorHAnsi"/>
          <w:color w:val="0A2240"/>
          <w:sz w:val="22"/>
          <w:szCs w:val="22"/>
        </w:rPr>
      </w:pPr>
      <w:r>
        <w:rPr>
          <w:rFonts w:asciiTheme="majorHAnsi" w:hAnsiTheme="majorHAnsi" w:cstheme="majorHAnsi"/>
          <w:color w:val="0A2240"/>
          <w:sz w:val="22"/>
          <w:szCs w:val="22"/>
        </w:rPr>
        <w:t xml:space="preserve">The decline in the number of financial advisers limits </w:t>
      </w:r>
      <w:r w:rsidR="00E44762">
        <w:rPr>
          <w:rFonts w:asciiTheme="majorHAnsi" w:hAnsiTheme="majorHAnsi" w:cstheme="majorHAnsi"/>
          <w:color w:val="0A2240"/>
          <w:sz w:val="22"/>
          <w:szCs w:val="22"/>
        </w:rPr>
        <w:t xml:space="preserve">the </w:t>
      </w:r>
      <w:r>
        <w:rPr>
          <w:rFonts w:asciiTheme="majorHAnsi" w:hAnsiTheme="majorHAnsi" w:cstheme="majorHAnsi"/>
          <w:color w:val="0A2240"/>
          <w:sz w:val="22"/>
          <w:szCs w:val="22"/>
        </w:rPr>
        <w:t xml:space="preserve">accessibility of advice for </w:t>
      </w:r>
      <w:r w:rsidR="00E44762">
        <w:rPr>
          <w:rFonts w:asciiTheme="majorHAnsi" w:hAnsiTheme="majorHAnsi" w:cstheme="majorHAnsi"/>
          <w:color w:val="0A2240"/>
          <w:sz w:val="22"/>
          <w:szCs w:val="22"/>
        </w:rPr>
        <w:t xml:space="preserve">Australian </w:t>
      </w:r>
      <w:r>
        <w:rPr>
          <w:rFonts w:asciiTheme="majorHAnsi" w:hAnsiTheme="majorHAnsi" w:cstheme="majorHAnsi"/>
          <w:color w:val="0A2240"/>
          <w:sz w:val="22"/>
          <w:szCs w:val="22"/>
        </w:rPr>
        <w:t>consumers</w:t>
      </w:r>
      <w:r w:rsidR="00E44762">
        <w:rPr>
          <w:rFonts w:asciiTheme="majorHAnsi" w:hAnsiTheme="majorHAnsi" w:cstheme="majorHAnsi"/>
          <w:color w:val="0A2240"/>
          <w:sz w:val="22"/>
          <w:szCs w:val="22"/>
        </w:rPr>
        <w:t>, and is only going to get worse over the next few years without strong actions from Government</w:t>
      </w:r>
      <w:r>
        <w:rPr>
          <w:rFonts w:asciiTheme="majorHAnsi" w:hAnsiTheme="majorHAnsi" w:cstheme="majorHAnsi"/>
          <w:color w:val="0A2240"/>
          <w:sz w:val="22"/>
          <w:szCs w:val="22"/>
        </w:rPr>
        <w:t xml:space="preserve">. </w:t>
      </w:r>
    </w:p>
    <w:p w14:paraId="059D0DAF" w14:textId="05B291BB" w:rsidR="00247C9B" w:rsidRDefault="00247C9B" w:rsidP="007417A9">
      <w:pPr>
        <w:rPr>
          <w:rFonts w:asciiTheme="majorHAnsi" w:hAnsiTheme="majorHAnsi" w:cstheme="majorHAnsi"/>
          <w:color w:val="0A2240"/>
          <w:sz w:val="22"/>
          <w:szCs w:val="22"/>
        </w:rPr>
      </w:pPr>
    </w:p>
    <w:p w14:paraId="2C3ED8B0" w14:textId="45A96E0E" w:rsidR="008D3694" w:rsidRDefault="00B66093" w:rsidP="007417A9">
      <w:pPr>
        <w:rPr>
          <w:rFonts w:asciiTheme="majorHAnsi" w:hAnsiTheme="majorHAnsi" w:cstheme="majorHAnsi"/>
          <w:color w:val="0A2240"/>
          <w:sz w:val="22"/>
          <w:szCs w:val="22"/>
        </w:rPr>
      </w:pPr>
      <w:r>
        <w:rPr>
          <w:rFonts w:asciiTheme="majorHAnsi" w:hAnsiTheme="majorHAnsi" w:cstheme="majorHAnsi"/>
          <w:color w:val="0A2240"/>
          <w:sz w:val="22"/>
          <w:szCs w:val="22"/>
        </w:rPr>
        <w:t>At the commencement of the new Professional Standards</w:t>
      </w:r>
      <w:r w:rsidR="00E91708">
        <w:rPr>
          <w:rFonts w:asciiTheme="majorHAnsi" w:hAnsiTheme="majorHAnsi" w:cstheme="majorHAnsi"/>
          <w:color w:val="0A2240"/>
          <w:sz w:val="22"/>
          <w:szCs w:val="22"/>
        </w:rPr>
        <w:t>/Financial Adviser Standards and Ethics Authority (FASEA)</w:t>
      </w:r>
      <w:r>
        <w:rPr>
          <w:rFonts w:asciiTheme="majorHAnsi" w:hAnsiTheme="majorHAnsi" w:cstheme="majorHAnsi"/>
          <w:color w:val="0A2240"/>
          <w:sz w:val="22"/>
          <w:szCs w:val="22"/>
        </w:rPr>
        <w:t xml:space="preserve"> regime in January 2019, there was a total of over 28,800 financial advisers on the Financial Adviser Register</w:t>
      </w:r>
      <w:r w:rsidR="009C2DAD">
        <w:rPr>
          <w:rFonts w:asciiTheme="majorHAnsi" w:hAnsiTheme="majorHAnsi" w:cstheme="majorHAnsi"/>
          <w:color w:val="0A2240"/>
          <w:sz w:val="22"/>
          <w:szCs w:val="22"/>
        </w:rPr>
        <w:t xml:space="preserve"> (FAR)</w:t>
      </w:r>
      <w:r>
        <w:rPr>
          <w:rFonts w:asciiTheme="majorHAnsi" w:hAnsiTheme="majorHAnsi" w:cstheme="majorHAnsi"/>
          <w:color w:val="0A2240"/>
          <w:sz w:val="22"/>
          <w:szCs w:val="22"/>
        </w:rPr>
        <w:t>.  Over the last two years</w:t>
      </w:r>
      <w:r w:rsidR="00E91708">
        <w:rPr>
          <w:rFonts w:asciiTheme="majorHAnsi" w:hAnsiTheme="majorHAnsi" w:cstheme="majorHAnsi"/>
          <w:color w:val="0A2240"/>
          <w:sz w:val="22"/>
          <w:szCs w:val="22"/>
        </w:rPr>
        <w:t>,</w:t>
      </w:r>
      <w:r>
        <w:rPr>
          <w:rFonts w:asciiTheme="majorHAnsi" w:hAnsiTheme="majorHAnsi" w:cstheme="majorHAnsi"/>
          <w:color w:val="0A2240"/>
          <w:sz w:val="22"/>
          <w:szCs w:val="22"/>
        </w:rPr>
        <w:t xml:space="preserve"> this number has declined to around 21,200</w:t>
      </w:r>
      <w:r w:rsidR="00D60BEE">
        <w:rPr>
          <w:rFonts w:asciiTheme="majorHAnsi" w:hAnsiTheme="majorHAnsi" w:cstheme="majorHAnsi"/>
          <w:color w:val="0A2240"/>
          <w:sz w:val="22"/>
          <w:szCs w:val="22"/>
        </w:rPr>
        <w:t xml:space="preserve"> in January 2021</w:t>
      </w:r>
      <w:r>
        <w:rPr>
          <w:rFonts w:asciiTheme="majorHAnsi" w:hAnsiTheme="majorHAnsi" w:cstheme="majorHAnsi"/>
          <w:color w:val="0A2240"/>
          <w:sz w:val="22"/>
          <w:szCs w:val="22"/>
        </w:rPr>
        <w:t>, representing a reduction o</w:t>
      </w:r>
      <w:r w:rsidR="00E91708">
        <w:rPr>
          <w:rFonts w:asciiTheme="majorHAnsi" w:hAnsiTheme="majorHAnsi" w:cstheme="majorHAnsi"/>
          <w:color w:val="0A2240"/>
          <w:sz w:val="22"/>
          <w:szCs w:val="22"/>
        </w:rPr>
        <w:t>f</w:t>
      </w:r>
      <w:r>
        <w:rPr>
          <w:rFonts w:asciiTheme="majorHAnsi" w:hAnsiTheme="majorHAnsi" w:cstheme="majorHAnsi"/>
          <w:color w:val="0A2240"/>
          <w:sz w:val="22"/>
          <w:szCs w:val="22"/>
        </w:rPr>
        <w:t xml:space="preserve"> approximately 7,600.  The number of Provisional Financial Advisers recorded on the Financial Adviser Register is only 58, which highlights the lack of new advisers coming into the financial advice sector.  </w:t>
      </w:r>
      <w:r w:rsidR="00E44762">
        <w:rPr>
          <w:rFonts w:asciiTheme="majorHAnsi" w:hAnsiTheme="majorHAnsi" w:cstheme="majorHAnsi"/>
          <w:color w:val="0A2240"/>
          <w:sz w:val="22"/>
          <w:szCs w:val="22"/>
        </w:rPr>
        <w:t>These changes to the market and the rapid exit of experienced financial advisers is due to a range of factors including the new exam and education standard (that fails to recognise experience), the increasing and overwhelming compliance requirements and resultant increasing costs and an overall decline in the economics of financial advice.</w:t>
      </w:r>
    </w:p>
    <w:p w14:paraId="57ABB041" w14:textId="70959A2F" w:rsidR="006647A5" w:rsidRDefault="006647A5" w:rsidP="007417A9">
      <w:pPr>
        <w:rPr>
          <w:rFonts w:asciiTheme="majorHAnsi" w:hAnsiTheme="majorHAnsi" w:cstheme="majorHAnsi"/>
          <w:color w:val="0A2240"/>
          <w:sz w:val="22"/>
          <w:szCs w:val="22"/>
        </w:rPr>
      </w:pPr>
    </w:p>
    <w:p w14:paraId="3648DE7B" w14:textId="61F07ADC" w:rsidR="006647A5" w:rsidRDefault="006647A5" w:rsidP="007417A9">
      <w:pPr>
        <w:rPr>
          <w:rFonts w:asciiTheme="majorHAnsi" w:hAnsiTheme="majorHAnsi" w:cstheme="majorHAnsi"/>
          <w:color w:val="0A2240"/>
          <w:sz w:val="22"/>
          <w:szCs w:val="22"/>
        </w:rPr>
      </w:pPr>
      <w:r>
        <w:rPr>
          <w:rFonts w:asciiTheme="majorHAnsi" w:hAnsiTheme="majorHAnsi" w:cstheme="majorHAnsi"/>
          <w:color w:val="0A2240"/>
          <w:sz w:val="22"/>
          <w:szCs w:val="22"/>
        </w:rPr>
        <w:t xml:space="preserve">In December 2020, FASEA announced the results of the November 2020 </w:t>
      </w:r>
      <w:r w:rsidR="00E91708">
        <w:rPr>
          <w:rFonts w:asciiTheme="majorHAnsi" w:hAnsiTheme="majorHAnsi" w:cstheme="majorHAnsi"/>
          <w:color w:val="0A2240"/>
          <w:sz w:val="22"/>
          <w:szCs w:val="22"/>
        </w:rPr>
        <w:t xml:space="preserve">financial adviser </w:t>
      </w:r>
      <w:r>
        <w:rPr>
          <w:rFonts w:asciiTheme="majorHAnsi" w:hAnsiTheme="majorHAnsi" w:cstheme="majorHAnsi"/>
          <w:color w:val="0A2240"/>
          <w:sz w:val="22"/>
          <w:szCs w:val="22"/>
        </w:rPr>
        <w:t xml:space="preserve">exam.  There are now 11,241 financial advisers who have passed the FASEA exam.  This leaves </w:t>
      </w:r>
      <w:r w:rsidR="00D60BEE">
        <w:rPr>
          <w:rFonts w:asciiTheme="majorHAnsi" w:hAnsiTheme="majorHAnsi" w:cstheme="majorHAnsi"/>
          <w:color w:val="0A2240"/>
          <w:sz w:val="22"/>
          <w:szCs w:val="22"/>
        </w:rPr>
        <w:t xml:space="preserve">around </w:t>
      </w:r>
      <w:r>
        <w:rPr>
          <w:rFonts w:asciiTheme="majorHAnsi" w:hAnsiTheme="majorHAnsi" w:cstheme="majorHAnsi"/>
          <w:color w:val="0A2240"/>
          <w:sz w:val="22"/>
          <w:szCs w:val="22"/>
        </w:rPr>
        <w:t>10,000 existing registered financial advisers who still need to pass the exam before the deadline at the end of 2021.  It seems inevitable that during the course of 2021 there will be a further significant decline in the number of financial advisers</w:t>
      </w:r>
      <w:r w:rsidR="004870FB">
        <w:rPr>
          <w:rFonts w:asciiTheme="majorHAnsi" w:hAnsiTheme="majorHAnsi" w:cstheme="majorHAnsi"/>
          <w:color w:val="0A2240"/>
          <w:sz w:val="22"/>
          <w:szCs w:val="22"/>
        </w:rPr>
        <w:t xml:space="preserve"> and no foreseeable increase in new advisers</w:t>
      </w:r>
      <w:r>
        <w:rPr>
          <w:rFonts w:asciiTheme="majorHAnsi" w:hAnsiTheme="majorHAnsi" w:cstheme="majorHAnsi"/>
          <w:color w:val="0A2240"/>
          <w:sz w:val="22"/>
          <w:szCs w:val="22"/>
        </w:rPr>
        <w:t>, making access to financial advice much more difficult.</w:t>
      </w:r>
    </w:p>
    <w:p w14:paraId="6061A1C4" w14:textId="77777777" w:rsidR="008D3694" w:rsidRPr="008761C6" w:rsidRDefault="008D3694" w:rsidP="008D3694">
      <w:pPr>
        <w:pStyle w:val="Default"/>
        <w:rPr>
          <w:rFonts w:ascii="Calibri" w:hAnsi="Calibri" w:cs="Calibri"/>
          <w:sz w:val="22"/>
          <w:szCs w:val="22"/>
          <w:lang w:val="en-AU"/>
        </w:rPr>
      </w:pPr>
    </w:p>
    <w:p w14:paraId="1C87CE2C" w14:textId="3E8B8DA9" w:rsidR="008D3694" w:rsidRPr="008761C6" w:rsidRDefault="008D3694" w:rsidP="008D3694">
      <w:pPr>
        <w:pStyle w:val="Heading2"/>
        <w:spacing w:before="0"/>
        <w:rPr>
          <w:rFonts w:ascii="Calibri" w:hAnsi="Calibri" w:cs="Calibri"/>
          <w:b/>
          <w:sz w:val="22"/>
          <w:szCs w:val="22"/>
        </w:rPr>
      </w:pPr>
      <w:r>
        <w:rPr>
          <w:rFonts w:ascii="Calibri" w:hAnsi="Calibri" w:cs="Calibri"/>
          <w:b/>
          <w:sz w:val="22"/>
          <w:szCs w:val="22"/>
        </w:rPr>
        <w:t>AFA Recommendation</w:t>
      </w:r>
    </w:p>
    <w:p w14:paraId="75603BB1" w14:textId="5C2DF9E1" w:rsidR="00A318B6" w:rsidRDefault="00A318B6" w:rsidP="00A318B6">
      <w:pPr>
        <w:rPr>
          <w:rFonts w:asciiTheme="majorHAnsi" w:hAnsiTheme="majorHAnsi" w:cstheme="majorHAnsi"/>
          <w:color w:val="0A2240"/>
          <w:sz w:val="22"/>
          <w:szCs w:val="22"/>
        </w:rPr>
      </w:pPr>
    </w:p>
    <w:p w14:paraId="6AD80EAB" w14:textId="187B1F60" w:rsidR="009C2DAD" w:rsidRDefault="009C2DAD" w:rsidP="00A318B6">
      <w:pPr>
        <w:rPr>
          <w:rFonts w:asciiTheme="majorHAnsi" w:hAnsiTheme="majorHAnsi" w:cstheme="majorHAnsi"/>
          <w:color w:val="0A2240"/>
          <w:sz w:val="22"/>
          <w:szCs w:val="22"/>
        </w:rPr>
      </w:pPr>
      <w:r>
        <w:rPr>
          <w:rFonts w:asciiTheme="majorHAnsi" w:hAnsiTheme="majorHAnsi" w:cstheme="majorHAnsi"/>
          <w:color w:val="0A2240"/>
          <w:sz w:val="22"/>
          <w:szCs w:val="22"/>
        </w:rPr>
        <w:t>In this submission</w:t>
      </w:r>
      <w:r w:rsidR="00D347D4">
        <w:rPr>
          <w:rFonts w:asciiTheme="majorHAnsi" w:hAnsiTheme="majorHAnsi" w:cstheme="majorHAnsi"/>
          <w:color w:val="0A2240"/>
          <w:sz w:val="22"/>
          <w:szCs w:val="22"/>
        </w:rPr>
        <w:t>,</w:t>
      </w:r>
      <w:r>
        <w:rPr>
          <w:rFonts w:asciiTheme="majorHAnsi" w:hAnsiTheme="majorHAnsi" w:cstheme="majorHAnsi"/>
          <w:color w:val="0A2240"/>
          <w:sz w:val="22"/>
          <w:szCs w:val="22"/>
        </w:rPr>
        <w:t xml:space="preserve"> we have focussed </w:t>
      </w:r>
      <w:r w:rsidR="00D347D4">
        <w:rPr>
          <w:rFonts w:asciiTheme="majorHAnsi" w:hAnsiTheme="majorHAnsi" w:cstheme="majorHAnsi"/>
          <w:color w:val="0A2240"/>
          <w:sz w:val="22"/>
          <w:szCs w:val="22"/>
        </w:rPr>
        <w:t xml:space="preserve">our attention </w:t>
      </w:r>
      <w:r>
        <w:rPr>
          <w:rFonts w:asciiTheme="majorHAnsi" w:hAnsiTheme="majorHAnsi" w:cstheme="majorHAnsi"/>
          <w:color w:val="0A2240"/>
          <w:sz w:val="22"/>
          <w:szCs w:val="22"/>
        </w:rPr>
        <w:t>upon a few key recommendations directly related to financial advice</w:t>
      </w:r>
      <w:r w:rsidR="00D347D4">
        <w:rPr>
          <w:rFonts w:asciiTheme="majorHAnsi" w:hAnsiTheme="majorHAnsi" w:cstheme="majorHAnsi"/>
          <w:color w:val="0A2240"/>
          <w:sz w:val="22"/>
          <w:szCs w:val="22"/>
        </w:rPr>
        <w:t xml:space="preserve"> and increasing access to advice and the affordability of financial advice</w:t>
      </w:r>
      <w:r w:rsidR="00D60BEE">
        <w:rPr>
          <w:rFonts w:asciiTheme="majorHAnsi" w:hAnsiTheme="majorHAnsi" w:cstheme="majorHAnsi"/>
          <w:color w:val="0A2240"/>
          <w:sz w:val="22"/>
          <w:szCs w:val="22"/>
        </w:rPr>
        <w:t>.</w:t>
      </w:r>
    </w:p>
    <w:p w14:paraId="296F31B1" w14:textId="77777777" w:rsidR="004B07F9" w:rsidRPr="002E5288" w:rsidRDefault="004B07F9" w:rsidP="004B07F9">
      <w:pPr>
        <w:rPr>
          <w:rFonts w:asciiTheme="majorHAnsi" w:hAnsiTheme="majorHAnsi" w:cstheme="majorHAnsi"/>
          <w:color w:val="0A2240"/>
          <w:sz w:val="22"/>
          <w:szCs w:val="22"/>
        </w:rPr>
      </w:pPr>
    </w:p>
    <w:p w14:paraId="29D2250D" w14:textId="77777777" w:rsidR="004B07F9" w:rsidRPr="00424313" w:rsidRDefault="004B07F9" w:rsidP="004B07F9">
      <w:pPr>
        <w:pStyle w:val="Heading2"/>
        <w:spacing w:before="0"/>
        <w:rPr>
          <w:rFonts w:cstheme="majorHAnsi"/>
          <w:b/>
          <w:color w:val="0A2240"/>
          <w:sz w:val="21"/>
          <w:szCs w:val="21"/>
        </w:rPr>
      </w:pPr>
      <w:r>
        <w:rPr>
          <w:rFonts w:cstheme="majorHAnsi"/>
          <w:b/>
          <w:color w:val="0A2240"/>
          <w:sz w:val="21"/>
          <w:szCs w:val="21"/>
        </w:rPr>
        <w:t>Tax Deductibility of Financial Advice</w:t>
      </w:r>
    </w:p>
    <w:p w14:paraId="7DE41DB7" w14:textId="77777777" w:rsidR="004B07F9" w:rsidRDefault="004B07F9" w:rsidP="004B07F9">
      <w:pPr>
        <w:rPr>
          <w:rFonts w:asciiTheme="majorHAnsi" w:hAnsiTheme="majorHAnsi" w:cstheme="majorHAnsi"/>
          <w:color w:val="0A2240"/>
          <w:sz w:val="22"/>
          <w:szCs w:val="22"/>
        </w:rPr>
      </w:pPr>
    </w:p>
    <w:p w14:paraId="3354E5F3"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At present the cost of ongoing financial advice, that is related to the earning of ongoing investment income, is tax deductible to consumers.  The cost of initial financial advice is not tax deductible.  Premiums for Income Protection insurance that cover the commissions paid to financial advisers are also tax deductible to many Australians, however, premiums for other forms of life insurance are not tax deductible, so the cost of advice, that is built into these premiums (through commissions) is also not tax deductible.</w:t>
      </w:r>
    </w:p>
    <w:p w14:paraId="5B06677A" w14:textId="77777777" w:rsidR="004B07F9" w:rsidRDefault="004B07F9" w:rsidP="004B07F9">
      <w:pPr>
        <w:rPr>
          <w:rFonts w:asciiTheme="majorHAnsi" w:hAnsiTheme="majorHAnsi" w:cstheme="majorHAnsi"/>
          <w:color w:val="0A2240"/>
          <w:sz w:val="22"/>
          <w:szCs w:val="22"/>
        </w:rPr>
      </w:pPr>
    </w:p>
    <w:p w14:paraId="1FBCA91C"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The cost of advice that is charged to a superannuation fund, or life insurance premiums paid by a superannuation fund, is deductible to the fund at the rate of 15%.</w:t>
      </w:r>
    </w:p>
    <w:p w14:paraId="23B05F54" w14:textId="77777777" w:rsidR="004B07F9" w:rsidRDefault="004B07F9" w:rsidP="004B07F9">
      <w:pPr>
        <w:rPr>
          <w:rFonts w:asciiTheme="majorHAnsi" w:hAnsiTheme="majorHAnsi" w:cstheme="majorHAnsi"/>
          <w:color w:val="0A2240"/>
          <w:sz w:val="22"/>
          <w:szCs w:val="22"/>
        </w:rPr>
      </w:pPr>
    </w:p>
    <w:p w14:paraId="4045F048"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In the context of the rapidly rising cost of financial advice, and the fact that cost is a significant detractor in people seeking advice, we recommend that the Government extends the current tax deductions to include up-front advice and the cost of advice on life insurance.  Access to tax deductions at the marginal tax rate will assist in reducing the cost of financial advice and therefore make it more affordable.</w:t>
      </w:r>
    </w:p>
    <w:p w14:paraId="561FE108" w14:textId="77777777" w:rsidR="004B07F9" w:rsidRDefault="004B07F9" w:rsidP="004B07F9">
      <w:pPr>
        <w:rPr>
          <w:rFonts w:asciiTheme="majorHAnsi" w:hAnsiTheme="majorHAnsi" w:cstheme="majorHAnsi"/>
          <w:color w:val="0A2240"/>
          <w:sz w:val="22"/>
          <w:szCs w:val="22"/>
        </w:rPr>
      </w:pPr>
    </w:p>
    <w:p w14:paraId="2008D8CF" w14:textId="57EDE35F"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This deduction should not be seen as a revenue reduction to the Government</w:t>
      </w:r>
      <w:r w:rsidR="00CA36E9">
        <w:rPr>
          <w:rFonts w:asciiTheme="majorHAnsi" w:hAnsiTheme="majorHAnsi" w:cstheme="majorHAnsi"/>
          <w:color w:val="0A2240"/>
          <w:sz w:val="22"/>
          <w:szCs w:val="22"/>
        </w:rPr>
        <w:t>,</w:t>
      </w:r>
      <w:r>
        <w:rPr>
          <w:rFonts w:asciiTheme="majorHAnsi" w:hAnsiTheme="majorHAnsi" w:cstheme="majorHAnsi"/>
          <w:color w:val="0A2240"/>
          <w:sz w:val="22"/>
          <w:szCs w:val="22"/>
        </w:rPr>
        <w:t xml:space="preserve"> but more an investment into creating awareness and encouraging Australians to take financial control of their own future and in doing so</w:t>
      </w:r>
      <w:r w:rsidR="00CA36E9">
        <w:rPr>
          <w:rFonts w:asciiTheme="majorHAnsi" w:hAnsiTheme="majorHAnsi" w:cstheme="majorHAnsi"/>
          <w:color w:val="0A2240"/>
          <w:sz w:val="22"/>
          <w:szCs w:val="22"/>
        </w:rPr>
        <w:t>,</w:t>
      </w:r>
      <w:r>
        <w:rPr>
          <w:rFonts w:asciiTheme="majorHAnsi" w:hAnsiTheme="majorHAnsi" w:cstheme="majorHAnsi"/>
          <w:color w:val="0A2240"/>
          <w:sz w:val="22"/>
          <w:szCs w:val="22"/>
        </w:rPr>
        <w:t xml:space="preserve"> reduce the short and long term burden on the Government.</w:t>
      </w:r>
    </w:p>
    <w:p w14:paraId="0E723C11" w14:textId="77777777" w:rsidR="004B07F9" w:rsidRDefault="004B07F9" w:rsidP="004B07F9">
      <w:pPr>
        <w:rPr>
          <w:rFonts w:asciiTheme="majorHAnsi" w:hAnsiTheme="majorHAnsi" w:cstheme="majorHAnsi"/>
          <w:color w:val="0A2240"/>
          <w:sz w:val="22"/>
          <w:szCs w:val="22"/>
        </w:rPr>
      </w:pPr>
    </w:p>
    <w:p w14:paraId="4F771ADD" w14:textId="5C389D76"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We understand that the Government might want to put a cap on this tax deduction for upfront advice as a control measure and we would support something that covers the majority of the mass market (i.e. fee</w:t>
      </w:r>
      <w:r w:rsidR="00CA36E9">
        <w:rPr>
          <w:rFonts w:asciiTheme="majorHAnsi" w:hAnsiTheme="majorHAnsi" w:cstheme="majorHAnsi"/>
          <w:color w:val="0A2240"/>
          <w:sz w:val="22"/>
          <w:szCs w:val="22"/>
        </w:rPr>
        <w:t>s</w:t>
      </w:r>
      <w:r>
        <w:rPr>
          <w:rFonts w:asciiTheme="majorHAnsi" w:hAnsiTheme="majorHAnsi" w:cstheme="majorHAnsi"/>
          <w:color w:val="0A2240"/>
          <w:sz w:val="22"/>
          <w:szCs w:val="22"/>
        </w:rPr>
        <w:t xml:space="preserve"> of up to $5,000).</w:t>
      </w:r>
    </w:p>
    <w:p w14:paraId="114E7C26" w14:textId="77777777" w:rsidR="004B07F9" w:rsidRDefault="004B07F9" w:rsidP="004B07F9">
      <w:pPr>
        <w:rPr>
          <w:rFonts w:asciiTheme="majorHAnsi" w:hAnsiTheme="majorHAnsi" w:cstheme="majorHAnsi"/>
          <w:color w:val="0A2240"/>
          <w:sz w:val="22"/>
          <w:szCs w:val="22"/>
        </w:rPr>
      </w:pPr>
    </w:p>
    <w:p w14:paraId="0AFD8AD6" w14:textId="77777777" w:rsidR="004B07F9" w:rsidRPr="00325478" w:rsidRDefault="004B07F9" w:rsidP="004B07F9">
      <w:pPr>
        <w:rPr>
          <w:rFonts w:asciiTheme="majorHAnsi" w:hAnsiTheme="majorHAnsi" w:cstheme="majorHAnsi"/>
          <w:b/>
          <w:bCs/>
          <w:color w:val="0A2240"/>
          <w:sz w:val="22"/>
          <w:szCs w:val="22"/>
        </w:rPr>
      </w:pPr>
      <w:r>
        <w:rPr>
          <w:rFonts w:asciiTheme="majorHAnsi" w:hAnsiTheme="majorHAnsi" w:cstheme="majorHAnsi"/>
          <w:b/>
          <w:bCs/>
          <w:color w:val="0A2240"/>
          <w:sz w:val="22"/>
          <w:szCs w:val="22"/>
        </w:rPr>
        <w:t>Addressing the Excessive Increase in the ASIC Funding Levy</w:t>
      </w:r>
    </w:p>
    <w:p w14:paraId="3BC3DCBB" w14:textId="77777777" w:rsidR="004B07F9" w:rsidRDefault="004B07F9" w:rsidP="004B07F9">
      <w:pPr>
        <w:rPr>
          <w:rFonts w:asciiTheme="majorHAnsi" w:hAnsiTheme="majorHAnsi" w:cstheme="majorHAnsi"/>
          <w:color w:val="0A2240"/>
          <w:sz w:val="22"/>
          <w:szCs w:val="22"/>
        </w:rPr>
      </w:pPr>
    </w:p>
    <w:p w14:paraId="63F7B31F"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 xml:space="preserve">The </w:t>
      </w:r>
      <w:r w:rsidRPr="009C2DAD">
        <w:rPr>
          <w:rFonts w:asciiTheme="majorHAnsi" w:hAnsiTheme="majorHAnsi" w:cstheme="majorHAnsi"/>
          <w:color w:val="0A2240"/>
          <w:sz w:val="22"/>
          <w:szCs w:val="22"/>
        </w:rPr>
        <w:t xml:space="preserve">total </w:t>
      </w:r>
      <w:r>
        <w:rPr>
          <w:rFonts w:asciiTheme="majorHAnsi" w:hAnsiTheme="majorHAnsi" w:cstheme="majorHAnsi"/>
          <w:color w:val="0A2240"/>
          <w:sz w:val="22"/>
          <w:szCs w:val="22"/>
        </w:rPr>
        <w:t xml:space="preserve">cost of ASIC’s oversight of </w:t>
      </w:r>
      <w:r w:rsidRPr="009C2DAD">
        <w:rPr>
          <w:rFonts w:asciiTheme="majorHAnsi" w:hAnsiTheme="majorHAnsi" w:cstheme="majorHAnsi"/>
          <w:color w:val="0A2240"/>
          <w:sz w:val="22"/>
          <w:szCs w:val="22"/>
        </w:rPr>
        <w:t xml:space="preserve">financial advisers who provide personal advice to retail clients on relevant financial products has increased from $26 million in 2017/18 to $33 million in 2018/19, and </w:t>
      </w:r>
      <w:r>
        <w:rPr>
          <w:rFonts w:asciiTheme="majorHAnsi" w:hAnsiTheme="majorHAnsi" w:cstheme="majorHAnsi"/>
          <w:color w:val="0A2240"/>
          <w:sz w:val="22"/>
          <w:szCs w:val="22"/>
        </w:rPr>
        <w:t>then</w:t>
      </w:r>
      <w:r w:rsidRPr="009C2DAD">
        <w:rPr>
          <w:rFonts w:asciiTheme="majorHAnsi" w:hAnsiTheme="majorHAnsi" w:cstheme="majorHAnsi"/>
          <w:color w:val="0A2240"/>
          <w:sz w:val="22"/>
          <w:szCs w:val="22"/>
        </w:rPr>
        <w:t xml:space="preserve"> </w:t>
      </w:r>
      <w:r>
        <w:rPr>
          <w:rFonts w:asciiTheme="majorHAnsi" w:hAnsiTheme="majorHAnsi" w:cstheme="majorHAnsi"/>
          <w:color w:val="0A2240"/>
          <w:sz w:val="22"/>
          <w:szCs w:val="22"/>
        </w:rPr>
        <w:t xml:space="preserve">to </w:t>
      </w:r>
      <w:r w:rsidRPr="009C2DAD">
        <w:rPr>
          <w:rFonts w:asciiTheme="majorHAnsi" w:hAnsiTheme="majorHAnsi" w:cstheme="majorHAnsi"/>
          <w:color w:val="0A2240"/>
          <w:sz w:val="22"/>
          <w:szCs w:val="22"/>
        </w:rPr>
        <w:t>$56.2 million in 2019/20</w:t>
      </w:r>
      <w:r>
        <w:rPr>
          <w:rFonts w:asciiTheme="majorHAnsi" w:hAnsiTheme="majorHAnsi" w:cstheme="majorHAnsi"/>
          <w:color w:val="0A2240"/>
          <w:sz w:val="22"/>
          <w:szCs w:val="22"/>
        </w:rPr>
        <w:t>.  The cost that is passed on to financial advisers has increased from $934 per adviser for 2017/18 to $1,134 in 2018/19 and then a proposed $2,426 for 2019/20.  This is an increase of 160% in just a two- year period.  Given that the full costs are being allocated across all financial advisers on the FAR, and the number of registered advisers is progressively declining, the costs can only continue to increase, unless the Government takes action.</w:t>
      </w:r>
    </w:p>
    <w:p w14:paraId="309F8727" w14:textId="77777777" w:rsidR="004B07F9" w:rsidRDefault="004B07F9" w:rsidP="004B07F9">
      <w:pPr>
        <w:rPr>
          <w:rFonts w:asciiTheme="majorHAnsi" w:hAnsiTheme="majorHAnsi" w:cstheme="majorHAnsi"/>
          <w:color w:val="0A2240"/>
          <w:sz w:val="22"/>
          <w:szCs w:val="22"/>
        </w:rPr>
      </w:pPr>
    </w:p>
    <w:p w14:paraId="7310A34E"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We called for relief on the ASIC Funding Levy during the COVID 19 crisis, and in December 2020, when we discovered that the ASIC spend on financial advisers had mysteriously increased from $40.1m to $56.2m, we called on the Minister and ASIC to explain what had happened and to provide relief.  We observe that more is spent by ASIC on the oversight of financial advice than any other regulated community that ASIC oversees and question the rationale for this, particularly when the number of financial advisers is declining so rapidly and at the same time the professional standards are being increased.</w:t>
      </w:r>
    </w:p>
    <w:p w14:paraId="6055D3C1" w14:textId="77777777" w:rsidR="004B07F9" w:rsidRDefault="004B07F9" w:rsidP="004B07F9">
      <w:pPr>
        <w:rPr>
          <w:rFonts w:asciiTheme="majorHAnsi" w:hAnsiTheme="majorHAnsi" w:cstheme="majorHAnsi"/>
          <w:color w:val="0A2240"/>
          <w:sz w:val="22"/>
          <w:szCs w:val="22"/>
        </w:rPr>
      </w:pPr>
    </w:p>
    <w:p w14:paraId="57A98D05"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We seek some clarity and transparency so as to understand what has driven this huge increase, however we presume that it could be the funding of ASIC enforcement action against some of the large institutions that were named in the Royal Commission.  If this is the case, then we strongly object to the proposition that small business financial advisers should be picking up the cost of court action against large institutions, many of whom have chosen to either exit the financial advice market or substantially scale back their advice businesses.  Many of the advisers have no choice but to pass on any increases in regulatory fees to their clients, which continues to increase the cost of advice and places advice out of the reach of everyday consumers.  Where small businesses are picking up the cost for large institutions, this would surely suggest that the funding model is flawed.</w:t>
      </w:r>
    </w:p>
    <w:p w14:paraId="1E93E6F7" w14:textId="77777777" w:rsidR="004B07F9" w:rsidRDefault="004B07F9" w:rsidP="004B07F9">
      <w:pPr>
        <w:rPr>
          <w:rFonts w:asciiTheme="majorHAnsi" w:hAnsiTheme="majorHAnsi" w:cstheme="majorHAnsi"/>
          <w:color w:val="0A2240"/>
          <w:sz w:val="22"/>
          <w:szCs w:val="22"/>
        </w:rPr>
      </w:pPr>
    </w:p>
    <w:p w14:paraId="2B1045A8"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We call on the Government to provide relief to financial advisers for the 2019/20 and 2020/21 years and to review the model for future years so a reasonable and sustainable levy can be maintained.  As a minimum, the funding levy should be pegged to the 2018/19 level.  Whatever the Banking Royal Commission revealed about these large institutions, it should not result in ASIC being able to exponentially increase their costs or to result in an ongoing disadvantage to small business financial advisers and as a result their clients.  In the context of this surprise increase in the ASIC spend on financial advisers, we believe that there needs to be a cap and changes to the framework to deliver greater transparency.</w:t>
      </w:r>
    </w:p>
    <w:p w14:paraId="2A4D1327" w14:textId="77777777" w:rsidR="004B07F9" w:rsidRDefault="004B07F9" w:rsidP="004B07F9">
      <w:pPr>
        <w:rPr>
          <w:rFonts w:asciiTheme="majorHAnsi" w:hAnsiTheme="majorHAnsi" w:cstheme="majorHAnsi"/>
          <w:color w:val="0A2240"/>
          <w:sz w:val="22"/>
          <w:szCs w:val="22"/>
        </w:rPr>
      </w:pPr>
    </w:p>
    <w:p w14:paraId="57526154" w14:textId="77777777" w:rsidR="00CA36E9" w:rsidRDefault="00CA36E9">
      <w:pPr>
        <w:rPr>
          <w:rFonts w:asciiTheme="majorHAnsi" w:hAnsiTheme="majorHAnsi" w:cstheme="majorHAnsi"/>
          <w:b/>
          <w:bCs/>
          <w:color w:val="0A2240"/>
          <w:sz w:val="22"/>
          <w:szCs w:val="22"/>
        </w:rPr>
      </w:pPr>
      <w:r>
        <w:rPr>
          <w:rFonts w:asciiTheme="majorHAnsi" w:hAnsiTheme="majorHAnsi" w:cstheme="majorHAnsi"/>
          <w:b/>
          <w:bCs/>
          <w:color w:val="0A2240"/>
          <w:sz w:val="22"/>
          <w:szCs w:val="22"/>
        </w:rPr>
        <w:br w:type="page"/>
      </w:r>
    </w:p>
    <w:p w14:paraId="69E47FD4" w14:textId="02FDA292" w:rsidR="004B07F9" w:rsidRPr="00325478" w:rsidRDefault="004B07F9" w:rsidP="004B07F9">
      <w:pPr>
        <w:rPr>
          <w:rFonts w:asciiTheme="majorHAnsi" w:hAnsiTheme="majorHAnsi" w:cstheme="majorHAnsi"/>
          <w:b/>
          <w:bCs/>
          <w:color w:val="0A2240"/>
          <w:sz w:val="22"/>
          <w:szCs w:val="22"/>
        </w:rPr>
      </w:pPr>
      <w:r>
        <w:rPr>
          <w:rFonts w:asciiTheme="majorHAnsi" w:hAnsiTheme="majorHAnsi" w:cstheme="majorHAnsi"/>
          <w:b/>
          <w:bCs/>
          <w:color w:val="0A2240"/>
          <w:sz w:val="22"/>
          <w:szCs w:val="22"/>
        </w:rPr>
        <w:t>Creating Growth and Employment Through Government Support for Professional Year Students</w:t>
      </w:r>
    </w:p>
    <w:p w14:paraId="7E08DED9" w14:textId="77777777" w:rsidR="004B07F9" w:rsidRDefault="004B07F9" w:rsidP="004B07F9">
      <w:pPr>
        <w:rPr>
          <w:rFonts w:asciiTheme="majorHAnsi" w:hAnsiTheme="majorHAnsi" w:cstheme="majorHAnsi"/>
          <w:color w:val="0A2240"/>
          <w:sz w:val="22"/>
          <w:szCs w:val="22"/>
        </w:rPr>
      </w:pPr>
    </w:p>
    <w:p w14:paraId="355A2E2F" w14:textId="5717AB73"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 xml:space="preserve">As we have highlighted above, at present there are only 58 Provisional Financial Advisers registered on the FAR.  This is the number of new financial advisers in the second half of their </w:t>
      </w:r>
      <w:r w:rsidR="00CA36E9">
        <w:rPr>
          <w:rFonts w:asciiTheme="majorHAnsi" w:hAnsiTheme="majorHAnsi" w:cstheme="majorHAnsi"/>
          <w:color w:val="0A2240"/>
          <w:sz w:val="22"/>
          <w:szCs w:val="22"/>
        </w:rPr>
        <w:t>Professional Y</w:t>
      </w:r>
      <w:r>
        <w:rPr>
          <w:rFonts w:asciiTheme="majorHAnsi" w:hAnsiTheme="majorHAnsi" w:cstheme="majorHAnsi"/>
          <w:color w:val="0A2240"/>
          <w:sz w:val="22"/>
          <w:szCs w:val="22"/>
        </w:rPr>
        <w:t>ear, who have passed the FASEA exam.  In an environment where 7,600 financial advisers have left the financial advice profession since December 2018</w:t>
      </w:r>
      <w:r w:rsidR="00CA36E9">
        <w:rPr>
          <w:rFonts w:asciiTheme="majorHAnsi" w:hAnsiTheme="majorHAnsi" w:cstheme="majorHAnsi"/>
          <w:color w:val="0A2240"/>
          <w:sz w:val="22"/>
          <w:szCs w:val="22"/>
        </w:rPr>
        <w:t>,</w:t>
      </w:r>
      <w:r>
        <w:rPr>
          <w:rFonts w:asciiTheme="majorHAnsi" w:hAnsiTheme="majorHAnsi" w:cstheme="majorHAnsi"/>
          <w:color w:val="0A2240"/>
          <w:sz w:val="22"/>
          <w:szCs w:val="22"/>
        </w:rPr>
        <w:t xml:space="preserve"> more needs to be done to ensure that they are being replaced by new advisers and to encourage more employment and growth in small business and more jobs for students.  There are a range of factors in play here, including the following:</w:t>
      </w:r>
    </w:p>
    <w:p w14:paraId="5FAA8495" w14:textId="77777777" w:rsidR="004B07F9" w:rsidRDefault="004B07F9" w:rsidP="004B07F9">
      <w:pPr>
        <w:pStyle w:val="ListParagraph"/>
        <w:numPr>
          <w:ilvl w:val="0"/>
          <w:numId w:val="44"/>
        </w:numPr>
        <w:rPr>
          <w:rFonts w:asciiTheme="majorHAnsi" w:hAnsiTheme="majorHAnsi" w:cstheme="majorHAnsi"/>
          <w:color w:val="0A2240"/>
          <w:sz w:val="22"/>
          <w:szCs w:val="22"/>
        </w:rPr>
      </w:pPr>
      <w:r>
        <w:rPr>
          <w:rFonts w:asciiTheme="majorHAnsi" w:hAnsiTheme="majorHAnsi" w:cstheme="majorHAnsi"/>
          <w:color w:val="0A2240"/>
          <w:sz w:val="22"/>
          <w:szCs w:val="22"/>
        </w:rPr>
        <w:t>The Professional Standards/FASEA reforms and the increased requirements for new entrants to the financial advice profession.</w:t>
      </w:r>
    </w:p>
    <w:p w14:paraId="2BAD3B38" w14:textId="77777777" w:rsidR="004B07F9" w:rsidRDefault="004B07F9" w:rsidP="004B07F9">
      <w:pPr>
        <w:pStyle w:val="ListParagraph"/>
        <w:numPr>
          <w:ilvl w:val="0"/>
          <w:numId w:val="44"/>
        </w:numPr>
        <w:rPr>
          <w:rFonts w:asciiTheme="majorHAnsi" w:hAnsiTheme="majorHAnsi" w:cstheme="majorHAnsi"/>
          <w:color w:val="0A2240"/>
          <w:sz w:val="22"/>
          <w:szCs w:val="22"/>
        </w:rPr>
      </w:pPr>
      <w:r>
        <w:rPr>
          <w:rFonts w:asciiTheme="majorHAnsi" w:hAnsiTheme="majorHAnsi" w:cstheme="majorHAnsi"/>
          <w:color w:val="0A2240"/>
          <w:sz w:val="22"/>
          <w:szCs w:val="22"/>
        </w:rPr>
        <w:t>The reputational damage and discouragement from entering the financial advice profession as a result of the negative slant and related media coverage from the Banking Royal Commission.</w:t>
      </w:r>
    </w:p>
    <w:p w14:paraId="2FC5AD2F" w14:textId="77777777" w:rsidR="004B07F9" w:rsidRDefault="004B07F9" w:rsidP="004B07F9">
      <w:pPr>
        <w:pStyle w:val="ListParagraph"/>
        <w:numPr>
          <w:ilvl w:val="0"/>
          <w:numId w:val="44"/>
        </w:numPr>
        <w:rPr>
          <w:rFonts w:asciiTheme="majorHAnsi" w:hAnsiTheme="majorHAnsi" w:cstheme="majorHAnsi"/>
          <w:color w:val="0A2240"/>
          <w:sz w:val="22"/>
          <w:szCs w:val="22"/>
        </w:rPr>
      </w:pPr>
      <w:r>
        <w:rPr>
          <w:rFonts w:asciiTheme="majorHAnsi" w:hAnsiTheme="majorHAnsi" w:cstheme="majorHAnsi"/>
          <w:color w:val="0A2240"/>
          <w:sz w:val="22"/>
          <w:szCs w:val="22"/>
        </w:rPr>
        <w:t>The exit, or significant downsizing of the large institutionally owned licensees, who were previously an important sector of the market for the development and support of new entrants.</w:t>
      </w:r>
    </w:p>
    <w:p w14:paraId="4D91B5BF" w14:textId="77777777" w:rsidR="004B07F9" w:rsidRPr="00F80B09" w:rsidRDefault="004B07F9" w:rsidP="004B07F9">
      <w:pPr>
        <w:pStyle w:val="ListParagraph"/>
        <w:numPr>
          <w:ilvl w:val="0"/>
          <w:numId w:val="44"/>
        </w:numPr>
        <w:rPr>
          <w:rFonts w:asciiTheme="majorHAnsi" w:hAnsiTheme="majorHAnsi" w:cstheme="majorHAnsi"/>
          <w:color w:val="0A2240"/>
          <w:sz w:val="22"/>
          <w:szCs w:val="22"/>
        </w:rPr>
      </w:pPr>
      <w:r>
        <w:rPr>
          <w:rFonts w:asciiTheme="majorHAnsi" w:hAnsiTheme="majorHAnsi" w:cstheme="majorHAnsi"/>
          <w:color w:val="0A2240"/>
          <w:sz w:val="22"/>
          <w:szCs w:val="22"/>
        </w:rPr>
        <w:t>The significant cost involved in bringing a new entrant into financial advice, including 100 hours of structured training and 1500 hours of on-the-job training, when their contribution to the business is limited and the employer would need to compete with other employers to attract candidates.</w:t>
      </w:r>
    </w:p>
    <w:p w14:paraId="69F639C6" w14:textId="77777777" w:rsidR="004B07F9" w:rsidRDefault="004B07F9" w:rsidP="004B07F9">
      <w:pPr>
        <w:rPr>
          <w:rFonts w:asciiTheme="majorHAnsi" w:hAnsiTheme="majorHAnsi" w:cstheme="majorHAnsi"/>
          <w:color w:val="0A2240"/>
          <w:sz w:val="22"/>
          <w:szCs w:val="22"/>
        </w:rPr>
      </w:pPr>
    </w:p>
    <w:p w14:paraId="26135585"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The majority of financial advice practices are small businesses who are currently under tremendous financial strain, however with the right incentive, they could grow their businesses and provide valuable employment opportunities to students after many years of study and set them up for a meaningful career.</w:t>
      </w:r>
    </w:p>
    <w:p w14:paraId="4EC49B11" w14:textId="77777777" w:rsidR="004B07F9" w:rsidRDefault="004B07F9" w:rsidP="004B07F9">
      <w:pPr>
        <w:rPr>
          <w:rFonts w:asciiTheme="majorHAnsi" w:hAnsiTheme="majorHAnsi" w:cstheme="majorHAnsi"/>
          <w:color w:val="0A2240"/>
          <w:sz w:val="22"/>
          <w:szCs w:val="22"/>
        </w:rPr>
      </w:pPr>
    </w:p>
    <w:p w14:paraId="677DCD84" w14:textId="42194254"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 xml:space="preserve">We therefore recommend that the Government provides an incentive for financial advice practices to employ Professional Year students.  This could work as a wage subsidy, as has been the case in the COVID 19 relief measures.  A $10,000 subsidy would make a material difference in encouraging financial advice practices to appoint Professional </w:t>
      </w:r>
      <w:r w:rsidR="00CA36E9">
        <w:rPr>
          <w:rFonts w:asciiTheme="majorHAnsi" w:hAnsiTheme="majorHAnsi" w:cstheme="majorHAnsi"/>
          <w:color w:val="0A2240"/>
          <w:sz w:val="22"/>
          <w:szCs w:val="22"/>
        </w:rPr>
        <w:t>Y</w:t>
      </w:r>
      <w:r>
        <w:rPr>
          <w:rFonts w:asciiTheme="majorHAnsi" w:hAnsiTheme="majorHAnsi" w:cstheme="majorHAnsi"/>
          <w:color w:val="0A2240"/>
          <w:sz w:val="22"/>
          <w:szCs w:val="22"/>
        </w:rPr>
        <w:t>ear candidates.</w:t>
      </w:r>
    </w:p>
    <w:p w14:paraId="7FF31C17" w14:textId="77777777" w:rsidR="008D3694" w:rsidRDefault="008D3694" w:rsidP="007417A9">
      <w:pPr>
        <w:rPr>
          <w:rFonts w:asciiTheme="majorHAnsi" w:hAnsiTheme="majorHAnsi" w:cstheme="majorHAnsi"/>
          <w:color w:val="0A2240"/>
          <w:sz w:val="22"/>
          <w:szCs w:val="22"/>
        </w:rPr>
      </w:pPr>
    </w:p>
    <w:p w14:paraId="7D4BBAD9" w14:textId="2C91FD22" w:rsidR="008D3694" w:rsidRDefault="00A318B6" w:rsidP="007417A9">
      <w:pPr>
        <w:rPr>
          <w:rFonts w:asciiTheme="majorHAnsi" w:hAnsiTheme="majorHAnsi" w:cstheme="majorHAnsi"/>
          <w:color w:val="0A2240"/>
          <w:sz w:val="22"/>
          <w:szCs w:val="22"/>
        </w:rPr>
      </w:pPr>
      <w:r>
        <w:rPr>
          <w:rFonts w:asciiTheme="majorHAnsi" w:hAnsiTheme="majorHAnsi" w:cstheme="majorHAnsi"/>
          <w:b/>
          <w:bCs/>
          <w:color w:val="0A2240"/>
          <w:sz w:val="22"/>
          <w:szCs w:val="22"/>
        </w:rPr>
        <w:t>Fully Leverage the Single Disciplinary Body Establishment</w:t>
      </w:r>
    </w:p>
    <w:p w14:paraId="4C671738" w14:textId="36A3A159" w:rsidR="008D3694" w:rsidRDefault="008D3694" w:rsidP="007417A9">
      <w:pPr>
        <w:rPr>
          <w:rFonts w:asciiTheme="majorHAnsi" w:hAnsiTheme="majorHAnsi" w:cstheme="majorHAnsi"/>
          <w:color w:val="0A2240"/>
          <w:sz w:val="22"/>
          <w:szCs w:val="22"/>
        </w:rPr>
      </w:pPr>
    </w:p>
    <w:p w14:paraId="3E71A5D4" w14:textId="511561D0" w:rsidR="00A91BE1" w:rsidRDefault="00A91BE1" w:rsidP="007417A9">
      <w:pPr>
        <w:rPr>
          <w:rFonts w:asciiTheme="majorHAnsi" w:hAnsiTheme="majorHAnsi" w:cstheme="majorHAnsi"/>
          <w:color w:val="0A2240"/>
          <w:sz w:val="22"/>
          <w:szCs w:val="22"/>
        </w:rPr>
      </w:pPr>
      <w:r>
        <w:rPr>
          <w:rFonts w:asciiTheme="majorHAnsi" w:hAnsiTheme="majorHAnsi" w:cstheme="majorHAnsi"/>
          <w:color w:val="0A2240"/>
          <w:sz w:val="22"/>
          <w:szCs w:val="22"/>
        </w:rPr>
        <w:t>On 9 December 2020, The Treasurer and the Assistant Minister for Superannuation, Financial Services and Financial Technology issued a media release</w:t>
      </w:r>
      <w:r w:rsidR="00D347D4">
        <w:rPr>
          <w:rFonts w:asciiTheme="majorHAnsi" w:hAnsiTheme="majorHAnsi" w:cstheme="majorHAnsi"/>
          <w:color w:val="0A2240"/>
          <w:sz w:val="22"/>
          <w:szCs w:val="22"/>
        </w:rPr>
        <w:t xml:space="preserve"> (</w:t>
      </w:r>
      <w:r w:rsidR="00D347D4" w:rsidRPr="00D347D4">
        <w:rPr>
          <w:rFonts w:asciiTheme="majorHAnsi" w:hAnsiTheme="majorHAnsi" w:cstheme="majorHAnsi"/>
          <w:color w:val="0A2240"/>
          <w:sz w:val="22"/>
          <w:szCs w:val="22"/>
        </w:rPr>
        <w:t>Strengthening and streamlining oversight of the financial advice sector</w:t>
      </w:r>
      <w:r w:rsidR="00D347D4">
        <w:rPr>
          <w:rFonts w:asciiTheme="majorHAnsi" w:hAnsiTheme="majorHAnsi" w:cstheme="majorHAnsi"/>
          <w:color w:val="0A2240"/>
          <w:sz w:val="22"/>
          <w:szCs w:val="22"/>
        </w:rPr>
        <w:t>)</w:t>
      </w:r>
      <w:r>
        <w:rPr>
          <w:rFonts w:asciiTheme="majorHAnsi" w:hAnsiTheme="majorHAnsi" w:cstheme="majorHAnsi"/>
          <w:color w:val="0A2240"/>
          <w:sz w:val="22"/>
          <w:szCs w:val="22"/>
        </w:rPr>
        <w:t xml:space="preserve">, announcing the establishment of a single disciplinary body for financial advisers and the winding up of FASEA.  We support this announcement as financial advice is subject to excessive and duplicative regulatory oversight.  There </w:t>
      </w:r>
      <w:r w:rsidR="00D347D4">
        <w:rPr>
          <w:rFonts w:asciiTheme="majorHAnsi" w:hAnsiTheme="majorHAnsi" w:cstheme="majorHAnsi"/>
          <w:color w:val="0A2240"/>
          <w:sz w:val="22"/>
          <w:szCs w:val="22"/>
        </w:rPr>
        <w:t>are</w:t>
      </w:r>
      <w:r>
        <w:rPr>
          <w:rFonts w:asciiTheme="majorHAnsi" w:hAnsiTheme="majorHAnsi" w:cstheme="majorHAnsi"/>
          <w:color w:val="0A2240"/>
          <w:sz w:val="22"/>
          <w:szCs w:val="22"/>
        </w:rPr>
        <w:t xml:space="preserve"> three main regulators of financial advice – ASIC, FASEA and the TPB.  This has resulted in multiple different sets of rules, different Codes of Ethics/Conduct, multiple disciplinary models and important</w:t>
      </w:r>
      <w:r w:rsidR="00D347D4">
        <w:rPr>
          <w:rFonts w:asciiTheme="majorHAnsi" w:hAnsiTheme="majorHAnsi" w:cstheme="majorHAnsi"/>
          <w:color w:val="0A2240"/>
          <w:sz w:val="22"/>
          <w:szCs w:val="22"/>
        </w:rPr>
        <w:t>ly</w:t>
      </w:r>
      <w:r>
        <w:rPr>
          <w:rFonts w:asciiTheme="majorHAnsi" w:hAnsiTheme="majorHAnsi" w:cstheme="majorHAnsi"/>
          <w:color w:val="0A2240"/>
          <w:sz w:val="22"/>
          <w:szCs w:val="22"/>
        </w:rPr>
        <w:t xml:space="preserve"> multiple fees.  Whilst the announcement did not refer to the TPB, we understand that they would be part of this rationalisation.</w:t>
      </w:r>
      <w:r w:rsidR="00D347D4">
        <w:rPr>
          <w:rFonts w:asciiTheme="majorHAnsi" w:hAnsiTheme="majorHAnsi" w:cstheme="majorHAnsi"/>
          <w:color w:val="0A2240"/>
          <w:sz w:val="22"/>
          <w:szCs w:val="22"/>
        </w:rPr>
        <w:t xml:space="preserve">  </w:t>
      </w:r>
      <w:r w:rsidR="004870FB">
        <w:rPr>
          <w:rFonts w:asciiTheme="majorHAnsi" w:hAnsiTheme="majorHAnsi" w:cstheme="majorHAnsi"/>
          <w:color w:val="0A2240"/>
          <w:sz w:val="22"/>
          <w:szCs w:val="22"/>
        </w:rPr>
        <w:t xml:space="preserve">To establish regulatory simplicity, efficiency and cost effectiveness across the </w:t>
      </w:r>
      <w:r w:rsidR="00CC5E8D">
        <w:rPr>
          <w:rFonts w:asciiTheme="majorHAnsi" w:hAnsiTheme="majorHAnsi" w:cstheme="majorHAnsi"/>
          <w:color w:val="0A2240"/>
          <w:sz w:val="22"/>
          <w:szCs w:val="22"/>
        </w:rPr>
        <w:t>sector</w:t>
      </w:r>
      <w:r w:rsidR="004870FB">
        <w:rPr>
          <w:rFonts w:asciiTheme="majorHAnsi" w:hAnsiTheme="majorHAnsi" w:cstheme="majorHAnsi"/>
          <w:color w:val="0A2240"/>
          <w:sz w:val="22"/>
          <w:szCs w:val="22"/>
        </w:rPr>
        <w:t>, t</w:t>
      </w:r>
      <w:r w:rsidR="00D347D4">
        <w:rPr>
          <w:rFonts w:asciiTheme="majorHAnsi" w:hAnsiTheme="majorHAnsi" w:cstheme="majorHAnsi"/>
          <w:color w:val="0A2240"/>
          <w:sz w:val="22"/>
          <w:szCs w:val="22"/>
        </w:rPr>
        <w:t>he AFA supports one regulator, one set of rules, one Code, one disciplinary system and one affordable fee.</w:t>
      </w:r>
    </w:p>
    <w:p w14:paraId="0D59A6AC" w14:textId="435BBD78" w:rsidR="00A91BE1" w:rsidRDefault="00A91BE1" w:rsidP="007417A9">
      <w:pPr>
        <w:rPr>
          <w:rFonts w:asciiTheme="majorHAnsi" w:hAnsiTheme="majorHAnsi" w:cstheme="majorHAnsi"/>
          <w:color w:val="0A2240"/>
          <w:sz w:val="22"/>
          <w:szCs w:val="22"/>
        </w:rPr>
      </w:pPr>
    </w:p>
    <w:p w14:paraId="31808C25" w14:textId="3C56555C" w:rsidR="00A91BE1" w:rsidRDefault="00A91BE1" w:rsidP="007417A9">
      <w:pPr>
        <w:rPr>
          <w:rFonts w:asciiTheme="majorHAnsi" w:hAnsiTheme="majorHAnsi" w:cstheme="majorHAnsi"/>
          <w:color w:val="0A2240"/>
          <w:sz w:val="22"/>
          <w:szCs w:val="22"/>
        </w:rPr>
      </w:pPr>
      <w:r>
        <w:rPr>
          <w:rFonts w:asciiTheme="majorHAnsi" w:hAnsiTheme="majorHAnsi" w:cstheme="majorHAnsi"/>
          <w:color w:val="0A2240"/>
          <w:sz w:val="22"/>
          <w:szCs w:val="22"/>
        </w:rPr>
        <w:t>We recommend to the Government to full</w:t>
      </w:r>
      <w:r w:rsidR="00D347D4">
        <w:rPr>
          <w:rFonts w:asciiTheme="majorHAnsi" w:hAnsiTheme="majorHAnsi" w:cstheme="majorHAnsi"/>
          <w:color w:val="0A2240"/>
          <w:sz w:val="22"/>
          <w:szCs w:val="22"/>
        </w:rPr>
        <w:t>y</w:t>
      </w:r>
      <w:r>
        <w:rPr>
          <w:rFonts w:asciiTheme="majorHAnsi" w:hAnsiTheme="majorHAnsi" w:cstheme="majorHAnsi"/>
          <w:color w:val="0A2240"/>
          <w:sz w:val="22"/>
          <w:szCs w:val="22"/>
        </w:rPr>
        <w:t xml:space="preserve"> leverage this </w:t>
      </w:r>
      <w:r w:rsidR="00CB245B">
        <w:rPr>
          <w:rFonts w:asciiTheme="majorHAnsi" w:hAnsiTheme="majorHAnsi" w:cstheme="majorHAnsi"/>
          <w:color w:val="0A2240"/>
          <w:sz w:val="22"/>
          <w:szCs w:val="22"/>
        </w:rPr>
        <w:t xml:space="preserve">Single Disciplinary Body </w:t>
      </w:r>
      <w:r>
        <w:rPr>
          <w:rFonts w:asciiTheme="majorHAnsi" w:hAnsiTheme="majorHAnsi" w:cstheme="majorHAnsi"/>
          <w:color w:val="0A2240"/>
          <w:sz w:val="22"/>
          <w:szCs w:val="22"/>
        </w:rPr>
        <w:t xml:space="preserve">rationalisation </w:t>
      </w:r>
      <w:r w:rsidR="00CB245B">
        <w:rPr>
          <w:rFonts w:asciiTheme="majorHAnsi" w:hAnsiTheme="majorHAnsi" w:cstheme="majorHAnsi"/>
          <w:color w:val="0A2240"/>
          <w:sz w:val="22"/>
          <w:szCs w:val="22"/>
        </w:rPr>
        <w:t xml:space="preserve">opportunity </w:t>
      </w:r>
      <w:r>
        <w:rPr>
          <w:rFonts w:asciiTheme="majorHAnsi" w:hAnsiTheme="majorHAnsi" w:cstheme="majorHAnsi"/>
          <w:color w:val="0A2240"/>
          <w:sz w:val="22"/>
          <w:szCs w:val="22"/>
        </w:rPr>
        <w:t xml:space="preserve">to ensure that </w:t>
      </w:r>
      <w:r w:rsidR="00CC5E8D">
        <w:rPr>
          <w:rFonts w:asciiTheme="majorHAnsi" w:hAnsiTheme="majorHAnsi" w:cstheme="majorHAnsi"/>
          <w:color w:val="0A2240"/>
          <w:sz w:val="22"/>
          <w:szCs w:val="22"/>
        </w:rPr>
        <w:t xml:space="preserve">in this exercise </w:t>
      </w:r>
      <w:r>
        <w:rPr>
          <w:rFonts w:asciiTheme="majorHAnsi" w:hAnsiTheme="majorHAnsi" w:cstheme="majorHAnsi"/>
          <w:color w:val="0A2240"/>
          <w:sz w:val="22"/>
          <w:szCs w:val="22"/>
        </w:rPr>
        <w:t xml:space="preserve">the regulatory regime for financial advice is simplified and that the regulatory oversight cost is reduced and the fees paid by financial advisers can decline.  It is our view that this is an important </w:t>
      </w:r>
      <w:r w:rsidR="00CC5E8D">
        <w:rPr>
          <w:rFonts w:asciiTheme="majorHAnsi" w:hAnsiTheme="majorHAnsi" w:cstheme="majorHAnsi"/>
          <w:color w:val="0A2240"/>
          <w:sz w:val="22"/>
          <w:szCs w:val="22"/>
        </w:rPr>
        <w:t xml:space="preserve">immediate </w:t>
      </w:r>
      <w:r>
        <w:rPr>
          <w:rFonts w:asciiTheme="majorHAnsi" w:hAnsiTheme="majorHAnsi" w:cstheme="majorHAnsi"/>
          <w:color w:val="0A2240"/>
          <w:sz w:val="22"/>
          <w:szCs w:val="22"/>
        </w:rPr>
        <w:t xml:space="preserve">opportunity to consider a range of </w:t>
      </w:r>
      <w:r w:rsidR="00CC5E8D">
        <w:rPr>
          <w:rFonts w:asciiTheme="majorHAnsi" w:hAnsiTheme="majorHAnsi" w:cstheme="majorHAnsi"/>
          <w:color w:val="0A2240"/>
          <w:sz w:val="22"/>
          <w:szCs w:val="22"/>
        </w:rPr>
        <w:t xml:space="preserve">options </w:t>
      </w:r>
      <w:r>
        <w:rPr>
          <w:rFonts w:asciiTheme="majorHAnsi" w:hAnsiTheme="majorHAnsi" w:cstheme="majorHAnsi"/>
          <w:color w:val="0A2240"/>
          <w:sz w:val="22"/>
          <w:szCs w:val="22"/>
        </w:rPr>
        <w:t>to simplify financial advice and to remove non-value adding activity and steps that ha</w:t>
      </w:r>
      <w:r w:rsidR="00D347D4">
        <w:rPr>
          <w:rFonts w:asciiTheme="majorHAnsi" w:hAnsiTheme="majorHAnsi" w:cstheme="majorHAnsi"/>
          <w:color w:val="0A2240"/>
          <w:sz w:val="22"/>
          <w:szCs w:val="22"/>
        </w:rPr>
        <w:t>ve</w:t>
      </w:r>
      <w:r>
        <w:rPr>
          <w:rFonts w:asciiTheme="majorHAnsi" w:hAnsiTheme="majorHAnsi" w:cstheme="majorHAnsi"/>
          <w:color w:val="0A2240"/>
          <w:sz w:val="22"/>
          <w:szCs w:val="22"/>
        </w:rPr>
        <w:t xml:space="preserve"> arisen over time due to regulatory overlap and excessive compliance standards.</w:t>
      </w:r>
      <w:r w:rsidR="00D347D4">
        <w:rPr>
          <w:rFonts w:asciiTheme="majorHAnsi" w:hAnsiTheme="majorHAnsi" w:cstheme="majorHAnsi"/>
          <w:color w:val="0A2240"/>
          <w:sz w:val="22"/>
          <w:szCs w:val="22"/>
        </w:rPr>
        <w:t xml:space="preserve">  We encourage the Government to consider a broader set of objectives in achieving this important reform.</w:t>
      </w:r>
    </w:p>
    <w:p w14:paraId="41FF2766" w14:textId="77777777" w:rsidR="004B07F9" w:rsidRPr="002E5288" w:rsidRDefault="004B07F9" w:rsidP="004B07F9">
      <w:pPr>
        <w:rPr>
          <w:rFonts w:asciiTheme="majorHAnsi" w:hAnsiTheme="majorHAnsi" w:cstheme="majorHAnsi"/>
          <w:color w:val="0A2240"/>
          <w:sz w:val="22"/>
          <w:szCs w:val="22"/>
        </w:rPr>
      </w:pPr>
    </w:p>
    <w:p w14:paraId="74975349" w14:textId="77777777" w:rsidR="004B07F9" w:rsidRPr="00424313" w:rsidRDefault="004B07F9" w:rsidP="004B07F9">
      <w:pPr>
        <w:pStyle w:val="Heading2"/>
        <w:spacing w:before="0"/>
        <w:rPr>
          <w:rFonts w:cstheme="majorHAnsi"/>
          <w:b/>
          <w:color w:val="0A2240"/>
          <w:sz w:val="21"/>
          <w:szCs w:val="21"/>
        </w:rPr>
      </w:pPr>
      <w:r>
        <w:rPr>
          <w:rFonts w:cstheme="majorHAnsi"/>
          <w:b/>
          <w:color w:val="0A2240"/>
          <w:sz w:val="21"/>
          <w:szCs w:val="21"/>
        </w:rPr>
        <w:t>Comprehensive Review of Financial Advice</w:t>
      </w:r>
    </w:p>
    <w:p w14:paraId="6C63128D" w14:textId="77777777" w:rsidR="004B07F9" w:rsidRDefault="004B07F9" w:rsidP="004B07F9">
      <w:pPr>
        <w:rPr>
          <w:rFonts w:asciiTheme="majorHAnsi" w:hAnsiTheme="majorHAnsi" w:cstheme="majorHAnsi"/>
          <w:color w:val="0A2240"/>
          <w:sz w:val="22"/>
          <w:szCs w:val="22"/>
        </w:rPr>
      </w:pPr>
    </w:p>
    <w:p w14:paraId="2FCB8EF4" w14:textId="77777777" w:rsidR="004B07F9" w:rsidRDefault="004B07F9" w:rsidP="004B07F9">
      <w:pPr>
        <w:rPr>
          <w:rFonts w:asciiTheme="majorHAnsi" w:hAnsiTheme="majorHAnsi" w:cstheme="majorHAnsi"/>
          <w:color w:val="0A2240"/>
          <w:sz w:val="22"/>
          <w:szCs w:val="22"/>
        </w:rPr>
      </w:pPr>
      <w:r>
        <w:rPr>
          <w:rFonts w:asciiTheme="majorHAnsi" w:hAnsiTheme="majorHAnsi" w:cstheme="majorHAnsi"/>
          <w:color w:val="0A2240"/>
          <w:sz w:val="22"/>
          <w:szCs w:val="22"/>
        </w:rPr>
        <w:t>We are very much aware of the recent project that ASIC have launched and the consultation process that they have undertaken in Consultation Paper 332 on ‘Promoting access to affordable advice for consumers’, however, we believe that a more comprehensive exercise will need to be undertaken to consider the full range of options to reduce the cost of financial advice and the regulatory inefficiency in the provision of financial advice and related services.  The Government is committed to red tape reduction and have devoted resources to achieve this objective.  Financial advice is an important sector and one where there is significant opportunity for re-engineering and establishing a modern platform that considers all stakeholders and provides a strong pathway for a sustainable future.  We encourage the Government to consider the establishment of a comprehensive review of the financial advice regulatory regime and to consider the impediments to the provision of efficient cost effective, affordable advice and to provide budget for this exercise.</w:t>
      </w:r>
    </w:p>
    <w:p w14:paraId="7D6338F3" w14:textId="77777777" w:rsidR="00BC3095" w:rsidRPr="002E5288" w:rsidRDefault="00BC3095" w:rsidP="00BC3095">
      <w:pPr>
        <w:pStyle w:val="Default"/>
        <w:rPr>
          <w:rFonts w:ascii="Calibri" w:hAnsi="Calibri" w:cs="Calibri"/>
          <w:sz w:val="22"/>
          <w:szCs w:val="22"/>
          <w:lang w:val="en-AU"/>
        </w:rPr>
      </w:pPr>
    </w:p>
    <w:p w14:paraId="4E0A8F0D" w14:textId="77777777" w:rsidR="00107405" w:rsidRPr="008761C6" w:rsidRDefault="00107405" w:rsidP="00107405">
      <w:pPr>
        <w:pStyle w:val="Heading2"/>
        <w:spacing w:before="0"/>
        <w:rPr>
          <w:rFonts w:ascii="Calibri" w:hAnsi="Calibri" w:cs="Calibri"/>
          <w:b/>
          <w:sz w:val="22"/>
          <w:szCs w:val="22"/>
        </w:rPr>
      </w:pPr>
      <w:r w:rsidRPr="008761C6">
        <w:rPr>
          <w:rFonts w:ascii="Calibri" w:hAnsi="Calibri" w:cs="Calibri"/>
          <w:b/>
          <w:sz w:val="22"/>
          <w:szCs w:val="22"/>
        </w:rPr>
        <w:t>Concluding Comments</w:t>
      </w:r>
    </w:p>
    <w:p w14:paraId="061EB7FF" w14:textId="77777777" w:rsidR="00107405" w:rsidRPr="002E5288" w:rsidRDefault="00107405" w:rsidP="00107405">
      <w:pPr>
        <w:jc w:val="both"/>
        <w:rPr>
          <w:rFonts w:ascii="Calibri" w:hAnsi="Calibri" w:cs="Calibri"/>
          <w:sz w:val="22"/>
          <w:szCs w:val="22"/>
        </w:rPr>
      </w:pPr>
    </w:p>
    <w:p w14:paraId="2DAB6D73" w14:textId="1FC6B3C1" w:rsidR="00916E1A" w:rsidRDefault="008F7C72" w:rsidP="001C6AB6">
      <w:pPr>
        <w:rPr>
          <w:rFonts w:asciiTheme="majorHAnsi" w:hAnsiTheme="majorHAnsi" w:cstheme="majorHAnsi"/>
          <w:color w:val="0A2240"/>
          <w:sz w:val="22"/>
          <w:szCs w:val="22"/>
        </w:rPr>
      </w:pPr>
      <w:r>
        <w:rPr>
          <w:rFonts w:asciiTheme="majorHAnsi" w:hAnsiTheme="majorHAnsi" w:cstheme="majorHAnsi"/>
          <w:color w:val="0A2240"/>
          <w:sz w:val="22"/>
          <w:szCs w:val="22"/>
        </w:rPr>
        <w:t>This is a very important time for financial advice</w:t>
      </w:r>
      <w:r w:rsidR="00916E1A">
        <w:rPr>
          <w:rFonts w:asciiTheme="majorHAnsi" w:hAnsiTheme="majorHAnsi" w:cstheme="majorHAnsi"/>
          <w:color w:val="0A2240"/>
          <w:sz w:val="22"/>
          <w:szCs w:val="22"/>
        </w:rPr>
        <w:t>.</w:t>
      </w:r>
      <w:r>
        <w:rPr>
          <w:rFonts w:asciiTheme="majorHAnsi" w:hAnsiTheme="majorHAnsi" w:cstheme="majorHAnsi"/>
          <w:color w:val="0A2240"/>
          <w:sz w:val="22"/>
          <w:szCs w:val="22"/>
        </w:rPr>
        <w:t xml:space="preserve">  Financial adviser numbers have been declining at a rapid rate, there is a </w:t>
      </w:r>
      <w:r w:rsidR="006B34BF">
        <w:rPr>
          <w:rFonts w:asciiTheme="majorHAnsi" w:hAnsiTheme="majorHAnsi" w:cstheme="majorHAnsi"/>
          <w:color w:val="0A2240"/>
          <w:sz w:val="22"/>
          <w:szCs w:val="22"/>
        </w:rPr>
        <w:t>fundamental</w:t>
      </w:r>
      <w:r>
        <w:rPr>
          <w:rFonts w:asciiTheme="majorHAnsi" w:hAnsiTheme="majorHAnsi" w:cstheme="majorHAnsi"/>
          <w:color w:val="0A2240"/>
          <w:sz w:val="22"/>
          <w:szCs w:val="22"/>
        </w:rPr>
        <w:t xml:space="preserve"> lack of new entrants and the cost to provide financial advice is rapidly increasing.  Without action by the Government, access to affordable financial advice is at risk for everyday Australians.  </w:t>
      </w:r>
      <w:r w:rsidR="007C039E">
        <w:rPr>
          <w:rFonts w:asciiTheme="majorHAnsi" w:hAnsiTheme="majorHAnsi" w:cstheme="majorHAnsi"/>
          <w:color w:val="0A2240"/>
          <w:sz w:val="22"/>
          <w:szCs w:val="22"/>
        </w:rPr>
        <w:t xml:space="preserve">The overlay of the COVID-19 pandemic has only served to increase focus </w:t>
      </w:r>
      <w:r w:rsidR="00701F5B">
        <w:rPr>
          <w:rFonts w:asciiTheme="majorHAnsi" w:hAnsiTheme="majorHAnsi" w:cstheme="majorHAnsi"/>
          <w:color w:val="0A2240"/>
          <w:sz w:val="22"/>
          <w:szCs w:val="22"/>
        </w:rPr>
        <w:t xml:space="preserve">on </w:t>
      </w:r>
      <w:r w:rsidR="007C039E">
        <w:rPr>
          <w:rFonts w:asciiTheme="majorHAnsi" w:hAnsiTheme="majorHAnsi" w:cstheme="majorHAnsi"/>
          <w:color w:val="0A2240"/>
          <w:sz w:val="22"/>
          <w:szCs w:val="22"/>
        </w:rPr>
        <w:t>the potential of financial advice to benefit everyday Australians, both tangibly and intangibly through financial wellbeing and preparedness for all stages of life</w:t>
      </w:r>
      <w:r w:rsidR="00CA36E9">
        <w:rPr>
          <w:rFonts w:asciiTheme="majorHAnsi" w:hAnsiTheme="majorHAnsi" w:cstheme="majorHAnsi"/>
          <w:color w:val="0A2240"/>
          <w:sz w:val="22"/>
          <w:szCs w:val="22"/>
        </w:rPr>
        <w:t>,</w:t>
      </w:r>
      <w:r w:rsidR="007C039E">
        <w:rPr>
          <w:rFonts w:asciiTheme="majorHAnsi" w:hAnsiTheme="majorHAnsi" w:cstheme="majorHAnsi"/>
          <w:color w:val="0A2240"/>
          <w:sz w:val="22"/>
          <w:szCs w:val="22"/>
        </w:rPr>
        <w:t xml:space="preserve"> including retirement. </w:t>
      </w:r>
      <w:r w:rsidR="00701F5B">
        <w:rPr>
          <w:rFonts w:asciiTheme="majorHAnsi" w:hAnsiTheme="majorHAnsi" w:cstheme="majorHAnsi"/>
          <w:color w:val="0A2240"/>
          <w:sz w:val="22"/>
          <w:szCs w:val="22"/>
        </w:rPr>
        <w:t xml:space="preserve"> </w:t>
      </w:r>
      <w:r w:rsidR="007C039E">
        <w:rPr>
          <w:rFonts w:asciiTheme="majorHAnsi" w:hAnsiTheme="majorHAnsi" w:cstheme="majorHAnsi"/>
          <w:color w:val="0A2240"/>
          <w:sz w:val="22"/>
          <w:szCs w:val="22"/>
        </w:rPr>
        <w:t xml:space="preserve">Surely now is the time to transform this important service to the community, slow the rate of decline and build a valued, respected and sustainable profession that adds value to the community and contributes as </w:t>
      </w:r>
      <w:r>
        <w:rPr>
          <w:rFonts w:asciiTheme="majorHAnsi" w:hAnsiTheme="majorHAnsi" w:cstheme="majorHAnsi"/>
          <w:color w:val="0A2240"/>
          <w:sz w:val="22"/>
          <w:szCs w:val="22"/>
        </w:rPr>
        <w:t>a vibrant and growing sector of the economy.</w:t>
      </w:r>
    </w:p>
    <w:p w14:paraId="2902A36D" w14:textId="77777777" w:rsidR="00916E1A" w:rsidRPr="002E5288" w:rsidRDefault="00916E1A" w:rsidP="001C6AB6">
      <w:pPr>
        <w:rPr>
          <w:rFonts w:asciiTheme="majorHAnsi" w:hAnsiTheme="majorHAnsi" w:cstheme="majorHAnsi"/>
          <w:color w:val="0A2240"/>
          <w:sz w:val="22"/>
          <w:szCs w:val="22"/>
        </w:rPr>
      </w:pPr>
    </w:p>
    <w:p w14:paraId="4ECEDEEE" w14:textId="38D6FF12" w:rsidR="00FF3DCD" w:rsidRPr="002E5288" w:rsidRDefault="00313FAF" w:rsidP="00DE7E22">
      <w:pPr>
        <w:rPr>
          <w:rFonts w:asciiTheme="majorHAnsi" w:hAnsiTheme="majorHAnsi" w:cstheme="majorHAnsi"/>
          <w:color w:val="0A2240"/>
          <w:sz w:val="22"/>
          <w:szCs w:val="22"/>
        </w:rPr>
      </w:pPr>
      <w:r w:rsidRPr="002E5288">
        <w:rPr>
          <w:rFonts w:asciiTheme="majorHAnsi" w:hAnsiTheme="majorHAnsi" w:cstheme="majorHAnsi"/>
          <w:color w:val="0A2240"/>
          <w:sz w:val="22"/>
          <w:szCs w:val="22"/>
        </w:rPr>
        <w:t xml:space="preserve">We </w:t>
      </w:r>
      <w:r w:rsidR="008F7C72">
        <w:rPr>
          <w:rFonts w:asciiTheme="majorHAnsi" w:hAnsiTheme="majorHAnsi" w:cstheme="majorHAnsi"/>
          <w:color w:val="0A2240"/>
          <w:sz w:val="22"/>
          <w:szCs w:val="22"/>
        </w:rPr>
        <w:t xml:space="preserve">thank you for the opportunity to provide a pre-budget submission and </w:t>
      </w:r>
      <w:r w:rsidRPr="002E5288">
        <w:rPr>
          <w:rFonts w:asciiTheme="majorHAnsi" w:hAnsiTheme="majorHAnsi" w:cstheme="majorHAnsi"/>
          <w:color w:val="0A2240"/>
          <w:sz w:val="22"/>
          <w:szCs w:val="22"/>
        </w:rPr>
        <w:t>would be happy to discuss th</w:t>
      </w:r>
      <w:r w:rsidR="006B34BF">
        <w:rPr>
          <w:rFonts w:asciiTheme="majorHAnsi" w:hAnsiTheme="majorHAnsi" w:cstheme="majorHAnsi"/>
          <w:color w:val="0A2240"/>
          <w:sz w:val="22"/>
          <w:szCs w:val="22"/>
        </w:rPr>
        <w:t>e</w:t>
      </w:r>
      <w:r w:rsidR="00EC4DF2" w:rsidRPr="002E5288">
        <w:rPr>
          <w:rFonts w:asciiTheme="majorHAnsi" w:hAnsiTheme="majorHAnsi" w:cstheme="majorHAnsi"/>
          <w:color w:val="0A2240"/>
          <w:sz w:val="22"/>
          <w:szCs w:val="22"/>
        </w:rPr>
        <w:t>s</w:t>
      </w:r>
      <w:r w:rsidR="006B34BF">
        <w:rPr>
          <w:rFonts w:asciiTheme="majorHAnsi" w:hAnsiTheme="majorHAnsi" w:cstheme="majorHAnsi"/>
          <w:color w:val="0A2240"/>
          <w:sz w:val="22"/>
          <w:szCs w:val="22"/>
        </w:rPr>
        <w:t>e</w:t>
      </w:r>
      <w:r w:rsidR="00EC4DF2" w:rsidRPr="002E5288">
        <w:rPr>
          <w:rFonts w:asciiTheme="majorHAnsi" w:hAnsiTheme="majorHAnsi" w:cstheme="majorHAnsi"/>
          <w:color w:val="0A2240"/>
          <w:sz w:val="22"/>
          <w:szCs w:val="22"/>
        </w:rPr>
        <w:t xml:space="preserve"> </w:t>
      </w:r>
      <w:r w:rsidR="006B34BF">
        <w:rPr>
          <w:rFonts w:asciiTheme="majorHAnsi" w:hAnsiTheme="majorHAnsi" w:cstheme="majorHAnsi"/>
          <w:color w:val="0A2240"/>
          <w:sz w:val="22"/>
          <w:szCs w:val="22"/>
        </w:rPr>
        <w:t>recommendations</w:t>
      </w:r>
      <w:r w:rsidRPr="002E5288">
        <w:rPr>
          <w:rFonts w:asciiTheme="majorHAnsi" w:hAnsiTheme="majorHAnsi" w:cstheme="majorHAnsi"/>
          <w:color w:val="0A2240"/>
          <w:sz w:val="22"/>
          <w:szCs w:val="22"/>
        </w:rPr>
        <w:t xml:space="preserve"> further</w:t>
      </w:r>
      <w:r w:rsidR="005B46BD" w:rsidRPr="002E5288">
        <w:rPr>
          <w:rFonts w:asciiTheme="majorHAnsi" w:hAnsiTheme="majorHAnsi" w:cstheme="majorHAnsi"/>
          <w:color w:val="0A2240"/>
          <w:sz w:val="22"/>
          <w:szCs w:val="22"/>
        </w:rPr>
        <w:t xml:space="preserve">, or to provide additional information if </w:t>
      </w:r>
      <w:r w:rsidR="009F6F5E" w:rsidRPr="002E5288">
        <w:rPr>
          <w:rFonts w:asciiTheme="majorHAnsi" w:hAnsiTheme="majorHAnsi" w:cstheme="majorHAnsi"/>
          <w:color w:val="0A2240"/>
          <w:sz w:val="22"/>
          <w:szCs w:val="22"/>
        </w:rPr>
        <w:t>required</w:t>
      </w:r>
      <w:r w:rsidR="00210C75" w:rsidRPr="002E5288">
        <w:rPr>
          <w:rFonts w:asciiTheme="majorHAnsi" w:hAnsiTheme="majorHAnsi" w:cstheme="majorHAnsi"/>
          <w:color w:val="0A2240"/>
          <w:sz w:val="22"/>
          <w:szCs w:val="22"/>
        </w:rPr>
        <w:t>.</w:t>
      </w:r>
      <w:r w:rsidR="008F7C72">
        <w:rPr>
          <w:rFonts w:asciiTheme="majorHAnsi" w:hAnsiTheme="majorHAnsi" w:cstheme="majorHAnsi"/>
          <w:color w:val="0A2240"/>
          <w:sz w:val="22"/>
          <w:szCs w:val="22"/>
        </w:rPr>
        <w:t xml:space="preserve">  Please contact us on (02) 9267 4003 if you have any questions about this submission.</w:t>
      </w:r>
    </w:p>
    <w:p w14:paraId="4279C148" w14:textId="77777777" w:rsidR="00304DB9" w:rsidRPr="002E5288" w:rsidRDefault="00304DB9" w:rsidP="00DE7E22">
      <w:pPr>
        <w:rPr>
          <w:rFonts w:asciiTheme="majorHAnsi" w:hAnsiTheme="majorHAnsi" w:cstheme="majorHAnsi"/>
          <w:color w:val="0A2240"/>
          <w:sz w:val="22"/>
          <w:szCs w:val="22"/>
        </w:rPr>
      </w:pPr>
    </w:p>
    <w:p w14:paraId="604EC4F0" w14:textId="0293A2F6" w:rsidR="0008466D" w:rsidRPr="00424313" w:rsidRDefault="00424313" w:rsidP="0008466D">
      <w:pPr>
        <w:spacing w:after="120"/>
        <w:rPr>
          <w:rFonts w:asciiTheme="majorHAnsi" w:hAnsiTheme="majorHAnsi" w:cstheme="majorHAnsi"/>
          <w:sz w:val="22"/>
          <w:szCs w:val="22"/>
        </w:rPr>
      </w:pPr>
      <w:r w:rsidRPr="002E5288">
        <w:rPr>
          <w:rFonts w:asciiTheme="majorHAnsi" w:hAnsiTheme="majorHAnsi" w:cstheme="majorHAnsi"/>
          <w:noProof/>
          <w:sz w:val="22"/>
          <w:szCs w:val="22"/>
          <w:lang w:eastAsia="en-AU"/>
        </w:rPr>
        <w:drawing>
          <wp:anchor distT="0" distB="0" distL="114300" distR="114300" simplePos="0" relativeHeight="251662336" behindDoc="0" locked="0" layoutInCell="1" allowOverlap="1" wp14:anchorId="4D796F2A" wp14:editId="7F1D207A">
            <wp:simplePos x="0" y="0"/>
            <wp:positionH relativeFrom="column">
              <wp:posOffset>3810</wp:posOffset>
            </wp:positionH>
            <wp:positionV relativeFrom="paragraph">
              <wp:posOffset>234315</wp:posOffset>
            </wp:positionV>
            <wp:extent cx="1205230" cy="590550"/>
            <wp:effectExtent l="0" t="0" r="0" b="0"/>
            <wp:wrapSquare wrapText="bothSides"/>
            <wp:docPr id="4" name="Picture 4" descr="C:\Users\afa-t\AppData\Local\Microsoft\Windows\INetCacheContent.Word\Phil'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t\AppData\Local\Microsoft\Windows\INetCacheContent.Word\Phil's signature.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6078" b="18557"/>
                    <a:stretch/>
                  </pic:blipFill>
                  <pic:spPr bwMode="auto">
                    <a:xfrm>
                      <a:off x="0" y="0"/>
                      <a:ext cx="1205230" cy="590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466D" w:rsidRPr="002E5288">
        <w:rPr>
          <w:rFonts w:asciiTheme="majorHAnsi" w:hAnsiTheme="majorHAnsi" w:cstheme="majorHAnsi"/>
          <w:sz w:val="22"/>
          <w:szCs w:val="22"/>
        </w:rPr>
        <w:t xml:space="preserve">Yours sincerely, </w:t>
      </w:r>
    </w:p>
    <w:p w14:paraId="48E60673" w14:textId="6BB7BB26" w:rsidR="0008466D" w:rsidRPr="00424313" w:rsidRDefault="0008466D" w:rsidP="0008466D">
      <w:pPr>
        <w:jc w:val="both"/>
        <w:rPr>
          <w:rFonts w:asciiTheme="majorHAnsi" w:hAnsiTheme="majorHAnsi" w:cstheme="majorHAnsi"/>
          <w:b/>
          <w:bCs/>
          <w:noProof/>
          <w:sz w:val="22"/>
          <w:szCs w:val="22"/>
          <w:lang w:eastAsia="en-AU"/>
        </w:rPr>
      </w:pPr>
    </w:p>
    <w:p w14:paraId="3B925839" w14:textId="0EDC2660" w:rsidR="0008466D" w:rsidRPr="00424313" w:rsidRDefault="0008466D" w:rsidP="0008466D">
      <w:pPr>
        <w:jc w:val="both"/>
        <w:rPr>
          <w:rFonts w:asciiTheme="majorHAnsi" w:hAnsiTheme="majorHAnsi" w:cstheme="majorHAnsi"/>
          <w:b/>
          <w:bCs/>
          <w:noProof/>
          <w:sz w:val="22"/>
          <w:szCs w:val="22"/>
          <w:lang w:eastAsia="en-AU"/>
        </w:rPr>
      </w:pPr>
    </w:p>
    <w:p w14:paraId="49B30154" w14:textId="77777777" w:rsidR="00424313" w:rsidRDefault="00424313" w:rsidP="0008466D">
      <w:pPr>
        <w:jc w:val="both"/>
        <w:outlineLvl w:val="0"/>
        <w:rPr>
          <w:rFonts w:asciiTheme="majorHAnsi" w:hAnsiTheme="majorHAnsi" w:cstheme="majorHAnsi"/>
          <w:b/>
          <w:bCs/>
          <w:sz w:val="22"/>
          <w:szCs w:val="22"/>
        </w:rPr>
      </w:pPr>
    </w:p>
    <w:p w14:paraId="7F7FFF5F" w14:textId="77777777" w:rsidR="00424313" w:rsidRDefault="00424313" w:rsidP="0008466D">
      <w:pPr>
        <w:jc w:val="both"/>
        <w:outlineLvl w:val="0"/>
        <w:rPr>
          <w:rFonts w:asciiTheme="majorHAnsi" w:hAnsiTheme="majorHAnsi" w:cstheme="majorHAnsi"/>
          <w:b/>
          <w:bCs/>
          <w:sz w:val="22"/>
          <w:szCs w:val="22"/>
        </w:rPr>
      </w:pPr>
    </w:p>
    <w:p w14:paraId="784F5281" w14:textId="6C74E242" w:rsidR="0008466D" w:rsidRPr="00424313" w:rsidRDefault="0008466D" w:rsidP="0008466D">
      <w:pPr>
        <w:jc w:val="both"/>
        <w:outlineLvl w:val="0"/>
        <w:rPr>
          <w:rFonts w:asciiTheme="majorHAnsi" w:hAnsiTheme="majorHAnsi" w:cstheme="majorHAnsi"/>
          <w:b/>
          <w:bCs/>
          <w:sz w:val="22"/>
          <w:szCs w:val="22"/>
        </w:rPr>
      </w:pPr>
      <w:r w:rsidRPr="00424313">
        <w:rPr>
          <w:rFonts w:asciiTheme="majorHAnsi" w:hAnsiTheme="majorHAnsi" w:cstheme="majorHAnsi"/>
          <w:b/>
          <w:bCs/>
          <w:sz w:val="22"/>
          <w:szCs w:val="22"/>
        </w:rPr>
        <w:t>Philip Kewin</w:t>
      </w:r>
    </w:p>
    <w:p w14:paraId="161D09DD" w14:textId="77777777" w:rsidR="0008466D" w:rsidRPr="00424313" w:rsidRDefault="0008466D" w:rsidP="0008466D">
      <w:pPr>
        <w:jc w:val="both"/>
        <w:outlineLvl w:val="0"/>
        <w:rPr>
          <w:rFonts w:asciiTheme="majorHAnsi" w:hAnsiTheme="majorHAnsi" w:cstheme="majorHAnsi"/>
          <w:bCs/>
          <w:sz w:val="22"/>
          <w:szCs w:val="22"/>
        </w:rPr>
      </w:pPr>
      <w:r w:rsidRPr="00424313">
        <w:rPr>
          <w:rFonts w:asciiTheme="majorHAnsi" w:hAnsiTheme="majorHAnsi" w:cstheme="majorHAnsi"/>
          <w:bCs/>
          <w:sz w:val="22"/>
          <w:szCs w:val="22"/>
        </w:rPr>
        <w:t xml:space="preserve">Chief Executive Officer </w:t>
      </w:r>
    </w:p>
    <w:p w14:paraId="1683BA35" w14:textId="6FE5EE7F" w:rsidR="00273301" w:rsidRPr="00424313" w:rsidRDefault="0008466D" w:rsidP="00424313">
      <w:pPr>
        <w:jc w:val="both"/>
        <w:outlineLvl w:val="0"/>
        <w:rPr>
          <w:rFonts w:asciiTheme="majorHAnsi" w:hAnsiTheme="majorHAnsi" w:cstheme="majorHAnsi"/>
          <w:color w:val="0A2240"/>
          <w:sz w:val="21"/>
          <w:szCs w:val="21"/>
          <w:shd w:val="clear" w:color="auto" w:fill="FFFFFF"/>
        </w:rPr>
      </w:pPr>
      <w:r w:rsidRPr="00424313">
        <w:rPr>
          <w:rFonts w:asciiTheme="majorHAnsi" w:hAnsiTheme="majorHAnsi" w:cstheme="majorHAnsi"/>
          <w:bCs/>
          <w:sz w:val="22"/>
          <w:szCs w:val="22"/>
        </w:rPr>
        <w:t>Association of Financial Advisers Ltd</w:t>
      </w:r>
    </w:p>
    <w:sectPr w:rsidR="00273301" w:rsidRPr="00424313" w:rsidSect="00424313">
      <w:headerReference w:type="default" r:id="rId18"/>
      <w:footerReference w:type="even" r:id="rId19"/>
      <w:footerReference w:type="default" r:id="rId20"/>
      <w:footerReference w:type="first" r:id="rId21"/>
      <w:pgSz w:w="11900" w:h="16840"/>
      <w:pgMar w:top="1361" w:right="1127" w:bottom="851"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6BD46" w14:textId="77777777" w:rsidR="00501629" w:rsidRDefault="00501629" w:rsidP="00D464B7">
      <w:r>
        <w:separator/>
      </w:r>
    </w:p>
  </w:endnote>
  <w:endnote w:type="continuationSeparator" w:id="0">
    <w:p w14:paraId="161480E9" w14:textId="77777777" w:rsidR="00501629" w:rsidRDefault="00501629" w:rsidP="00D4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45 Light">
    <w:altName w:val="Cambria"/>
    <w:charset w:val="00"/>
    <w:family w:val="auto"/>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55 Roman">
    <w:altName w:val="Cambria"/>
    <w:charset w:val="00"/>
    <w:family w:val="auto"/>
    <w:pitch w:val="variable"/>
    <w:sig w:usb0="00000001"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88D9" w14:textId="77777777" w:rsidR="00C372D7" w:rsidRDefault="00C372D7" w:rsidP="008248BC">
    <w:pPr>
      <w:pStyle w:val="Footer"/>
      <w:framePr w:wrap="around" w:vAnchor="text" w:hAnchor="margin" w:xAlign="center" w:y="1"/>
      <w:rPr>
        <w:rStyle w:val="PageNumber"/>
      </w:rPr>
    </w:pPr>
  </w:p>
  <w:p w14:paraId="16BBA5DB" w14:textId="77777777" w:rsidR="00C372D7" w:rsidRDefault="00C37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PRIMARYFOOTERSPECBEGIN1" w:displacedByCustomXml="next"/>
  <w:bookmarkEnd w:id="0" w:displacedByCustomXml="next"/>
  <w:bookmarkStart w:id="1" w:name="PRIMARYFOOTERSPECEND1" w:displacedByCustomXml="next"/>
  <w:bookmarkEnd w:id="1" w:displacedByCustomXml="next"/>
  <w:sdt>
    <w:sdtPr>
      <w:id w:val="-407312452"/>
      <w:docPartObj>
        <w:docPartGallery w:val="Page Numbers (Bottom of Page)"/>
        <w:docPartUnique/>
      </w:docPartObj>
    </w:sdtPr>
    <w:sdtEndPr>
      <w:rPr>
        <w:noProof/>
      </w:rPr>
    </w:sdtEndPr>
    <w:sdtContent>
      <w:p w14:paraId="0F0D14A2" w14:textId="02004178" w:rsidR="00CD61BF" w:rsidRDefault="00CD61BF">
        <w:pPr>
          <w:pStyle w:val="Footer"/>
          <w:jc w:val="center"/>
        </w:pPr>
        <w:r>
          <w:fldChar w:fldCharType="begin"/>
        </w:r>
        <w:r>
          <w:instrText xml:space="preserve"> PAGE   \* MERGEFORMAT </w:instrText>
        </w:r>
        <w:r>
          <w:fldChar w:fldCharType="separate"/>
        </w:r>
        <w:r w:rsidR="00C278A5">
          <w:rPr>
            <w:noProof/>
          </w:rPr>
          <w:t>5</w:t>
        </w:r>
        <w:r>
          <w:rPr>
            <w:noProof/>
          </w:rPr>
          <w:fldChar w:fldCharType="end"/>
        </w:r>
      </w:p>
    </w:sdtContent>
  </w:sdt>
  <w:p w14:paraId="4EC60B1E" w14:textId="27D45FED" w:rsidR="00C372D7" w:rsidRPr="00F47987" w:rsidRDefault="00C372D7" w:rsidP="00444ED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C3E3" w14:textId="07EE1520" w:rsidR="00C372D7" w:rsidRDefault="00C372D7" w:rsidP="00444ED2">
    <w:pPr>
      <w:pStyle w:val="Footer"/>
    </w:pPr>
    <w:bookmarkStart w:id="2" w:name="FIRSTPAGEFOOTERSPECEN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55B7F" w14:textId="77777777" w:rsidR="00501629" w:rsidRDefault="00501629" w:rsidP="00D464B7">
      <w:r>
        <w:separator/>
      </w:r>
    </w:p>
  </w:footnote>
  <w:footnote w:type="continuationSeparator" w:id="0">
    <w:p w14:paraId="2C48A621" w14:textId="77777777" w:rsidR="00501629" w:rsidRDefault="00501629" w:rsidP="00D4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2D5D" w14:textId="1079FDB7" w:rsidR="00652A16" w:rsidRPr="00515BCF" w:rsidRDefault="00652A16" w:rsidP="00515BCF">
    <w:pPr>
      <w:pStyle w:val="Default"/>
      <w:jc w:val="right"/>
      <w:outlineLvl w:val="0"/>
      <w:rPr>
        <w:rFonts w:asciiTheme="majorHAnsi" w:hAnsiTheme="majorHAnsi" w:cstheme="majorHAnsi"/>
        <w:color w:val="auto"/>
        <w:sz w:val="18"/>
        <w:szCs w:val="18"/>
      </w:rPr>
    </w:pPr>
    <w:r w:rsidRPr="00515BCF">
      <w:rPr>
        <w:rFonts w:asciiTheme="majorHAnsi" w:hAnsiTheme="majorHAnsi" w:cstheme="majorHAnsi"/>
        <w:b/>
        <w:bCs/>
        <w:color w:val="auto"/>
        <w:sz w:val="18"/>
        <w:szCs w:val="18"/>
      </w:rPr>
      <w:t xml:space="preserve">AFA </w:t>
    </w:r>
    <w:r w:rsidR="00107405">
      <w:rPr>
        <w:rFonts w:asciiTheme="majorHAnsi" w:hAnsiTheme="majorHAnsi" w:cstheme="majorHAnsi"/>
        <w:b/>
        <w:bCs/>
        <w:color w:val="auto"/>
        <w:sz w:val="18"/>
        <w:szCs w:val="18"/>
      </w:rPr>
      <w:t>Submission</w:t>
    </w:r>
    <w:r w:rsidRPr="00515BCF">
      <w:rPr>
        <w:rFonts w:asciiTheme="majorHAnsi" w:hAnsiTheme="majorHAnsi" w:cstheme="majorHAnsi"/>
        <w:b/>
        <w:bCs/>
        <w:color w:val="auto"/>
        <w:sz w:val="18"/>
        <w:szCs w:val="18"/>
      </w:rPr>
      <w:t xml:space="preserve">: </w:t>
    </w:r>
    <w:r w:rsidR="0049312F" w:rsidRPr="0049312F">
      <w:rPr>
        <w:rFonts w:asciiTheme="majorHAnsi" w:hAnsiTheme="majorHAnsi" w:cstheme="majorHAnsi"/>
        <w:b/>
        <w:bCs/>
        <w:color w:val="auto"/>
        <w:sz w:val="18"/>
        <w:szCs w:val="18"/>
      </w:rPr>
      <w:t>Pre-Budget 2021/22</w:t>
    </w:r>
  </w:p>
  <w:p w14:paraId="3E5942FC" w14:textId="7BC75BD7" w:rsidR="00C372D7" w:rsidRPr="00685A40" w:rsidRDefault="00C372D7" w:rsidP="00685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1B1"/>
    <w:multiLevelType w:val="multilevel"/>
    <w:tmpl w:val="A3D6F394"/>
    <w:styleLink w:val="Optionboxheading"/>
    <w:lvl w:ilvl="0">
      <w:start w:val="1"/>
      <w:numFmt w:val="decimal"/>
      <w:pStyle w:val="BoxNumberedQuestions"/>
      <w:lvlText w:val="%1."/>
      <w:lvlJc w:val="left"/>
      <w:pPr>
        <w:tabs>
          <w:tab w:val="num" w:pos="567"/>
        </w:tabs>
        <w:ind w:left="567" w:hanging="567"/>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D7744D"/>
    <w:multiLevelType w:val="hybridMultilevel"/>
    <w:tmpl w:val="1C6E0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5461"/>
    <w:multiLevelType w:val="hybridMultilevel"/>
    <w:tmpl w:val="300219E0"/>
    <w:lvl w:ilvl="0" w:tplc="0C090001">
      <w:start w:val="1"/>
      <w:numFmt w:val="bullet"/>
      <w:lvlText w:val=""/>
      <w:lvlJc w:val="left"/>
      <w:pPr>
        <w:ind w:left="360" w:hanging="360"/>
      </w:pPr>
      <w:rPr>
        <w:rFonts w:ascii="Symbol" w:hAnsi="Symbol" w:hint="default"/>
      </w:rPr>
    </w:lvl>
    <w:lvl w:ilvl="1" w:tplc="165E868A">
      <w:numFmt w:val="bullet"/>
      <w:lvlText w:val="•"/>
      <w:lvlJc w:val="left"/>
      <w:pPr>
        <w:ind w:left="1440" w:hanging="72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66273F"/>
    <w:multiLevelType w:val="hybridMultilevel"/>
    <w:tmpl w:val="8648F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52FA1"/>
    <w:multiLevelType w:val="hybridMultilevel"/>
    <w:tmpl w:val="07464DB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346A15"/>
    <w:multiLevelType w:val="hybridMultilevel"/>
    <w:tmpl w:val="DB14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D1124"/>
    <w:multiLevelType w:val="hybridMultilevel"/>
    <w:tmpl w:val="873458E0"/>
    <w:lvl w:ilvl="0" w:tplc="4518013C">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66997"/>
    <w:multiLevelType w:val="hybridMultilevel"/>
    <w:tmpl w:val="5322A1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2EA1ADF"/>
    <w:multiLevelType w:val="hybridMultilevel"/>
    <w:tmpl w:val="075803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433DD0"/>
    <w:multiLevelType w:val="hybridMultilevel"/>
    <w:tmpl w:val="05C2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50187F"/>
    <w:multiLevelType w:val="hybridMultilevel"/>
    <w:tmpl w:val="C9A45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0457A"/>
    <w:multiLevelType w:val="hybridMultilevel"/>
    <w:tmpl w:val="1626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45A9B"/>
    <w:multiLevelType w:val="hybridMultilevel"/>
    <w:tmpl w:val="7D9AF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8E40DE"/>
    <w:multiLevelType w:val="hybridMultilevel"/>
    <w:tmpl w:val="8FCE7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37B16"/>
    <w:multiLevelType w:val="hybridMultilevel"/>
    <w:tmpl w:val="859C2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272F9"/>
    <w:multiLevelType w:val="hybridMultilevel"/>
    <w:tmpl w:val="20441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9657B5"/>
    <w:multiLevelType w:val="hybridMultilevel"/>
    <w:tmpl w:val="E0D03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9B05B7"/>
    <w:multiLevelType w:val="hybridMultilevel"/>
    <w:tmpl w:val="CFF6D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B22B6E"/>
    <w:multiLevelType w:val="hybridMultilevel"/>
    <w:tmpl w:val="BD60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585CCF"/>
    <w:multiLevelType w:val="hybridMultilevel"/>
    <w:tmpl w:val="88EADEA6"/>
    <w:lvl w:ilvl="0" w:tplc="4518013C">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278A0"/>
    <w:multiLevelType w:val="hybridMultilevel"/>
    <w:tmpl w:val="A6C8F2C8"/>
    <w:lvl w:ilvl="0" w:tplc="4518013C">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3DE4DDB"/>
    <w:multiLevelType w:val="hybridMultilevel"/>
    <w:tmpl w:val="2FA8C5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4DC5DDB"/>
    <w:multiLevelType w:val="hybridMultilevel"/>
    <w:tmpl w:val="CA7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E5350"/>
    <w:multiLevelType w:val="hybridMultilevel"/>
    <w:tmpl w:val="E0DE5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35C1B"/>
    <w:multiLevelType w:val="hybridMultilevel"/>
    <w:tmpl w:val="72DC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3D1591"/>
    <w:multiLevelType w:val="hybridMultilevel"/>
    <w:tmpl w:val="FB4074B4"/>
    <w:lvl w:ilvl="0" w:tplc="D074724E">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DE491D"/>
    <w:multiLevelType w:val="hybridMultilevel"/>
    <w:tmpl w:val="48AE905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7" w15:restartNumberingAfterBreak="0">
    <w:nsid w:val="50786400"/>
    <w:multiLevelType w:val="hybridMultilevel"/>
    <w:tmpl w:val="2646B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E478F"/>
    <w:multiLevelType w:val="hybridMultilevel"/>
    <w:tmpl w:val="E618A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F500F2"/>
    <w:multiLevelType w:val="hybridMultilevel"/>
    <w:tmpl w:val="BD8A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6189C"/>
    <w:multiLevelType w:val="hybridMultilevel"/>
    <w:tmpl w:val="F68E3E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2C221F"/>
    <w:multiLevelType w:val="hybridMultilevel"/>
    <w:tmpl w:val="6598CD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72D27E2"/>
    <w:multiLevelType w:val="hybridMultilevel"/>
    <w:tmpl w:val="8124A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01827"/>
    <w:multiLevelType w:val="multilevel"/>
    <w:tmpl w:val="EFAC5712"/>
    <w:name w:val="BoxBulletedList"/>
    <w:lvl w:ilvl="0">
      <w:start w:val="1"/>
      <w:numFmt w:val="bullet"/>
      <w:pStyle w:val="BoxBullet"/>
      <w:lvlText w:val="•"/>
      <w:lvlJc w:val="left"/>
      <w:pPr>
        <w:tabs>
          <w:tab w:val="num" w:pos="992"/>
        </w:tabs>
        <w:ind w:left="992" w:hanging="425"/>
      </w:pPr>
      <w:rPr>
        <w:rFonts w:ascii="Times New Roman" w:hAnsi="Times New Roman" w:cs="Times New Roman" w:hint="default"/>
        <w:b w:val="0"/>
        <w:i w:val="0"/>
        <w:color w:val="000000" w:themeColor="text1"/>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4" w15:restartNumberingAfterBreak="0">
    <w:nsid w:val="603B0935"/>
    <w:multiLevelType w:val="hybridMultilevel"/>
    <w:tmpl w:val="C754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06550"/>
    <w:multiLevelType w:val="hybridMultilevel"/>
    <w:tmpl w:val="FF0E60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7E93447"/>
    <w:multiLevelType w:val="hybridMultilevel"/>
    <w:tmpl w:val="B1629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50DF9"/>
    <w:multiLevelType w:val="hybridMultilevel"/>
    <w:tmpl w:val="85605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737942"/>
    <w:multiLevelType w:val="hybridMultilevel"/>
    <w:tmpl w:val="35F67B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39019E8"/>
    <w:multiLevelType w:val="hybridMultilevel"/>
    <w:tmpl w:val="FEE8D2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437372F"/>
    <w:multiLevelType w:val="hybridMultilevel"/>
    <w:tmpl w:val="88A6E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7B6CFB"/>
    <w:multiLevelType w:val="hybridMultilevel"/>
    <w:tmpl w:val="6E729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151AF3"/>
    <w:multiLevelType w:val="hybridMultilevel"/>
    <w:tmpl w:val="17FEB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500ECF"/>
    <w:multiLevelType w:val="hybridMultilevel"/>
    <w:tmpl w:val="BE52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230B35"/>
    <w:multiLevelType w:val="hybridMultilevel"/>
    <w:tmpl w:val="4DE6EFDA"/>
    <w:lvl w:ilvl="0" w:tplc="4518013C">
      <w:numFmt w:val="bullet"/>
      <w:lvlText w:val="•"/>
      <w:lvlJc w:val="left"/>
      <w:pPr>
        <w:ind w:left="72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3"/>
  </w:num>
  <w:num w:numId="4">
    <w:abstractNumId w:val="11"/>
  </w:num>
  <w:num w:numId="5">
    <w:abstractNumId w:val="34"/>
  </w:num>
  <w:num w:numId="6">
    <w:abstractNumId w:val="12"/>
  </w:num>
  <w:num w:numId="7">
    <w:abstractNumId w:val="36"/>
  </w:num>
  <w:num w:numId="8">
    <w:abstractNumId w:val="2"/>
  </w:num>
  <w:num w:numId="9">
    <w:abstractNumId w:val="23"/>
  </w:num>
  <w:num w:numId="10">
    <w:abstractNumId w:val="3"/>
  </w:num>
  <w:num w:numId="11">
    <w:abstractNumId w:val="32"/>
  </w:num>
  <w:num w:numId="12">
    <w:abstractNumId w:val="24"/>
  </w:num>
  <w:num w:numId="13">
    <w:abstractNumId w:val="17"/>
  </w:num>
  <w:num w:numId="14">
    <w:abstractNumId w:val="16"/>
  </w:num>
  <w:num w:numId="15">
    <w:abstractNumId w:val="1"/>
  </w:num>
  <w:num w:numId="16">
    <w:abstractNumId w:val="27"/>
  </w:num>
  <w:num w:numId="17">
    <w:abstractNumId w:val="26"/>
  </w:num>
  <w:num w:numId="18">
    <w:abstractNumId w:val="42"/>
  </w:num>
  <w:num w:numId="19">
    <w:abstractNumId w:val="37"/>
  </w:num>
  <w:num w:numId="20">
    <w:abstractNumId w:val="28"/>
  </w:num>
  <w:num w:numId="21">
    <w:abstractNumId w:val="13"/>
  </w:num>
  <w:num w:numId="22">
    <w:abstractNumId w:val="20"/>
  </w:num>
  <w:num w:numId="23">
    <w:abstractNumId w:val="6"/>
  </w:num>
  <w:num w:numId="24">
    <w:abstractNumId w:val="19"/>
  </w:num>
  <w:num w:numId="25">
    <w:abstractNumId w:val="44"/>
  </w:num>
  <w:num w:numId="26">
    <w:abstractNumId w:val="18"/>
  </w:num>
  <w:num w:numId="27">
    <w:abstractNumId w:val="9"/>
  </w:num>
  <w:num w:numId="28">
    <w:abstractNumId w:val="30"/>
  </w:num>
  <w:num w:numId="29">
    <w:abstractNumId w:val="25"/>
  </w:num>
  <w:num w:numId="30">
    <w:abstractNumId w:val="43"/>
  </w:num>
  <w:num w:numId="31">
    <w:abstractNumId w:val="14"/>
  </w:num>
  <w:num w:numId="32">
    <w:abstractNumId w:val="5"/>
  </w:num>
  <w:num w:numId="33">
    <w:abstractNumId w:val="4"/>
  </w:num>
  <w:num w:numId="34">
    <w:abstractNumId w:val="41"/>
  </w:num>
  <w:num w:numId="35">
    <w:abstractNumId w:val="21"/>
  </w:num>
  <w:num w:numId="36">
    <w:abstractNumId w:val="8"/>
  </w:num>
  <w:num w:numId="37">
    <w:abstractNumId w:val="31"/>
  </w:num>
  <w:num w:numId="38">
    <w:abstractNumId w:val="35"/>
  </w:num>
  <w:num w:numId="39">
    <w:abstractNumId w:val="39"/>
  </w:num>
  <w:num w:numId="40">
    <w:abstractNumId w:val="38"/>
  </w:num>
  <w:num w:numId="41">
    <w:abstractNumId w:val="7"/>
  </w:num>
  <w:num w:numId="42">
    <w:abstractNumId w:val="29"/>
  </w:num>
  <w:num w:numId="43">
    <w:abstractNumId w:val="15"/>
  </w:num>
  <w:num w:numId="44">
    <w:abstractNumId w:val="40"/>
  </w:num>
  <w:num w:numId="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42"/>
    <w:rsid w:val="00002840"/>
    <w:rsid w:val="0000529D"/>
    <w:rsid w:val="00012C46"/>
    <w:rsid w:val="00013B90"/>
    <w:rsid w:val="000222B1"/>
    <w:rsid w:val="00022E34"/>
    <w:rsid w:val="00022FA5"/>
    <w:rsid w:val="00025091"/>
    <w:rsid w:val="000341A7"/>
    <w:rsid w:val="00034474"/>
    <w:rsid w:val="00036A06"/>
    <w:rsid w:val="000374BD"/>
    <w:rsid w:val="000474AA"/>
    <w:rsid w:val="00050692"/>
    <w:rsid w:val="00051FC6"/>
    <w:rsid w:val="000539F8"/>
    <w:rsid w:val="00054D3D"/>
    <w:rsid w:val="0005679E"/>
    <w:rsid w:val="00056B1C"/>
    <w:rsid w:val="00057761"/>
    <w:rsid w:val="00061F52"/>
    <w:rsid w:val="000628FD"/>
    <w:rsid w:val="000660C7"/>
    <w:rsid w:val="00070E3D"/>
    <w:rsid w:val="00072E53"/>
    <w:rsid w:val="000733CB"/>
    <w:rsid w:val="000738EA"/>
    <w:rsid w:val="000745F0"/>
    <w:rsid w:val="0007472B"/>
    <w:rsid w:val="00075621"/>
    <w:rsid w:val="00080290"/>
    <w:rsid w:val="00081837"/>
    <w:rsid w:val="000837E2"/>
    <w:rsid w:val="0008438B"/>
    <w:rsid w:val="0008466D"/>
    <w:rsid w:val="00084B39"/>
    <w:rsid w:val="00084CFC"/>
    <w:rsid w:val="00085B41"/>
    <w:rsid w:val="00087665"/>
    <w:rsid w:val="00091451"/>
    <w:rsid w:val="000958BA"/>
    <w:rsid w:val="00096B52"/>
    <w:rsid w:val="000A2884"/>
    <w:rsid w:val="000A733C"/>
    <w:rsid w:val="000B62F2"/>
    <w:rsid w:val="000B700E"/>
    <w:rsid w:val="000B75F4"/>
    <w:rsid w:val="000C1D05"/>
    <w:rsid w:val="000C4624"/>
    <w:rsid w:val="000C4B5E"/>
    <w:rsid w:val="000D1FAE"/>
    <w:rsid w:val="000D3AAD"/>
    <w:rsid w:val="000D4CD0"/>
    <w:rsid w:val="000D5915"/>
    <w:rsid w:val="000D65F1"/>
    <w:rsid w:val="000D6AFB"/>
    <w:rsid w:val="000E0A93"/>
    <w:rsid w:val="000E2543"/>
    <w:rsid w:val="000E33B5"/>
    <w:rsid w:val="000E4D57"/>
    <w:rsid w:val="000E5329"/>
    <w:rsid w:val="000E6F5F"/>
    <w:rsid w:val="000F3866"/>
    <w:rsid w:val="000F3F3D"/>
    <w:rsid w:val="00103BC1"/>
    <w:rsid w:val="00105D52"/>
    <w:rsid w:val="00105E5E"/>
    <w:rsid w:val="00106B26"/>
    <w:rsid w:val="00107405"/>
    <w:rsid w:val="001108CD"/>
    <w:rsid w:val="00112ECD"/>
    <w:rsid w:val="001135A9"/>
    <w:rsid w:val="001146A7"/>
    <w:rsid w:val="00115B18"/>
    <w:rsid w:val="0011646B"/>
    <w:rsid w:val="00116EFE"/>
    <w:rsid w:val="001207F1"/>
    <w:rsid w:val="00121416"/>
    <w:rsid w:val="00122FBC"/>
    <w:rsid w:val="00123A2B"/>
    <w:rsid w:val="0012489A"/>
    <w:rsid w:val="001258E0"/>
    <w:rsid w:val="00125E1E"/>
    <w:rsid w:val="00131D3C"/>
    <w:rsid w:val="00133EB7"/>
    <w:rsid w:val="00135016"/>
    <w:rsid w:val="00135728"/>
    <w:rsid w:val="001363CC"/>
    <w:rsid w:val="00140927"/>
    <w:rsid w:val="00141022"/>
    <w:rsid w:val="00142174"/>
    <w:rsid w:val="001447C1"/>
    <w:rsid w:val="001503B3"/>
    <w:rsid w:val="00150B6C"/>
    <w:rsid w:val="001510CB"/>
    <w:rsid w:val="00152561"/>
    <w:rsid w:val="00152F18"/>
    <w:rsid w:val="00153394"/>
    <w:rsid w:val="00153E8F"/>
    <w:rsid w:val="0015402C"/>
    <w:rsid w:val="00157BD5"/>
    <w:rsid w:val="00160E0D"/>
    <w:rsid w:val="001615FC"/>
    <w:rsid w:val="0016230F"/>
    <w:rsid w:val="00166897"/>
    <w:rsid w:val="001669B4"/>
    <w:rsid w:val="00167829"/>
    <w:rsid w:val="00167A92"/>
    <w:rsid w:val="00170176"/>
    <w:rsid w:val="001710C5"/>
    <w:rsid w:val="00171850"/>
    <w:rsid w:val="0017318C"/>
    <w:rsid w:val="00175DC2"/>
    <w:rsid w:val="00176278"/>
    <w:rsid w:val="00176AC3"/>
    <w:rsid w:val="00182C72"/>
    <w:rsid w:val="00190569"/>
    <w:rsid w:val="00190B8A"/>
    <w:rsid w:val="00193D82"/>
    <w:rsid w:val="00194855"/>
    <w:rsid w:val="00195921"/>
    <w:rsid w:val="001964D5"/>
    <w:rsid w:val="00196AE6"/>
    <w:rsid w:val="001A061C"/>
    <w:rsid w:val="001A15F4"/>
    <w:rsid w:val="001A1DD6"/>
    <w:rsid w:val="001A2B07"/>
    <w:rsid w:val="001A6A7B"/>
    <w:rsid w:val="001B2B71"/>
    <w:rsid w:val="001B3FE9"/>
    <w:rsid w:val="001B4199"/>
    <w:rsid w:val="001B5F8B"/>
    <w:rsid w:val="001B6252"/>
    <w:rsid w:val="001C0444"/>
    <w:rsid w:val="001C0990"/>
    <w:rsid w:val="001C5075"/>
    <w:rsid w:val="001C6AB6"/>
    <w:rsid w:val="001D04C7"/>
    <w:rsid w:val="001D218E"/>
    <w:rsid w:val="001D7920"/>
    <w:rsid w:val="001E14B0"/>
    <w:rsid w:val="001E1F6F"/>
    <w:rsid w:val="001E49E0"/>
    <w:rsid w:val="001E7756"/>
    <w:rsid w:val="001F1DE7"/>
    <w:rsid w:val="001F2181"/>
    <w:rsid w:val="001F336A"/>
    <w:rsid w:val="001F51C9"/>
    <w:rsid w:val="001F778C"/>
    <w:rsid w:val="0020133B"/>
    <w:rsid w:val="00201C58"/>
    <w:rsid w:val="002047CF"/>
    <w:rsid w:val="0020632A"/>
    <w:rsid w:val="00210AD7"/>
    <w:rsid w:val="00210C75"/>
    <w:rsid w:val="00210ED3"/>
    <w:rsid w:val="00212119"/>
    <w:rsid w:val="0021294C"/>
    <w:rsid w:val="002148A4"/>
    <w:rsid w:val="00215770"/>
    <w:rsid w:val="002225CB"/>
    <w:rsid w:val="00225183"/>
    <w:rsid w:val="002269FA"/>
    <w:rsid w:val="00230036"/>
    <w:rsid w:val="002309D6"/>
    <w:rsid w:val="00231436"/>
    <w:rsid w:val="00231802"/>
    <w:rsid w:val="0023187A"/>
    <w:rsid w:val="00233A1A"/>
    <w:rsid w:val="00233EB1"/>
    <w:rsid w:val="00240975"/>
    <w:rsid w:val="00240E4D"/>
    <w:rsid w:val="00242C54"/>
    <w:rsid w:val="00243E82"/>
    <w:rsid w:val="00245E88"/>
    <w:rsid w:val="00247C9B"/>
    <w:rsid w:val="00250332"/>
    <w:rsid w:val="00251988"/>
    <w:rsid w:val="0025300B"/>
    <w:rsid w:val="00255FDB"/>
    <w:rsid w:val="0026171B"/>
    <w:rsid w:val="00262A1E"/>
    <w:rsid w:val="00262B98"/>
    <w:rsid w:val="00265599"/>
    <w:rsid w:val="00265FBC"/>
    <w:rsid w:val="00272E16"/>
    <w:rsid w:val="00273301"/>
    <w:rsid w:val="0027472D"/>
    <w:rsid w:val="00274F17"/>
    <w:rsid w:val="00283EA4"/>
    <w:rsid w:val="00285A98"/>
    <w:rsid w:val="00286C2A"/>
    <w:rsid w:val="002907C2"/>
    <w:rsid w:val="002910A1"/>
    <w:rsid w:val="00296E66"/>
    <w:rsid w:val="002A01A3"/>
    <w:rsid w:val="002A0252"/>
    <w:rsid w:val="002A27CF"/>
    <w:rsid w:val="002A3FDF"/>
    <w:rsid w:val="002A4044"/>
    <w:rsid w:val="002A416C"/>
    <w:rsid w:val="002A4BF3"/>
    <w:rsid w:val="002A68CB"/>
    <w:rsid w:val="002A6E2F"/>
    <w:rsid w:val="002B1E39"/>
    <w:rsid w:val="002B3045"/>
    <w:rsid w:val="002B6A6E"/>
    <w:rsid w:val="002C0784"/>
    <w:rsid w:val="002C0818"/>
    <w:rsid w:val="002C23C2"/>
    <w:rsid w:val="002C4B34"/>
    <w:rsid w:val="002C5273"/>
    <w:rsid w:val="002C7BFA"/>
    <w:rsid w:val="002C7D9E"/>
    <w:rsid w:val="002D051B"/>
    <w:rsid w:val="002D171B"/>
    <w:rsid w:val="002D3401"/>
    <w:rsid w:val="002D5C6D"/>
    <w:rsid w:val="002D6E8F"/>
    <w:rsid w:val="002E3F64"/>
    <w:rsid w:val="002E5288"/>
    <w:rsid w:val="002F1973"/>
    <w:rsid w:val="002F43F4"/>
    <w:rsid w:val="00301192"/>
    <w:rsid w:val="00301FF2"/>
    <w:rsid w:val="003045F2"/>
    <w:rsid w:val="00304DB9"/>
    <w:rsid w:val="00307170"/>
    <w:rsid w:val="00312203"/>
    <w:rsid w:val="00312E71"/>
    <w:rsid w:val="00313FAF"/>
    <w:rsid w:val="00320A06"/>
    <w:rsid w:val="003210AF"/>
    <w:rsid w:val="00323E78"/>
    <w:rsid w:val="00324E50"/>
    <w:rsid w:val="00325478"/>
    <w:rsid w:val="003257FA"/>
    <w:rsid w:val="00325B29"/>
    <w:rsid w:val="00326B76"/>
    <w:rsid w:val="003314C7"/>
    <w:rsid w:val="003317EB"/>
    <w:rsid w:val="00331A44"/>
    <w:rsid w:val="003336B4"/>
    <w:rsid w:val="00334FE9"/>
    <w:rsid w:val="0033567B"/>
    <w:rsid w:val="00337E2D"/>
    <w:rsid w:val="003410CC"/>
    <w:rsid w:val="00342899"/>
    <w:rsid w:val="00342D6B"/>
    <w:rsid w:val="00344A18"/>
    <w:rsid w:val="00346D28"/>
    <w:rsid w:val="0034751A"/>
    <w:rsid w:val="00350E0C"/>
    <w:rsid w:val="00353FC6"/>
    <w:rsid w:val="00354B68"/>
    <w:rsid w:val="003603CC"/>
    <w:rsid w:val="0036243E"/>
    <w:rsid w:val="00364079"/>
    <w:rsid w:val="00365090"/>
    <w:rsid w:val="003650D1"/>
    <w:rsid w:val="003662C6"/>
    <w:rsid w:val="00366456"/>
    <w:rsid w:val="0036702B"/>
    <w:rsid w:val="003717F9"/>
    <w:rsid w:val="00371A13"/>
    <w:rsid w:val="0037419B"/>
    <w:rsid w:val="00377425"/>
    <w:rsid w:val="00380DDD"/>
    <w:rsid w:val="00382BBA"/>
    <w:rsid w:val="0038619A"/>
    <w:rsid w:val="0038797A"/>
    <w:rsid w:val="00390333"/>
    <w:rsid w:val="0039243B"/>
    <w:rsid w:val="00394A50"/>
    <w:rsid w:val="003961F4"/>
    <w:rsid w:val="003A0CE2"/>
    <w:rsid w:val="003A50C5"/>
    <w:rsid w:val="003A5372"/>
    <w:rsid w:val="003B18CA"/>
    <w:rsid w:val="003B2528"/>
    <w:rsid w:val="003B2840"/>
    <w:rsid w:val="003B4470"/>
    <w:rsid w:val="003C2A9E"/>
    <w:rsid w:val="003C33F6"/>
    <w:rsid w:val="003C3B48"/>
    <w:rsid w:val="003C4E1D"/>
    <w:rsid w:val="003C6A3E"/>
    <w:rsid w:val="003D087C"/>
    <w:rsid w:val="003D0EF0"/>
    <w:rsid w:val="003D140B"/>
    <w:rsid w:val="003D2601"/>
    <w:rsid w:val="003D2977"/>
    <w:rsid w:val="003E098B"/>
    <w:rsid w:val="003E1DA7"/>
    <w:rsid w:val="003E3928"/>
    <w:rsid w:val="003E404E"/>
    <w:rsid w:val="003E510F"/>
    <w:rsid w:val="003E7FAB"/>
    <w:rsid w:val="003F4EA9"/>
    <w:rsid w:val="003F587C"/>
    <w:rsid w:val="003F5FD1"/>
    <w:rsid w:val="003F69AA"/>
    <w:rsid w:val="00401B06"/>
    <w:rsid w:val="00401E87"/>
    <w:rsid w:val="004029FC"/>
    <w:rsid w:val="00402FBF"/>
    <w:rsid w:val="00403676"/>
    <w:rsid w:val="00404435"/>
    <w:rsid w:val="00404F8E"/>
    <w:rsid w:val="004063FE"/>
    <w:rsid w:val="00406577"/>
    <w:rsid w:val="00406B07"/>
    <w:rsid w:val="004105E8"/>
    <w:rsid w:val="004123AD"/>
    <w:rsid w:val="00415114"/>
    <w:rsid w:val="00417CD9"/>
    <w:rsid w:val="00420475"/>
    <w:rsid w:val="00423BC2"/>
    <w:rsid w:val="00424313"/>
    <w:rsid w:val="00425513"/>
    <w:rsid w:val="00427BD6"/>
    <w:rsid w:val="00437BAB"/>
    <w:rsid w:val="0044230D"/>
    <w:rsid w:val="00444009"/>
    <w:rsid w:val="004444AB"/>
    <w:rsid w:val="00444ED2"/>
    <w:rsid w:val="004464E3"/>
    <w:rsid w:val="00447C9F"/>
    <w:rsid w:val="004515B5"/>
    <w:rsid w:val="00451BB2"/>
    <w:rsid w:val="00452066"/>
    <w:rsid w:val="00453DE1"/>
    <w:rsid w:val="0045470A"/>
    <w:rsid w:val="00455216"/>
    <w:rsid w:val="00455AE5"/>
    <w:rsid w:val="0046371A"/>
    <w:rsid w:val="00467BBD"/>
    <w:rsid w:val="00472AFD"/>
    <w:rsid w:val="00475549"/>
    <w:rsid w:val="004770B0"/>
    <w:rsid w:val="0047771B"/>
    <w:rsid w:val="00477BD8"/>
    <w:rsid w:val="00482427"/>
    <w:rsid w:val="00482998"/>
    <w:rsid w:val="00486C42"/>
    <w:rsid w:val="004870FB"/>
    <w:rsid w:val="0049013C"/>
    <w:rsid w:val="004919CD"/>
    <w:rsid w:val="004924BB"/>
    <w:rsid w:val="0049312F"/>
    <w:rsid w:val="004935AC"/>
    <w:rsid w:val="00494CE1"/>
    <w:rsid w:val="004960A6"/>
    <w:rsid w:val="0049650B"/>
    <w:rsid w:val="004A2D53"/>
    <w:rsid w:val="004A48C2"/>
    <w:rsid w:val="004A6C45"/>
    <w:rsid w:val="004B07F9"/>
    <w:rsid w:val="004B5C10"/>
    <w:rsid w:val="004C256B"/>
    <w:rsid w:val="004C33AE"/>
    <w:rsid w:val="004C7248"/>
    <w:rsid w:val="004D1216"/>
    <w:rsid w:val="004D26E3"/>
    <w:rsid w:val="004D3FC3"/>
    <w:rsid w:val="004D61F7"/>
    <w:rsid w:val="004E1E1B"/>
    <w:rsid w:val="004E4101"/>
    <w:rsid w:val="004E5A2A"/>
    <w:rsid w:val="004E5C06"/>
    <w:rsid w:val="004F02AC"/>
    <w:rsid w:val="004F29CC"/>
    <w:rsid w:val="004F39AE"/>
    <w:rsid w:val="004F6B8D"/>
    <w:rsid w:val="00501629"/>
    <w:rsid w:val="00502680"/>
    <w:rsid w:val="005036EF"/>
    <w:rsid w:val="00505D5A"/>
    <w:rsid w:val="005112F3"/>
    <w:rsid w:val="005154FE"/>
    <w:rsid w:val="00515BCF"/>
    <w:rsid w:val="00515C00"/>
    <w:rsid w:val="00516E37"/>
    <w:rsid w:val="00522240"/>
    <w:rsid w:val="00522DDB"/>
    <w:rsid w:val="0052331C"/>
    <w:rsid w:val="005234D9"/>
    <w:rsid w:val="00524190"/>
    <w:rsid w:val="005270DE"/>
    <w:rsid w:val="00527EEA"/>
    <w:rsid w:val="005338C2"/>
    <w:rsid w:val="00533A66"/>
    <w:rsid w:val="00533C0E"/>
    <w:rsid w:val="00535875"/>
    <w:rsid w:val="00535915"/>
    <w:rsid w:val="00537CBD"/>
    <w:rsid w:val="0054043E"/>
    <w:rsid w:val="0054119B"/>
    <w:rsid w:val="005411E1"/>
    <w:rsid w:val="005411E4"/>
    <w:rsid w:val="005418FB"/>
    <w:rsid w:val="005430E3"/>
    <w:rsid w:val="00544B1F"/>
    <w:rsid w:val="0055134D"/>
    <w:rsid w:val="00551AC3"/>
    <w:rsid w:val="00551E9C"/>
    <w:rsid w:val="00552C3C"/>
    <w:rsid w:val="005557DD"/>
    <w:rsid w:val="00556463"/>
    <w:rsid w:val="00556ED4"/>
    <w:rsid w:val="00557A04"/>
    <w:rsid w:val="0056102E"/>
    <w:rsid w:val="005616F6"/>
    <w:rsid w:val="0056297D"/>
    <w:rsid w:val="005633E1"/>
    <w:rsid w:val="00567331"/>
    <w:rsid w:val="00571E5D"/>
    <w:rsid w:val="005754A4"/>
    <w:rsid w:val="00576D54"/>
    <w:rsid w:val="00577A41"/>
    <w:rsid w:val="0058042D"/>
    <w:rsid w:val="00580F6C"/>
    <w:rsid w:val="005827DB"/>
    <w:rsid w:val="00582C77"/>
    <w:rsid w:val="0058437C"/>
    <w:rsid w:val="00587186"/>
    <w:rsid w:val="00587A36"/>
    <w:rsid w:val="0059026E"/>
    <w:rsid w:val="00590C8D"/>
    <w:rsid w:val="00591868"/>
    <w:rsid w:val="00593B17"/>
    <w:rsid w:val="0059433D"/>
    <w:rsid w:val="005A0F0B"/>
    <w:rsid w:val="005A28BE"/>
    <w:rsid w:val="005A52F7"/>
    <w:rsid w:val="005A7C39"/>
    <w:rsid w:val="005B1A2D"/>
    <w:rsid w:val="005B1B15"/>
    <w:rsid w:val="005B24BE"/>
    <w:rsid w:val="005B3350"/>
    <w:rsid w:val="005B46BD"/>
    <w:rsid w:val="005C343E"/>
    <w:rsid w:val="005C3682"/>
    <w:rsid w:val="005C4656"/>
    <w:rsid w:val="005C497E"/>
    <w:rsid w:val="005C6A7B"/>
    <w:rsid w:val="005D2F8A"/>
    <w:rsid w:val="005D6279"/>
    <w:rsid w:val="005E1C9F"/>
    <w:rsid w:val="005E1DDA"/>
    <w:rsid w:val="005E4816"/>
    <w:rsid w:val="005E51C2"/>
    <w:rsid w:val="005E6A00"/>
    <w:rsid w:val="005E6B8E"/>
    <w:rsid w:val="005F308F"/>
    <w:rsid w:val="005F3133"/>
    <w:rsid w:val="005F51B5"/>
    <w:rsid w:val="005F53FD"/>
    <w:rsid w:val="00601381"/>
    <w:rsid w:val="00605F31"/>
    <w:rsid w:val="0060706B"/>
    <w:rsid w:val="00611300"/>
    <w:rsid w:val="00612F8F"/>
    <w:rsid w:val="0061472A"/>
    <w:rsid w:val="0061486D"/>
    <w:rsid w:val="00615364"/>
    <w:rsid w:val="00616D3A"/>
    <w:rsid w:val="00617B9C"/>
    <w:rsid w:val="006218E0"/>
    <w:rsid w:val="0062369F"/>
    <w:rsid w:val="0062415C"/>
    <w:rsid w:val="00625063"/>
    <w:rsid w:val="00627EF0"/>
    <w:rsid w:val="00631B3B"/>
    <w:rsid w:val="006340EF"/>
    <w:rsid w:val="00635D2B"/>
    <w:rsid w:val="0063682E"/>
    <w:rsid w:val="00637CBB"/>
    <w:rsid w:val="00641DC7"/>
    <w:rsid w:val="00643050"/>
    <w:rsid w:val="0064390D"/>
    <w:rsid w:val="0064741C"/>
    <w:rsid w:val="00647852"/>
    <w:rsid w:val="00652A16"/>
    <w:rsid w:val="00652C1F"/>
    <w:rsid w:val="006559E2"/>
    <w:rsid w:val="00656F5B"/>
    <w:rsid w:val="00657A79"/>
    <w:rsid w:val="00657BDD"/>
    <w:rsid w:val="00660DA5"/>
    <w:rsid w:val="00662158"/>
    <w:rsid w:val="006647A5"/>
    <w:rsid w:val="00664F44"/>
    <w:rsid w:val="00672579"/>
    <w:rsid w:val="00675490"/>
    <w:rsid w:val="006771B4"/>
    <w:rsid w:val="00682682"/>
    <w:rsid w:val="00682F39"/>
    <w:rsid w:val="00684B81"/>
    <w:rsid w:val="00685A40"/>
    <w:rsid w:val="00687121"/>
    <w:rsid w:val="0068732C"/>
    <w:rsid w:val="006876B1"/>
    <w:rsid w:val="00687E59"/>
    <w:rsid w:val="00690C67"/>
    <w:rsid w:val="0069250B"/>
    <w:rsid w:val="00692653"/>
    <w:rsid w:val="00692B83"/>
    <w:rsid w:val="00695CB9"/>
    <w:rsid w:val="006978BE"/>
    <w:rsid w:val="006A3567"/>
    <w:rsid w:val="006A60EC"/>
    <w:rsid w:val="006B28AC"/>
    <w:rsid w:val="006B34BF"/>
    <w:rsid w:val="006B6D56"/>
    <w:rsid w:val="006C448D"/>
    <w:rsid w:val="006C53F6"/>
    <w:rsid w:val="006C57F4"/>
    <w:rsid w:val="006C5F5C"/>
    <w:rsid w:val="006C7B7D"/>
    <w:rsid w:val="006D1142"/>
    <w:rsid w:val="006D156A"/>
    <w:rsid w:val="006D415C"/>
    <w:rsid w:val="006E296B"/>
    <w:rsid w:val="006E4A00"/>
    <w:rsid w:val="006E6E0A"/>
    <w:rsid w:val="006E729C"/>
    <w:rsid w:val="006E7DF9"/>
    <w:rsid w:val="006F1EC4"/>
    <w:rsid w:val="006F243B"/>
    <w:rsid w:val="006F491A"/>
    <w:rsid w:val="00700DBD"/>
    <w:rsid w:val="00701F5B"/>
    <w:rsid w:val="00702914"/>
    <w:rsid w:val="00707B6E"/>
    <w:rsid w:val="007117C0"/>
    <w:rsid w:val="007127E2"/>
    <w:rsid w:val="00714580"/>
    <w:rsid w:val="007148F1"/>
    <w:rsid w:val="00715350"/>
    <w:rsid w:val="00720819"/>
    <w:rsid w:val="007214F6"/>
    <w:rsid w:val="00733F3C"/>
    <w:rsid w:val="007340D4"/>
    <w:rsid w:val="0073522D"/>
    <w:rsid w:val="00735A38"/>
    <w:rsid w:val="00736CD9"/>
    <w:rsid w:val="007378A4"/>
    <w:rsid w:val="007417A9"/>
    <w:rsid w:val="00745408"/>
    <w:rsid w:val="007459EE"/>
    <w:rsid w:val="00747188"/>
    <w:rsid w:val="0074770A"/>
    <w:rsid w:val="007509DF"/>
    <w:rsid w:val="00750AF4"/>
    <w:rsid w:val="00750CA5"/>
    <w:rsid w:val="00752E2C"/>
    <w:rsid w:val="0075713C"/>
    <w:rsid w:val="00761FC3"/>
    <w:rsid w:val="007636DE"/>
    <w:rsid w:val="00770E66"/>
    <w:rsid w:val="00771D63"/>
    <w:rsid w:val="00775D4F"/>
    <w:rsid w:val="00776DEB"/>
    <w:rsid w:val="007804FA"/>
    <w:rsid w:val="00780A49"/>
    <w:rsid w:val="00781374"/>
    <w:rsid w:val="00782BB3"/>
    <w:rsid w:val="0078452C"/>
    <w:rsid w:val="007845CD"/>
    <w:rsid w:val="00785B7A"/>
    <w:rsid w:val="00786FCA"/>
    <w:rsid w:val="00790145"/>
    <w:rsid w:val="00790912"/>
    <w:rsid w:val="007923FF"/>
    <w:rsid w:val="00793DB8"/>
    <w:rsid w:val="007944ED"/>
    <w:rsid w:val="00796A5C"/>
    <w:rsid w:val="007A02D4"/>
    <w:rsid w:val="007A2A5D"/>
    <w:rsid w:val="007A2F92"/>
    <w:rsid w:val="007A47E6"/>
    <w:rsid w:val="007A4B00"/>
    <w:rsid w:val="007A5661"/>
    <w:rsid w:val="007A5E5A"/>
    <w:rsid w:val="007B0F39"/>
    <w:rsid w:val="007B25FD"/>
    <w:rsid w:val="007B4F2B"/>
    <w:rsid w:val="007B7854"/>
    <w:rsid w:val="007C039E"/>
    <w:rsid w:val="007C0414"/>
    <w:rsid w:val="007C3268"/>
    <w:rsid w:val="007C3F45"/>
    <w:rsid w:val="007C7C72"/>
    <w:rsid w:val="007D0347"/>
    <w:rsid w:val="007D0F74"/>
    <w:rsid w:val="007D408A"/>
    <w:rsid w:val="007E0D9D"/>
    <w:rsid w:val="007E59E1"/>
    <w:rsid w:val="007E5CF9"/>
    <w:rsid w:val="007E6C48"/>
    <w:rsid w:val="007F342E"/>
    <w:rsid w:val="007F409F"/>
    <w:rsid w:val="007F4B5E"/>
    <w:rsid w:val="007F4BE5"/>
    <w:rsid w:val="007F521D"/>
    <w:rsid w:val="007F5700"/>
    <w:rsid w:val="007F5844"/>
    <w:rsid w:val="007F7374"/>
    <w:rsid w:val="00800DCE"/>
    <w:rsid w:val="00801C85"/>
    <w:rsid w:val="00802251"/>
    <w:rsid w:val="0080540A"/>
    <w:rsid w:val="00805589"/>
    <w:rsid w:val="00805E79"/>
    <w:rsid w:val="00816682"/>
    <w:rsid w:val="008248BC"/>
    <w:rsid w:val="00825C01"/>
    <w:rsid w:val="00826FC0"/>
    <w:rsid w:val="00827D5B"/>
    <w:rsid w:val="008332A6"/>
    <w:rsid w:val="00833AD4"/>
    <w:rsid w:val="008354A9"/>
    <w:rsid w:val="008355E3"/>
    <w:rsid w:val="008369DB"/>
    <w:rsid w:val="00837560"/>
    <w:rsid w:val="00840C02"/>
    <w:rsid w:val="00841DAF"/>
    <w:rsid w:val="00842A03"/>
    <w:rsid w:val="00844B66"/>
    <w:rsid w:val="00844FD4"/>
    <w:rsid w:val="0084660F"/>
    <w:rsid w:val="00847120"/>
    <w:rsid w:val="0085001C"/>
    <w:rsid w:val="00852498"/>
    <w:rsid w:val="0085488E"/>
    <w:rsid w:val="00857A6A"/>
    <w:rsid w:val="0086542D"/>
    <w:rsid w:val="008669C7"/>
    <w:rsid w:val="00866E31"/>
    <w:rsid w:val="0087102A"/>
    <w:rsid w:val="00880BF7"/>
    <w:rsid w:val="00881F06"/>
    <w:rsid w:val="00883FDB"/>
    <w:rsid w:val="00884420"/>
    <w:rsid w:val="0088597E"/>
    <w:rsid w:val="00886C21"/>
    <w:rsid w:val="0089131A"/>
    <w:rsid w:val="00892D07"/>
    <w:rsid w:val="00895FEB"/>
    <w:rsid w:val="0089627C"/>
    <w:rsid w:val="00897DAB"/>
    <w:rsid w:val="008A2153"/>
    <w:rsid w:val="008A295B"/>
    <w:rsid w:val="008A2F99"/>
    <w:rsid w:val="008A7062"/>
    <w:rsid w:val="008B0E0A"/>
    <w:rsid w:val="008B1D6C"/>
    <w:rsid w:val="008B24A2"/>
    <w:rsid w:val="008B4C12"/>
    <w:rsid w:val="008B4EBE"/>
    <w:rsid w:val="008B6D27"/>
    <w:rsid w:val="008B7F13"/>
    <w:rsid w:val="008C527B"/>
    <w:rsid w:val="008D0BA8"/>
    <w:rsid w:val="008D3694"/>
    <w:rsid w:val="008D6187"/>
    <w:rsid w:val="008D6B2D"/>
    <w:rsid w:val="008E2E90"/>
    <w:rsid w:val="008F1A98"/>
    <w:rsid w:val="008F273C"/>
    <w:rsid w:val="008F38E4"/>
    <w:rsid w:val="008F3B92"/>
    <w:rsid w:val="008F7105"/>
    <w:rsid w:val="008F7C72"/>
    <w:rsid w:val="00900700"/>
    <w:rsid w:val="009012A0"/>
    <w:rsid w:val="009013AE"/>
    <w:rsid w:val="00904532"/>
    <w:rsid w:val="00907FA2"/>
    <w:rsid w:val="009102A7"/>
    <w:rsid w:val="009136C0"/>
    <w:rsid w:val="00916E1A"/>
    <w:rsid w:val="00917057"/>
    <w:rsid w:val="009205F8"/>
    <w:rsid w:val="00924943"/>
    <w:rsid w:val="009269D5"/>
    <w:rsid w:val="00933934"/>
    <w:rsid w:val="00934754"/>
    <w:rsid w:val="009369F0"/>
    <w:rsid w:val="009423F5"/>
    <w:rsid w:val="00945699"/>
    <w:rsid w:val="00947F94"/>
    <w:rsid w:val="00950188"/>
    <w:rsid w:val="00950983"/>
    <w:rsid w:val="00953F47"/>
    <w:rsid w:val="0095476D"/>
    <w:rsid w:val="009558F0"/>
    <w:rsid w:val="009563AB"/>
    <w:rsid w:val="00962F14"/>
    <w:rsid w:val="009659CF"/>
    <w:rsid w:val="00966BB2"/>
    <w:rsid w:val="009723DE"/>
    <w:rsid w:val="00973B11"/>
    <w:rsid w:val="00974DA8"/>
    <w:rsid w:val="00977AF4"/>
    <w:rsid w:val="00984BC1"/>
    <w:rsid w:val="0098677A"/>
    <w:rsid w:val="009869F6"/>
    <w:rsid w:val="00987267"/>
    <w:rsid w:val="0099117A"/>
    <w:rsid w:val="00992DC9"/>
    <w:rsid w:val="00996491"/>
    <w:rsid w:val="00996B9A"/>
    <w:rsid w:val="009A03DC"/>
    <w:rsid w:val="009A62C1"/>
    <w:rsid w:val="009A6671"/>
    <w:rsid w:val="009B12AA"/>
    <w:rsid w:val="009B1E49"/>
    <w:rsid w:val="009B31D8"/>
    <w:rsid w:val="009B5ED2"/>
    <w:rsid w:val="009B6B4D"/>
    <w:rsid w:val="009B726C"/>
    <w:rsid w:val="009C02C8"/>
    <w:rsid w:val="009C0E5D"/>
    <w:rsid w:val="009C1D73"/>
    <w:rsid w:val="009C2539"/>
    <w:rsid w:val="009C2DAD"/>
    <w:rsid w:val="009C3E0C"/>
    <w:rsid w:val="009C4195"/>
    <w:rsid w:val="009C4BF2"/>
    <w:rsid w:val="009C6F4A"/>
    <w:rsid w:val="009C720E"/>
    <w:rsid w:val="009D00A5"/>
    <w:rsid w:val="009D1C32"/>
    <w:rsid w:val="009D1FA0"/>
    <w:rsid w:val="009D3717"/>
    <w:rsid w:val="009D3862"/>
    <w:rsid w:val="009D4633"/>
    <w:rsid w:val="009D4F99"/>
    <w:rsid w:val="009D68A1"/>
    <w:rsid w:val="009D7DCA"/>
    <w:rsid w:val="009E0D2D"/>
    <w:rsid w:val="009E31F4"/>
    <w:rsid w:val="009E5F47"/>
    <w:rsid w:val="009E6044"/>
    <w:rsid w:val="009E6820"/>
    <w:rsid w:val="009E72C7"/>
    <w:rsid w:val="009F27B3"/>
    <w:rsid w:val="009F292D"/>
    <w:rsid w:val="009F31FD"/>
    <w:rsid w:val="009F3C4A"/>
    <w:rsid w:val="009F6B8E"/>
    <w:rsid w:val="009F6F5E"/>
    <w:rsid w:val="00A00DC2"/>
    <w:rsid w:val="00A01D7E"/>
    <w:rsid w:val="00A02C24"/>
    <w:rsid w:val="00A04D1B"/>
    <w:rsid w:val="00A06AA0"/>
    <w:rsid w:val="00A12A1F"/>
    <w:rsid w:val="00A1588F"/>
    <w:rsid w:val="00A16590"/>
    <w:rsid w:val="00A232BE"/>
    <w:rsid w:val="00A25041"/>
    <w:rsid w:val="00A274CB"/>
    <w:rsid w:val="00A318B6"/>
    <w:rsid w:val="00A32314"/>
    <w:rsid w:val="00A3464E"/>
    <w:rsid w:val="00A40639"/>
    <w:rsid w:val="00A4236C"/>
    <w:rsid w:val="00A45242"/>
    <w:rsid w:val="00A5062A"/>
    <w:rsid w:val="00A515C3"/>
    <w:rsid w:val="00A52B17"/>
    <w:rsid w:val="00A54771"/>
    <w:rsid w:val="00A54B99"/>
    <w:rsid w:val="00A56426"/>
    <w:rsid w:val="00A56A5D"/>
    <w:rsid w:val="00A60412"/>
    <w:rsid w:val="00A61432"/>
    <w:rsid w:val="00A62033"/>
    <w:rsid w:val="00A62818"/>
    <w:rsid w:val="00A65A31"/>
    <w:rsid w:val="00A70C6D"/>
    <w:rsid w:val="00A72F38"/>
    <w:rsid w:val="00A7427E"/>
    <w:rsid w:val="00A75175"/>
    <w:rsid w:val="00A80DB7"/>
    <w:rsid w:val="00A83DC6"/>
    <w:rsid w:val="00A91BE1"/>
    <w:rsid w:val="00A9374D"/>
    <w:rsid w:val="00AB0225"/>
    <w:rsid w:val="00AB0B31"/>
    <w:rsid w:val="00AB2EF6"/>
    <w:rsid w:val="00AC1055"/>
    <w:rsid w:val="00AC317E"/>
    <w:rsid w:val="00AC6D92"/>
    <w:rsid w:val="00AC72AD"/>
    <w:rsid w:val="00AD101A"/>
    <w:rsid w:val="00AD27C2"/>
    <w:rsid w:val="00AD2DC8"/>
    <w:rsid w:val="00AD3D73"/>
    <w:rsid w:val="00AE0439"/>
    <w:rsid w:val="00AE0486"/>
    <w:rsid w:val="00AE128E"/>
    <w:rsid w:val="00AE13BF"/>
    <w:rsid w:val="00AE35E6"/>
    <w:rsid w:val="00AE3F76"/>
    <w:rsid w:val="00AE4AB3"/>
    <w:rsid w:val="00AE55CD"/>
    <w:rsid w:val="00AE7B42"/>
    <w:rsid w:val="00AF0031"/>
    <w:rsid w:val="00AF1BEE"/>
    <w:rsid w:val="00AF3B2E"/>
    <w:rsid w:val="00AF40E2"/>
    <w:rsid w:val="00AF5FAB"/>
    <w:rsid w:val="00AF7E29"/>
    <w:rsid w:val="00B02A5B"/>
    <w:rsid w:val="00B05F09"/>
    <w:rsid w:val="00B07109"/>
    <w:rsid w:val="00B11CA8"/>
    <w:rsid w:val="00B12ABF"/>
    <w:rsid w:val="00B13FC3"/>
    <w:rsid w:val="00B16896"/>
    <w:rsid w:val="00B17290"/>
    <w:rsid w:val="00B235DD"/>
    <w:rsid w:val="00B30103"/>
    <w:rsid w:val="00B308DA"/>
    <w:rsid w:val="00B31DF7"/>
    <w:rsid w:val="00B37982"/>
    <w:rsid w:val="00B42F35"/>
    <w:rsid w:val="00B43371"/>
    <w:rsid w:val="00B44A06"/>
    <w:rsid w:val="00B46C10"/>
    <w:rsid w:val="00B5574E"/>
    <w:rsid w:val="00B5656E"/>
    <w:rsid w:val="00B56897"/>
    <w:rsid w:val="00B56ACB"/>
    <w:rsid w:val="00B61C08"/>
    <w:rsid w:val="00B628AF"/>
    <w:rsid w:val="00B6361F"/>
    <w:rsid w:val="00B6368C"/>
    <w:rsid w:val="00B63788"/>
    <w:rsid w:val="00B6448F"/>
    <w:rsid w:val="00B645EB"/>
    <w:rsid w:val="00B647C2"/>
    <w:rsid w:val="00B66093"/>
    <w:rsid w:val="00B67FD4"/>
    <w:rsid w:val="00B7016A"/>
    <w:rsid w:val="00B703C8"/>
    <w:rsid w:val="00B73775"/>
    <w:rsid w:val="00B73B37"/>
    <w:rsid w:val="00B73EE9"/>
    <w:rsid w:val="00B755DD"/>
    <w:rsid w:val="00B800A3"/>
    <w:rsid w:val="00B80104"/>
    <w:rsid w:val="00B81E68"/>
    <w:rsid w:val="00B8313B"/>
    <w:rsid w:val="00B8337E"/>
    <w:rsid w:val="00B840CD"/>
    <w:rsid w:val="00B8583C"/>
    <w:rsid w:val="00B85A26"/>
    <w:rsid w:val="00B91499"/>
    <w:rsid w:val="00B91A25"/>
    <w:rsid w:val="00B9523E"/>
    <w:rsid w:val="00BA2352"/>
    <w:rsid w:val="00BA3518"/>
    <w:rsid w:val="00BA4326"/>
    <w:rsid w:val="00BA543C"/>
    <w:rsid w:val="00BA60B0"/>
    <w:rsid w:val="00BB36F2"/>
    <w:rsid w:val="00BB49D3"/>
    <w:rsid w:val="00BC0197"/>
    <w:rsid w:val="00BC06D1"/>
    <w:rsid w:val="00BC3095"/>
    <w:rsid w:val="00BC3A46"/>
    <w:rsid w:val="00BC4438"/>
    <w:rsid w:val="00BC6975"/>
    <w:rsid w:val="00BD00F5"/>
    <w:rsid w:val="00BD14A2"/>
    <w:rsid w:val="00BD3B49"/>
    <w:rsid w:val="00BD3DEF"/>
    <w:rsid w:val="00BD5434"/>
    <w:rsid w:val="00BD5564"/>
    <w:rsid w:val="00BD7972"/>
    <w:rsid w:val="00BE0D41"/>
    <w:rsid w:val="00BE0F60"/>
    <w:rsid w:val="00BE3674"/>
    <w:rsid w:val="00BE3815"/>
    <w:rsid w:val="00BE73C2"/>
    <w:rsid w:val="00BF1AB8"/>
    <w:rsid w:val="00BF20AD"/>
    <w:rsid w:val="00BF2289"/>
    <w:rsid w:val="00BF321C"/>
    <w:rsid w:val="00BF6062"/>
    <w:rsid w:val="00BF70F6"/>
    <w:rsid w:val="00BF746D"/>
    <w:rsid w:val="00BF79D4"/>
    <w:rsid w:val="00C02980"/>
    <w:rsid w:val="00C03F4B"/>
    <w:rsid w:val="00C05AF5"/>
    <w:rsid w:val="00C06BAD"/>
    <w:rsid w:val="00C07BF7"/>
    <w:rsid w:val="00C10D60"/>
    <w:rsid w:val="00C12C7F"/>
    <w:rsid w:val="00C15A32"/>
    <w:rsid w:val="00C15D43"/>
    <w:rsid w:val="00C16B91"/>
    <w:rsid w:val="00C20549"/>
    <w:rsid w:val="00C22713"/>
    <w:rsid w:val="00C24A02"/>
    <w:rsid w:val="00C278A5"/>
    <w:rsid w:val="00C317A6"/>
    <w:rsid w:val="00C31D4D"/>
    <w:rsid w:val="00C34565"/>
    <w:rsid w:val="00C35364"/>
    <w:rsid w:val="00C3646C"/>
    <w:rsid w:val="00C372D7"/>
    <w:rsid w:val="00C40B0F"/>
    <w:rsid w:val="00C42430"/>
    <w:rsid w:val="00C44286"/>
    <w:rsid w:val="00C44DA9"/>
    <w:rsid w:val="00C453E4"/>
    <w:rsid w:val="00C45A54"/>
    <w:rsid w:val="00C4791F"/>
    <w:rsid w:val="00C503B2"/>
    <w:rsid w:val="00C53F31"/>
    <w:rsid w:val="00C54173"/>
    <w:rsid w:val="00C57ADC"/>
    <w:rsid w:val="00C60955"/>
    <w:rsid w:val="00C61490"/>
    <w:rsid w:val="00C6221E"/>
    <w:rsid w:val="00C66196"/>
    <w:rsid w:val="00C6656B"/>
    <w:rsid w:val="00C66740"/>
    <w:rsid w:val="00C71125"/>
    <w:rsid w:val="00C75011"/>
    <w:rsid w:val="00C8122C"/>
    <w:rsid w:val="00C83D12"/>
    <w:rsid w:val="00C83DEC"/>
    <w:rsid w:val="00C845B8"/>
    <w:rsid w:val="00C90101"/>
    <w:rsid w:val="00C9109A"/>
    <w:rsid w:val="00C9382B"/>
    <w:rsid w:val="00CA1992"/>
    <w:rsid w:val="00CA36E9"/>
    <w:rsid w:val="00CA5FC0"/>
    <w:rsid w:val="00CA7356"/>
    <w:rsid w:val="00CB1C71"/>
    <w:rsid w:val="00CB245B"/>
    <w:rsid w:val="00CB2994"/>
    <w:rsid w:val="00CC1A2B"/>
    <w:rsid w:val="00CC37E2"/>
    <w:rsid w:val="00CC3FF9"/>
    <w:rsid w:val="00CC5E8D"/>
    <w:rsid w:val="00CD38D8"/>
    <w:rsid w:val="00CD4BF3"/>
    <w:rsid w:val="00CD5E3F"/>
    <w:rsid w:val="00CD61BF"/>
    <w:rsid w:val="00CD623A"/>
    <w:rsid w:val="00CD66D6"/>
    <w:rsid w:val="00CE289D"/>
    <w:rsid w:val="00CE405F"/>
    <w:rsid w:val="00CE658F"/>
    <w:rsid w:val="00CF357F"/>
    <w:rsid w:val="00CF3A36"/>
    <w:rsid w:val="00CF4D24"/>
    <w:rsid w:val="00CF6BBD"/>
    <w:rsid w:val="00CF78A8"/>
    <w:rsid w:val="00CF7D76"/>
    <w:rsid w:val="00D03C9C"/>
    <w:rsid w:val="00D04890"/>
    <w:rsid w:val="00D06F51"/>
    <w:rsid w:val="00D079B4"/>
    <w:rsid w:val="00D079D1"/>
    <w:rsid w:val="00D108FE"/>
    <w:rsid w:val="00D14828"/>
    <w:rsid w:val="00D152EB"/>
    <w:rsid w:val="00D16E45"/>
    <w:rsid w:val="00D1705B"/>
    <w:rsid w:val="00D25C20"/>
    <w:rsid w:val="00D25D27"/>
    <w:rsid w:val="00D2751B"/>
    <w:rsid w:val="00D2785B"/>
    <w:rsid w:val="00D27DDD"/>
    <w:rsid w:val="00D30C6A"/>
    <w:rsid w:val="00D3172B"/>
    <w:rsid w:val="00D31B7B"/>
    <w:rsid w:val="00D33BED"/>
    <w:rsid w:val="00D34659"/>
    <w:rsid w:val="00D347D4"/>
    <w:rsid w:val="00D409AA"/>
    <w:rsid w:val="00D40EB8"/>
    <w:rsid w:val="00D42091"/>
    <w:rsid w:val="00D42342"/>
    <w:rsid w:val="00D464B7"/>
    <w:rsid w:val="00D5062A"/>
    <w:rsid w:val="00D543D9"/>
    <w:rsid w:val="00D60BEE"/>
    <w:rsid w:val="00D6298A"/>
    <w:rsid w:val="00D64075"/>
    <w:rsid w:val="00D663D2"/>
    <w:rsid w:val="00D715BD"/>
    <w:rsid w:val="00D71AC1"/>
    <w:rsid w:val="00D71D76"/>
    <w:rsid w:val="00D721C9"/>
    <w:rsid w:val="00D73B42"/>
    <w:rsid w:val="00D80D06"/>
    <w:rsid w:val="00D84522"/>
    <w:rsid w:val="00D849DE"/>
    <w:rsid w:val="00D84DA7"/>
    <w:rsid w:val="00D8501E"/>
    <w:rsid w:val="00D935A8"/>
    <w:rsid w:val="00D9522B"/>
    <w:rsid w:val="00D9601C"/>
    <w:rsid w:val="00DA2219"/>
    <w:rsid w:val="00DA3D69"/>
    <w:rsid w:val="00DA517B"/>
    <w:rsid w:val="00DB3792"/>
    <w:rsid w:val="00DB458A"/>
    <w:rsid w:val="00DB4764"/>
    <w:rsid w:val="00DB75CB"/>
    <w:rsid w:val="00DC004E"/>
    <w:rsid w:val="00DC06DE"/>
    <w:rsid w:val="00DD09F2"/>
    <w:rsid w:val="00DD1937"/>
    <w:rsid w:val="00DD2F4E"/>
    <w:rsid w:val="00DE2357"/>
    <w:rsid w:val="00DE30A1"/>
    <w:rsid w:val="00DE4F11"/>
    <w:rsid w:val="00DE565C"/>
    <w:rsid w:val="00DE7E22"/>
    <w:rsid w:val="00DF2CDF"/>
    <w:rsid w:val="00DF5D35"/>
    <w:rsid w:val="00DF6CAA"/>
    <w:rsid w:val="00DF6DCC"/>
    <w:rsid w:val="00DF7961"/>
    <w:rsid w:val="00E03370"/>
    <w:rsid w:val="00E035D1"/>
    <w:rsid w:val="00E03D18"/>
    <w:rsid w:val="00E05338"/>
    <w:rsid w:val="00E06BA1"/>
    <w:rsid w:val="00E118CE"/>
    <w:rsid w:val="00E1215C"/>
    <w:rsid w:val="00E12F43"/>
    <w:rsid w:val="00E14B46"/>
    <w:rsid w:val="00E15045"/>
    <w:rsid w:val="00E16BAE"/>
    <w:rsid w:val="00E22843"/>
    <w:rsid w:val="00E2670E"/>
    <w:rsid w:val="00E30106"/>
    <w:rsid w:val="00E3343D"/>
    <w:rsid w:val="00E3425C"/>
    <w:rsid w:val="00E371D3"/>
    <w:rsid w:val="00E374BC"/>
    <w:rsid w:val="00E37708"/>
    <w:rsid w:val="00E412CD"/>
    <w:rsid w:val="00E44762"/>
    <w:rsid w:val="00E469E5"/>
    <w:rsid w:val="00E473D4"/>
    <w:rsid w:val="00E47BA1"/>
    <w:rsid w:val="00E5742B"/>
    <w:rsid w:val="00E61F96"/>
    <w:rsid w:val="00E62BEB"/>
    <w:rsid w:val="00E66708"/>
    <w:rsid w:val="00E669A1"/>
    <w:rsid w:val="00E67C8D"/>
    <w:rsid w:val="00E67EDD"/>
    <w:rsid w:val="00E71B0F"/>
    <w:rsid w:val="00E73E4E"/>
    <w:rsid w:val="00E851F5"/>
    <w:rsid w:val="00E91708"/>
    <w:rsid w:val="00E919C7"/>
    <w:rsid w:val="00E971C4"/>
    <w:rsid w:val="00E97BF2"/>
    <w:rsid w:val="00E97EB7"/>
    <w:rsid w:val="00E97FBC"/>
    <w:rsid w:val="00EA56B2"/>
    <w:rsid w:val="00EB325E"/>
    <w:rsid w:val="00EC38CC"/>
    <w:rsid w:val="00EC4DF2"/>
    <w:rsid w:val="00EC61A9"/>
    <w:rsid w:val="00EC61E6"/>
    <w:rsid w:val="00EC71B1"/>
    <w:rsid w:val="00ED1B35"/>
    <w:rsid w:val="00ED1C92"/>
    <w:rsid w:val="00ED251C"/>
    <w:rsid w:val="00ED7397"/>
    <w:rsid w:val="00EE0CD6"/>
    <w:rsid w:val="00EE11CD"/>
    <w:rsid w:val="00EE2579"/>
    <w:rsid w:val="00EE3289"/>
    <w:rsid w:val="00EE4B3B"/>
    <w:rsid w:val="00EE4C42"/>
    <w:rsid w:val="00EE5078"/>
    <w:rsid w:val="00EE5543"/>
    <w:rsid w:val="00EE5D3D"/>
    <w:rsid w:val="00EE6006"/>
    <w:rsid w:val="00EF0542"/>
    <w:rsid w:val="00EF3A96"/>
    <w:rsid w:val="00EF7135"/>
    <w:rsid w:val="00EF7B80"/>
    <w:rsid w:val="00F0494F"/>
    <w:rsid w:val="00F129C9"/>
    <w:rsid w:val="00F14469"/>
    <w:rsid w:val="00F158A9"/>
    <w:rsid w:val="00F17943"/>
    <w:rsid w:val="00F20712"/>
    <w:rsid w:val="00F21500"/>
    <w:rsid w:val="00F27E5A"/>
    <w:rsid w:val="00F27E93"/>
    <w:rsid w:val="00F300B0"/>
    <w:rsid w:val="00F30237"/>
    <w:rsid w:val="00F31881"/>
    <w:rsid w:val="00F32974"/>
    <w:rsid w:val="00F36350"/>
    <w:rsid w:val="00F37323"/>
    <w:rsid w:val="00F41E48"/>
    <w:rsid w:val="00F42734"/>
    <w:rsid w:val="00F43832"/>
    <w:rsid w:val="00F47987"/>
    <w:rsid w:val="00F53057"/>
    <w:rsid w:val="00F55FFC"/>
    <w:rsid w:val="00F57174"/>
    <w:rsid w:val="00F579C3"/>
    <w:rsid w:val="00F602F8"/>
    <w:rsid w:val="00F66629"/>
    <w:rsid w:val="00F66AE5"/>
    <w:rsid w:val="00F679F1"/>
    <w:rsid w:val="00F67D67"/>
    <w:rsid w:val="00F7024E"/>
    <w:rsid w:val="00F70D97"/>
    <w:rsid w:val="00F71F4E"/>
    <w:rsid w:val="00F74C2D"/>
    <w:rsid w:val="00F75BDC"/>
    <w:rsid w:val="00F769C0"/>
    <w:rsid w:val="00F76F11"/>
    <w:rsid w:val="00F800BE"/>
    <w:rsid w:val="00F80B09"/>
    <w:rsid w:val="00F820AD"/>
    <w:rsid w:val="00F83C37"/>
    <w:rsid w:val="00F84FF6"/>
    <w:rsid w:val="00F85723"/>
    <w:rsid w:val="00F876D3"/>
    <w:rsid w:val="00F964B5"/>
    <w:rsid w:val="00F97F37"/>
    <w:rsid w:val="00FA4758"/>
    <w:rsid w:val="00FA7E2D"/>
    <w:rsid w:val="00FB1B27"/>
    <w:rsid w:val="00FB439D"/>
    <w:rsid w:val="00FC0030"/>
    <w:rsid w:val="00FC0981"/>
    <w:rsid w:val="00FC15D4"/>
    <w:rsid w:val="00FC1984"/>
    <w:rsid w:val="00FC26CC"/>
    <w:rsid w:val="00FC329B"/>
    <w:rsid w:val="00FC43AD"/>
    <w:rsid w:val="00FC62F8"/>
    <w:rsid w:val="00FC63CE"/>
    <w:rsid w:val="00FD472C"/>
    <w:rsid w:val="00FD5BB6"/>
    <w:rsid w:val="00FD5C1A"/>
    <w:rsid w:val="00FE54A2"/>
    <w:rsid w:val="00FE5C63"/>
    <w:rsid w:val="00FF3DCD"/>
    <w:rsid w:val="00FF43FE"/>
    <w:rsid w:val="00FF519F"/>
    <w:rsid w:val="00FF6B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1720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94"/>
  </w:style>
  <w:style w:type="paragraph" w:styleId="Heading1">
    <w:name w:val="heading 1"/>
    <w:basedOn w:val="Normal"/>
    <w:next w:val="Normal"/>
    <w:link w:val="Heading1Char"/>
    <w:uiPriority w:val="9"/>
    <w:qFormat/>
    <w:rsid w:val="00DE4F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4F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C42"/>
    <w:pPr>
      <w:widowControl w:val="0"/>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486C42"/>
    <w:rPr>
      <w:color w:val="0000FF" w:themeColor="hyperlink"/>
      <w:u w:val="single"/>
    </w:rPr>
  </w:style>
  <w:style w:type="paragraph" w:styleId="ListParagraph">
    <w:name w:val="List Paragraph"/>
    <w:basedOn w:val="Normal"/>
    <w:uiPriority w:val="34"/>
    <w:qFormat/>
    <w:rsid w:val="004A48C2"/>
    <w:pPr>
      <w:ind w:left="720"/>
      <w:contextualSpacing/>
    </w:pPr>
  </w:style>
  <w:style w:type="paragraph" w:styleId="FootnoteText">
    <w:name w:val="footnote text"/>
    <w:basedOn w:val="Normal"/>
    <w:link w:val="FootnoteTextChar"/>
    <w:uiPriority w:val="99"/>
    <w:unhideWhenUsed/>
    <w:rsid w:val="00D464B7"/>
  </w:style>
  <w:style w:type="character" w:customStyle="1" w:styleId="FootnoteTextChar">
    <w:name w:val="Footnote Text Char"/>
    <w:basedOn w:val="DefaultParagraphFont"/>
    <w:link w:val="FootnoteText"/>
    <w:uiPriority w:val="99"/>
    <w:rsid w:val="00D464B7"/>
  </w:style>
  <w:style w:type="character" w:styleId="FootnoteReference">
    <w:name w:val="footnote reference"/>
    <w:basedOn w:val="DefaultParagraphFont"/>
    <w:uiPriority w:val="99"/>
    <w:unhideWhenUsed/>
    <w:rsid w:val="00D464B7"/>
    <w:rPr>
      <w:vertAlign w:val="superscript"/>
    </w:rPr>
  </w:style>
  <w:style w:type="paragraph" w:styleId="Footer">
    <w:name w:val="footer"/>
    <w:basedOn w:val="Normal"/>
    <w:link w:val="FooterChar"/>
    <w:uiPriority w:val="99"/>
    <w:unhideWhenUsed/>
    <w:rsid w:val="00BC0197"/>
    <w:pPr>
      <w:tabs>
        <w:tab w:val="center" w:pos="4320"/>
        <w:tab w:val="right" w:pos="8640"/>
      </w:tabs>
    </w:pPr>
  </w:style>
  <w:style w:type="character" w:customStyle="1" w:styleId="FooterChar">
    <w:name w:val="Footer Char"/>
    <w:basedOn w:val="DefaultParagraphFont"/>
    <w:link w:val="Footer"/>
    <w:uiPriority w:val="99"/>
    <w:rsid w:val="00BC0197"/>
  </w:style>
  <w:style w:type="character" w:styleId="PageNumber">
    <w:name w:val="page number"/>
    <w:basedOn w:val="DefaultParagraphFont"/>
    <w:uiPriority w:val="99"/>
    <w:semiHidden/>
    <w:unhideWhenUsed/>
    <w:rsid w:val="00BC0197"/>
  </w:style>
  <w:style w:type="paragraph" w:styleId="Header">
    <w:name w:val="header"/>
    <w:basedOn w:val="Normal"/>
    <w:link w:val="HeaderChar"/>
    <w:uiPriority w:val="99"/>
    <w:unhideWhenUsed/>
    <w:rsid w:val="00BC0197"/>
    <w:pPr>
      <w:tabs>
        <w:tab w:val="center" w:pos="4320"/>
        <w:tab w:val="right" w:pos="8640"/>
      </w:tabs>
    </w:pPr>
  </w:style>
  <w:style w:type="character" w:customStyle="1" w:styleId="HeaderChar">
    <w:name w:val="Header Char"/>
    <w:basedOn w:val="DefaultParagraphFont"/>
    <w:link w:val="Header"/>
    <w:uiPriority w:val="99"/>
    <w:rsid w:val="00BC0197"/>
  </w:style>
  <w:style w:type="paragraph" w:styleId="BalloonText">
    <w:name w:val="Balloon Text"/>
    <w:basedOn w:val="Normal"/>
    <w:link w:val="BalloonTextChar"/>
    <w:uiPriority w:val="99"/>
    <w:semiHidden/>
    <w:unhideWhenUsed/>
    <w:rsid w:val="00DB47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64"/>
    <w:rPr>
      <w:rFonts w:ascii="Lucida Grande" w:hAnsi="Lucida Grande" w:cs="Lucida Grande"/>
      <w:sz w:val="18"/>
      <w:szCs w:val="18"/>
    </w:rPr>
  </w:style>
  <w:style w:type="paragraph" w:styleId="Revision">
    <w:name w:val="Revision"/>
    <w:hidden/>
    <w:uiPriority w:val="99"/>
    <w:semiHidden/>
    <w:rsid w:val="00996491"/>
  </w:style>
  <w:style w:type="character" w:styleId="CommentReference">
    <w:name w:val="annotation reference"/>
    <w:basedOn w:val="DefaultParagraphFont"/>
    <w:uiPriority w:val="99"/>
    <w:semiHidden/>
    <w:unhideWhenUsed/>
    <w:rsid w:val="00190569"/>
    <w:rPr>
      <w:sz w:val="16"/>
      <w:szCs w:val="16"/>
    </w:rPr>
  </w:style>
  <w:style w:type="paragraph" w:styleId="CommentText">
    <w:name w:val="annotation text"/>
    <w:basedOn w:val="Normal"/>
    <w:link w:val="CommentTextChar"/>
    <w:uiPriority w:val="99"/>
    <w:semiHidden/>
    <w:unhideWhenUsed/>
    <w:rsid w:val="00190569"/>
    <w:rPr>
      <w:sz w:val="20"/>
      <w:szCs w:val="20"/>
    </w:rPr>
  </w:style>
  <w:style w:type="character" w:customStyle="1" w:styleId="CommentTextChar">
    <w:name w:val="Comment Text Char"/>
    <w:basedOn w:val="DefaultParagraphFont"/>
    <w:link w:val="CommentText"/>
    <w:uiPriority w:val="99"/>
    <w:semiHidden/>
    <w:rsid w:val="00190569"/>
    <w:rPr>
      <w:sz w:val="20"/>
      <w:szCs w:val="20"/>
    </w:rPr>
  </w:style>
  <w:style w:type="paragraph" w:styleId="CommentSubject">
    <w:name w:val="annotation subject"/>
    <w:basedOn w:val="CommentText"/>
    <w:next w:val="CommentText"/>
    <w:link w:val="CommentSubjectChar"/>
    <w:uiPriority w:val="99"/>
    <w:semiHidden/>
    <w:unhideWhenUsed/>
    <w:rsid w:val="00190569"/>
    <w:rPr>
      <w:b/>
      <w:bCs/>
    </w:rPr>
  </w:style>
  <w:style w:type="character" w:customStyle="1" w:styleId="CommentSubjectChar">
    <w:name w:val="Comment Subject Char"/>
    <w:basedOn w:val="CommentTextChar"/>
    <w:link w:val="CommentSubject"/>
    <w:uiPriority w:val="99"/>
    <w:semiHidden/>
    <w:rsid w:val="00190569"/>
    <w:rPr>
      <w:b/>
      <w:bCs/>
      <w:sz w:val="20"/>
      <w:szCs w:val="20"/>
    </w:rPr>
  </w:style>
  <w:style w:type="character" w:customStyle="1" w:styleId="A1">
    <w:name w:val="A1"/>
    <w:uiPriority w:val="99"/>
    <w:rsid w:val="00240E4D"/>
    <w:rPr>
      <w:rFonts w:ascii="Helvetica 45 Light" w:hAnsi="Helvetica 45 Light" w:cs="Helvetica 45 Light"/>
      <w:b/>
      <w:bCs/>
      <w:color w:val="221E1F"/>
      <w:sz w:val="18"/>
      <w:szCs w:val="18"/>
    </w:rPr>
  </w:style>
  <w:style w:type="character" w:customStyle="1" w:styleId="Heading1Char">
    <w:name w:val="Heading 1 Char"/>
    <w:basedOn w:val="DefaultParagraphFont"/>
    <w:link w:val="Heading1"/>
    <w:uiPriority w:val="9"/>
    <w:rsid w:val="00DE4F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E4F11"/>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214F6"/>
    <w:rPr>
      <w:i/>
      <w:iCs/>
    </w:rPr>
  </w:style>
  <w:style w:type="character" w:customStyle="1" w:styleId="apple-converted-space">
    <w:name w:val="apple-converted-space"/>
    <w:basedOn w:val="DefaultParagraphFont"/>
    <w:rsid w:val="007214F6"/>
  </w:style>
  <w:style w:type="character" w:styleId="Strong">
    <w:name w:val="Strong"/>
    <w:basedOn w:val="DefaultParagraphFont"/>
    <w:uiPriority w:val="22"/>
    <w:qFormat/>
    <w:rsid w:val="007214F6"/>
    <w:rPr>
      <w:b/>
      <w:bCs/>
    </w:rPr>
  </w:style>
  <w:style w:type="table" w:styleId="TableGrid">
    <w:name w:val="Table Grid"/>
    <w:basedOn w:val="TableNormal"/>
    <w:uiPriority w:val="59"/>
    <w:rsid w:val="00C3536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BoxHeading">
    <w:name w:val="Box Heading"/>
    <w:basedOn w:val="Normal"/>
    <w:next w:val="BoxText"/>
    <w:rsid w:val="00C35364"/>
    <w:pPr>
      <w:keepNext/>
      <w:adjustRightInd w:val="0"/>
      <w:spacing w:before="160" w:after="160" w:line="260" w:lineRule="exact"/>
      <w:textAlignment w:val="baseline"/>
    </w:pPr>
    <w:rPr>
      <w:rFonts w:ascii="Century Gothic" w:eastAsia="Times New Roman" w:hAnsi="Century Gothic" w:cs="Times New Roman"/>
      <w:b/>
      <w:color w:val="1F497D" w:themeColor="text2"/>
      <w:szCs w:val="20"/>
      <w:lang w:eastAsia="en-AU"/>
    </w:rPr>
  </w:style>
  <w:style w:type="paragraph" w:customStyle="1" w:styleId="BoxText">
    <w:name w:val="Box Text"/>
    <w:basedOn w:val="Normal"/>
    <w:rsid w:val="00C35364"/>
    <w:pPr>
      <w:widowControl w:val="0"/>
      <w:adjustRightInd w:val="0"/>
      <w:spacing w:after="180" w:line="280" w:lineRule="exact"/>
      <w:jc w:val="both"/>
      <w:textAlignment w:val="baseline"/>
    </w:pPr>
    <w:rPr>
      <w:rFonts w:ascii="Century Gothic" w:eastAsia="Times New Roman" w:hAnsi="Century Gothic" w:cs="Times New Roman"/>
      <w:sz w:val="21"/>
      <w:szCs w:val="20"/>
      <w:lang w:eastAsia="en-AU"/>
    </w:rPr>
  </w:style>
  <w:style w:type="numbering" w:customStyle="1" w:styleId="Optionboxheading">
    <w:name w:val="Option box heading"/>
    <w:uiPriority w:val="99"/>
    <w:rsid w:val="00C35364"/>
    <w:pPr>
      <w:numPr>
        <w:numId w:val="2"/>
      </w:numPr>
    </w:pPr>
  </w:style>
  <w:style w:type="paragraph" w:customStyle="1" w:styleId="BoxNumberedQuestions">
    <w:name w:val="Box Numbered Questions"/>
    <w:basedOn w:val="Normal"/>
    <w:rsid w:val="00C35364"/>
    <w:pPr>
      <w:widowControl w:val="0"/>
      <w:numPr>
        <w:numId w:val="2"/>
      </w:numPr>
      <w:adjustRightInd w:val="0"/>
      <w:spacing w:after="160" w:line="260" w:lineRule="exact"/>
      <w:jc w:val="both"/>
      <w:textAlignment w:val="baseline"/>
    </w:pPr>
    <w:rPr>
      <w:rFonts w:ascii="Century Gothic" w:eastAsia="Times New Roman" w:hAnsi="Century Gothic" w:cs="Times New Roman"/>
      <w:color w:val="1F497D" w:themeColor="text2"/>
      <w:sz w:val="21"/>
      <w:szCs w:val="20"/>
      <w:lang w:eastAsia="en-AU"/>
    </w:rPr>
  </w:style>
  <w:style w:type="paragraph" w:customStyle="1" w:styleId="BoxHeading-Sub">
    <w:name w:val="Box Heading - Sub"/>
    <w:basedOn w:val="Normal"/>
    <w:rsid w:val="00C35364"/>
    <w:pPr>
      <w:keepNext/>
      <w:tabs>
        <w:tab w:val="left" w:pos="567"/>
      </w:tabs>
      <w:adjustRightInd w:val="0"/>
      <w:spacing w:before="160" w:after="160" w:line="260" w:lineRule="exact"/>
      <w:textAlignment w:val="baseline"/>
    </w:pPr>
    <w:rPr>
      <w:rFonts w:ascii="Century Gothic" w:eastAsia="Times New Roman" w:hAnsi="Century Gothic" w:cs="Times New Roman"/>
      <w:b/>
      <w:color w:val="1F497D" w:themeColor="text2"/>
      <w:sz w:val="22"/>
      <w:szCs w:val="20"/>
      <w:lang w:eastAsia="en-AU"/>
    </w:rPr>
  </w:style>
  <w:style w:type="paragraph" w:customStyle="1" w:styleId="FooterEven">
    <w:name w:val="Footer Even"/>
    <w:basedOn w:val="Footer"/>
    <w:rsid w:val="00D543D9"/>
    <w:pPr>
      <w:keepNext/>
      <w:widowControl w:val="0"/>
      <w:tabs>
        <w:tab w:val="clear" w:pos="4320"/>
        <w:tab w:val="clear" w:pos="8640"/>
      </w:tabs>
      <w:adjustRightInd w:val="0"/>
      <w:spacing w:line="360" w:lineRule="atLeast"/>
      <w:jc w:val="both"/>
      <w:textAlignment w:val="baseline"/>
    </w:pPr>
    <w:rPr>
      <w:rFonts w:ascii="Century Gothic" w:eastAsia="Times New Roman" w:hAnsi="Century Gothic" w:cs="Times New Roman"/>
      <w:color w:val="1F497D" w:themeColor="text2"/>
      <w:sz w:val="18"/>
      <w:szCs w:val="20"/>
      <w:lang w:eastAsia="en-AU"/>
    </w:rPr>
  </w:style>
  <w:style w:type="paragraph" w:customStyle="1" w:styleId="BoxBullet">
    <w:name w:val="Box Bullet"/>
    <w:basedOn w:val="Normal"/>
    <w:rsid w:val="00D543D9"/>
    <w:pPr>
      <w:widowControl w:val="0"/>
      <w:numPr>
        <w:numId w:val="3"/>
      </w:numPr>
      <w:adjustRightInd w:val="0"/>
      <w:spacing w:after="180" w:line="280" w:lineRule="exact"/>
      <w:jc w:val="both"/>
      <w:textAlignment w:val="baseline"/>
    </w:pPr>
    <w:rPr>
      <w:rFonts w:ascii="Century Gothic" w:eastAsia="Times New Roman" w:hAnsi="Century Gothic" w:cs="Times New Roman"/>
      <w:color w:val="1F497D" w:themeColor="text2"/>
      <w:sz w:val="21"/>
      <w:szCs w:val="20"/>
      <w:lang w:eastAsia="en-AU"/>
    </w:rPr>
  </w:style>
  <w:style w:type="paragraph" w:customStyle="1" w:styleId="BoxDash">
    <w:name w:val="Box Dash"/>
    <w:basedOn w:val="Normal"/>
    <w:rsid w:val="00D543D9"/>
    <w:pPr>
      <w:widowControl w:val="0"/>
      <w:numPr>
        <w:ilvl w:val="1"/>
        <w:numId w:val="3"/>
      </w:numPr>
      <w:adjustRightInd w:val="0"/>
      <w:spacing w:after="240"/>
      <w:jc w:val="both"/>
      <w:textAlignment w:val="baseline"/>
    </w:pPr>
    <w:rPr>
      <w:rFonts w:ascii="Book Antiqua" w:eastAsia="Times New Roman" w:hAnsi="Book Antiqua" w:cs="Times New Roman"/>
      <w:color w:val="000080"/>
      <w:sz w:val="22"/>
      <w:szCs w:val="20"/>
      <w:lang w:eastAsia="en-AU"/>
    </w:rPr>
  </w:style>
  <w:style w:type="paragraph" w:customStyle="1" w:styleId="BoxDoubleDot">
    <w:name w:val="Box Double Dot"/>
    <w:basedOn w:val="Normal"/>
    <w:rsid w:val="00D543D9"/>
    <w:pPr>
      <w:widowControl w:val="0"/>
      <w:numPr>
        <w:ilvl w:val="2"/>
        <w:numId w:val="3"/>
      </w:numPr>
      <w:adjustRightInd w:val="0"/>
      <w:spacing w:after="240"/>
      <w:jc w:val="both"/>
      <w:textAlignment w:val="baseline"/>
    </w:pPr>
    <w:rPr>
      <w:rFonts w:ascii="Book Antiqua" w:eastAsia="Times New Roman" w:hAnsi="Book Antiqua" w:cs="Times New Roman"/>
      <w:color w:val="000080"/>
      <w:sz w:val="22"/>
      <w:szCs w:val="20"/>
      <w:lang w:eastAsia="en-AU"/>
    </w:rPr>
  </w:style>
  <w:style w:type="character" w:customStyle="1" w:styleId="UnresolvedMention1">
    <w:name w:val="Unresolved Mention1"/>
    <w:basedOn w:val="DefaultParagraphFont"/>
    <w:uiPriority w:val="99"/>
    <w:semiHidden/>
    <w:unhideWhenUsed/>
    <w:rsid w:val="00F75BDC"/>
    <w:rPr>
      <w:color w:val="808080"/>
      <w:shd w:val="clear" w:color="auto" w:fill="E6E6E6"/>
    </w:rPr>
  </w:style>
  <w:style w:type="character" w:customStyle="1" w:styleId="UnresolvedMention2">
    <w:name w:val="Unresolved Mention2"/>
    <w:basedOn w:val="DefaultParagraphFont"/>
    <w:uiPriority w:val="99"/>
    <w:semiHidden/>
    <w:unhideWhenUsed/>
    <w:rsid w:val="0075713C"/>
    <w:rPr>
      <w:color w:val="808080"/>
      <w:shd w:val="clear" w:color="auto" w:fill="E6E6E6"/>
    </w:rPr>
  </w:style>
  <w:style w:type="character" w:customStyle="1" w:styleId="UnresolvedMention3">
    <w:name w:val="Unresolved Mention3"/>
    <w:basedOn w:val="DefaultParagraphFont"/>
    <w:uiPriority w:val="99"/>
    <w:semiHidden/>
    <w:unhideWhenUsed/>
    <w:rsid w:val="00695CB9"/>
    <w:rPr>
      <w:color w:val="605E5C"/>
      <w:shd w:val="clear" w:color="auto" w:fill="E1DFDD"/>
    </w:rPr>
  </w:style>
  <w:style w:type="character" w:styleId="FollowedHyperlink">
    <w:name w:val="FollowedHyperlink"/>
    <w:basedOn w:val="DefaultParagraphFont"/>
    <w:uiPriority w:val="99"/>
    <w:semiHidden/>
    <w:unhideWhenUsed/>
    <w:rsid w:val="00012C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35564">
      <w:bodyDiv w:val="1"/>
      <w:marLeft w:val="0"/>
      <w:marRight w:val="0"/>
      <w:marTop w:val="0"/>
      <w:marBottom w:val="0"/>
      <w:divBdr>
        <w:top w:val="none" w:sz="0" w:space="0" w:color="auto"/>
        <w:left w:val="none" w:sz="0" w:space="0" w:color="auto"/>
        <w:bottom w:val="none" w:sz="0" w:space="0" w:color="auto"/>
        <w:right w:val="none" w:sz="0" w:space="0" w:color="auto"/>
      </w:divBdr>
    </w:div>
    <w:div w:id="483081936">
      <w:bodyDiv w:val="1"/>
      <w:marLeft w:val="0"/>
      <w:marRight w:val="0"/>
      <w:marTop w:val="0"/>
      <w:marBottom w:val="0"/>
      <w:divBdr>
        <w:top w:val="none" w:sz="0" w:space="0" w:color="auto"/>
        <w:left w:val="none" w:sz="0" w:space="0" w:color="auto"/>
        <w:bottom w:val="none" w:sz="0" w:space="0" w:color="auto"/>
        <w:right w:val="none" w:sz="0" w:space="0" w:color="auto"/>
      </w:divBdr>
    </w:div>
    <w:div w:id="633172067">
      <w:bodyDiv w:val="1"/>
      <w:marLeft w:val="0"/>
      <w:marRight w:val="0"/>
      <w:marTop w:val="0"/>
      <w:marBottom w:val="0"/>
      <w:divBdr>
        <w:top w:val="none" w:sz="0" w:space="0" w:color="auto"/>
        <w:left w:val="none" w:sz="0" w:space="0" w:color="auto"/>
        <w:bottom w:val="none" w:sz="0" w:space="0" w:color="auto"/>
        <w:right w:val="none" w:sz="0" w:space="0" w:color="auto"/>
      </w:divBdr>
    </w:div>
    <w:div w:id="664478418">
      <w:bodyDiv w:val="1"/>
      <w:marLeft w:val="0"/>
      <w:marRight w:val="0"/>
      <w:marTop w:val="0"/>
      <w:marBottom w:val="0"/>
      <w:divBdr>
        <w:top w:val="none" w:sz="0" w:space="0" w:color="auto"/>
        <w:left w:val="none" w:sz="0" w:space="0" w:color="auto"/>
        <w:bottom w:val="none" w:sz="0" w:space="0" w:color="auto"/>
        <w:right w:val="none" w:sz="0" w:space="0" w:color="auto"/>
      </w:divBdr>
    </w:div>
    <w:div w:id="687878164">
      <w:bodyDiv w:val="1"/>
      <w:marLeft w:val="0"/>
      <w:marRight w:val="0"/>
      <w:marTop w:val="0"/>
      <w:marBottom w:val="0"/>
      <w:divBdr>
        <w:top w:val="none" w:sz="0" w:space="0" w:color="auto"/>
        <w:left w:val="none" w:sz="0" w:space="0" w:color="auto"/>
        <w:bottom w:val="none" w:sz="0" w:space="0" w:color="auto"/>
        <w:right w:val="none" w:sz="0" w:space="0" w:color="auto"/>
      </w:divBdr>
    </w:div>
    <w:div w:id="731348416">
      <w:bodyDiv w:val="1"/>
      <w:marLeft w:val="0"/>
      <w:marRight w:val="0"/>
      <w:marTop w:val="0"/>
      <w:marBottom w:val="0"/>
      <w:divBdr>
        <w:top w:val="none" w:sz="0" w:space="0" w:color="auto"/>
        <w:left w:val="none" w:sz="0" w:space="0" w:color="auto"/>
        <w:bottom w:val="none" w:sz="0" w:space="0" w:color="auto"/>
        <w:right w:val="none" w:sz="0" w:space="0" w:color="auto"/>
      </w:divBdr>
    </w:div>
    <w:div w:id="770668585">
      <w:bodyDiv w:val="1"/>
      <w:marLeft w:val="0"/>
      <w:marRight w:val="0"/>
      <w:marTop w:val="0"/>
      <w:marBottom w:val="0"/>
      <w:divBdr>
        <w:top w:val="none" w:sz="0" w:space="0" w:color="auto"/>
        <w:left w:val="none" w:sz="0" w:space="0" w:color="auto"/>
        <w:bottom w:val="none" w:sz="0" w:space="0" w:color="auto"/>
        <w:right w:val="none" w:sz="0" w:space="0" w:color="auto"/>
      </w:divBdr>
    </w:div>
    <w:div w:id="843741139">
      <w:bodyDiv w:val="1"/>
      <w:marLeft w:val="0"/>
      <w:marRight w:val="0"/>
      <w:marTop w:val="0"/>
      <w:marBottom w:val="0"/>
      <w:divBdr>
        <w:top w:val="none" w:sz="0" w:space="0" w:color="auto"/>
        <w:left w:val="none" w:sz="0" w:space="0" w:color="auto"/>
        <w:bottom w:val="none" w:sz="0" w:space="0" w:color="auto"/>
        <w:right w:val="none" w:sz="0" w:space="0" w:color="auto"/>
      </w:divBdr>
    </w:div>
    <w:div w:id="844243665">
      <w:bodyDiv w:val="1"/>
      <w:marLeft w:val="0"/>
      <w:marRight w:val="0"/>
      <w:marTop w:val="0"/>
      <w:marBottom w:val="0"/>
      <w:divBdr>
        <w:top w:val="none" w:sz="0" w:space="0" w:color="auto"/>
        <w:left w:val="none" w:sz="0" w:space="0" w:color="auto"/>
        <w:bottom w:val="none" w:sz="0" w:space="0" w:color="auto"/>
        <w:right w:val="none" w:sz="0" w:space="0" w:color="auto"/>
      </w:divBdr>
    </w:div>
    <w:div w:id="849486211">
      <w:bodyDiv w:val="1"/>
      <w:marLeft w:val="0"/>
      <w:marRight w:val="0"/>
      <w:marTop w:val="0"/>
      <w:marBottom w:val="0"/>
      <w:divBdr>
        <w:top w:val="none" w:sz="0" w:space="0" w:color="auto"/>
        <w:left w:val="none" w:sz="0" w:space="0" w:color="auto"/>
        <w:bottom w:val="none" w:sz="0" w:space="0" w:color="auto"/>
        <w:right w:val="none" w:sz="0" w:space="0" w:color="auto"/>
      </w:divBdr>
    </w:div>
    <w:div w:id="870724002">
      <w:bodyDiv w:val="1"/>
      <w:marLeft w:val="0"/>
      <w:marRight w:val="0"/>
      <w:marTop w:val="0"/>
      <w:marBottom w:val="0"/>
      <w:divBdr>
        <w:top w:val="none" w:sz="0" w:space="0" w:color="auto"/>
        <w:left w:val="none" w:sz="0" w:space="0" w:color="auto"/>
        <w:bottom w:val="none" w:sz="0" w:space="0" w:color="auto"/>
        <w:right w:val="none" w:sz="0" w:space="0" w:color="auto"/>
      </w:divBdr>
    </w:div>
    <w:div w:id="987173153">
      <w:bodyDiv w:val="1"/>
      <w:marLeft w:val="0"/>
      <w:marRight w:val="0"/>
      <w:marTop w:val="0"/>
      <w:marBottom w:val="0"/>
      <w:divBdr>
        <w:top w:val="none" w:sz="0" w:space="0" w:color="auto"/>
        <w:left w:val="none" w:sz="0" w:space="0" w:color="auto"/>
        <w:bottom w:val="none" w:sz="0" w:space="0" w:color="auto"/>
        <w:right w:val="none" w:sz="0" w:space="0" w:color="auto"/>
      </w:divBdr>
    </w:div>
    <w:div w:id="1286279582">
      <w:bodyDiv w:val="1"/>
      <w:marLeft w:val="0"/>
      <w:marRight w:val="0"/>
      <w:marTop w:val="0"/>
      <w:marBottom w:val="0"/>
      <w:divBdr>
        <w:top w:val="none" w:sz="0" w:space="0" w:color="auto"/>
        <w:left w:val="none" w:sz="0" w:space="0" w:color="auto"/>
        <w:bottom w:val="none" w:sz="0" w:space="0" w:color="auto"/>
        <w:right w:val="none" w:sz="0" w:space="0" w:color="auto"/>
      </w:divBdr>
    </w:div>
    <w:div w:id="1334340268">
      <w:bodyDiv w:val="1"/>
      <w:marLeft w:val="0"/>
      <w:marRight w:val="0"/>
      <w:marTop w:val="0"/>
      <w:marBottom w:val="0"/>
      <w:divBdr>
        <w:top w:val="none" w:sz="0" w:space="0" w:color="auto"/>
        <w:left w:val="none" w:sz="0" w:space="0" w:color="auto"/>
        <w:bottom w:val="none" w:sz="0" w:space="0" w:color="auto"/>
        <w:right w:val="none" w:sz="0" w:space="0" w:color="auto"/>
      </w:divBdr>
    </w:div>
    <w:div w:id="1334531602">
      <w:bodyDiv w:val="1"/>
      <w:marLeft w:val="0"/>
      <w:marRight w:val="0"/>
      <w:marTop w:val="0"/>
      <w:marBottom w:val="0"/>
      <w:divBdr>
        <w:top w:val="none" w:sz="0" w:space="0" w:color="auto"/>
        <w:left w:val="none" w:sz="0" w:space="0" w:color="auto"/>
        <w:bottom w:val="none" w:sz="0" w:space="0" w:color="auto"/>
        <w:right w:val="none" w:sz="0" w:space="0" w:color="auto"/>
      </w:divBdr>
    </w:div>
    <w:div w:id="1435975081">
      <w:bodyDiv w:val="1"/>
      <w:marLeft w:val="0"/>
      <w:marRight w:val="0"/>
      <w:marTop w:val="0"/>
      <w:marBottom w:val="0"/>
      <w:divBdr>
        <w:top w:val="none" w:sz="0" w:space="0" w:color="auto"/>
        <w:left w:val="none" w:sz="0" w:space="0" w:color="auto"/>
        <w:bottom w:val="none" w:sz="0" w:space="0" w:color="auto"/>
        <w:right w:val="none" w:sz="0" w:space="0" w:color="auto"/>
      </w:divBdr>
    </w:div>
    <w:div w:id="1473905388">
      <w:bodyDiv w:val="1"/>
      <w:marLeft w:val="0"/>
      <w:marRight w:val="0"/>
      <w:marTop w:val="0"/>
      <w:marBottom w:val="0"/>
      <w:divBdr>
        <w:top w:val="none" w:sz="0" w:space="0" w:color="auto"/>
        <w:left w:val="none" w:sz="0" w:space="0" w:color="auto"/>
        <w:bottom w:val="none" w:sz="0" w:space="0" w:color="auto"/>
        <w:right w:val="none" w:sz="0" w:space="0" w:color="auto"/>
      </w:divBdr>
    </w:div>
    <w:div w:id="1488404012">
      <w:bodyDiv w:val="1"/>
      <w:marLeft w:val="0"/>
      <w:marRight w:val="0"/>
      <w:marTop w:val="0"/>
      <w:marBottom w:val="0"/>
      <w:divBdr>
        <w:top w:val="none" w:sz="0" w:space="0" w:color="auto"/>
        <w:left w:val="none" w:sz="0" w:space="0" w:color="auto"/>
        <w:bottom w:val="none" w:sz="0" w:space="0" w:color="auto"/>
        <w:right w:val="none" w:sz="0" w:space="0" w:color="auto"/>
      </w:divBdr>
    </w:div>
    <w:div w:id="1535655018">
      <w:bodyDiv w:val="1"/>
      <w:marLeft w:val="0"/>
      <w:marRight w:val="0"/>
      <w:marTop w:val="0"/>
      <w:marBottom w:val="0"/>
      <w:divBdr>
        <w:top w:val="none" w:sz="0" w:space="0" w:color="auto"/>
        <w:left w:val="none" w:sz="0" w:space="0" w:color="auto"/>
        <w:bottom w:val="none" w:sz="0" w:space="0" w:color="auto"/>
        <w:right w:val="none" w:sz="0" w:space="0" w:color="auto"/>
      </w:divBdr>
    </w:div>
    <w:div w:id="1572546893">
      <w:bodyDiv w:val="1"/>
      <w:marLeft w:val="0"/>
      <w:marRight w:val="0"/>
      <w:marTop w:val="0"/>
      <w:marBottom w:val="0"/>
      <w:divBdr>
        <w:top w:val="none" w:sz="0" w:space="0" w:color="auto"/>
        <w:left w:val="none" w:sz="0" w:space="0" w:color="auto"/>
        <w:bottom w:val="none" w:sz="0" w:space="0" w:color="auto"/>
        <w:right w:val="none" w:sz="0" w:space="0" w:color="auto"/>
      </w:divBdr>
    </w:div>
    <w:div w:id="1671254232">
      <w:bodyDiv w:val="1"/>
      <w:marLeft w:val="0"/>
      <w:marRight w:val="0"/>
      <w:marTop w:val="0"/>
      <w:marBottom w:val="0"/>
      <w:divBdr>
        <w:top w:val="none" w:sz="0" w:space="0" w:color="auto"/>
        <w:left w:val="none" w:sz="0" w:space="0" w:color="auto"/>
        <w:bottom w:val="none" w:sz="0" w:space="0" w:color="auto"/>
        <w:right w:val="none" w:sz="0" w:space="0" w:color="auto"/>
      </w:divBdr>
    </w:div>
    <w:div w:id="1725985166">
      <w:bodyDiv w:val="1"/>
      <w:marLeft w:val="0"/>
      <w:marRight w:val="0"/>
      <w:marTop w:val="0"/>
      <w:marBottom w:val="0"/>
      <w:divBdr>
        <w:top w:val="none" w:sz="0" w:space="0" w:color="auto"/>
        <w:left w:val="none" w:sz="0" w:space="0" w:color="auto"/>
        <w:bottom w:val="none" w:sz="0" w:space="0" w:color="auto"/>
        <w:right w:val="none" w:sz="0" w:space="0" w:color="auto"/>
      </w:divBdr>
    </w:div>
    <w:div w:id="1769501900">
      <w:bodyDiv w:val="1"/>
      <w:marLeft w:val="0"/>
      <w:marRight w:val="0"/>
      <w:marTop w:val="0"/>
      <w:marBottom w:val="0"/>
      <w:divBdr>
        <w:top w:val="none" w:sz="0" w:space="0" w:color="auto"/>
        <w:left w:val="none" w:sz="0" w:space="0" w:color="auto"/>
        <w:bottom w:val="none" w:sz="0" w:space="0" w:color="auto"/>
        <w:right w:val="none" w:sz="0" w:space="0" w:color="auto"/>
      </w:divBdr>
    </w:div>
    <w:div w:id="1781339187">
      <w:bodyDiv w:val="1"/>
      <w:marLeft w:val="0"/>
      <w:marRight w:val="0"/>
      <w:marTop w:val="0"/>
      <w:marBottom w:val="0"/>
      <w:divBdr>
        <w:top w:val="none" w:sz="0" w:space="0" w:color="auto"/>
        <w:left w:val="none" w:sz="0" w:space="0" w:color="auto"/>
        <w:bottom w:val="none" w:sz="0" w:space="0" w:color="auto"/>
        <w:right w:val="none" w:sz="0" w:space="0" w:color="auto"/>
      </w:divBdr>
    </w:div>
    <w:div w:id="1854756052">
      <w:bodyDiv w:val="1"/>
      <w:marLeft w:val="0"/>
      <w:marRight w:val="0"/>
      <w:marTop w:val="0"/>
      <w:marBottom w:val="0"/>
      <w:divBdr>
        <w:top w:val="none" w:sz="0" w:space="0" w:color="auto"/>
        <w:left w:val="none" w:sz="0" w:space="0" w:color="auto"/>
        <w:bottom w:val="none" w:sz="0" w:space="0" w:color="auto"/>
        <w:right w:val="none" w:sz="0" w:space="0" w:color="auto"/>
      </w:divBdr>
    </w:div>
    <w:div w:id="1918587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Caz.Garrard/Documents/_Letter%20Templates/www.afa.asn.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Caz.Garrard/Documents/_Letter%20Templates/www.afa.asn.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2021FG-108-10246</_dlc_DocId>
    <_dlc_DocIdUrl xmlns="0f563589-9cf9-4143-b1eb-fb0534803d38">
      <Url>http://tweb/sites/fg/bpd/_layouts/15/DocIdRedir.aspx?ID=2021FG-108-10246</Url>
      <Description>2021FG-108-10246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ED32-A36C-4E10-8F7D-2501CD86E01A}">
  <ds:schemaRefs>
    <ds:schemaRef ds:uri="Microsoft.SharePoint.Taxonomy.ContentTypeSync"/>
  </ds:schemaRefs>
</ds:datastoreItem>
</file>

<file path=customXml/itemProps2.xml><?xml version="1.0" encoding="utf-8"?>
<ds:datastoreItem xmlns:ds="http://schemas.openxmlformats.org/officeDocument/2006/customXml" ds:itemID="{6DDA72F3-BD51-4D0B-910C-19B1D9ECA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7E3F3-A588-4749-B28F-8F856737ADE7}">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EBD8FA-D4B7-4BC2-A3AE-64266A1EC7A3}">
  <ds:schemaRefs>
    <ds:schemaRef ds:uri="http://schemas.microsoft.com/sharepoint/v3/contenttype/forms"/>
  </ds:schemaRefs>
</ds:datastoreItem>
</file>

<file path=customXml/itemProps5.xml><?xml version="1.0" encoding="utf-8"?>
<ds:datastoreItem xmlns:ds="http://schemas.openxmlformats.org/officeDocument/2006/customXml" ds:itemID="{8DE52670-FA40-40DF-ADEB-EF55AE9884AC}">
  <ds:schemaRefs>
    <ds:schemaRef ds:uri="office.server.policy"/>
  </ds:schemaRefs>
</ds:datastoreItem>
</file>

<file path=customXml/itemProps6.xml><?xml version="1.0" encoding="utf-8"?>
<ds:datastoreItem xmlns:ds="http://schemas.openxmlformats.org/officeDocument/2006/customXml" ds:itemID="{C886D7C7-371D-445F-B0F6-B90DF5E5D016}">
  <ds:schemaRefs>
    <ds:schemaRef ds:uri="http://schemas.microsoft.com/sharepoint/events"/>
  </ds:schemaRefs>
</ds:datastoreItem>
</file>

<file path=customXml/itemProps7.xml><?xml version="1.0" encoding="utf-8"?>
<ds:datastoreItem xmlns:ds="http://schemas.openxmlformats.org/officeDocument/2006/customXml" ds:itemID="{CEB06B79-92D0-404F-AA4E-76684CF5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2627</Words>
  <Characters>14171</Characters>
  <Application>Microsoft Office Word</Application>
  <DocSecurity>0</DocSecurity>
  <Lines>239</Lines>
  <Paragraphs>60</Paragraphs>
  <ScaleCrop>false</ScaleCrop>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Financial Advisers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