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5179B" w14:textId="327236F7" w:rsidR="00F012EA" w:rsidRPr="00DD5DF9" w:rsidRDefault="00617E72" w:rsidP="00F012EA">
      <w:pPr>
        <w:pStyle w:val="Title"/>
      </w:pPr>
      <w:r>
        <w:t xml:space="preserve">Australian labour force participation: historical trends and </w:t>
      </w:r>
      <w:proofErr w:type="gramStart"/>
      <w:r>
        <w:t>future prospects</w:t>
      </w:r>
      <w:proofErr w:type="gramEnd"/>
    </w:p>
    <w:p w14:paraId="4BE77D9C" w14:textId="77777777" w:rsidR="00F012EA" w:rsidRDefault="0033056E" w:rsidP="00F012EA">
      <w:pPr>
        <w:pStyle w:val="AuthorName"/>
        <w:rPr>
          <w:szCs w:val="24"/>
        </w:rPr>
      </w:pPr>
      <w:r>
        <w:rPr>
          <w:szCs w:val="24"/>
        </w:rPr>
        <w:t>Linus Gustafsson</w:t>
      </w:r>
      <w:r w:rsidR="00F012EA" w:rsidRPr="00F21A41">
        <w:rPr>
          <w:rStyle w:val="FootnoteReference"/>
          <w:szCs w:val="24"/>
        </w:rPr>
        <w:footnoteReference w:id="2"/>
      </w:r>
    </w:p>
    <w:p w14:paraId="0ACAA8FC"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3"/>
      </w:r>
    </w:p>
    <w:p w14:paraId="1BC180D3" w14:textId="7BE6848E" w:rsidR="00F012EA" w:rsidRPr="00F8009C" w:rsidRDefault="00B63675" w:rsidP="00F012EA">
      <w:pPr>
        <w:pStyle w:val="Subtitle"/>
        <w:rPr>
          <w:szCs w:val="36"/>
        </w:rPr>
      </w:pPr>
      <w:r>
        <w:rPr>
          <w:szCs w:val="36"/>
        </w:rPr>
        <w:t>202</w:t>
      </w:r>
      <w:r w:rsidRPr="00D47664">
        <w:rPr>
          <w:szCs w:val="36"/>
        </w:rPr>
        <w:t>1</w:t>
      </w:r>
      <w:r w:rsidR="007A4382">
        <w:rPr>
          <w:szCs w:val="36"/>
        </w:rPr>
        <w:t>-02</w:t>
      </w:r>
    </w:p>
    <w:p w14:paraId="6977D7BF" w14:textId="0FCC5612" w:rsidR="00F012EA" w:rsidRPr="0018497C" w:rsidRDefault="00F012EA" w:rsidP="00F012EA">
      <w:pPr>
        <w:pStyle w:val="SeriesNumber"/>
        <w:spacing w:before="120" w:after="120"/>
        <w:rPr>
          <w:sz w:val="24"/>
          <w:szCs w:val="24"/>
        </w:rPr>
      </w:pPr>
      <w:r w:rsidRPr="0018497C">
        <w:rPr>
          <w:sz w:val="24"/>
          <w:szCs w:val="24"/>
        </w:rPr>
        <w:t xml:space="preserve">Date created: </w:t>
      </w:r>
      <w:r w:rsidR="007A4382">
        <w:rPr>
          <w:sz w:val="24"/>
          <w:szCs w:val="24"/>
        </w:rPr>
        <w:t>April 2021</w:t>
      </w:r>
    </w:p>
    <w:p w14:paraId="554AEB95" w14:textId="2F5506B7" w:rsidR="000464B6" w:rsidRDefault="00F012EA" w:rsidP="007A4382">
      <w:pPr>
        <w:pStyle w:val="SeriesNumber"/>
        <w:spacing w:before="120" w:after="120"/>
        <w:rPr>
          <w:szCs w:val="24"/>
        </w:rPr>
        <w:sectPr w:rsidR="000464B6" w:rsidSect="008C0793">
          <w:headerReference w:type="even" r:id="rId8"/>
          <w:headerReference w:type="default" r:id="rId9"/>
          <w:footerReference w:type="even" r:id="rId10"/>
          <w:footerReference w:type="default" r:id="rId11"/>
          <w:headerReference w:type="first" r:id="rId12"/>
          <w:pgSz w:w="11906" w:h="16838" w:code="9"/>
          <w:pgMar w:top="1418" w:right="1304" w:bottom="1418" w:left="1304" w:header="567" w:footer="567" w:gutter="0"/>
          <w:cols w:space="708"/>
          <w:titlePg/>
          <w:docGrid w:linePitch="360"/>
        </w:sectPr>
      </w:pPr>
      <w:r w:rsidRPr="0018497C">
        <w:rPr>
          <w:sz w:val="24"/>
          <w:szCs w:val="24"/>
        </w:rPr>
        <w:t xml:space="preserve">Date </w:t>
      </w:r>
      <w:r>
        <w:rPr>
          <w:sz w:val="24"/>
          <w:szCs w:val="24"/>
        </w:rPr>
        <w:t>modified</w:t>
      </w:r>
      <w:r w:rsidRPr="0018497C">
        <w:rPr>
          <w:sz w:val="24"/>
          <w:szCs w:val="24"/>
        </w:rPr>
        <w:t xml:space="preserve">: </w:t>
      </w:r>
      <w:r w:rsidR="007A4382">
        <w:rPr>
          <w:sz w:val="24"/>
          <w:szCs w:val="24"/>
        </w:rPr>
        <w:t>April 2021</w:t>
      </w:r>
    </w:p>
    <w:p w14:paraId="363C9D74" w14:textId="6C7F3A1F" w:rsidR="000464B6" w:rsidRDefault="000464B6" w:rsidP="000464B6">
      <w:r w:rsidRPr="00661BF0">
        <w:lastRenderedPageBreak/>
        <w:t xml:space="preserve">© Commonwealth of </w:t>
      </w:r>
      <w:r w:rsidRPr="00DC426C">
        <w:t xml:space="preserve">Australia </w:t>
      </w:r>
      <w:r w:rsidR="00A412FB" w:rsidRPr="00DC426C">
        <w:t>20</w:t>
      </w:r>
      <w:r w:rsidR="00A412FB">
        <w:t>21</w:t>
      </w:r>
    </w:p>
    <w:p w14:paraId="4E713B50" w14:textId="453F2AB8" w:rsidR="000464B6" w:rsidRPr="00464A16" w:rsidRDefault="000464B6" w:rsidP="000464B6">
      <w:r w:rsidRPr="007A4382">
        <w:t xml:space="preserve">ISBN </w:t>
      </w:r>
      <w:r w:rsidR="007A4382" w:rsidRPr="007A4382">
        <w:t>978-1-925832-28-0</w:t>
      </w:r>
    </w:p>
    <w:p w14:paraId="68FD5389"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3"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4"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597AA90D" w14:textId="77777777" w:rsidR="000464B6" w:rsidRDefault="000464B6" w:rsidP="007A4382">
      <w:pPr>
        <w:tabs>
          <w:tab w:val="left" w:pos="1650"/>
        </w:tabs>
        <w:spacing w:before="100" w:beforeAutospacing="1" w:after="240"/>
        <w:rPr>
          <w:rFonts w:cstheme="minorHAnsi"/>
          <w:sz w:val="24"/>
          <w:szCs w:val="24"/>
        </w:rPr>
      </w:pPr>
      <w:r w:rsidRPr="00E56DFB">
        <w:rPr>
          <w:rFonts w:cstheme="minorHAnsi"/>
          <w:noProof/>
          <w:sz w:val="24"/>
          <w:szCs w:val="24"/>
          <w:lang w:eastAsia="en-AU"/>
        </w:rPr>
        <w:drawing>
          <wp:inline distT="0" distB="0" distL="0" distR="0" wp14:anchorId="3DFD019C" wp14:editId="2E338A2D">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1B44258"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16"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0B621605" w14:textId="77777777" w:rsidR="000464B6" w:rsidRPr="007A4382" w:rsidRDefault="000464B6" w:rsidP="007A4382">
      <w:pPr>
        <w:spacing w:after="120"/>
        <w:rPr>
          <w:b/>
        </w:rPr>
      </w:pPr>
      <w:r w:rsidRPr="007A4382">
        <w:rPr>
          <w:b/>
        </w:rPr>
        <w:t>Treasury material used 'as supplied'</w:t>
      </w:r>
    </w:p>
    <w:p w14:paraId="4CF36E72"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31E0E0D5"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1B1E27EB" w14:textId="77777777" w:rsidR="000464B6" w:rsidRPr="007A4382" w:rsidRDefault="000464B6" w:rsidP="007A4382">
      <w:pPr>
        <w:spacing w:after="120"/>
        <w:rPr>
          <w:b/>
        </w:rPr>
      </w:pPr>
      <w:r w:rsidRPr="007A4382">
        <w:rPr>
          <w:b/>
        </w:rPr>
        <w:t>Derivative material</w:t>
      </w:r>
    </w:p>
    <w:p w14:paraId="6EEE225B"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40A901E8" w14:textId="77777777" w:rsidR="000464B6" w:rsidRPr="006627B4" w:rsidRDefault="000464B6" w:rsidP="000464B6">
      <w:pPr>
        <w:ind w:firstLine="720"/>
      </w:pPr>
      <w:r w:rsidRPr="002F1BC2">
        <w:rPr>
          <w:i/>
        </w:rPr>
        <w:t>Based on The Australian Government the Treasury data</w:t>
      </w:r>
    </w:p>
    <w:p w14:paraId="2EBAFD12" w14:textId="77777777" w:rsidR="000464B6" w:rsidRPr="006627B4" w:rsidRDefault="000464B6" w:rsidP="007A4382">
      <w:pPr>
        <w:spacing w:after="120"/>
        <w:rPr>
          <w:b/>
        </w:rPr>
      </w:pPr>
      <w:r w:rsidRPr="006627B4">
        <w:rPr>
          <w:b/>
        </w:rPr>
        <w:t>Use of the Coat of Arms</w:t>
      </w:r>
    </w:p>
    <w:p w14:paraId="568B6292" w14:textId="71953404" w:rsidR="000464B6" w:rsidRPr="006627B4" w:rsidRDefault="000464B6" w:rsidP="000464B6">
      <w:r w:rsidRPr="006627B4">
        <w:t>The terms under which the Coat of Arms can be used are set out on the It’s an Honour website (see</w:t>
      </w:r>
      <w:r w:rsidR="00CB7EAE">
        <w:t> </w:t>
      </w:r>
      <w:hyperlink r:id="rId17" w:history="1">
        <w:r w:rsidRPr="00CB7EAE">
          <w:rPr>
            <w:rStyle w:val="Hyperlink"/>
          </w:rPr>
          <w:t>www.itsanhonour.gov.au</w:t>
        </w:r>
      </w:hyperlink>
      <w:r w:rsidRPr="006627B4">
        <w:t>)</w:t>
      </w:r>
    </w:p>
    <w:p w14:paraId="3C515C5F" w14:textId="77777777" w:rsidR="000464B6" w:rsidRPr="006627B4" w:rsidRDefault="00A57848" w:rsidP="007A4382">
      <w:pPr>
        <w:spacing w:after="120"/>
        <w:rPr>
          <w:b/>
        </w:rPr>
      </w:pPr>
      <w:r>
        <w:rPr>
          <w:b/>
        </w:rPr>
        <w:t>Other u</w:t>
      </w:r>
      <w:r w:rsidR="000464B6" w:rsidRPr="006627B4">
        <w:rPr>
          <w:b/>
        </w:rPr>
        <w:t>ses</w:t>
      </w:r>
    </w:p>
    <w:p w14:paraId="1851807B" w14:textId="77777777" w:rsidR="000464B6" w:rsidRPr="006627B4" w:rsidRDefault="00A57848" w:rsidP="00A57848">
      <w:pPr>
        <w:spacing w:after="120"/>
      </w:pPr>
      <w:r>
        <w:t>E</w:t>
      </w:r>
      <w:r w:rsidR="000464B6" w:rsidRPr="006627B4">
        <w:t>nquiries regarding this licence and any other use of this document are welcome at:</w:t>
      </w:r>
    </w:p>
    <w:p w14:paraId="09BAAB9B" w14:textId="77777777" w:rsidR="000464B6" w:rsidRPr="006627B4" w:rsidRDefault="000464B6" w:rsidP="000464B6">
      <w:pPr>
        <w:spacing w:after="0"/>
        <w:ind w:left="720"/>
      </w:pPr>
      <w:r w:rsidRPr="006627B4">
        <w:t>Manager</w:t>
      </w:r>
    </w:p>
    <w:p w14:paraId="59560045" w14:textId="77777777" w:rsidR="000464B6" w:rsidRPr="006627B4" w:rsidRDefault="00A57848" w:rsidP="000464B6">
      <w:pPr>
        <w:spacing w:after="0"/>
        <w:ind w:left="720"/>
      </w:pPr>
      <w:r>
        <w:t>Media Unit</w:t>
      </w:r>
    </w:p>
    <w:p w14:paraId="5355424A" w14:textId="77777777" w:rsidR="000464B6" w:rsidRPr="006627B4" w:rsidRDefault="000464B6" w:rsidP="000464B6">
      <w:pPr>
        <w:spacing w:after="0"/>
        <w:ind w:left="720"/>
      </w:pPr>
      <w:r w:rsidRPr="006627B4">
        <w:t>The Treasury</w:t>
      </w:r>
    </w:p>
    <w:p w14:paraId="08DCE7F4" w14:textId="77777777" w:rsidR="000464B6" w:rsidRPr="006627B4" w:rsidRDefault="000464B6" w:rsidP="000464B6">
      <w:pPr>
        <w:spacing w:after="0"/>
        <w:ind w:left="720"/>
      </w:pPr>
      <w:r w:rsidRPr="006627B4">
        <w:t xml:space="preserve">Langton Crescent </w:t>
      </w:r>
      <w:r w:rsidR="00A57848">
        <w:br/>
      </w:r>
      <w:r w:rsidRPr="006627B4">
        <w:t>Parkes ACT 2600</w:t>
      </w:r>
    </w:p>
    <w:p w14:paraId="1DBB31AB" w14:textId="77777777" w:rsidR="000464B6" w:rsidRDefault="000464B6" w:rsidP="000464B6">
      <w:pPr>
        <w:spacing w:after="0"/>
        <w:ind w:left="720"/>
        <w:rPr>
          <w:rStyle w:val="Hyperlink"/>
        </w:rPr>
      </w:pPr>
      <w:r w:rsidRPr="006627B4">
        <w:t xml:space="preserve">Email: </w:t>
      </w:r>
      <w:hyperlink r:id="rId18" w:history="1">
        <w:r w:rsidRPr="00573329">
          <w:rPr>
            <w:rStyle w:val="Hyperlink"/>
          </w:rPr>
          <w:t>medialiaison@treasury.gov.au</w:t>
        </w:r>
      </w:hyperlink>
      <w:r w:rsidRPr="002F1BC2">
        <w:rPr>
          <w:rStyle w:val="Hyperlink"/>
        </w:rPr>
        <w:t xml:space="preserve"> </w:t>
      </w:r>
    </w:p>
    <w:p w14:paraId="316D1F2D" w14:textId="77777777" w:rsidR="000464B6" w:rsidRPr="000464B6" w:rsidRDefault="000464B6" w:rsidP="000464B6"/>
    <w:p w14:paraId="4251C1B6" w14:textId="77777777" w:rsidR="000464B6" w:rsidRDefault="000464B6" w:rsidP="000464B6">
      <w:pPr>
        <w:spacing w:after="0"/>
        <w:ind w:left="720"/>
        <w:rPr>
          <w:rStyle w:val="Hyperlink"/>
        </w:rPr>
        <w:sectPr w:rsidR="000464B6" w:rsidSect="00C03432">
          <w:headerReference w:type="first" r:id="rId19"/>
          <w:footerReference w:type="first" r:id="rId20"/>
          <w:pgSz w:w="11906" w:h="16838" w:code="9"/>
          <w:pgMar w:top="1701" w:right="1474" w:bottom="1701" w:left="1474" w:header="1134" w:footer="1134" w:gutter="0"/>
          <w:cols w:space="708"/>
          <w:titlePg/>
          <w:docGrid w:linePitch="360"/>
        </w:sectPr>
      </w:pPr>
    </w:p>
    <w:p w14:paraId="292416F0" w14:textId="77777777" w:rsidR="00617E72" w:rsidRDefault="00617E72" w:rsidP="00F012EA">
      <w:pPr>
        <w:pStyle w:val="SingleParagraph"/>
      </w:pPr>
      <w:r w:rsidRPr="00617E72">
        <w:lastRenderedPageBreak/>
        <w:t xml:space="preserve">Australian labour force participation: Historical trends and </w:t>
      </w:r>
      <w:proofErr w:type="gramStart"/>
      <w:r w:rsidRPr="00617E72">
        <w:t>future prospects</w:t>
      </w:r>
      <w:proofErr w:type="gramEnd"/>
      <w:r w:rsidRPr="00617E72" w:rsidDel="00617E72">
        <w:t xml:space="preserve"> </w:t>
      </w:r>
    </w:p>
    <w:p w14:paraId="5A3772BC" w14:textId="77777777" w:rsidR="00F012EA" w:rsidRPr="006B46C2" w:rsidRDefault="0033056E" w:rsidP="00F012EA">
      <w:pPr>
        <w:pStyle w:val="SingleParagraph"/>
      </w:pPr>
      <w:r w:rsidRPr="006B46C2">
        <w:t>Linus Gustafsson</w:t>
      </w:r>
    </w:p>
    <w:p w14:paraId="1C397E99" w14:textId="13ED3842" w:rsidR="00F012EA" w:rsidRPr="007A4382" w:rsidRDefault="00946477" w:rsidP="00F012EA">
      <w:pPr>
        <w:pStyle w:val="SingleParagraph"/>
      </w:pPr>
      <w:r w:rsidRPr="007A4382">
        <w:t>202</w:t>
      </w:r>
      <w:r w:rsidR="00A412FB" w:rsidRPr="007A4382">
        <w:t>1</w:t>
      </w:r>
      <w:r w:rsidR="00F012EA" w:rsidRPr="007A4382">
        <w:noBreakHyphen/>
      </w:r>
      <w:r w:rsidR="007A4382" w:rsidRPr="007A4382">
        <w:t>02</w:t>
      </w:r>
    </w:p>
    <w:p w14:paraId="64BA876D" w14:textId="057B0DBA" w:rsidR="00F012EA" w:rsidRDefault="00641851" w:rsidP="00F012EA">
      <w:pPr>
        <w:pStyle w:val="SingleParagraph"/>
      </w:pPr>
      <w:r>
        <w:t>29 April 2021</w:t>
      </w:r>
    </w:p>
    <w:p w14:paraId="62EA4440" w14:textId="77777777" w:rsidR="00F012EA" w:rsidRDefault="00F012EA" w:rsidP="00F012EA">
      <w:pPr>
        <w:pStyle w:val="Heading1"/>
      </w:pPr>
      <w:bookmarkStart w:id="0" w:name="_Toc70507610"/>
      <w:r>
        <w:t>Abstract</w:t>
      </w:r>
      <w:bookmarkEnd w:id="0"/>
    </w:p>
    <w:p w14:paraId="4156628C" w14:textId="4893E428" w:rsidR="00DE7C5D" w:rsidRDefault="00DE7C5D" w:rsidP="00F012EA">
      <w:pPr>
        <w:pStyle w:val="Abstract"/>
      </w:pPr>
      <w:r>
        <w:t xml:space="preserve">Over the past 40 years, Australia has experienced significant changes to the proportion of the population that is attached to its labour market. From the early 1980s, the aggregate labour force participation rate rose steadily, climbing from around 60 per cent in 1983 to almost 66 per cent in 2011. Underlying this long-term increase in the aggregate participation rate are opposing developments for males and females. </w:t>
      </w:r>
      <w:r w:rsidR="00361337">
        <w:t xml:space="preserve">The male participation rate fell from </w:t>
      </w:r>
      <w:r>
        <w:t xml:space="preserve">close to 80 per cent </w:t>
      </w:r>
      <w:r w:rsidR="004E6A87">
        <w:t>in the late 1970s to just above 70 per cent in recent years.</w:t>
      </w:r>
      <w:r>
        <w:t xml:space="preserve"> Yet this decline in male participation rates over this period has been more than offset by an increase in female participation rates.  Since the 1970s, the female participation rate has increase</w:t>
      </w:r>
      <w:r w:rsidR="002D3F43">
        <w:t>d</w:t>
      </w:r>
      <w:r>
        <w:t xml:space="preserve"> by more than 15 percentage points. This paper studies these developments through the lens of an age- and cohort-based </w:t>
      </w:r>
      <w:r w:rsidR="009D56FD">
        <w:t>framework and</w:t>
      </w:r>
      <w:r>
        <w:t xml:space="preserve"> uses the estimated model to analyse historical trends and the implications of these past developments for future participation rate trends in Australia.</w:t>
      </w:r>
    </w:p>
    <w:p w14:paraId="095F497A" w14:textId="69643D0A" w:rsidR="00F012EA" w:rsidRDefault="00F012EA" w:rsidP="00467172">
      <w:r>
        <w:t xml:space="preserve">JEL Classification Numbers: </w:t>
      </w:r>
      <w:r w:rsidR="005F2CAB">
        <w:t>E17, E24, E27,</w:t>
      </w:r>
      <w:r w:rsidR="000951C9">
        <w:t xml:space="preserve"> J21, J22</w:t>
      </w:r>
      <w:r w:rsidR="00467172">
        <w:br/>
      </w:r>
      <w:r>
        <w:t>Keywords:</w:t>
      </w:r>
      <w:r w:rsidR="000951C9">
        <w:t xml:space="preserve"> Labour force, Labour Force Composition, Lab</w:t>
      </w:r>
      <w:r w:rsidR="00B00DAA">
        <w:t>ou</w:t>
      </w:r>
      <w:r w:rsidR="000951C9">
        <w:t>r Force Demographics, Size of Labour Force, Lab</w:t>
      </w:r>
      <w:r w:rsidR="00B00DAA">
        <w:t>ou</w:t>
      </w:r>
      <w:r w:rsidR="000951C9">
        <w:t>r Force Participation, Labour Supply</w:t>
      </w:r>
    </w:p>
    <w:p w14:paraId="15F41E95" w14:textId="30A5F2E6" w:rsidR="00F012EA" w:rsidRDefault="00C43FF7" w:rsidP="00467172">
      <w:r>
        <w:t>Linus Gustafsson</w:t>
      </w:r>
      <w:r w:rsidR="00467172">
        <w:br/>
      </w:r>
      <w:r>
        <w:t xml:space="preserve">Macroeconomic </w:t>
      </w:r>
      <w:r w:rsidR="00B63675">
        <w:t xml:space="preserve">Analysis </w:t>
      </w:r>
      <w:r>
        <w:t>and Policy Division</w:t>
      </w:r>
      <w:r w:rsidR="00467172">
        <w:br/>
      </w:r>
      <w:r>
        <w:t>Macroeconomic Group</w:t>
      </w:r>
      <w:r w:rsidR="00467172">
        <w:br/>
      </w:r>
      <w:r w:rsidR="00F012EA">
        <w:t>The Treasury</w:t>
      </w:r>
      <w:r w:rsidR="00467172">
        <w:br/>
      </w:r>
      <w:r w:rsidR="00F012EA">
        <w:t>Langton Crescent</w:t>
      </w:r>
      <w:r w:rsidR="00467172">
        <w:br/>
      </w:r>
      <w:r w:rsidR="00F012EA">
        <w:t>Parkes  ACT  2600</w:t>
      </w:r>
    </w:p>
    <w:p w14:paraId="5145F21A" w14:textId="77777777" w:rsidR="00F012EA" w:rsidRDefault="00F012EA" w:rsidP="00467172"/>
    <w:p w14:paraId="3D652541" w14:textId="77777777" w:rsidR="00F012EA" w:rsidRDefault="00F012EA" w:rsidP="00467172"/>
    <w:p w14:paraId="58C8D9C5" w14:textId="77777777" w:rsidR="00467172" w:rsidRDefault="00467172" w:rsidP="00467172">
      <w:pPr>
        <w:sectPr w:rsidR="00467172" w:rsidSect="00CB7EAE">
          <w:footerReference w:type="first" r:id="rId21"/>
          <w:pgSz w:w="11906" w:h="16838" w:code="9"/>
          <w:pgMar w:top="1701" w:right="1474" w:bottom="1701" w:left="1474" w:header="1134" w:footer="1134" w:gutter="0"/>
          <w:pgNumType w:fmt="lowerRoman"/>
          <w:cols w:space="708"/>
          <w:titlePg/>
          <w:docGrid w:linePitch="360"/>
        </w:sectPr>
      </w:pPr>
    </w:p>
    <w:p w14:paraId="7E6CD809" w14:textId="77777777" w:rsidR="00467172" w:rsidRDefault="00467172" w:rsidP="00467172">
      <w:pPr>
        <w:pStyle w:val="ContentsHeading"/>
        <w:jc w:val="left"/>
      </w:pPr>
      <w:r>
        <w:lastRenderedPageBreak/>
        <w:t>Contents</w:t>
      </w:r>
    </w:p>
    <w:p w14:paraId="5BDA3065" w14:textId="7ECE5373" w:rsidR="00EC59F9" w:rsidRDefault="00467172">
      <w:pPr>
        <w:pStyle w:val="TOC1"/>
        <w:rPr>
          <w:rFonts w:asciiTheme="minorHAnsi" w:eastAsiaTheme="minorEastAsia" w:hAnsiTheme="minorHAnsi" w:cstheme="minorBidi"/>
          <w:b w:val="0"/>
          <w:caps w:val="0"/>
          <w:color w:val="auto"/>
          <w:sz w:val="22"/>
          <w:lang w:val="en-AU"/>
        </w:rPr>
      </w:pPr>
      <w:r>
        <w:rPr>
          <w:rStyle w:val="Hyperlink"/>
          <w:color w:val="003157"/>
        </w:rPr>
        <w:fldChar w:fldCharType="begin"/>
      </w:r>
      <w:r>
        <w:rPr>
          <w:rStyle w:val="Hyperlink"/>
          <w:color w:val="003157"/>
        </w:rPr>
        <w:instrText xml:space="preserve"> TOC \h \z \t "Heading 1,1,Heading 2,2,Appendix Heading,1,Heading 2 Not Numbered,2,Heading 1 - Numbered,1,Heading 2 - Numbered,2" </w:instrText>
      </w:r>
      <w:r>
        <w:rPr>
          <w:rStyle w:val="Hyperlink"/>
          <w:color w:val="003157"/>
        </w:rPr>
        <w:fldChar w:fldCharType="separate"/>
      </w:r>
      <w:hyperlink w:anchor="_Toc70507610" w:history="1">
        <w:r w:rsidR="00EC59F9" w:rsidRPr="00B079F3">
          <w:rPr>
            <w:rStyle w:val="Hyperlink"/>
          </w:rPr>
          <w:t>Abstract</w:t>
        </w:r>
        <w:r w:rsidR="00EC59F9">
          <w:rPr>
            <w:webHidden/>
          </w:rPr>
          <w:tab/>
        </w:r>
        <w:r w:rsidR="00EC59F9" w:rsidRPr="009D1652">
          <w:rPr>
            <w:caps w:val="0"/>
            <w:webHidden/>
          </w:rPr>
          <w:fldChar w:fldCharType="begin"/>
        </w:r>
        <w:r w:rsidR="00EC59F9" w:rsidRPr="009D1652">
          <w:rPr>
            <w:caps w:val="0"/>
            <w:webHidden/>
          </w:rPr>
          <w:instrText xml:space="preserve"> PAGEREF _Toc70507610 \h </w:instrText>
        </w:r>
        <w:r w:rsidR="00EC59F9" w:rsidRPr="009D1652">
          <w:rPr>
            <w:caps w:val="0"/>
            <w:webHidden/>
          </w:rPr>
        </w:r>
        <w:r w:rsidR="00EC59F9" w:rsidRPr="009D1652">
          <w:rPr>
            <w:caps w:val="0"/>
            <w:webHidden/>
          </w:rPr>
          <w:fldChar w:fldCharType="separate"/>
        </w:r>
        <w:r w:rsidR="00BE3EEE">
          <w:rPr>
            <w:caps w:val="0"/>
            <w:webHidden/>
          </w:rPr>
          <w:t>iii</w:t>
        </w:r>
        <w:r w:rsidR="00EC59F9" w:rsidRPr="009D1652">
          <w:rPr>
            <w:caps w:val="0"/>
            <w:webHidden/>
          </w:rPr>
          <w:fldChar w:fldCharType="end"/>
        </w:r>
      </w:hyperlink>
    </w:p>
    <w:p w14:paraId="5C7F77FE" w14:textId="4C1288D9" w:rsidR="00EC59F9" w:rsidRDefault="00923B6D">
      <w:pPr>
        <w:pStyle w:val="TOC1"/>
        <w:rPr>
          <w:rFonts w:asciiTheme="minorHAnsi" w:eastAsiaTheme="minorEastAsia" w:hAnsiTheme="minorHAnsi" w:cstheme="minorBidi"/>
          <w:b w:val="0"/>
          <w:caps w:val="0"/>
          <w:color w:val="auto"/>
          <w:sz w:val="22"/>
          <w:lang w:val="en-AU"/>
        </w:rPr>
      </w:pPr>
      <w:hyperlink w:anchor="_Toc70507611" w:history="1">
        <w:r w:rsidR="00EC59F9" w:rsidRPr="00B079F3">
          <w:rPr>
            <w:rStyle w:val="Hyperlink"/>
          </w:rPr>
          <w:t>1.</w:t>
        </w:r>
        <w:r w:rsidR="00EC59F9">
          <w:rPr>
            <w:rFonts w:asciiTheme="minorHAnsi" w:eastAsiaTheme="minorEastAsia" w:hAnsiTheme="minorHAnsi" w:cstheme="minorBidi"/>
            <w:b w:val="0"/>
            <w:caps w:val="0"/>
            <w:color w:val="auto"/>
            <w:sz w:val="22"/>
            <w:lang w:val="en-AU"/>
          </w:rPr>
          <w:tab/>
        </w:r>
        <w:r w:rsidR="00EC59F9" w:rsidRPr="00B079F3">
          <w:rPr>
            <w:rStyle w:val="Hyperlink"/>
          </w:rPr>
          <w:t>Introduction</w:t>
        </w:r>
        <w:r w:rsidR="00EC59F9">
          <w:rPr>
            <w:webHidden/>
          </w:rPr>
          <w:tab/>
        </w:r>
        <w:r w:rsidR="00EC59F9">
          <w:rPr>
            <w:webHidden/>
          </w:rPr>
          <w:fldChar w:fldCharType="begin"/>
        </w:r>
        <w:r w:rsidR="00EC59F9">
          <w:rPr>
            <w:webHidden/>
          </w:rPr>
          <w:instrText xml:space="preserve"> PAGEREF _Toc70507611 \h </w:instrText>
        </w:r>
        <w:r w:rsidR="00EC59F9">
          <w:rPr>
            <w:webHidden/>
          </w:rPr>
        </w:r>
        <w:r w:rsidR="00EC59F9">
          <w:rPr>
            <w:webHidden/>
          </w:rPr>
          <w:fldChar w:fldCharType="separate"/>
        </w:r>
        <w:r w:rsidR="00BE3EEE">
          <w:rPr>
            <w:webHidden/>
          </w:rPr>
          <w:t>1</w:t>
        </w:r>
        <w:r w:rsidR="00EC59F9">
          <w:rPr>
            <w:webHidden/>
          </w:rPr>
          <w:fldChar w:fldCharType="end"/>
        </w:r>
      </w:hyperlink>
    </w:p>
    <w:p w14:paraId="212B3B4B" w14:textId="19B26D54" w:rsidR="00EC59F9" w:rsidRDefault="00923B6D">
      <w:pPr>
        <w:pStyle w:val="TOC1"/>
        <w:rPr>
          <w:rFonts w:asciiTheme="minorHAnsi" w:eastAsiaTheme="minorEastAsia" w:hAnsiTheme="minorHAnsi" w:cstheme="minorBidi"/>
          <w:b w:val="0"/>
          <w:caps w:val="0"/>
          <w:color w:val="auto"/>
          <w:sz w:val="22"/>
          <w:lang w:val="en-AU"/>
        </w:rPr>
      </w:pPr>
      <w:hyperlink w:anchor="_Toc70507612" w:history="1">
        <w:r w:rsidR="00EC59F9" w:rsidRPr="00B079F3">
          <w:rPr>
            <w:rStyle w:val="Hyperlink"/>
          </w:rPr>
          <w:t>2.</w:t>
        </w:r>
        <w:r w:rsidR="00EC59F9">
          <w:rPr>
            <w:rFonts w:asciiTheme="minorHAnsi" w:eastAsiaTheme="minorEastAsia" w:hAnsiTheme="minorHAnsi" w:cstheme="minorBidi"/>
            <w:b w:val="0"/>
            <w:caps w:val="0"/>
            <w:color w:val="auto"/>
            <w:sz w:val="22"/>
            <w:lang w:val="en-AU"/>
          </w:rPr>
          <w:tab/>
        </w:r>
        <w:r w:rsidR="00EC59F9" w:rsidRPr="00B079F3">
          <w:rPr>
            <w:rStyle w:val="Hyperlink"/>
          </w:rPr>
          <w:t>Labour force participation model</w:t>
        </w:r>
        <w:r w:rsidR="00EC59F9">
          <w:rPr>
            <w:webHidden/>
          </w:rPr>
          <w:tab/>
        </w:r>
        <w:r w:rsidR="00EC59F9">
          <w:rPr>
            <w:webHidden/>
          </w:rPr>
          <w:fldChar w:fldCharType="begin"/>
        </w:r>
        <w:r w:rsidR="00EC59F9">
          <w:rPr>
            <w:webHidden/>
          </w:rPr>
          <w:instrText xml:space="preserve"> PAGEREF _Toc70507612 \h </w:instrText>
        </w:r>
        <w:r w:rsidR="00EC59F9">
          <w:rPr>
            <w:webHidden/>
          </w:rPr>
        </w:r>
        <w:r w:rsidR="00EC59F9">
          <w:rPr>
            <w:webHidden/>
          </w:rPr>
          <w:fldChar w:fldCharType="separate"/>
        </w:r>
        <w:r w:rsidR="00BE3EEE">
          <w:rPr>
            <w:webHidden/>
          </w:rPr>
          <w:t>4</w:t>
        </w:r>
        <w:r w:rsidR="00EC59F9">
          <w:rPr>
            <w:webHidden/>
          </w:rPr>
          <w:fldChar w:fldCharType="end"/>
        </w:r>
      </w:hyperlink>
    </w:p>
    <w:p w14:paraId="128E74EE" w14:textId="70E563A1" w:rsidR="00EC59F9" w:rsidRDefault="00923B6D">
      <w:pPr>
        <w:pStyle w:val="TOC1"/>
        <w:rPr>
          <w:rFonts w:asciiTheme="minorHAnsi" w:eastAsiaTheme="minorEastAsia" w:hAnsiTheme="minorHAnsi" w:cstheme="minorBidi"/>
          <w:b w:val="0"/>
          <w:caps w:val="0"/>
          <w:color w:val="auto"/>
          <w:sz w:val="22"/>
          <w:lang w:val="en-AU"/>
        </w:rPr>
      </w:pPr>
      <w:hyperlink w:anchor="_Toc70507613" w:history="1">
        <w:r w:rsidR="00EC59F9" w:rsidRPr="00B079F3">
          <w:rPr>
            <w:rStyle w:val="Hyperlink"/>
          </w:rPr>
          <w:t>3.</w:t>
        </w:r>
        <w:r w:rsidR="00EC59F9">
          <w:rPr>
            <w:rFonts w:asciiTheme="minorHAnsi" w:eastAsiaTheme="minorEastAsia" w:hAnsiTheme="minorHAnsi" w:cstheme="minorBidi"/>
            <w:b w:val="0"/>
            <w:caps w:val="0"/>
            <w:color w:val="auto"/>
            <w:sz w:val="22"/>
            <w:lang w:val="en-AU"/>
          </w:rPr>
          <w:tab/>
        </w:r>
        <w:r w:rsidR="00EC59F9" w:rsidRPr="00B079F3">
          <w:rPr>
            <w:rStyle w:val="Hyperlink"/>
          </w:rPr>
          <w:t>Data</w:t>
        </w:r>
        <w:r w:rsidR="00EC59F9">
          <w:rPr>
            <w:webHidden/>
          </w:rPr>
          <w:tab/>
        </w:r>
        <w:r w:rsidR="00EC59F9">
          <w:rPr>
            <w:webHidden/>
          </w:rPr>
          <w:fldChar w:fldCharType="begin"/>
        </w:r>
        <w:r w:rsidR="00EC59F9">
          <w:rPr>
            <w:webHidden/>
          </w:rPr>
          <w:instrText xml:space="preserve"> PAGEREF _Toc70507613 \h </w:instrText>
        </w:r>
        <w:r w:rsidR="00EC59F9">
          <w:rPr>
            <w:webHidden/>
          </w:rPr>
        </w:r>
        <w:r w:rsidR="00EC59F9">
          <w:rPr>
            <w:webHidden/>
          </w:rPr>
          <w:fldChar w:fldCharType="separate"/>
        </w:r>
        <w:r w:rsidR="00BE3EEE">
          <w:rPr>
            <w:webHidden/>
          </w:rPr>
          <w:t>6</w:t>
        </w:r>
        <w:r w:rsidR="00EC59F9">
          <w:rPr>
            <w:webHidden/>
          </w:rPr>
          <w:fldChar w:fldCharType="end"/>
        </w:r>
      </w:hyperlink>
    </w:p>
    <w:p w14:paraId="7E288947" w14:textId="546AC07F" w:rsidR="00EC59F9" w:rsidRDefault="00923B6D">
      <w:pPr>
        <w:pStyle w:val="TOC2"/>
        <w:rPr>
          <w:rFonts w:asciiTheme="minorHAnsi" w:eastAsiaTheme="minorEastAsia" w:hAnsiTheme="minorHAnsi" w:cstheme="minorBidi"/>
          <w:color w:val="auto"/>
          <w:sz w:val="22"/>
          <w:szCs w:val="22"/>
          <w:lang w:eastAsia="en-AU"/>
        </w:rPr>
      </w:pPr>
      <w:hyperlink w:anchor="_Toc70507614" w:history="1">
        <w:r w:rsidR="00EC59F9" w:rsidRPr="00B079F3">
          <w:rPr>
            <w:rStyle w:val="Hyperlink"/>
          </w:rPr>
          <w:t>3.1</w:t>
        </w:r>
        <w:r w:rsidR="00EC59F9">
          <w:rPr>
            <w:rFonts w:asciiTheme="minorHAnsi" w:eastAsiaTheme="minorEastAsia" w:hAnsiTheme="minorHAnsi" w:cstheme="minorBidi"/>
            <w:color w:val="auto"/>
            <w:sz w:val="22"/>
            <w:szCs w:val="22"/>
            <w:lang w:eastAsia="en-AU"/>
          </w:rPr>
          <w:tab/>
        </w:r>
        <w:r w:rsidR="00EC59F9" w:rsidRPr="00B079F3">
          <w:rPr>
            <w:rStyle w:val="Hyperlink"/>
          </w:rPr>
          <w:t>Labour force participation rates</w:t>
        </w:r>
        <w:r w:rsidR="00EC59F9">
          <w:rPr>
            <w:webHidden/>
          </w:rPr>
          <w:tab/>
        </w:r>
        <w:r w:rsidR="00EC59F9">
          <w:rPr>
            <w:webHidden/>
          </w:rPr>
          <w:fldChar w:fldCharType="begin"/>
        </w:r>
        <w:r w:rsidR="00EC59F9">
          <w:rPr>
            <w:webHidden/>
          </w:rPr>
          <w:instrText xml:space="preserve"> PAGEREF _Toc70507614 \h </w:instrText>
        </w:r>
        <w:r w:rsidR="00EC59F9">
          <w:rPr>
            <w:webHidden/>
          </w:rPr>
        </w:r>
        <w:r w:rsidR="00EC59F9">
          <w:rPr>
            <w:webHidden/>
          </w:rPr>
          <w:fldChar w:fldCharType="separate"/>
        </w:r>
        <w:r w:rsidR="00BE3EEE">
          <w:rPr>
            <w:webHidden/>
          </w:rPr>
          <w:t>6</w:t>
        </w:r>
        <w:r w:rsidR="00EC59F9">
          <w:rPr>
            <w:webHidden/>
          </w:rPr>
          <w:fldChar w:fldCharType="end"/>
        </w:r>
      </w:hyperlink>
    </w:p>
    <w:p w14:paraId="7427592F" w14:textId="0AB4CEDD" w:rsidR="00EC59F9" w:rsidRDefault="00923B6D">
      <w:pPr>
        <w:pStyle w:val="TOC2"/>
        <w:rPr>
          <w:rFonts w:asciiTheme="minorHAnsi" w:eastAsiaTheme="minorEastAsia" w:hAnsiTheme="minorHAnsi" w:cstheme="minorBidi"/>
          <w:color w:val="auto"/>
          <w:sz w:val="22"/>
          <w:szCs w:val="22"/>
          <w:lang w:eastAsia="en-AU"/>
        </w:rPr>
      </w:pPr>
      <w:hyperlink w:anchor="_Toc70507615" w:history="1">
        <w:r w:rsidR="00EC59F9" w:rsidRPr="00B079F3">
          <w:rPr>
            <w:rStyle w:val="Hyperlink"/>
          </w:rPr>
          <w:t>3.2</w:t>
        </w:r>
        <w:r w:rsidR="00EC59F9">
          <w:rPr>
            <w:rFonts w:asciiTheme="minorHAnsi" w:eastAsiaTheme="minorEastAsia" w:hAnsiTheme="minorHAnsi" w:cstheme="minorBidi"/>
            <w:color w:val="auto"/>
            <w:sz w:val="22"/>
            <w:szCs w:val="22"/>
            <w:lang w:eastAsia="en-AU"/>
          </w:rPr>
          <w:tab/>
        </w:r>
        <w:r w:rsidR="00EC59F9" w:rsidRPr="00B079F3">
          <w:rPr>
            <w:rStyle w:val="Hyperlink"/>
          </w:rPr>
          <w:t>Other covariates</w:t>
        </w:r>
        <w:r w:rsidR="00EC59F9">
          <w:rPr>
            <w:webHidden/>
          </w:rPr>
          <w:tab/>
        </w:r>
        <w:r w:rsidR="00EC59F9">
          <w:rPr>
            <w:webHidden/>
          </w:rPr>
          <w:fldChar w:fldCharType="begin"/>
        </w:r>
        <w:r w:rsidR="00EC59F9">
          <w:rPr>
            <w:webHidden/>
          </w:rPr>
          <w:instrText xml:space="preserve"> PAGEREF _Toc70507615 \h </w:instrText>
        </w:r>
        <w:r w:rsidR="00EC59F9">
          <w:rPr>
            <w:webHidden/>
          </w:rPr>
        </w:r>
        <w:r w:rsidR="00EC59F9">
          <w:rPr>
            <w:webHidden/>
          </w:rPr>
          <w:fldChar w:fldCharType="separate"/>
        </w:r>
        <w:r w:rsidR="00BE3EEE">
          <w:rPr>
            <w:webHidden/>
          </w:rPr>
          <w:t>11</w:t>
        </w:r>
        <w:r w:rsidR="00EC59F9">
          <w:rPr>
            <w:webHidden/>
          </w:rPr>
          <w:fldChar w:fldCharType="end"/>
        </w:r>
      </w:hyperlink>
    </w:p>
    <w:p w14:paraId="24954B99" w14:textId="5EF788F7" w:rsidR="00EC59F9" w:rsidRDefault="00923B6D">
      <w:pPr>
        <w:pStyle w:val="TOC1"/>
        <w:rPr>
          <w:rFonts w:asciiTheme="minorHAnsi" w:eastAsiaTheme="minorEastAsia" w:hAnsiTheme="minorHAnsi" w:cstheme="minorBidi"/>
          <w:b w:val="0"/>
          <w:caps w:val="0"/>
          <w:color w:val="auto"/>
          <w:sz w:val="22"/>
          <w:lang w:val="en-AU"/>
        </w:rPr>
      </w:pPr>
      <w:hyperlink w:anchor="_Toc70507616" w:history="1">
        <w:r w:rsidR="00EC59F9" w:rsidRPr="00B079F3">
          <w:rPr>
            <w:rStyle w:val="Hyperlink"/>
          </w:rPr>
          <w:t>4.</w:t>
        </w:r>
        <w:r w:rsidR="00EC59F9">
          <w:rPr>
            <w:rFonts w:asciiTheme="minorHAnsi" w:eastAsiaTheme="minorEastAsia" w:hAnsiTheme="minorHAnsi" w:cstheme="minorBidi"/>
            <w:b w:val="0"/>
            <w:caps w:val="0"/>
            <w:color w:val="auto"/>
            <w:sz w:val="22"/>
            <w:lang w:val="en-AU"/>
          </w:rPr>
          <w:tab/>
        </w:r>
        <w:r w:rsidR="00EC59F9" w:rsidRPr="00B079F3">
          <w:rPr>
            <w:rStyle w:val="Hyperlink"/>
          </w:rPr>
          <w:t>Econometric method</w:t>
        </w:r>
        <w:r w:rsidR="00EC59F9">
          <w:rPr>
            <w:webHidden/>
          </w:rPr>
          <w:tab/>
        </w:r>
        <w:r w:rsidR="00EC59F9">
          <w:rPr>
            <w:webHidden/>
          </w:rPr>
          <w:fldChar w:fldCharType="begin"/>
        </w:r>
        <w:r w:rsidR="00EC59F9">
          <w:rPr>
            <w:webHidden/>
          </w:rPr>
          <w:instrText xml:space="preserve"> PAGEREF _Toc70507616 \h </w:instrText>
        </w:r>
        <w:r w:rsidR="00EC59F9">
          <w:rPr>
            <w:webHidden/>
          </w:rPr>
        </w:r>
        <w:r w:rsidR="00EC59F9">
          <w:rPr>
            <w:webHidden/>
          </w:rPr>
          <w:fldChar w:fldCharType="separate"/>
        </w:r>
        <w:r w:rsidR="00BE3EEE">
          <w:rPr>
            <w:webHidden/>
          </w:rPr>
          <w:t>17</w:t>
        </w:r>
        <w:r w:rsidR="00EC59F9">
          <w:rPr>
            <w:webHidden/>
          </w:rPr>
          <w:fldChar w:fldCharType="end"/>
        </w:r>
      </w:hyperlink>
    </w:p>
    <w:p w14:paraId="0E81F93D" w14:textId="2E143E14" w:rsidR="00EC59F9" w:rsidRDefault="00923B6D">
      <w:pPr>
        <w:pStyle w:val="TOC2"/>
        <w:rPr>
          <w:rFonts w:asciiTheme="minorHAnsi" w:eastAsiaTheme="minorEastAsia" w:hAnsiTheme="minorHAnsi" w:cstheme="minorBidi"/>
          <w:color w:val="auto"/>
          <w:sz w:val="22"/>
          <w:szCs w:val="22"/>
          <w:lang w:eastAsia="en-AU"/>
        </w:rPr>
      </w:pPr>
      <w:hyperlink w:anchor="_Toc70507617" w:history="1">
        <w:r w:rsidR="00EC59F9" w:rsidRPr="00B079F3">
          <w:rPr>
            <w:rStyle w:val="Hyperlink"/>
          </w:rPr>
          <w:t>4.1</w:t>
        </w:r>
        <w:r w:rsidR="00EC59F9">
          <w:rPr>
            <w:rFonts w:asciiTheme="minorHAnsi" w:eastAsiaTheme="minorEastAsia" w:hAnsiTheme="minorHAnsi" w:cstheme="minorBidi"/>
            <w:color w:val="auto"/>
            <w:sz w:val="22"/>
            <w:szCs w:val="22"/>
            <w:lang w:eastAsia="en-AU"/>
          </w:rPr>
          <w:tab/>
        </w:r>
        <w:r w:rsidR="00EC59F9" w:rsidRPr="00B079F3">
          <w:rPr>
            <w:rStyle w:val="Hyperlink"/>
          </w:rPr>
          <w:t>Separating the life cycle into stages of life</w:t>
        </w:r>
        <w:r w:rsidR="00EC59F9">
          <w:rPr>
            <w:webHidden/>
          </w:rPr>
          <w:tab/>
        </w:r>
        <w:r w:rsidR="00EC59F9">
          <w:rPr>
            <w:webHidden/>
          </w:rPr>
          <w:fldChar w:fldCharType="begin"/>
        </w:r>
        <w:r w:rsidR="00EC59F9">
          <w:rPr>
            <w:webHidden/>
          </w:rPr>
          <w:instrText xml:space="preserve"> PAGEREF _Toc70507617 \h </w:instrText>
        </w:r>
        <w:r w:rsidR="00EC59F9">
          <w:rPr>
            <w:webHidden/>
          </w:rPr>
        </w:r>
        <w:r w:rsidR="00EC59F9">
          <w:rPr>
            <w:webHidden/>
          </w:rPr>
          <w:fldChar w:fldCharType="separate"/>
        </w:r>
        <w:r w:rsidR="00BE3EEE">
          <w:rPr>
            <w:webHidden/>
          </w:rPr>
          <w:t>17</w:t>
        </w:r>
        <w:r w:rsidR="00EC59F9">
          <w:rPr>
            <w:webHidden/>
          </w:rPr>
          <w:fldChar w:fldCharType="end"/>
        </w:r>
      </w:hyperlink>
    </w:p>
    <w:p w14:paraId="2B4345AB" w14:textId="2A23D275" w:rsidR="00EC59F9" w:rsidRDefault="00923B6D">
      <w:pPr>
        <w:pStyle w:val="TOC2"/>
        <w:rPr>
          <w:rFonts w:asciiTheme="minorHAnsi" w:eastAsiaTheme="minorEastAsia" w:hAnsiTheme="minorHAnsi" w:cstheme="minorBidi"/>
          <w:color w:val="auto"/>
          <w:sz w:val="22"/>
          <w:szCs w:val="22"/>
          <w:lang w:eastAsia="en-AU"/>
        </w:rPr>
      </w:pPr>
      <w:hyperlink w:anchor="_Toc70507618" w:history="1">
        <w:r w:rsidR="00EC59F9" w:rsidRPr="00B079F3">
          <w:rPr>
            <w:rStyle w:val="Hyperlink"/>
          </w:rPr>
          <w:t>4.2</w:t>
        </w:r>
        <w:r w:rsidR="00EC59F9">
          <w:rPr>
            <w:rFonts w:asciiTheme="minorHAnsi" w:eastAsiaTheme="minorEastAsia" w:hAnsiTheme="minorHAnsi" w:cstheme="minorBidi"/>
            <w:color w:val="auto"/>
            <w:sz w:val="22"/>
            <w:szCs w:val="22"/>
            <w:lang w:eastAsia="en-AU"/>
          </w:rPr>
          <w:tab/>
        </w:r>
        <w:r w:rsidR="00EC59F9" w:rsidRPr="00B079F3">
          <w:rPr>
            <w:rStyle w:val="Hyperlink"/>
          </w:rPr>
          <w:t>Treatment of recent cohorts</w:t>
        </w:r>
        <w:r w:rsidR="00EC59F9">
          <w:rPr>
            <w:webHidden/>
          </w:rPr>
          <w:tab/>
        </w:r>
        <w:r w:rsidR="00EC59F9">
          <w:rPr>
            <w:webHidden/>
          </w:rPr>
          <w:fldChar w:fldCharType="begin"/>
        </w:r>
        <w:r w:rsidR="00EC59F9">
          <w:rPr>
            <w:webHidden/>
          </w:rPr>
          <w:instrText xml:space="preserve"> PAGEREF _Toc70507618 \h </w:instrText>
        </w:r>
        <w:r w:rsidR="00EC59F9">
          <w:rPr>
            <w:webHidden/>
          </w:rPr>
        </w:r>
        <w:r w:rsidR="00EC59F9">
          <w:rPr>
            <w:webHidden/>
          </w:rPr>
          <w:fldChar w:fldCharType="separate"/>
        </w:r>
        <w:r w:rsidR="00BE3EEE">
          <w:rPr>
            <w:webHidden/>
          </w:rPr>
          <w:t>18</w:t>
        </w:r>
        <w:r w:rsidR="00EC59F9">
          <w:rPr>
            <w:webHidden/>
          </w:rPr>
          <w:fldChar w:fldCharType="end"/>
        </w:r>
      </w:hyperlink>
    </w:p>
    <w:p w14:paraId="4ED486EA" w14:textId="2D63A2F2" w:rsidR="00EC59F9" w:rsidRDefault="00923B6D">
      <w:pPr>
        <w:pStyle w:val="TOC2"/>
        <w:rPr>
          <w:rFonts w:asciiTheme="minorHAnsi" w:eastAsiaTheme="minorEastAsia" w:hAnsiTheme="minorHAnsi" w:cstheme="minorBidi"/>
          <w:color w:val="auto"/>
          <w:sz w:val="22"/>
          <w:szCs w:val="22"/>
          <w:lang w:eastAsia="en-AU"/>
        </w:rPr>
      </w:pPr>
      <w:hyperlink w:anchor="_Toc70507619" w:history="1">
        <w:r w:rsidR="00EC59F9" w:rsidRPr="00B079F3">
          <w:rPr>
            <w:rStyle w:val="Hyperlink"/>
          </w:rPr>
          <w:t>4.3</w:t>
        </w:r>
        <w:r w:rsidR="00EC59F9">
          <w:rPr>
            <w:rFonts w:asciiTheme="minorHAnsi" w:eastAsiaTheme="minorEastAsia" w:hAnsiTheme="minorHAnsi" w:cstheme="minorBidi"/>
            <w:color w:val="auto"/>
            <w:sz w:val="22"/>
            <w:szCs w:val="22"/>
            <w:lang w:eastAsia="en-AU"/>
          </w:rPr>
          <w:tab/>
        </w:r>
        <w:r w:rsidR="00EC59F9" w:rsidRPr="00B079F3">
          <w:rPr>
            <w:rStyle w:val="Hyperlink"/>
          </w:rPr>
          <w:t>Multiplicative versus additive specification</w:t>
        </w:r>
        <w:r w:rsidR="00EC59F9">
          <w:rPr>
            <w:webHidden/>
          </w:rPr>
          <w:tab/>
        </w:r>
        <w:r w:rsidR="00EC59F9">
          <w:rPr>
            <w:webHidden/>
          </w:rPr>
          <w:fldChar w:fldCharType="begin"/>
        </w:r>
        <w:r w:rsidR="00EC59F9">
          <w:rPr>
            <w:webHidden/>
          </w:rPr>
          <w:instrText xml:space="preserve"> PAGEREF _Toc70507619 \h </w:instrText>
        </w:r>
        <w:r w:rsidR="00EC59F9">
          <w:rPr>
            <w:webHidden/>
          </w:rPr>
        </w:r>
        <w:r w:rsidR="00EC59F9">
          <w:rPr>
            <w:webHidden/>
          </w:rPr>
          <w:fldChar w:fldCharType="separate"/>
        </w:r>
        <w:r w:rsidR="00BE3EEE">
          <w:rPr>
            <w:webHidden/>
          </w:rPr>
          <w:t>19</w:t>
        </w:r>
        <w:r w:rsidR="00EC59F9">
          <w:rPr>
            <w:webHidden/>
          </w:rPr>
          <w:fldChar w:fldCharType="end"/>
        </w:r>
      </w:hyperlink>
    </w:p>
    <w:p w14:paraId="4A489806" w14:textId="52A58101" w:rsidR="00EC59F9" w:rsidRDefault="00923B6D">
      <w:pPr>
        <w:pStyle w:val="TOC1"/>
        <w:rPr>
          <w:rFonts w:asciiTheme="minorHAnsi" w:eastAsiaTheme="minorEastAsia" w:hAnsiTheme="minorHAnsi" w:cstheme="minorBidi"/>
          <w:b w:val="0"/>
          <w:caps w:val="0"/>
          <w:color w:val="auto"/>
          <w:sz w:val="22"/>
          <w:lang w:val="en-AU"/>
        </w:rPr>
      </w:pPr>
      <w:hyperlink w:anchor="_Toc70507620" w:history="1">
        <w:r w:rsidR="00EC59F9" w:rsidRPr="00B079F3">
          <w:rPr>
            <w:rStyle w:val="Hyperlink"/>
          </w:rPr>
          <w:t>5.</w:t>
        </w:r>
        <w:r w:rsidR="00EC59F9">
          <w:rPr>
            <w:rFonts w:asciiTheme="minorHAnsi" w:eastAsiaTheme="minorEastAsia" w:hAnsiTheme="minorHAnsi" w:cstheme="minorBidi"/>
            <w:b w:val="0"/>
            <w:caps w:val="0"/>
            <w:color w:val="auto"/>
            <w:sz w:val="22"/>
            <w:lang w:val="en-AU"/>
          </w:rPr>
          <w:tab/>
        </w:r>
        <w:r w:rsidR="00EC59F9" w:rsidRPr="00B079F3">
          <w:rPr>
            <w:rStyle w:val="Hyperlink"/>
          </w:rPr>
          <w:t>Results</w:t>
        </w:r>
        <w:r w:rsidR="00EC59F9">
          <w:rPr>
            <w:webHidden/>
          </w:rPr>
          <w:tab/>
        </w:r>
        <w:r w:rsidR="00EC59F9">
          <w:rPr>
            <w:webHidden/>
          </w:rPr>
          <w:fldChar w:fldCharType="begin"/>
        </w:r>
        <w:r w:rsidR="00EC59F9">
          <w:rPr>
            <w:webHidden/>
          </w:rPr>
          <w:instrText xml:space="preserve"> PAGEREF _Toc70507620 \h </w:instrText>
        </w:r>
        <w:r w:rsidR="00EC59F9">
          <w:rPr>
            <w:webHidden/>
          </w:rPr>
        </w:r>
        <w:r w:rsidR="00EC59F9">
          <w:rPr>
            <w:webHidden/>
          </w:rPr>
          <w:fldChar w:fldCharType="separate"/>
        </w:r>
        <w:r w:rsidR="00BE3EEE">
          <w:rPr>
            <w:webHidden/>
          </w:rPr>
          <w:t>21</w:t>
        </w:r>
        <w:r w:rsidR="00EC59F9">
          <w:rPr>
            <w:webHidden/>
          </w:rPr>
          <w:fldChar w:fldCharType="end"/>
        </w:r>
      </w:hyperlink>
    </w:p>
    <w:p w14:paraId="5DFCEFED" w14:textId="32446B4F" w:rsidR="00EC59F9" w:rsidRDefault="00923B6D">
      <w:pPr>
        <w:pStyle w:val="TOC2"/>
        <w:rPr>
          <w:rFonts w:asciiTheme="minorHAnsi" w:eastAsiaTheme="minorEastAsia" w:hAnsiTheme="minorHAnsi" w:cstheme="minorBidi"/>
          <w:color w:val="auto"/>
          <w:sz w:val="22"/>
          <w:szCs w:val="22"/>
          <w:lang w:eastAsia="en-AU"/>
        </w:rPr>
      </w:pPr>
      <w:hyperlink w:anchor="_Toc70507621" w:history="1">
        <w:r w:rsidR="00EC59F9" w:rsidRPr="00B079F3">
          <w:rPr>
            <w:rStyle w:val="Hyperlink"/>
          </w:rPr>
          <w:t>5.1</w:t>
        </w:r>
        <w:r w:rsidR="00EC59F9">
          <w:rPr>
            <w:rFonts w:asciiTheme="minorHAnsi" w:eastAsiaTheme="minorEastAsia" w:hAnsiTheme="minorHAnsi" w:cstheme="minorBidi"/>
            <w:color w:val="auto"/>
            <w:sz w:val="22"/>
            <w:szCs w:val="22"/>
            <w:lang w:eastAsia="en-AU"/>
          </w:rPr>
          <w:tab/>
        </w:r>
        <w:r w:rsidR="00EC59F9" w:rsidRPr="00B079F3">
          <w:rPr>
            <w:rStyle w:val="Hyperlink"/>
          </w:rPr>
          <w:t>Male age and cohort effects</w:t>
        </w:r>
        <w:r w:rsidR="00EC59F9">
          <w:rPr>
            <w:webHidden/>
          </w:rPr>
          <w:tab/>
        </w:r>
        <w:r w:rsidR="00EC59F9">
          <w:rPr>
            <w:webHidden/>
          </w:rPr>
          <w:fldChar w:fldCharType="begin"/>
        </w:r>
        <w:r w:rsidR="00EC59F9">
          <w:rPr>
            <w:webHidden/>
          </w:rPr>
          <w:instrText xml:space="preserve"> PAGEREF _Toc70507621 \h </w:instrText>
        </w:r>
        <w:r w:rsidR="00EC59F9">
          <w:rPr>
            <w:webHidden/>
          </w:rPr>
        </w:r>
        <w:r w:rsidR="00EC59F9">
          <w:rPr>
            <w:webHidden/>
          </w:rPr>
          <w:fldChar w:fldCharType="separate"/>
        </w:r>
        <w:r w:rsidR="00BE3EEE">
          <w:rPr>
            <w:webHidden/>
          </w:rPr>
          <w:t>21</w:t>
        </w:r>
        <w:r w:rsidR="00EC59F9">
          <w:rPr>
            <w:webHidden/>
          </w:rPr>
          <w:fldChar w:fldCharType="end"/>
        </w:r>
      </w:hyperlink>
    </w:p>
    <w:p w14:paraId="4B8D3774" w14:textId="6DFBC6C6" w:rsidR="00EC59F9" w:rsidRDefault="00923B6D">
      <w:pPr>
        <w:pStyle w:val="TOC2"/>
        <w:rPr>
          <w:rFonts w:asciiTheme="minorHAnsi" w:eastAsiaTheme="minorEastAsia" w:hAnsiTheme="minorHAnsi" w:cstheme="minorBidi"/>
          <w:color w:val="auto"/>
          <w:sz w:val="22"/>
          <w:szCs w:val="22"/>
          <w:lang w:eastAsia="en-AU"/>
        </w:rPr>
      </w:pPr>
      <w:hyperlink w:anchor="_Toc70507622" w:history="1">
        <w:r w:rsidR="00EC59F9" w:rsidRPr="00B079F3">
          <w:rPr>
            <w:rStyle w:val="Hyperlink"/>
          </w:rPr>
          <w:t>5.2</w:t>
        </w:r>
        <w:r w:rsidR="00EC59F9">
          <w:rPr>
            <w:rFonts w:asciiTheme="minorHAnsi" w:eastAsiaTheme="minorEastAsia" w:hAnsiTheme="minorHAnsi" w:cstheme="minorBidi"/>
            <w:color w:val="auto"/>
            <w:sz w:val="22"/>
            <w:szCs w:val="22"/>
            <w:lang w:eastAsia="en-AU"/>
          </w:rPr>
          <w:tab/>
        </w:r>
        <w:r w:rsidR="00EC59F9" w:rsidRPr="00B079F3">
          <w:rPr>
            <w:rStyle w:val="Hyperlink"/>
          </w:rPr>
          <w:t>Female age and cohort effects</w:t>
        </w:r>
        <w:r w:rsidR="00EC59F9">
          <w:rPr>
            <w:webHidden/>
          </w:rPr>
          <w:tab/>
        </w:r>
        <w:r w:rsidR="00EC59F9">
          <w:rPr>
            <w:webHidden/>
          </w:rPr>
          <w:fldChar w:fldCharType="begin"/>
        </w:r>
        <w:r w:rsidR="00EC59F9">
          <w:rPr>
            <w:webHidden/>
          </w:rPr>
          <w:instrText xml:space="preserve"> PAGEREF _Toc70507622 \h </w:instrText>
        </w:r>
        <w:r w:rsidR="00EC59F9">
          <w:rPr>
            <w:webHidden/>
          </w:rPr>
        </w:r>
        <w:r w:rsidR="00EC59F9">
          <w:rPr>
            <w:webHidden/>
          </w:rPr>
          <w:fldChar w:fldCharType="separate"/>
        </w:r>
        <w:r w:rsidR="00BE3EEE">
          <w:rPr>
            <w:webHidden/>
          </w:rPr>
          <w:t>23</w:t>
        </w:r>
        <w:r w:rsidR="00EC59F9">
          <w:rPr>
            <w:webHidden/>
          </w:rPr>
          <w:fldChar w:fldCharType="end"/>
        </w:r>
      </w:hyperlink>
    </w:p>
    <w:p w14:paraId="03954D9D" w14:textId="44F3FC4D" w:rsidR="00EC59F9" w:rsidRDefault="00923B6D">
      <w:pPr>
        <w:pStyle w:val="TOC2"/>
        <w:rPr>
          <w:rFonts w:asciiTheme="minorHAnsi" w:eastAsiaTheme="minorEastAsia" w:hAnsiTheme="minorHAnsi" w:cstheme="minorBidi"/>
          <w:color w:val="auto"/>
          <w:sz w:val="22"/>
          <w:szCs w:val="22"/>
          <w:lang w:eastAsia="en-AU"/>
        </w:rPr>
      </w:pPr>
      <w:hyperlink w:anchor="_Toc70507623" w:history="1">
        <w:r w:rsidR="00EC59F9" w:rsidRPr="00B079F3">
          <w:rPr>
            <w:rStyle w:val="Hyperlink"/>
          </w:rPr>
          <w:t>5.3</w:t>
        </w:r>
        <w:r w:rsidR="00EC59F9">
          <w:rPr>
            <w:rFonts w:asciiTheme="minorHAnsi" w:eastAsiaTheme="minorEastAsia" w:hAnsiTheme="minorHAnsi" w:cstheme="minorBidi"/>
            <w:color w:val="auto"/>
            <w:sz w:val="22"/>
            <w:szCs w:val="22"/>
            <w:lang w:eastAsia="en-AU"/>
          </w:rPr>
          <w:tab/>
        </w:r>
        <w:r w:rsidR="00EC59F9" w:rsidRPr="00B079F3">
          <w:rPr>
            <w:rStyle w:val="Hyperlink"/>
          </w:rPr>
          <w:t>Educational attendance</w:t>
        </w:r>
        <w:r w:rsidR="00EC59F9">
          <w:rPr>
            <w:webHidden/>
          </w:rPr>
          <w:tab/>
        </w:r>
        <w:r w:rsidR="00EC59F9">
          <w:rPr>
            <w:webHidden/>
          </w:rPr>
          <w:fldChar w:fldCharType="begin"/>
        </w:r>
        <w:r w:rsidR="00EC59F9">
          <w:rPr>
            <w:webHidden/>
          </w:rPr>
          <w:instrText xml:space="preserve"> PAGEREF _Toc70507623 \h </w:instrText>
        </w:r>
        <w:r w:rsidR="00EC59F9">
          <w:rPr>
            <w:webHidden/>
          </w:rPr>
        </w:r>
        <w:r w:rsidR="00EC59F9">
          <w:rPr>
            <w:webHidden/>
          </w:rPr>
          <w:fldChar w:fldCharType="separate"/>
        </w:r>
        <w:r w:rsidR="00BE3EEE">
          <w:rPr>
            <w:webHidden/>
          </w:rPr>
          <w:t>24</w:t>
        </w:r>
        <w:r w:rsidR="00EC59F9">
          <w:rPr>
            <w:webHidden/>
          </w:rPr>
          <w:fldChar w:fldCharType="end"/>
        </w:r>
      </w:hyperlink>
    </w:p>
    <w:p w14:paraId="11CF25CD" w14:textId="5CFD31B6" w:rsidR="00EC59F9" w:rsidRDefault="00923B6D">
      <w:pPr>
        <w:pStyle w:val="TOC2"/>
        <w:rPr>
          <w:rFonts w:asciiTheme="minorHAnsi" w:eastAsiaTheme="minorEastAsia" w:hAnsiTheme="minorHAnsi" w:cstheme="minorBidi"/>
          <w:color w:val="auto"/>
          <w:sz w:val="22"/>
          <w:szCs w:val="22"/>
          <w:lang w:eastAsia="en-AU"/>
        </w:rPr>
      </w:pPr>
      <w:hyperlink w:anchor="_Toc70507624" w:history="1">
        <w:r w:rsidR="00EC59F9" w:rsidRPr="00B079F3">
          <w:rPr>
            <w:rStyle w:val="Hyperlink"/>
          </w:rPr>
          <w:t>5.4</w:t>
        </w:r>
        <w:r w:rsidR="00EC59F9">
          <w:rPr>
            <w:rFonts w:asciiTheme="minorHAnsi" w:eastAsiaTheme="minorEastAsia" w:hAnsiTheme="minorHAnsi" w:cstheme="minorBidi"/>
            <w:color w:val="auto"/>
            <w:sz w:val="22"/>
            <w:szCs w:val="22"/>
            <w:lang w:eastAsia="en-AU"/>
          </w:rPr>
          <w:tab/>
        </w:r>
        <w:r w:rsidR="00EC59F9" w:rsidRPr="00B079F3">
          <w:rPr>
            <w:rStyle w:val="Hyperlink"/>
          </w:rPr>
          <w:t>Number of children born</w:t>
        </w:r>
        <w:r w:rsidR="00EC59F9">
          <w:rPr>
            <w:webHidden/>
          </w:rPr>
          <w:tab/>
        </w:r>
        <w:r w:rsidR="00EC59F9">
          <w:rPr>
            <w:webHidden/>
          </w:rPr>
          <w:fldChar w:fldCharType="begin"/>
        </w:r>
        <w:r w:rsidR="00EC59F9">
          <w:rPr>
            <w:webHidden/>
          </w:rPr>
          <w:instrText xml:space="preserve"> PAGEREF _Toc70507624 \h </w:instrText>
        </w:r>
        <w:r w:rsidR="00EC59F9">
          <w:rPr>
            <w:webHidden/>
          </w:rPr>
        </w:r>
        <w:r w:rsidR="00EC59F9">
          <w:rPr>
            <w:webHidden/>
          </w:rPr>
          <w:fldChar w:fldCharType="separate"/>
        </w:r>
        <w:r w:rsidR="00BE3EEE">
          <w:rPr>
            <w:webHidden/>
          </w:rPr>
          <w:t>25</w:t>
        </w:r>
        <w:r w:rsidR="00EC59F9">
          <w:rPr>
            <w:webHidden/>
          </w:rPr>
          <w:fldChar w:fldCharType="end"/>
        </w:r>
      </w:hyperlink>
    </w:p>
    <w:p w14:paraId="52E9F1ED" w14:textId="70005A83" w:rsidR="00EC59F9" w:rsidRDefault="00923B6D">
      <w:pPr>
        <w:pStyle w:val="TOC1"/>
        <w:rPr>
          <w:rFonts w:asciiTheme="minorHAnsi" w:eastAsiaTheme="minorEastAsia" w:hAnsiTheme="minorHAnsi" w:cstheme="minorBidi"/>
          <w:b w:val="0"/>
          <w:caps w:val="0"/>
          <w:color w:val="auto"/>
          <w:sz w:val="22"/>
          <w:lang w:val="en-AU"/>
        </w:rPr>
      </w:pPr>
      <w:hyperlink w:anchor="_Toc70507625" w:history="1">
        <w:r w:rsidR="00EC59F9" w:rsidRPr="00B079F3">
          <w:rPr>
            <w:rStyle w:val="Hyperlink"/>
          </w:rPr>
          <w:t>6.</w:t>
        </w:r>
        <w:r w:rsidR="00EC59F9">
          <w:rPr>
            <w:rFonts w:asciiTheme="minorHAnsi" w:eastAsiaTheme="minorEastAsia" w:hAnsiTheme="minorHAnsi" w:cstheme="minorBidi"/>
            <w:b w:val="0"/>
            <w:caps w:val="0"/>
            <w:color w:val="auto"/>
            <w:sz w:val="22"/>
            <w:lang w:val="en-AU"/>
          </w:rPr>
          <w:tab/>
        </w:r>
        <w:r w:rsidR="00EC59F9" w:rsidRPr="00B079F3">
          <w:rPr>
            <w:rStyle w:val="Hyperlink"/>
          </w:rPr>
          <w:t>Projections</w:t>
        </w:r>
        <w:r w:rsidR="00EC59F9">
          <w:rPr>
            <w:webHidden/>
          </w:rPr>
          <w:tab/>
        </w:r>
        <w:r w:rsidR="00EC59F9">
          <w:rPr>
            <w:webHidden/>
          </w:rPr>
          <w:fldChar w:fldCharType="begin"/>
        </w:r>
        <w:r w:rsidR="00EC59F9">
          <w:rPr>
            <w:webHidden/>
          </w:rPr>
          <w:instrText xml:space="preserve"> PAGEREF _Toc70507625 \h </w:instrText>
        </w:r>
        <w:r w:rsidR="00EC59F9">
          <w:rPr>
            <w:webHidden/>
          </w:rPr>
        </w:r>
        <w:r w:rsidR="00EC59F9">
          <w:rPr>
            <w:webHidden/>
          </w:rPr>
          <w:fldChar w:fldCharType="separate"/>
        </w:r>
        <w:r w:rsidR="00BE3EEE">
          <w:rPr>
            <w:webHidden/>
          </w:rPr>
          <w:t>27</w:t>
        </w:r>
        <w:r w:rsidR="00EC59F9">
          <w:rPr>
            <w:webHidden/>
          </w:rPr>
          <w:fldChar w:fldCharType="end"/>
        </w:r>
      </w:hyperlink>
    </w:p>
    <w:p w14:paraId="73F303BC" w14:textId="26766690" w:rsidR="00EC59F9" w:rsidRDefault="00923B6D">
      <w:pPr>
        <w:pStyle w:val="TOC2"/>
        <w:rPr>
          <w:rFonts w:asciiTheme="minorHAnsi" w:eastAsiaTheme="minorEastAsia" w:hAnsiTheme="minorHAnsi" w:cstheme="minorBidi"/>
          <w:color w:val="auto"/>
          <w:sz w:val="22"/>
          <w:szCs w:val="22"/>
          <w:lang w:eastAsia="en-AU"/>
        </w:rPr>
      </w:pPr>
      <w:hyperlink w:anchor="_Toc70507626" w:history="1">
        <w:r w:rsidR="00EC59F9" w:rsidRPr="00B079F3">
          <w:rPr>
            <w:rStyle w:val="Hyperlink"/>
          </w:rPr>
          <w:t>6.1</w:t>
        </w:r>
        <w:r w:rsidR="00EC59F9">
          <w:rPr>
            <w:rFonts w:asciiTheme="minorHAnsi" w:eastAsiaTheme="minorEastAsia" w:hAnsiTheme="minorHAnsi" w:cstheme="minorBidi"/>
            <w:color w:val="auto"/>
            <w:sz w:val="22"/>
            <w:szCs w:val="22"/>
            <w:lang w:eastAsia="en-AU"/>
          </w:rPr>
          <w:tab/>
        </w:r>
        <w:r w:rsidR="00EC59F9" w:rsidRPr="00B079F3">
          <w:rPr>
            <w:rStyle w:val="Hyperlink"/>
          </w:rPr>
          <w:t>Assumptions</w:t>
        </w:r>
        <w:r w:rsidR="00EC59F9">
          <w:rPr>
            <w:webHidden/>
          </w:rPr>
          <w:tab/>
        </w:r>
        <w:r w:rsidR="00EC59F9">
          <w:rPr>
            <w:webHidden/>
          </w:rPr>
          <w:fldChar w:fldCharType="begin"/>
        </w:r>
        <w:r w:rsidR="00EC59F9">
          <w:rPr>
            <w:webHidden/>
          </w:rPr>
          <w:instrText xml:space="preserve"> PAGEREF _Toc70507626 \h </w:instrText>
        </w:r>
        <w:r w:rsidR="00EC59F9">
          <w:rPr>
            <w:webHidden/>
          </w:rPr>
        </w:r>
        <w:r w:rsidR="00EC59F9">
          <w:rPr>
            <w:webHidden/>
          </w:rPr>
          <w:fldChar w:fldCharType="separate"/>
        </w:r>
        <w:r w:rsidR="00BE3EEE">
          <w:rPr>
            <w:webHidden/>
          </w:rPr>
          <w:t>27</w:t>
        </w:r>
        <w:r w:rsidR="00EC59F9">
          <w:rPr>
            <w:webHidden/>
          </w:rPr>
          <w:fldChar w:fldCharType="end"/>
        </w:r>
      </w:hyperlink>
    </w:p>
    <w:p w14:paraId="4CE3400D" w14:textId="4888DD36" w:rsidR="00EC59F9" w:rsidRDefault="00923B6D">
      <w:pPr>
        <w:pStyle w:val="TOC2"/>
        <w:rPr>
          <w:rFonts w:asciiTheme="minorHAnsi" w:eastAsiaTheme="minorEastAsia" w:hAnsiTheme="minorHAnsi" w:cstheme="minorBidi"/>
          <w:color w:val="auto"/>
          <w:sz w:val="22"/>
          <w:szCs w:val="22"/>
          <w:lang w:eastAsia="en-AU"/>
        </w:rPr>
      </w:pPr>
      <w:hyperlink w:anchor="_Toc70507627" w:history="1">
        <w:r w:rsidR="00EC59F9" w:rsidRPr="00B079F3">
          <w:rPr>
            <w:rStyle w:val="Hyperlink"/>
          </w:rPr>
          <w:t>6.2</w:t>
        </w:r>
        <w:r w:rsidR="00EC59F9">
          <w:rPr>
            <w:rFonts w:asciiTheme="minorHAnsi" w:eastAsiaTheme="minorEastAsia" w:hAnsiTheme="minorHAnsi" w:cstheme="minorBidi"/>
            <w:color w:val="auto"/>
            <w:sz w:val="22"/>
            <w:szCs w:val="22"/>
            <w:lang w:eastAsia="en-AU"/>
          </w:rPr>
          <w:tab/>
        </w:r>
        <w:r w:rsidR="00EC59F9" w:rsidRPr="00B079F3">
          <w:rPr>
            <w:rStyle w:val="Hyperlink"/>
          </w:rPr>
          <w:t>Projections</w:t>
        </w:r>
        <w:r w:rsidR="00EC59F9">
          <w:rPr>
            <w:webHidden/>
          </w:rPr>
          <w:tab/>
        </w:r>
        <w:r w:rsidR="00EC59F9">
          <w:rPr>
            <w:webHidden/>
          </w:rPr>
          <w:fldChar w:fldCharType="begin"/>
        </w:r>
        <w:r w:rsidR="00EC59F9">
          <w:rPr>
            <w:webHidden/>
          </w:rPr>
          <w:instrText xml:space="preserve"> PAGEREF _Toc70507627 \h </w:instrText>
        </w:r>
        <w:r w:rsidR="00EC59F9">
          <w:rPr>
            <w:webHidden/>
          </w:rPr>
        </w:r>
        <w:r w:rsidR="00EC59F9">
          <w:rPr>
            <w:webHidden/>
          </w:rPr>
          <w:fldChar w:fldCharType="separate"/>
        </w:r>
        <w:r w:rsidR="00BE3EEE">
          <w:rPr>
            <w:webHidden/>
          </w:rPr>
          <w:t>28</w:t>
        </w:r>
        <w:r w:rsidR="00EC59F9">
          <w:rPr>
            <w:webHidden/>
          </w:rPr>
          <w:fldChar w:fldCharType="end"/>
        </w:r>
      </w:hyperlink>
    </w:p>
    <w:p w14:paraId="451D1D32" w14:textId="6FC244CD" w:rsidR="00EC59F9" w:rsidRDefault="00923B6D">
      <w:pPr>
        <w:pStyle w:val="TOC1"/>
        <w:rPr>
          <w:rFonts w:asciiTheme="minorHAnsi" w:eastAsiaTheme="minorEastAsia" w:hAnsiTheme="minorHAnsi" w:cstheme="minorBidi"/>
          <w:b w:val="0"/>
          <w:caps w:val="0"/>
          <w:color w:val="auto"/>
          <w:sz w:val="22"/>
          <w:lang w:val="en-AU"/>
        </w:rPr>
      </w:pPr>
      <w:hyperlink w:anchor="_Toc70507628" w:history="1">
        <w:r w:rsidR="00EC59F9" w:rsidRPr="00B079F3">
          <w:rPr>
            <w:rStyle w:val="Hyperlink"/>
          </w:rPr>
          <w:t>7.</w:t>
        </w:r>
        <w:r w:rsidR="00EC59F9">
          <w:rPr>
            <w:rFonts w:asciiTheme="minorHAnsi" w:eastAsiaTheme="minorEastAsia" w:hAnsiTheme="minorHAnsi" w:cstheme="minorBidi"/>
            <w:b w:val="0"/>
            <w:caps w:val="0"/>
            <w:color w:val="auto"/>
            <w:sz w:val="22"/>
            <w:lang w:val="en-AU"/>
          </w:rPr>
          <w:tab/>
        </w:r>
        <w:r w:rsidR="00EC59F9" w:rsidRPr="00B079F3">
          <w:rPr>
            <w:rStyle w:val="Hyperlink"/>
          </w:rPr>
          <w:t>Conclusion</w:t>
        </w:r>
        <w:r w:rsidR="00EC59F9">
          <w:rPr>
            <w:webHidden/>
          </w:rPr>
          <w:tab/>
        </w:r>
        <w:r w:rsidR="00EC59F9">
          <w:rPr>
            <w:webHidden/>
          </w:rPr>
          <w:fldChar w:fldCharType="begin"/>
        </w:r>
        <w:r w:rsidR="00EC59F9">
          <w:rPr>
            <w:webHidden/>
          </w:rPr>
          <w:instrText xml:space="preserve"> PAGEREF _Toc70507628 \h </w:instrText>
        </w:r>
        <w:r w:rsidR="00EC59F9">
          <w:rPr>
            <w:webHidden/>
          </w:rPr>
        </w:r>
        <w:r w:rsidR="00EC59F9">
          <w:rPr>
            <w:webHidden/>
          </w:rPr>
          <w:fldChar w:fldCharType="separate"/>
        </w:r>
        <w:r w:rsidR="00BE3EEE">
          <w:rPr>
            <w:webHidden/>
          </w:rPr>
          <w:t>31</w:t>
        </w:r>
        <w:r w:rsidR="00EC59F9">
          <w:rPr>
            <w:webHidden/>
          </w:rPr>
          <w:fldChar w:fldCharType="end"/>
        </w:r>
      </w:hyperlink>
    </w:p>
    <w:p w14:paraId="08F5E547" w14:textId="5E4DA397" w:rsidR="00EC59F9" w:rsidRDefault="00923B6D">
      <w:pPr>
        <w:pStyle w:val="TOC2"/>
        <w:rPr>
          <w:rFonts w:asciiTheme="minorHAnsi" w:eastAsiaTheme="minorEastAsia" w:hAnsiTheme="minorHAnsi" w:cstheme="minorBidi"/>
          <w:color w:val="auto"/>
          <w:sz w:val="22"/>
          <w:szCs w:val="22"/>
          <w:lang w:eastAsia="en-AU"/>
        </w:rPr>
      </w:pPr>
      <w:hyperlink w:anchor="_Toc70507629" w:history="1">
        <w:r w:rsidR="00EC59F9" w:rsidRPr="00B079F3">
          <w:rPr>
            <w:rStyle w:val="Hyperlink"/>
          </w:rPr>
          <w:t>References</w:t>
        </w:r>
        <w:r w:rsidR="00EC59F9">
          <w:rPr>
            <w:webHidden/>
          </w:rPr>
          <w:tab/>
        </w:r>
        <w:r w:rsidR="00EC59F9">
          <w:rPr>
            <w:webHidden/>
          </w:rPr>
          <w:fldChar w:fldCharType="begin"/>
        </w:r>
        <w:r w:rsidR="00EC59F9">
          <w:rPr>
            <w:webHidden/>
          </w:rPr>
          <w:instrText xml:space="preserve"> PAGEREF _Toc70507629 \h </w:instrText>
        </w:r>
        <w:r w:rsidR="00EC59F9">
          <w:rPr>
            <w:webHidden/>
          </w:rPr>
        </w:r>
        <w:r w:rsidR="00EC59F9">
          <w:rPr>
            <w:webHidden/>
          </w:rPr>
          <w:fldChar w:fldCharType="separate"/>
        </w:r>
        <w:r w:rsidR="00BE3EEE">
          <w:rPr>
            <w:webHidden/>
          </w:rPr>
          <w:t>32</w:t>
        </w:r>
        <w:r w:rsidR="00EC59F9">
          <w:rPr>
            <w:webHidden/>
          </w:rPr>
          <w:fldChar w:fldCharType="end"/>
        </w:r>
      </w:hyperlink>
    </w:p>
    <w:p w14:paraId="5C698DAA" w14:textId="38D6B8C5" w:rsidR="00EC59F9" w:rsidRDefault="00923B6D">
      <w:pPr>
        <w:pStyle w:val="TOC1"/>
        <w:rPr>
          <w:rFonts w:asciiTheme="minorHAnsi" w:eastAsiaTheme="minorEastAsia" w:hAnsiTheme="minorHAnsi" w:cstheme="minorBidi"/>
          <w:b w:val="0"/>
          <w:caps w:val="0"/>
          <w:color w:val="auto"/>
          <w:sz w:val="22"/>
          <w:lang w:val="en-AU"/>
        </w:rPr>
      </w:pPr>
      <w:hyperlink w:anchor="_Toc70507630" w:history="1">
        <w:r w:rsidR="00EC59F9" w:rsidRPr="00B079F3">
          <w:rPr>
            <w:rStyle w:val="Hyperlink"/>
          </w:rPr>
          <w:t>Appendix A: Age-specific participation rate projections</w:t>
        </w:r>
        <w:r w:rsidR="00EC59F9">
          <w:rPr>
            <w:webHidden/>
          </w:rPr>
          <w:tab/>
        </w:r>
        <w:r w:rsidR="00EC59F9">
          <w:rPr>
            <w:webHidden/>
          </w:rPr>
          <w:fldChar w:fldCharType="begin"/>
        </w:r>
        <w:r w:rsidR="00EC59F9">
          <w:rPr>
            <w:webHidden/>
          </w:rPr>
          <w:instrText xml:space="preserve"> PAGEREF _Toc70507630 \h </w:instrText>
        </w:r>
        <w:r w:rsidR="00EC59F9">
          <w:rPr>
            <w:webHidden/>
          </w:rPr>
        </w:r>
        <w:r w:rsidR="00EC59F9">
          <w:rPr>
            <w:webHidden/>
          </w:rPr>
          <w:fldChar w:fldCharType="separate"/>
        </w:r>
        <w:r w:rsidR="00BE3EEE">
          <w:rPr>
            <w:webHidden/>
          </w:rPr>
          <w:t>34</w:t>
        </w:r>
        <w:r w:rsidR="00EC59F9">
          <w:rPr>
            <w:webHidden/>
          </w:rPr>
          <w:fldChar w:fldCharType="end"/>
        </w:r>
      </w:hyperlink>
    </w:p>
    <w:p w14:paraId="586C876D" w14:textId="31F5435C" w:rsidR="00EC59F9" w:rsidRDefault="00923B6D">
      <w:pPr>
        <w:pStyle w:val="TOC1"/>
        <w:rPr>
          <w:rFonts w:asciiTheme="minorHAnsi" w:eastAsiaTheme="minorEastAsia" w:hAnsiTheme="minorHAnsi" w:cstheme="minorBidi"/>
          <w:b w:val="0"/>
          <w:caps w:val="0"/>
          <w:color w:val="auto"/>
          <w:sz w:val="22"/>
          <w:lang w:val="en-AU"/>
        </w:rPr>
      </w:pPr>
      <w:hyperlink w:anchor="_Toc70507631" w:history="1">
        <w:r w:rsidR="00EC59F9" w:rsidRPr="00B079F3">
          <w:rPr>
            <w:rStyle w:val="Hyperlink"/>
          </w:rPr>
          <w:t>Appendix B: Data</w:t>
        </w:r>
        <w:r w:rsidR="00EC59F9">
          <w:rPr>
            <w:webHidden/>
          </w:rPr>
          <w:tab/>
        </w:r>
        <w:r w:rsidR="00EC59F9">
          <w:rPr>
            <w:webHidden/>
          </w:rPr>
          <w:fldChar w:fldCharType="begin"/>
        </w:r>
        <w:r w:rsidR="00EC59F9">
          <w:rPr>
            <w:webHidden/>
          </w:rPr>
          <w:instrText xml:space="preserve"> PAGEREF _Toc70507631 \h </w:instrText>
        </w:r>
        <w:r w:rsidR="00EC59F9">
          <w:rPr>
            <w:webHidden/>
          </w:rPr>
        </w:r>
        <w:r w:rsidR="00EC59F9">
          <w:rPr>
            <w:webHidden/>
          </w:rPr>
          <w:fldChar w:fldCharType="separate"/>
        </w:r>
        <w:r w:rsidR="00BE3EEE">
          <w:rPr>
            <w:webHidden/>
          </w:rPr>
          <w:t>37</w:t>
        </w:r>
        <w:r w:rsidR="00EC59F9">
          <w:rPr>
            <w:webHidden/>
          </w:rPr>
          <w:fldChar w:fldCharType="end"/>
        </w:r>
      </w:hyperlink>
    </w:p>
    <w:p w14:paraId="5694442D" w14:textId="2F805F37" w:rsidR="00EC59F9" w:rsidRDefault="00923B6D">
      <w:pPr>
        <w:pStyle w:val="TOC2"/>
        <w:rPr>
          <w:rFonts w:asciiTheme="minorHAnsi" w:eastAsiaTheme="minorEastAsia" w:hAnsiTheme="minorHAnsi" w:cstheme="minorBidi"/>
          <w:color w:val="auto"/>
          <w:sz w:val="22"/>
          <w:szCs w:val="22"/>
          <w:lang w:eastAsia="en-AU"/>
        </w:rPr>
      </w:pPr>
      <w:hyperlink w:anchor="_Toc70507632" w:history="1">
        <w:r w:rsidR="00EC59F9" w:rsidRPr="00B079F3">
          <w:rPr>
            <w:rStyle w:val="Hyperlink"/>
          </w:rPr>
          <w:t>Participation rates</w:t>
        </w:r>
        <w:r w:rsidR="00EC59F9">
          <w:rPr>
            <w:webHidden/>
          </w:rPr>
          <w:tab/>
        </w:r>
        <w:r w:rsidR="00EC59F9">
          <w:rPr>
            <w:webHidden/>
          </w:rPr>
          <w:fldChar w:fldCharType="begin"/>
        </w:r>
        <w:r w:rsidR="00EC59F9">
          <w:rPr>
            <w:webHidden/>
          </w:rPr>
          <w:instrText xml:space="preserve"> PAGEREF _Toc70507632 \h </w:instrText>
        </w:r>
        <w:r w:rsidR="00EC59F9">
          <w:rPr>
            <w:webHidden/>
          </w:rPr>
        </w:r>
        <w:r w:rsidR="00EC59F9">
          <w:rPr>
            <w:webHidden/>
          </w:rPr>
          <w:fldChar w:fldCharType="separate"/>
        </w:r>
        <w:r w:rsidR="00BE3EEE">
          <w:rPr>
            <w:webHidden/>
          </w:rPr>
          <w:t>37</w:t>
        </w:r>
        <w:r w:rsidR="00EC59F9">
          <w:rPr>
            <w:webHidden/>
          </w:rPr>
          <w:fldChar w:fldCharType="end"/>
        </w:r>
      </w:hyperlink>
    </w:p>
    <w:p w14:paraId="11085B8D" w14:textId="0202CBF2" w:rsidR="00EC59F9" w:rsidRDefault="00923B6D">
      <w:pPr>
        <w:pStyle w:val="TOC2"/>
        <w:rPr>
          <w:rFonts w:asciiTheme="minorHAnsi" w:eastAsiaTheme="minorEastAsia" w:hAnsiTheme="minorHAnsi" w:cstheme="minorBidi"/>
          <w:color w:val="auto"/>
          <w:sz w:val="22"/>
          <w:szCs w:val="22"/>
          <w:lang w:eastAsia="en-AU"/>
        </w:rPr>
      </w:pPr>
      <w:hyperlink w:anchor="_Toc70507633" w:history="1">
        <w:r w:rsidR="00EC59F9" w:rsidRPr="00B079F3">
          <w:rPr>
            <w:rStyle w:val="Hyperlink"/>
          </w:rPr>
          <w:t>Educational attendance rates</w:t>
        </w:r>
        <w:r w:rsidR="00EC59F9">
          <w:rPr>
            <w:webHidden/>
          </w:rPr>
          <w:tab/>
        </w:r>
        <w:r w:rsidR="00EC59F9">
          <w:rPr>
            <w:webHidden/>
          </w:rPr>
          <w:fldChar w:fldCharType="begin"/>
        </w:r>
        <w:r w:rsidR="00EC59F9">
          <w:rPr>
            <w:webHidden/>
          </w:rPr>
          <w:instrText xml:space="preserve"> PAGEREF _Toc70507633 \h </w:instrText>
        </w:r>
        <w:r w:rsidR="00EC59F9">
          <w:rPr>
            <w:webHidden/>
          </w:rPr>
        </w:r>
        <w:r w:rsidR="00EC59F9">
          <w:rPr>
            <w:webHidden/>
          </w:rPr>
          <w:fldChar w:fldCharType="separate"/>
        </w:r>
        <w:r w:rsidR="00BE3EEE">
          <w:rPr>
            <w:webHidden/>
          </w:rPr>
          <w:t>37</w:t>
        </w:r>
        <w:r w:rsidR="00EC59F9">
          <w:rPr>
            <w:webHidden/>
          </w:rPr>
          <w:fldChar w:fldCharType="end"/>
        </w:r>
      </w:hyperlink>
    </w:p>
    <w:p w14:paraId="08ACE49A" w14:textId="58B9F659" w:rsidR="00EC59F9" w:rsidRDefault="00923B6D">
      <w:pPr>
        <w:pStyle w:val="TOC2"/>
        <w:rPr>
          <w:rFonts w:asciiTheme="minorHAnsi" w:eastAsiaTheme="minorEastAsia" w:hAnsiTheme="minorHAnsi" w:cstheme="minorBidi"/>
          <w:color w:val="auto"/>
          <w:sz w:val="22"/>
          <w:szCs w:val="22"/>
          <w:lang w:eastAsia="en-AU"/>
        </w:rPr>
      </w:pPr>
      <w:hyperlink w:anchor="_Toc70507634" w:history="1">
        <w:r w:rsidR="00EC59F9" w:rsidRPr="00B079F3">
          <w:rPr>
            <w:rStyle w:val="Hyperlink"/>
          </w:rPr>
          <w:t>Fertility rates</w:t>
        </w:r>
        <w:r w:rsidR="00EC59F9">
          <w:rPr>
            <w:webHidden/>
          </w:rPr>
          <w:tab/>
        </w:r>
        <w:r w:rsidR="00EC59F9">
          <w:rPr>
            <w:webHidden/>
          </w:rPr>
          <w:fldChar w:fldCharType="begin"/>
        </w:r>
        <w:r w:rsidR="00EC59F9">
          <w:rPr>
            <w:webHidden/>
          </w:rPr>
          <w:instrText xml:space="preserve"> PAGEREF _Toc70507634 \h </w:instrText>
        </w:r>
        <w:r w:rsidR="00EC59F9">
          <w:rPr>
            <w:webHidden/>
          </w:rPr>
        </w:r>
        <w:r w:rsidR="00EC59F9">
          <w:rPr>
            <w:webHidden/>
          </w:rPr>
          <w:fldChar w:fldCharType="separate"/>
        </w:r>
        <w:r w:rsidR="00BE3EEE">
          <w:rPr>
            <w:webHidden/>
          </w:rPr>
          <w:t>37</w:t>
        </w:r>
        <w:r w:rsidR="00EC59F9">
          <w:rPr>
            <w:webHidden/>
          </w:rPr>
          <w:fldChar w:fldCharType="end"/>
        </w:r>
      </w:hyperlink>
    </w:p>
    <w:p w14:paraId="2E16B6EA" w14:textId="6BCA9A25" w:rsidR="00467172" w:rsidRDefault="00467172" w:rsidP="00467172">
      <w:pPr>
        <w:pStyle w:val="TOC1"/>
        <w:rPr>
          <w:rStyle w:val="Hyperlink"/>
          <w:color w:val="003157"/>
        </w:rPr>
      </w:pPr>
      <w:r>
        <w:rPr>
          <w:rStyle w:val="Hyperlink"/>
          <w:color w:val="003157"/>
        </w:rPr>
        <w:fldChar w:fldCharType="end"/>
      </w:r>
    </w:p>
    <w:p w14:paraId="38740759" w14:textId="77777777" w:rsidR="00467172" w:rsidRDefault="00467172" w:rsidP="00467172"/>
    <w:p w14:paraId="6C52FFAF" w14:textId="4586A085" w:rsidR="00F012EA" w:rsidRDefault="00F012EA" w:rsidP="00467172"/>
    <w:p w14:paraId="42D1CD72" w14:textId="77777777" w:rsidR="00F012EA" w:rsidRDefault="00F012EA" w:rsidP="008627B1"/>
    <w:p w14:paraId="367D4086" w14:textId="77777777" w:rsidR="00467172" w:rsidRDefault="00467172" w:rsidP="008627B1"/>
    <w:p w14:paraId="4727CAF2" w14:textId="05C37572" w:rsidR="00467172" w:rsidRDefault="00467172" w:rsidP="008627B1">
      <w:pPr>
        <w:sectPr w:rsidR="00467172" w:rsidSect="00C03432">
          <w:footerReference w:type="first" r:id="rId22"/>
          <w:pgSz w:w="11906" w:h="16838" w:code="9"/>
          <w:pgMar w:top="1701" w:right="1474" w:bottom="1701" w:left="1474" w:header="1134" w:footer="1134" w:gutter="0"/>
          <w:cols w:space="708"/>
          <w:titlePg/>
          <w:docGrid w:linePitch="360"/>
        </w:sectPr>
      </w:pPr>
    </w:p>
    <w:p w14:paraId="5CA16ED1" w14:textId="77777777" w:rsidR="00F012EA" w:rsidRPr="00422BA9" w:rsidRDefault="00F012EA" w:rsidP="00422BA9">
      <w:pPr>
        <w:pStyle w:val="Heading1-Numbered"/>
      </w:pPr>
      <w:bookmarkStart w:id="1" w:name="_Toc271526783"/>
      <w:bookmarkStart w:id="2" w:name="_Toc320810314"/>
      <w:bookmarkStart w:id="3" w:name="_Toc70507611"/>
      <w:r w:rsidRPr="00422BA9">
        <w:lastRenderedPageBreak/>
        <w:t>Introduction</w:t>
      </w:r>
      <w:bookmarkEnd w:id="1"/>
      <w:bookmarkEnd w:id="2"/>
      <w:bookmarkEnd w:id="3"/>
    </w:p>
    <w:p w14:paraId="608941A3" w14:textId="2F015B83" w:rsidR="0014060D" w:rsidRDefault="0053497E" w:rsidP="0014060D">
      <w:r>
        <w:t>Over the past 40 years</w:t>
      </w:r>
      <w:r w:rsidR="00E61E4F">
        <w:t>,</w:t>
      </w:r>
      <w:r>
        <w:t xml:space="preserve"> Australia has experienced significant changes to the proportion of the population that is attached to </w:t>
      </w:r>
      <w:r w:rsidR="00E61E4F">
        <w:t xml:space="preserve">its </w:t>
      </w:r>
      <w:r>
        <w:t xml:space="preserve">labour market. </w:t>
      </w:r>
      <w:r w:rsidR="00E61E4F">
        <w:t>From t</w:t>
      </w:r>
      <w:r>
        <w:t>he early 1980s</w:t>
      </w:r>
      <w:r w:rsidR="006B5F7E">
        <w:t>,</w:t>
      </w:r>
      <w:r>
        <w:t xml:space="preserve"> the aggregate labour force participation rate</w:t>
      </w:r>
      <w:r w:rsidR="00E61E4F">
        <w:t xml:space="preserve"> rose steadily</w:t>
      </w:r>
      <w:r>
        <w:t xml:space="preserve">, from around 60 per cent in 1983 to </w:t>
      </w:r>
      <w:r w:rsidR="00E61E4F">
        <w:t xml:space="preserve">almost </w:t>
      </w:r>
      <w:r>
        <w:t>66 per cent in 2011</w:t>
      </w:r>
      <w:r w:rsidR="00E95917" w:rsidRPr="00E95917">
        <w:t xml:space="preserve"> </w:t>
      </w:r>
      <w:r w:rsidR="00E95917">
        <w:t>(see</w:t>
      </w:r>
      <w:r w:rsidR="00C03432">
        <w:t> </w:t>
      </w:r>
      <w:r w:rsidR="00E95917">
        <w:t>Chart 1).</w:t>
      </w:r>
      <w:r w:rsidR="00E61E4F">
        <w:t xml:space="preserve"> </w:t>
      </w:r>
      <w:r w:rsidR="003E5DD3">
        <w:t>It has since remained at historically high levels, except for during a few months in 2020 when the effects of the COVID-19 pandemic and the associated health restrictions temporarily pushed it down to levels not seen since the early 2000s. Notwithstanding concerns that the recession caused by COVID-19 might have longer-term negative impacts on certain groups in the labour market</w:t>
      </w:r>
      <w:r w:rsidR="003F0241">
        <w:t>,</w:t>
      </w:r>
      <w:r w:rsidR="003E5DD3">
        <w:t xml:space="preserve"> the aggregate participation has fully recovered the losses seen during the first half of 2020 to be a record-high 66.</w:t>
      </w:r>
      <w:r w:rsidR="00273559">
        <w:t>3</w:t>
      </w:r>
      <w:r w:rsidR="003E5DD3">
        <w:t xml:space="preserve"> per cent in </w:t>
      </w:r>
      <w:r w:rsidR="00273559">
        <w:t>March</w:t>
      </w:r>
      <w:r w:rsidR="003E5DD3">
        <w:t xml:space="preserve"> 202</w:t>
      </w:r>
      <w:r w:rsidR="00273559">
        <w:t>1</w:t>
      </w:r>
      <w:r w:rsidR="003E5DD3">
        <w:t xml:space="preserve">. </w:t>
      </w:r>
    </w:p>
    <w:p w14:paraId="0489D037" w14:textId="2D27D263" w:rsidR="00B4430E" w:rsidRPr="00C03432" w:rsidRDefault="00B4430E" w:rsidP="00C03432">
      <w:pPr>
        <w:pStyle w:val="ChartMainHeading"/>
      </w:pPr>
      <w:r w:rsidRPr="00C03432">
        <w:t>Chart 1: Long-term trends in labour force participation rates</w:t>
      </w:r>
    </w:p>
    <w:p w14:paraId="37A122FE" w14:textId="07EFA99A" w:rsidR="00B4430E" w:rsidRDefault="00F927D0" w:rsidP="00CD2842">
      <w:pPr>
        <w:pStyle w:val="ChartGraphic"/>
        <w:jc w:val="center"/>
      </w:pPr>
      <w:r w:rsidRPr="00F927D0">
        <w:rPr>
          <w:noProof/>
        </w:rPr>
        <w:drawing>
          <wp:inline distT="0" distB="0" distL="0" distR="0" wp14:anchorId="4C32E40E" wp14:editId="23762ED7">
            <wp:extent cx="5582285" cy="39662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2285" cy="3966210"/>
                    </a:xfrm>
                    <a:prstGeom prst="rect">
                      <a:avLst/>
                    </a:prstGeom>
                    <a:noFill/>
                    <a:ln>
                      <a:noFill/>
                    </a:ln>
                  </pic:spPr>
                </pic:pic>
              </a:graphicData>
            </a:graphic>
          </wp:inline>
        </w:drawing>
      </w:r>
    </w:p>
    <w:p w14:paraId="000815F4" w14:textId="1C18D1D6" w:rsidR="000A303A" w:rsidRDefault="000A303A" w:rsidP="00321D08">
      <w:pPr>
        <w:pStyle w:val="Source"/>
        <w:spacing w:before="120"/>
      </w:pPr>
      <w:r>
        <w:t>Source:</w:t>
      </w:r>
      <w:r w:rsidR="00C03432">
        <w:tab/>
      </w:r>
      <w:r>
        <w:t>ABS Cat. No. 6202</w:t>
      </w:r>
    </w:p>
    <w:p w14:paraId="26FF2814" w14:textId="77777777" w:rsidR="00C03432" w:rsidRPr="00C03432" w:rsidRDefault="00C03432" w:rsidP="00C03432"/>
    <w:p w14:paraId="7F4AA77B" w14:textId="55C94F97" w:rsidR="00293E6B" w:rsidRPr="00E439A7" w:rsidRDefault="00293E6B" w:rsidP="00C03432">
      <w:r>
        <w:t>Underlying th</w:t>
      </w:r>
      <w:r w:rsidR="007875B2">
        <w:t>is</w:t>
      </w:r>
      <w:r>
        <w:t xml:space="preserve"> long-term increase in the aggregate participation rate are opposing developments for males and females.</w:t>
      </w:r>
      <w:r w:rsidR="006B5F7E">
        <w:t xml:space="preserve"> T</w:t>
      </w:r>
      <w:r>
        <w:t xml:space="preserve">he male participation </w:t>
      </w:r>
      <w:r w:rsidR="002235A4">
        <w:t xml:space="preserve">rate </w:t>
      </w:r>
      <w:r>
        <w:t>has been declining</w:t>
      </w:r>
      <w:r w:rsidR="006B5F7E" w:rsidRPr="006B5F7E">
        <w:t xml:space="preserve"> </w:t>
      </w:r>
      <w:r w:rsidR="006B5F7E">
        <w:t xml:space="preserve">since as early as the 1960s. </w:t>
      </w:r>
      <w:r w:rsidR="007E4B0A">
        <w:t xml:space="preserve">It fell almost 10 percentage points in the four decades from </w:t>
      </w:r>
      <w:r>
        <w:t xml:space="preserve">the late 1970s, </w:t>
      </w:r>
      <w:r w:rsidR="007E4B0A">
        <w:t xml:space="preserve">from </w:t>
      </w:r>
      <w:r>
        <w:t xml:space="preserve">close to 80 per cent to just above 70 per cent. </w:t>
      </w:r>
      <w:r w:rsidR="007875B2">
        <w:t>Yet t</w:t>
      </w:r>
      <w:r>
        <w:t>h</w:t>
      </w:r>
      <w:r w:rsidR="007875B2">
        <w:t>is</w:t>
      </w:r>
      <w:r>
        <w:t xml:space="preserve"> decline has been more than offset by </w:t>
      </w:r>
      <w:r w:rsidR="007E4B0A">
        <w:t xml:space="preserve">changes in the </w:t>
      </w:r>
      <w:r>
        <w:t>female participation rate</w:t>
      </w:r>
      <w:r w:rsidR="007E4B0A">
        <w:t>, which since the 1970s has increased by more than 15 percentage points.</w:t>
      </w:r>
      <w:r>
        <w:t xml:space="preserve"> </w:t>
      </w:r>
    </w:p>
    <w:p w14:paraId="569CC3DF" w14:textId="59143E59" w:rsidR="00D81CE8" w:rsidRDefault="005C7AA6" w:rsidP="00C03432">
      <w:r>
        <w:t>Th</w:t>
      </w:r>
      <w:r w:rsidR="00473A15">
        <w:t>ese</w:t>
      </w:r>
      <w:r>
        <w:t xml:space="preserve"> differen</w:t>
      </w:r>
      <w:r w:rsidR="00473A15">
        <w:t>t trends</w:t>
      </w:r>
      <w:r>
        <w:t xml:space="preserve"> </w:t>
      </w:r>
      <w:r w:rsidR="00473A15">
        <w:t>show</w:t>
      </w:r>
      <w:r w:rsidR="00E67247">
        <w:t xml:space="preserve"> </w:t>
      </w:r>
      <w:r>
        <w:t xml:space="preserve">that gender-specific effects are important for understanding the </w:t>
      </w:r>
      <w:r w:rsidR="0091399D">
        <w:t xml:space="preserve">changes </w:t>
      </w:r>
      <w:r>
        <w:t>in aggregate participation rates over the past four decades.</w:t>
      </w:r>
      <w:r w:rsidR="00B4430E">
        <w:t xml:space="preserve"> </w:t>
      </w:r>
      <w:r w:rsidR="000E1EB3">
        <w:t xml:space="preserve">In </w:t>
      </w:r>
      <w:r w:rsidR="00C82E99">
        <w:t>addition</w:t>
      </w:r>
      <w:r w:rsidR="000E1EB3">
        <w:t>, t</w:t>
      </w:r>
      <w:r w:rsidR="00B4430E">
        <w:t xml:space="preserve">he persistence of </w:t>
      </w:r>
      <w:r w:rsidR="00B4430E">
        <w:lastRenderedPageBreak/>
        <w:t>these trends suggest</w:t>
      </w:r>
      <w:r w:rsidR="00473A15">
        <w:t>s</w:t>
      </w:r>
      <w:r w:rsidR="00B4430E">
        <w:t xml:space="preserve"> that </w:t>
      </w:r>
      <w:r w:rsidR="00632E9C">
        <w:t>younger</w:t>
      </w:r>
      <w:r w:rsidR="00B4430E">
        <w:t xml:space="preserve"> male generations are </w:t>
      </w:r>
      <w:r w:rsidR="00B4430E" w:rsidRPr="00AF1DB5">
        <w:t>less</w:t>
      </w:r>
      <w:r w:rsidR="00B4430E">
        <w:t xml:space="preserve"> likely to participate in the labour force than </w:t>
      </w:r>
      <w:r w:rsidR="00632E9C">
        <w:t xml:space="preserve">older </w:t>
      </w:r>
      <w:r w:rsidR="00B4430E">
        <w:t xml:space="preserve">ones, with the opposite being true for females. </w:t>
      </w:r>
    </w:p>
    <w:p w14:paraId="44EE6E70" w14:textId="2A2CBE56" w:rsidR="00D81CE8" w:rsidRDefault="00D81CE8" w:rsidP="00C03432">
      <w:r>
        <w:t xml:space="preserve">In this paper we use an age- and cohort-based </w:t>
      </w:r>
      <w:r w:rsidR="00835623">
        <w:t xml:space="preserve">econometric </w:t>
      </w:r>
      <w:r>
        <w:t xml:space="preserve">model to identify </w:t>
      </w:r>
      <w:r w:rsidR="00B265C0">
        <w:t>“age effects” and “cohort effects”. The age effect</w:t>
      </w:r>
      <w:r w:rsidR="00CE66D6">
        <w:t>s</w:t>
      </w:r>
      <w:r w:rsidR="00B265C0">
        <w:t xml:space="preserve"> </w:t>
      </w:r>
      <w:r w:rsidR="00CE66D6">
        <w:t xml:space="preserve">capture how </w:t>
      </w:r>
      <w:r w:rsidR="00C82E99">
        <w:t xml:space="preserve">the </w:t>
      </w:r>
      <w:r w:rsidR="00CE66D6">
        <w:t xml:space="preserve">participation </w:t>
      </w:r>
      <w:r w:rsidR="00C82E99">
        <w:t xml:space="preserve">rate </w:t>
      </w:r>
      <w:r w:rsidR="00E41DAF">
        <w:t>typically follows a familiar profile</w:t>
      </w:r>
      <w:r w:rsidR="00CE66D6">
        <w:t xml:space="preserve"> </w:t>
      </w:r>
      <w:r w:rsidR="00E41DAF">
        <w:t>through</w:t>
      </w:r>
      <w:r w:rsidR="00CE66D6">
        <w:t xml:space="preserve"> life – </w:t>
      </w:r>
      <w:r w:rsidR="00E41DAF">
        <w:t>starting low during school</w:t>
      </w:r>
      <w:r w:rsidR="00B00DAA">
        <w:t xml:space="preserve"> age</w:t>
      </w:r>
      <w:r w:rsidR="00E41DAF">
        <w:t xml:space="preserve">, peaking around middle age, </w:t>
      </w:r>
      <w:r w:rsidR="008447DA">
        <w:t>and</w:t>
      </w:r>
      <w:r w:rsidR="00E41DAF">
        <w:t xml:space="preserve"> tapering towards retirement. </w:t>
      </w:r>
      <w:r w:rsidR="00B265C0">
        <w:t xml:space="preserve">The cohort effect captures </w:t>
      </w:r>
      <w:r>
        <w:t xml:space="preserve">how these </w:t>
      </w:r>
      <w:r w:rsidR="00E41DAF">
        <w:t xml:space="preserve">profiles </w:t>
      </w:r>
      <w:r>
        <w:t>shift</w:t>
      </w:r>
      <w:r w:rsidR="00E41DAF">
        <w:t xml:space="preserve"> up or down</w:t>
      </w:r>
      <w:r>
        <w:t xml:space="preserve"> </w:t>
      </w:r>
      <w:r w:rsidR="004A2D6A">
        <w:t xml:space="preserve">from one </w:t>
      </w:r>
      <w:r w:rsidR="00C80874">
        <w:t>birth cohort</w:t>
      </w:r>
      <w:r w:rsidR="004A2D6A">
        <w:t xml:space="preserve"> to another</w:t>
      </w:r>
      <w:r w:rsidR="00B265C0">
        <w:t xml:space="preserve"> – for instance, how </w:t>
      </w:r>
      <w:r w:rsidR="00E41DAF">
        <w:t xml:space="preserve">women born in 1955 have lower lifetime workforce participation than women born in 1975. </w:t>
      </w:r>
      <w:r w:rsidR="002247AA">
        <w:t>These two effects provide different insights into the drivers of aggregate participation trends: age effects capture the contribution of a changing demographic structure; c</w:t>
      </w:r>
      <w:r w:rsidR="002C77D8">
        <w:t xml:space="preserve">ohort effects </w:t>
      </w:r>
      <w:r w:rsidR="002247AA">
        <w:t>capture</w:t>
      </w:r>
      <w:r w:rsidR="006D2CC6">
        <w:t xml:space="preserve"> </w:t>
      </w:r>
      <w:r w:rsidR="002247AA">
        <w:t xml:space="preserve">the contribution of </w:t>
      </w:r>
      <w:r w:rsidR="002C77D8">
        <w:t xml:space="preserve">differences in the propensity to participate between </w:t>
      </w:r>
      <w:r w:rsidR="008447DA">
        <w:t>generations</w:t>
      </w:r>
      <w:r w:rsidR="002247AA">
        <w:t>.</w:t>
      </w:r>
    </w:p>
    <w:p w14:paraId="6C0D0F96" w14:textId="5DB02729" w:rsidR="00051668" w:rsidRDefault="00C82E99" w:rsidP="00C03432">
      <w:r>
        <w:t xml:space="preserve">This </w:t>
      </w:r>
      <w:r w:rsidR="00D575C3">
        <w:t xml:space="preserve">approach </w:t>
      </w:r>
      <w:r>
        <w:t xml:space="preserve">provides a fresh </w:t>
      </w:r>
      <w:r w:rsidR="00D575C3">
        <w:t>way</w:t>
      </w:r>
      <w:r>
        <w:t xml:space="preserve"> </w:t>
      </w:r>
      <w:r w:rsidR="00D575C3">
        <w:t>to</w:t>
      </w:r>
      <w:r>
        <w:t xml:space="preserve"> </w:t>
      </w:r>
      <w:r w:rsidR="00C80178">
        <w:t xml:space="preserve">think about </w:t>
      </w:r>
      <w:proofErr w:type="gramStart"/>
      <w:r w:rsidR="00C80178">
        <w:t xml:space="preserve">future </w:t>
      </w:r>
      <w:r w:rsidR="00F832A0">
        <w:t>prospects</w:t>
      </w:r>
      <w:proofErr w:type="gramEnd"/>
      <w:r w:rsidR="00F832A0">
        <w:t xml:space="preserve"> </w:t>
      </w:r>
      <w:r w:rsidR="00C80178">
        <w:t>for aggregate participation rates</w:t>
      </w:r>
      <w:r>
        <w:t xml:space="preserve">. </w:t>
      </w:r>
      <w:r w:rsidR="00D575C3">
        <w:t xml:space="preserve">The usual way to </w:t>
      </w:r>
      <w:r>
        <w:t xml:space="preserve">do </w:t>
      </w:r>
      <w:r w:rsidR="00D575C3">
        <w:t>so</w:t>
      </w:r>
      <w:r w:rsidR="005D1F16">
        <w:t>, at least in the Australian context,</w:t>
      </w:r>
      <w:r w:rsidR="00D575C3">
        <w:t xml:space="preserve"> </w:t>
      </w:r>
      <w:r w:rsidR="00C80178">
        <w:t>is to produce projections</w:t>
      </w:r>
      <w:r w:rsidR="00F41F33">
        <w:t xml:space="preserve"> for</w:t>
      </w:r>
      <w:r w:rsidR="00C80178">
        <w:t xml:space="preserve"> separate age groups </w:t>
      </w:r>
      <w:r w:rsidR="003E2C81">
        <w:t xml:space="preserve">– </w:t>
      </w:r>
      <w:r w:rsidR="00D575C3">
        <w:t>say</w:t>
      </w:r>
      <w:r w:rsidR="003E2C81">
        <w:t xml:space="preserve"> </w:t>
      </w:r>
      <w:r w:rsidR="004E533A">
        <w:t xml:space="preserve">those aged </w:t>
      </w:r>
      <w:r w:rsidR="003E2C81">
        <w:t xml:space="preserve">45 or 55 – </w:t>
      </w:r>
      <w:r w:rsidR="00C80178">
        <w:t>and then aggregate those using demographic projections. However, the age- and cohort-based model adopted in this paper lends itself to thinking about participation</w:t>
      </w:r>
      <w:r w:rsidR="003E2C81">
        <w:t xml:space="preserve"> in a different way – that is, </w:t>
      </w:r>
      <w:r w:rsidR="00C80178">
        <w:t xml:space="preserve">from the perspective of individuals </w:t>
      </w:r>
      <w:r w:rsidR="003E2C81">
        <w:t xml:space="preserve">who </w:t>
      </w:r>
      <w:r w:rsidR="00C80178">
        <w:t>mak</w:t>
      </w:r>
      <w:r w:rsidR="003E2C81">
        <w:t>e</w:t>
      </w:r>
      <w:r w:rsidR="00C80178">
        <w:t xml:space="preserve"> decisions about the amount of labour t</w:t>
      </w:r>
      <w:r w:rsidR="00F41F33">
        <w:t>hey</w:t>
      </w:r>
      <w:r w:rsidR="00C80178">
        <w:t xml:space="preserve"> supply at different stages of their lives. </w:t>
      </w:r>
      <w:r w:rsidR="00F41F33">
        <w:t>T</w:t>
      </w:r>
      <w:r w:rsidR="007A5ACD">
        <w:t>his</w:t>
      </w:r>
      <w:r w:rsidR="00CB7EAE">
        <w:br/>
      </w:r>
      <w:r w:rsidR="00C80874">
        <w:t>so</w:t>
      </w:r>
      <w:r w:rsidR="00EF7FD6">
        <w:t>-</w:t>
      </w:r>
      <w:r w:rsidR="00C80874">
        <w:t xml:space="preserve">called lifecycle </w:t>
      </w:r>
      <w:r w:rsidR="007A5ACD">
        <w:t xml:space="preserve">approach makes better use of the information available in the data because it explicitly incorporates the fact that </w:t>
      </w:r>
      <w:r w:rsidR="00C80874">
        <w:t xml:space="preserve">cohorts </w:t>
      </w:r>
      <w:r w:rsidR="007A5ACD">
        <w:t>move through the age structure over time.</w:t>
      </w:r>
    </w:p>
    <w:p w14:paraId="17E6474F" w14:textId="1D80E642" w:rsidR="008B59E7" w:rsidRDefault="008B59E7" w:rsidP="00C03432">
      <w:r>
        <w:rPr>
          <w:rFonts w:eastAsiaTheme="minorEastAsia"/>
        </w:rPr>
        <w:t xml:space="preserve">We can </w:t>
      </w:r>
      <w:r w:rsidR="00D575C3">
        <w:rPr>
          <w:rFonts w:eastAsiaTheme="minorEastAsia"/>
        </w:rPr>
        <w:t xml:space="preserve">use a simple example to </w:t>
      </w:r>
      <w:r>
        <w:rPr>
          <w:rFonts w:eastAsiaTheme="minorEastAsia"/>
        </w:rPr>
        <w:t>visualise the relationship between</w:t>
      </w:r>
      <w:r w:rsidR="00317C71">
        <w:rPr>
          <w:rFonts w:eastAsiaTheme="minorEastAsia"/>
        </w:rPr>
        <w:t xml:space="preserve"> participation rates across</w:t>
      </w:r>
      <w:r>
        <w:rPr>
          <w:rFonts w:eastAsiaTheme="minorEastAsia"/>
        </w:rPr>
        <w:t xml:space="preserve"> time, birth cohorts and the </w:t>
      </w:r>
      <w:r w:rsidR="0045365C">
        <w:rPr>
          <w:rFonts w:eastAsiaTheme="minorEastAsia"/>
        </w:rPr>
        <w:t>life cycle</w:t>
      </w:r>
      <w:r>
        <w:rPr>
          <w:rFonts w:eastAsiaTheme="minorEastAsia"/>
        </w:rPr>
        <w:t xml:space="preserve"> (or age). Figure 1 shows </w:t>
      </w:r>
      <w:r w:rsidR="00F832A0">
        <w:rPr>
          <w:rFonts w:eastAsiaTheme="minorEastAsia"/>
        </w:rPr>
        <w:t xml:space="preserve">hypothetical </w:t>
      </w:r>
      <w:r>
        <w:rPr>
          <w:rFonts w:eastAsiaTheme="minorEastAsia"/>
        </w:rPr>
        <w:t xml:space="preserve">age participation rate profiles for </w:t>
      </w:r>
      <w:r w:rsidR="00F53AE1">
        <w:rPr>
          <w:rFonts w:eastAsiaTheme="minorEastAsia"/>
        </w:rPr>
        <w:t xml:space="preserve">four </w:t>
      </w:r>
      <w:r>
        <w:rPr>
          <w:rFonts w:eastAsiaTheme="minorEastAsia"/>
        </w:rPr>
        <w:t>birth cohorts, born in 1940, 1950</w:t>
      </w:r>
      <w:r w:rsidR="00F53AE1">
        <w:rPr>
          <w:rFonts w:eastAsiaTheme="minorEastAsia"/>
        </w:rPr>
        <w:t>,</w:t>
      </w:r>
      <w:r>
        <w:rPr>
          <w:rFonts w:eastAsiaTheme="minorEastAsia"/>
        </w:rPr>
        <w:t xml:space="preserve"> 1960</w:t>
      </w:r>
      <w:r w:rsidR="00F53AE1">
        <w:rPr>
          <w:rFonts w:eastAsiaTheme="minorEastAsia"/>
        </w:rPr>
        <w:t xml:space="preserve"> and 1970</w:t>
      </w:r>
      <w:r>
        <w:rPr>
          <w:rFonts w:eastAsiaTheme="minorEastAsia"/>
        </w:rPr>
        <w:t xml:space="preserve">. </w:t>
      </w:r>
      <w:r w:rsidR="006C013C">
        <w:rPr>
          <w:rFonts w:eastAsiaTheme="minorEastAsia"/>
        </w:rPr>
        <w:t>For each of these cohorts, t</w:t>
      </w:r>
      <w:r>
        <w:rPr>
          <w:rFonts w:eastAsiaTheme="minorEastAsia"/>
        </w:rPr>
        <w:t>he participation rate at age 55 directly correspond</w:t>
      </w:r>
      <w:r w:rsidR="006C013C">
        <w:rPr>
          <w:rFonts w:eastAsiaTheme="minorEastAsia"/>
        </w:rPr>
        <w:t>s</w:t>
      </w:r>
      <w:r>
        <w:rPr>
          <w:rFonts w:eastAsiaTheme="minorEastAsia"/>
        </w:rPr>
        <w:t xml:space="preserve"> to the time-series for those aged 55 (Figure 2). </w:t>
      </w:r>
      <w:r w:rsidR="006C013C">
        <w:rPr>
          <w:rFonts w:eastAsiaTheme="minorEastAsia"/>
        </w:rPr>
        <w:t>For</w:t>
      </w:r>
      <w:r w:rsidR="00762D1B">
        <w:rPr>
          <w:rFonts w:eastAsiaTheme="minorEastAsia"/>
        </w:rPr>
        <w:t> </w:t>
      </w:r>
      <w:r w:rsidR="006C013C">
        <w:rPr>
          <w:rFonts w:eastAsiaTheme="minorEastAsia"/>
        </w:rPr>
        <w:t>instance, t</w:t>
      </w:r>
      <w:r>
        <w:rPr>
          <w:rFonts w:eastAsiaTheme="minorEastAsia"/>
        </w:rPr>
        <w:t>he participation rate for those aged 55 in 1995 is determined by the cohort born in 1940; the participation rate for the same age ten years later is determined by the cohort born in 1950</w:t>
      </w:r>
      <w:r w:rsidR="006C013C">
        <w:rPr>
          <w:rFonts w:eastAsiaTheme="minorEastAsia"/>
        </w:rPr>
        <w:t>;</w:t>
      </w:r>
      <w:r>
        <w:rPr>
          <w:rFonts w:eastAsiaTheme="minorEastAsia"/>
        </w:rPr>
        <w:t xml:space="preserve"> and so on. </w:t>
      </w:r>
    </w:p>
    <w:tbl>
      <w:tblPr>
        <w:tblStyle w:val="TableGrid"/>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051668" w14:paraId="440B558D" w14:textId="77777777" w:rsidTr="00B3406B">
        <w:tc>
          <w:tcPr>
            <w:tcW w:w="4479" w:type="dxa"/>
          </w:tcPr>
          <w:p w14:paraId="7931A196" w14:textId="77777777" w:rsidR="00051668" w:rsidRDefault="00051668" w:rsidP="004D3313">
            <w:pPr>
              <w:pStyle w:val="FigureHeading"/>
            </w:pPr>
            <w:r w:rsidRPr="00FD71B8">
              <w:t xml:space="preserve">Figure 1: Participation </w:t>
            </w:r>
            <w:r>
              <w:t xml:space="preserve">rate </w:t>
            </w:r>
            <w:r w:rsidRPr="00FD71B8">
              <w:t>by cohort</w:t>
            </w:r>
          </w:p>
          <w:p w14:paraId="0010F633" w14:textId="56310DDD" w:rsidR="00051668" w:rsidRDefault="0033578C" w:rsidP="00B3406B">
            <w:pPr>
              <w:pStyle w:val="ChartGraphic"/>
            </w:pPr>
            <w:r w:rsidRPr="008E43DA">
              <w:rPr>
                <w:noProof/>
              </w:rPr>
              <mc:AlternateContent>
                <mc:Choice Requires="wps">
                  <w:drawing>
                    <wp:anchor distT="0" distB="0" distL="114300" distR="114300" simplePos="0" relativeHeight="251658240" behindDoc="0" locked="0" layoutInCell="1" allowOverlap="1" wp14:anchorId="74746884" wp14:editId="7BF0A514">
                      <wp:simplePos x="0" y="0"/>
                      <wp:positionH relativeFrom="column">
                        <wp:posOffset>1893009</wp:posOffset>
                      </wp:positionH>
                      <wp:positionV relativeFrom="paragraph">
                        <wp:posOffset>703044</wp:posOffset>
                      </wp:positionV>
                      <wp:extent cx="3129148"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3129148" cy="0"/>
                              </a:xfrm>
                              <a:prstGeom prst="line">
                                <a:avLst/>
                              </a:prstGeom>
                              <a:ln>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9A6C8"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05pt,55.35pt" to="395.4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" strokecolor="#c45154 [3207]">
                      <v:stroke dashstyle="dash"/>
                    </v:line>
                  </w:pict>
                </mc:Fallback>
              </mc:AlternateContent>
            </w:r>
            <w:r w:rsidRPr="00FD71B8">
              <w:rPr>
                <w:noProof/>
              </w:rPr>
              <mc:AlternateContent>
                <mc:Choice Requires="wps">
                  <w:drawing>
                    <wp:anchor distT="0" distB="0" distL="114300" distR="114300" simplePos="0" relativeHeight="251658242" behindDoc="0" locked="0" layoutInCell="1" allowOverlap="1" wp14:anchorId="3EB7F4A5" wp14:editId="173082C1">
                      <wp:simplePos x="0" y="0"/>
                      <wp:positionH relativeFrom="column">
                        <wp:posOffset>1893009</wp:posOffset>
                      </wp:positionH>
                      <wp:positionV relativeFrom="paragraph">
                        <wp:posOffset>1047429</wp:posOffset>
                      </wp:positionV>
                      <wp:extent cx="1977242" cy="11876"/>
                      <wp:effectExtent l="0" t="0" r="23495" b="26670"/>
                      <wp:wrapNone/>
                      <wp:docPr id="33" name="Straight Connector 33"/>
                      <wp:cNvGraphicFramePr/>
                      <a:graphic xmlns:a="http://schemas.openxmlformats.org/drawingml/2006/main">
                        <a:graphicData uri="http://schemas.microsoft.com/office/word/2010/wordprocessingShape">
                          <wps:wsp>
                            <wps:cNvCnPr/>
                            <wps:spPr>
                              <a:xfrm flipV="1">
                                <a:off x="0" y="0"/>
                                <a:ext cx="1977242" cy="11876"/>
                              </a:xfrm>
                              <a:prstGeom prst="line">
                                <a:avLst/>
                              </a:prstGeom>
                              <a:ln>
                                <a:solidFill>
                                  <a:schemeClr val="accent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8C432" id="Straight Connector 3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05pt,82.45pt" to="304.7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" strokecolor="#3a6faf [3205]">
                      <v:stroke dashstyle="dash"/>
                    </v:line>
                  </w:pict>
                </mc:Fallback>
              </mc:AlternateContent>
            </w:r>
            <w:r w:rsidR="00CB7EAE" w:rsidRPr="00FD71B8">
              <w:rPr>
                <w:noProof/>
              </w:rPr>
              <mc:AlternateContent>
                <mc:Choice Requires="wps">
                  <w:drawing>
                    <wp:anchor distT="0" distB="0" distL="114300" distR="114300" simplePos="0" relativeHeight="251658243" behindDoc="0" locked="0" layoutInCell="1" allowOverlap="1" wp14:anchorId="50EB292F" wp14:editId="6E8898E9">
                      <wp:simplePos x="0" y="0"/>
                      <wp:positionH relativeFrom="column">
                        <wp:posOffset>1893008</wp:posOffset>
                      </wp:positionH>
                      <wp:positionV relativeFrom="paragraph">
                        <wp:posOffset>1332436</wp:posOffset>
                      </wp:positionV>
                      <wp:extent cx="1389413" cy="5938"/>
                      <wp:effectExtent l="0" t="0" r="20320" b="32385"/>
                      <wp:wrapNone/>
                      <wp:docPr id="34" name="Straight Connector 34"/>
                      <wp:cNvGraphicFramePr/>
                      <a:graphic xmlns:a="http://schemas.openxmlformats.org/drawingml/2006/main">
                        <a:graphicData uri="http://schemas.microsoft.com/office/word/2010/wordprocessingShape">
                          <wps:wsp>
                            <wps:cNvCnPr/>
                            <wps:spPr>
                              <a:xfrm>
                                <a:off x="0" y="0"/>
                                <a:ext cx="1389413" cy="5938"/>
                              </a:xfrm>
                              <a:prstGeom prst="line">
                                <a:avLst/>
                              </a:prstGeom>
                              <a:ln>
                                <a:solidFill>
                                  <a:schemeClr val="accent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0474E" id="Straight Connector 3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05pt,104.9pt" to="258.4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" strokecolor="#002c47 [3204]">
                      <v:stroke dashstyle="dash"/>
                    </v:line>
                  </w:pict>
                </mc:Fallback>
              </mc:AlternateContent>
            </w:r>
            <w:r w:rsidR="00A62C1D">
              <w:rPr>
                <w:noProof/>
              </w:rPr>
              <w:drawing>
                <wp:inline distT="0" distB="0" distL="0" distR="0" wp14:anchorId="78B6FA99" wp14:editId="52694207">
                  <wp:extent cx="2628000" cy="2520000"/>
                  <wp:effectExtent l="0" t="0" r="127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479" w:type="dxa"/>
          </w:tcPr>
          <w:p w14:paraId="25C1BC00" w14:textId="65A903CD" w:rsidR="00051668" w:rsidRDefault="00051668" w:rsidP="004D3313">
            <w:pPr>
              <w:pStyle w:val="FigureHeading"/>
              <w:rPr>
                <w:rFonts w:eastAsiaTheme="minorHAnsi"/>
              </w:rPr>
            </w:pPr>
            <w:r w:rsidRPr="007E0AE3">
              <w:rPr>
                <w:rFonts w:eastAsiaTheme="minorHAnsi"/>
              </w:rPr>
              <w:t>F</w:t>
            </w:r>
            <w:r>
              <w:rPr>
                <w:rFonts w:eastAsiaTheme="minorHAnsi"/>
              </w:rPr>
              <w:t xml:space="preserve">igure 2: Participation rate </w:t>
            </w:r>
            <w:r w:rsidR="00C80874">
              <w:rPr>
                <w:rFonts w:eastAsiaTheme="minorHAnsi"/>
              </w:rPr>
              <w:t xml:space="preserve">by </w:t>
            </w:r>
            <w:r>
              <w:rPr>
                <w:rFonts w:eastAsiaTheme="minorHAnsi"/>
              </w:rPr>
              <w:t>age</w:t>
            </w:r>
          </w:p>
          <w:p w14:paraId="14560BB2" w14:textId="600CAAC1" w:rsidR="00051668" w:rsidRDefault="0033578C" w:rsidP="00B3406B">
            <w:pPr>
              <w:pStyle w:val="ChartGraphic"/>
              <w:jc w:val="right"/>
            </w:pPr>
            <w:r w:rsidRPr="00FD71B8">
              <w:rPr>
                <w:noProof/>
              </w:rPr>
              <mc:AlternateContent>
                <mc:Choice Requires="wps">
                  <w:drawing>
                    <wp:anchor distT="0" distB="0" distL="114300" distR="114300" simplePos="0" relativeHeight="251658241" behindDoc="0" locked="0" layoutInCell="1" allowOverlap="1" wp14:anchorId="7A989B0B" wp14:editId="3B14F5FD">
                      <wp:simplePos x="0" y="0"/>
                      <wp:positionH relativeFrom="column">
                        <wp:posOffset>-951157</wp:posOffset>
                      </wp:positionH>
                      <wp:positionV relativeFrom="paragraph">
                        <wp:posOffset>786171</wp:posOffset>
                      </wp:positionV>
                      <wp:extent cx="2547257" cy="5938"/>
                      <wp:effectExtent l="0" t="0" r="24765" b="32385"/>
                      <wp:wrapNone/>
                      <wp:docPr id="32" name="Straight Connector 32"/>
                      <wp:cNvGraphicFramePr/>
                      <a:graphic xmlns:a="http://schemas.openxmlformats.org/drawingml/2006/main">
                        <a:graphicData uri="http://schemas.microsoft.com/office/word/2010/wordprocessingShape">
                          <wps:wsp>
                            <wps:cNvCnPr/>
                            <wps:spPr>
                              <a:xfrm flipV="1">
                                <a:off x="0" y="0"/>
                                <a:ext cx="2547257" cy="5938"/>
                              </a:xfrm>
                              <a:prstGeom prst="line">
                                <a:avLst/>
                              </a:prstGeom>
                              <a:ln>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3851C" id="Straight Connector 3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pt,61.9pt" to="125.6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" strokecolor="#008569 [3206]">
                      <v:stroke dashstyle="dash"/>
                    </v:line>
                  </w:pict>
                </mc:Fallback>
              </mc:AlternateContent>
            </w:r>
            <w:r w:rsidR="00A62C1D">
              <w:rPr>
                <w:noProof/>
              </w:rPr>
              <w:drawing>
                <wp:inline distT="0" distB="0" distL="0" distR="0" wp14:anchorId="124F4D7F" wp14:editId="59F9F5F0">
                  <wp:extent cx="2592000" cy="25200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3448F133" w14:textId="77777777" w:rsidR="00B3406B" w:rsidRDefault="00B3406B" w:rsidP="00401B5C">
      <w:pPr>
        <w:rPr>
          <w:rFonts w:eastAsiaTheme="minorEastAsia"/>
        </w:rPr>
      </w:pPr>
    </w:p>
    <w:p w14:paraId="45ACE45A" w14:textId="58AE5D95" w:rsidR="00401B5C" w:rsidRDefault="00401B5C" w:rsidP="00401B5C">
      <w:r>
        <w:rPr>
          <w:rFonts w:eastAsiaTheme="minorEastAsia"/>
        </w:rPr>
        <w:t xml:space="preserve">This example points to </w:t>
      </w:r>
      <w:r w:rsidR="000E1EB3">
        <w:rPr>
          <w:rFonts w:eastAsiaTheme="minorEastAsia"/>
        </w:rPr>
        <w:t>an</w:t>
      </w:r>
      <w:r>
        <w:rPr>
          <w:rFonts w:eastAsiaTheme="minorEastAsia"/>
        </w:rPr>
        <w:t xml:space="preserve"> important observation</w:t>
      </w:r>
      <w:r w:rsidR="008447DA">
        <w:rPr>
          <w:rFonts w:eastAsiaTheme="minorEastAsia"/>
        </w:rPr>
        <w:t>:</w:t>
      </w:r>
      <w:r>
        <w:rPr>
          <w:rFonts w:eastAsiaTheme="minorEastAsia"/>
        </w:rPr>
        <w:t xml:space="preserve"> the participation rate for a particular age group changes over time, and these changes simply reflect differences between birth cohorts. </w:t>
      </w:r>
      <w:proofErr w:type="gramStart"/>
      <w:r w:rsidR="008447DA">
        <w:rPr>
          <w:rFonts w:eastAsiaTheme="minorEastAsia"/>
        </w:rPr>
        <w:t>So</w:t>
      </w:r>
      <w:proofErr w:type="gramEnd"/>
      <w:r>
        <w:rPr>
          <w:rFonts w:eastAsiaTheme="minorEastAsia"/>
        </w:rPr>
        <w:t xml:space="preserve"> by </w:t>
      </w:r>
      <w:r>
        <w:rPr>
          <w:rFonts w:eastAsiaTheme="minorEastAsia"/>
        </w:rPr>
        <w:lastRenderedPageBreak/>
        <w:t>analysing time-series data on participation rates by age, it should be possible to identify differences in participation rates between cohorts</w:t>
      </w:r>
      <w:r w:rsidR="004326E0">
        <w:rPr>
          <w:rFonts w:eastAsiaTheme="minorEastAsia"/>
        </w:rPr>
        <w:t xml:space="preserve"> </w:t>
      </w:r>
      <w:r>
        <w:rPr>
          <w:rFonts w:eastAsiaTheme="minorEastAsia"/>
        </w:rPr>
        <w:t xml:space="preserve">– </w:t>
      </w:r>
      <w:r w:rsidR="008447DA">
        <w:rPr>
          <w:rFonts w:eastAsiaTheme="minorEastAsia"/>
        </w:rPr>
        <w:t>that i</w:t>
      </w:r>
      <w:r w:rsidR="00F26315">
        <w:rPr>
          <w:rFonts w:eastAsiaTheme="minorEastAsia"/>
        </w:rPr>
        <w:t>s</w:t>
      </w:r>
      <w:r w:rsidR="008447DA">
        <w:rPr>
          <w:rFonts w:eastAsiaTheme="minorEastAsia"/>
        </w:rPr>
        <w:t xml:space="preserve">, the </w:t>
      </w:r>
      <w:r>
        <w:rPr>
          <w:rFonts w:eastAsiaTheme="minorEastAsia"/>
        </w:rPr>
        <w:t>cohort effects.</w:t>
      </w:r>
    </w:p>
    <w:p w14:paraId="6FAF4875" w14:textId="7FA99BF3" w:rsidR="002C77D8" w:rsidRDefault="00F832A0" w:rsidP="00401B5C">
      <w:r>
        <w:t>Following its</w:t>
      </w:r>
      <w:r w:rsidR="00835623">
        <w:t xml:space="preserve"> </w:t>
      </w:r>
      <w:r w:rsidR="00C80874">
        <w:t>introduc</w:t>
      </w:r>
      <w:r>
        <w:t>tion</w:t>
      </w:r>
      <w:r w:rsidR="00835623">
        <w:t xml:space="preserve"> </w:t>
      </w:r>
      <w:r w:rsidR="00866E04">
        <w:t xml:space="preserve">in this context </w:t>
      </w:r>
      <w:r w:rsidR="00835623">
        <w:t>by Aaronson et al. (2006)</w:t>
      </w:r>
      <w:r>
        <w:t>, who</w:t>
      </w:r>
      <w:r w:rsidR="00835623">
        <w:t xml:space="preserve"> study the decline in the labour force participation rate in the US in the first half of the 2000s</w:t>
      </w:r>
      <w:r>
        <w:t>, the age-cohort approach has become commonplace</w:t>
      </w:r>
      <w:r w:rsidR="00835623">
        <w:t>. Their findings attributed much of the decline to cohort effects</w:t>
      </w:r>
      <w:r w:rsidR="00C80874">
        <w:t>. T</w:t>
      </w:r>
      <w:r w:rsidR="00835623">
        <w:t xml:space="preserve">hey interpreted this as suggesting that it was a structural </w:t>
      </w:r>
      <w:r w:rsidR="00C80874">
        <w:t>(</w:t>
      </w:r>
      <w:r w:rsidR="00015DE4">
        <w:t xml:space="preserve">or </w:t>
      </w:r>
      <w:r w:rsidR="00C80874">
        <w:t xml:space="preserve">a trend) </w:t>
      </w:r>
      <w:r w:rsidR="00835623">
        <w:t>rather than cyclical decline</w:t>
      </w:r>
      <w:r w:rsidR="00C80874">
        <w:t>.</w:t>
      </w:r>
      <w:r w:rsidR="00835623">
        <w:t xml:space="preserve"> </w:t>
      </w:r>
      <w:proofErr w:type="gramStart"/>
      <w:r w:rsidR="00835623">
        <w:t>A number of</w:t>
      </w:r>
      <w:proofErr w:type="gramEnd"/>
      <w:r w:rsidR="00835623">
        <w:t xml:space="preserve"> later studies have suggested improvements to the model and also extended the analysis to additional countries. </w:t>
      </w:r>
      <w:r>
        <w:t>For example</w:t>
      </w:r>
      <w:r w:rsidR="00113033">
        <w:t xml:space="preserve">, </w:t>
      </w:r>
      <w:proofErr w:type="spellStart"/>
      <w:r w:rsidR="00113033">
        <w:t>Grigoli</w:t>
      </w:r>
      <w:proofErr w:type="spellEnd"/>
      <w:r w:rsidR="00113033">
        <w:t xml:space="preserve"> et al. (2018) applied this approach to 17 advanced economies and then used</w:t>
      </w:r>
      <w:r w:rsidR="00E439A7">
        <w:t xml:space="preserve"> the</w:t>
      </w:r>
      <w:r w:rsidR="00113033">
        <w:t xml:space="preserve"> results together w</w:t>
      </w:r>
      <w:r w:rsidR="00E439A7">
        <w:t>ith demographic projections to project</w:t>
      </w:r>
      <w:r w:rsidR="00113033">
        <w:t xml:space="preserve"> labour force participation rates for these countries out to 2050.</w:t>
      </w:r>
      <w:r w:rsidR="00595A4A">
        <w:t xml:space="preserve"> The</w:t>
      </w:r>
      <w:r w:rsidR="000612B9">
        <w:t xml:space="preserve"> </w:t>
      </w:r>
      <w:r w:rsidR="00C80874">
        <w:t xml:space="preserve">US </w:t>
      </w:r>
      <w:r w:rsidR="000612B9">
        <w:t>Congressional Budget Office</w:t>
      </w:r>
      <w:r w:rsidR="009E2A60">
        <w:t xml:space="preserve"> (CBO)</w:t>
      </w:r>
      <w:r w:rsidR="000612B9">
        <w:t xml:space="preserve"> has</w:t>
      </w:r>
      <w:r w:rsidR="00BB0CD2">
        <w:t xml:space="preserve"> also</w:t>
      </w:r>
      <w:r w:rsidR="000612B9">
        <w:t xml:space="preserve"> adop</w:t>
      </w:r>
      <w:r w:rsidR="00BB0CD2">
        <w:t>ted a similar (but more</w:t>
      </w:r>
      <w:r w:rsidR="009E2A60">
        <w:t xml:space="preserve"> disaggregated</w:t>
      </w:r>
      <w:r w:rsidR="000612B9">
        <w:t xml:space="preserve">) approach for their </w:t>
      </w:r>
      <w:r w:rsidR="00595A4A">
        <w:t xml:space="preserve">labour force participation </w:t>
      </w:r>
      <w:r w:rsidR="00BE7F8F">
        <w:t>rate projections</w:t>
      </w:r>
      <w:r w:rsidR="00595A4A">
        <w:t xml:space="preserve"> (</w:t>
      </w:r>
      <w:r w:rsidR="00F4530D">
        <w:t xml:space="preserve">Montes </w:t>
      </w:r>
      <w:r w:rsidR="000612B9">
        <w:t>2018).</w:t>
      </w:r>
    </w:p>
    <w:p w14:paraId="048EA97A" w14:textId="071DE252" w:rsidR="00835623" w:rsidRDefault="00113033" w:rsidP="008F40FF">
      <w:r w:rsidRPr="007A5ACD">
        <w:t xml:space="preserve">The </w:t>
      </w:r>
      <w:r w:rsidR="00C80874">
        <w:t xml:space="preserve">main </w:t>
      </w:r>
      <w:r w:rsidRPr="007A5ACD">
        <w:t xml:space="preserve">contribution of this paper is to </w:t>
      </w:r>
      <w:r w:rsidR="00F53AE1">
        <w:t>apply</w:t>
      </w:r>
      <w:r w:rsidR="00F53AE1" w:rsidRPr="007A5ACD">
        <w:t xml:space="preserve"> </w:t>
      </w:r>
      <w:r w:rsidR="009E2A60">
        <w:t xml:space="preserve">a modified version of the CBO approach </w:t>
      </w:r>
      <w:r w:rsidR="00051668" w:rsidRPr="007A5ACD">
        <w:t xml:space="preserve">to Australian </w:t>
      </w:r>
      <w:r w:rsidR="00F53AE1">
        <w:t>data</w:t>
      </w:r>
      <w:r w:rsidR="00051668" w:rsidRPr="007A5ACD">
        <w:t xml:space="preserve">. </w:t>
      </w:r>
      <w:r w:rsidR="009E2A60">
        <w:t xml:space="preserve">Adopting this approach allows us to develop a framework that not only fits historical data well but that can produce </w:t>
      </w:r>
      <w:r w:rsidR="00185C00">
        <w:t xml:space="preserve">plausible </w:t>
      </w:r>
      <w:r w:rsidR="009E2A60">
        <w:t xml:space="preserve">projections of future participation rates </w:t>
      </w:r>
      <w:r w:rsidR="00185C00">
        <w:t>informed by</w:t>
      </w:r>
      <w:r w:rsidR="009E2A60">
        <w:t xml:space="preserve"> these historical developments.</w:t>
      </w:r>
      <w:r w:rsidR="008F40FF">
        <w:t xml:space="preserve"> A </w:t>
      </w:r>
      <w:r w:rsidR="00051668" w:rsidRPr="007A5ACD">
        <w:t>second contribution is that we estimate the model separately for full-time and part-time participation rates</w:t>
      </w:r>
      <w:r w:rsidR="003A6F21">
        <w:t>. This</w:t>
      </w:r>
      <w:r w:rsidR="00051668" w:rsidRPr="007A5ACD">
        <w:t xml:space="preserve"> allows us to provide </w:t>
      </w:r>
      <w:r w:rsidR="00E439A7">
        <w:t>additional detail</w:t>
      </w:r>
      <w:r w:rsidR="00051668" w:rsidRPr="007A5ACD">
        <w:t xml:space="preserve"> about the </w:t>
      </w:r>
      <w:r w:rsidR="009B1A21" w:rsidRPr="007A5ACD">
        <w:t>outlook</w:t>
      </w:r>
      <w:r w:rsidR="00051668" w:rsidRPr="007A5ACD">
        <w:t xml:space="preserve"> for aggregate labour supply than would be the case if we only looked at total participation rates.</w:t>
      </w:r>
    </w:p>
    <w:p w14:paraId="48F27204" w14:textId="3CA84ED4" w:rsidR="002D3F43" w:rsidRPr="00E9732C" w:rsidRDefault="002324CE">
      <w:r w:rsidRPr="00E9732C">
        <w:t xml:space="preserve">It is important to note that the aim of this paper is not to estimate a structural behavioural model of labour supply decisions that can be used to make statements about the causal drivers of changes to participation rates. Instead, the aim is to estimate a </w:t>
      </w:r>
      <w:r w:rsidR="00F31607" w:rsidRPr="00E9732C">
        <w:t xml:space="preserve">reduced form </w:t>
      </w:r>
      <w:r w:rsidRPr="00E9732C">
        <w:t>model that can capture historical developments in participation rates for different groups</w:t>
      </w:r>
      <w:r w:rsidR="00C8419C" w:rsidRPr="00E9732C">
        <w:t xml:space="preserve"> and to identify</w:t>
      </w:r>
      <w:r w:rsidRPr="00E9732C">
        <w:t xml:space="preserve"> meaningful and stable relationships that can be used to make informed</w:t>
      </w:r>
      <w:r w:rsidR="00AD4C26" w:rsidRPr="00E9732C">
        <w:t xml:space="preserve"> and plausible</w:t>
      </w:r>
      <w:r w:rsidRPr="00E9732C">
        <w:t xml:space="preserve"> predictions about the future.</w:t>
      </w:r>
      <w:r w:rsidR="002D3F43" w:rsidRPr="00E9732C">
        <w:t xml:space="preserve"> </w:t>
      </w:r>
      <w:r w:rsidR="00381357" w:rsidRPr="00E9732C">
        <w:t xml:space="preserve">Given this aim, we have </w:t>
      </w:r>
      <w:r w:rsidR="00F31607" w:rsidRPr="00E9732C">
        <w:t>adopted</w:t>
      </w:r>
      <w:r w:rsidR="00381357" w:rsidRPr="00E9732C">
        <w:t xml:space="preserve"> a pragmatic and flexible model specification that works for the stated purpose. In doing so, we have had to deviate from </w:t>
      </w:r>
      <w:r w:rsidR="00F31607" w:rsidRPr="00E9732C">
        <w:t>the theoretically</w:t>
      </w:r>
      <w:r w:rsidR="00381357" w:rsidRPr="00E9732C">
        <w:t xml:space="preserve"> </w:t>
      </w:r>
      <w:r w:rsidR="00F31607" w:rsidRPr="00E9732C">
        <w:t>elegant pure lifecycle</w:t>
      </w:r>
      <w:r w:rsidR="00381357" w:rsidRPr="00E9732C">
        <w:t xml:space="preserve"> model to come up with a </w:t>
      </w:r>
      <w:r w:rsidR="00D80B2E" w:rsidRPr="00E9732C">
        <w:t>specification</w:t>
      </w:r>
      <w:r w:rsidR="00381357" w:rsidRPr="00E9732C">
        <w:t xml:space="preserve"> that can produce plausible projections. </w:t>
      </w:r>
      <w:r w:rsidR="00F31607" w:rsidRPr="00E9732C">
        <w:t>T</w:t>
      </w:r>
      <w:r w:rsidR="00381357" w:rsidRPr="00E9732C">
        <w:t xml:space="preserve">hese choices are all presented in </w:t>
      </w:r>
      <w:r w:rsidR="003D247C" w:rsidRPr="00E9732C">
        <w:t xml:space="preserve">a transparent way in </w:t>
      </w:r>
      <w:r w:rsidR="00381357" w:rsidRPr="00E9732C">
        <w:t>this paper</w:t>
      </w:r>
      <w:r w:rsidR="004D0062" w:rsidRPr="00E9732C">
        <w:t xml:space="preserve">. </w:t>
      </w:r>
      <w:r w:rsidR="00F31607" w:rsidRPr="00E9732C">
        <w:t xml:space="preserve">And given </w:t>
      </w:r>
      <w:r w:rsidR="002D3F43" w:rsidRPr="00E9732C">
        <w:t>that the work presented in this paper represents a first</w:t>
      </w:r>
      <w:r w:rsidR="00762D1B">
        <w:t> </w:t>
      </w:r>
      <w:r w:rsidR="002D3F43" w:rsidRPr="00E9732C">
        <w:t>attempt</w:t>
      </w:r>
      <w:r w:rsidR="00A412FB">
        <w:t xml:space="preserve"> (at least to the best of our knowledge)</w:t>
      </w:r>
      <w:r w:rsidR="002D3F43" w:rsidRPr="00E9732C">
        <w:t xml:space="preserve"> at using</w:t>
      </w:r>
      <w:r w:rsidR="007E1DE9" w:rsidRPr="00E9732C">
        <w:t xml:space="preserve"> this type of age-cohort framework for detailed participation rate projections in the Australian context </w:t>
      </w:r>
      <w:r w:rsidR="00F31607" w:rsidRPr="00E9732C">
        <w:t>w</w:t>
      </w:r>
      <w:r w:rsidR="007E1DE9" w:rsidRPr="00E9732C">
        <w:t>e</w:t>
      </w:r>
      <w:r w:rsidR="00E9732C" w:rsidRPr="00E9732C">
        <w:t xml:space="preserve"> </w:t>
      </w:r>
      <w:r w:rsidR="007E1DE9" w:rsidRPr="00E9732C">
        <w:t xml:space="preserve">anticipate that </w:t>
      </w:r>
      <w:r w:rsidR="00F35D08" w:rsidRPr="00E9732C">
        <w:t>future developments</w:t>
      </w:r>
      <w:r w:rsidR="007E1DE9" w:rsidRPr="00E9732C">
        <w:t xml:space="preserve">, including the availability of new and improved data sources, will allow us to </w:t>
      </w:r>
      <w:r w:rsidR="00F31607" w:rsidRPr="00E9732C">
        <w:t>move towards the theoretically elegant lifecycle</w:t>
      </w:r>
      <w:r w:rsidR="007E1DE9" w:rsidRPr="00E9732C">
        <w:t xml:space="preserve"> framework</w:t>
      </w:r>
      <w:r w:rsidR="00381357" w:rsidRPr="00E9732C">
        <w:t>.</w:t>
      </w:r>
    </w:p>
    <w:p w14:paraId="1AB69FDE" w14:textId="1542745A" w:rsidR="00003E26" w:rsidRDefault="00003E26">
      <w:r>
        <w:t>The rem</w:t>
      </w:r>
      <w:r w:rsidR="00445114">
        <w:t>a</w:t>
      </w:r>
      <w:r>
        <w:t>inder of the paper is as follows: Section 2</w:t>
      </w:r>
      <w:r w:rsidR="006F48CE">
        <w:t xml:space="preserve"> describes the </w:t>
      </w:r>
      <w:r w:rsidR="00AE2CD2">
        <w:t>labour force participation model</w:t>
      </w:r>
      <w:r w:rsidR="00CB6301">
        <w:t xml:space="preserve"> used in the paper</w:t>
      </w:r>
      <w:r>
        <w:t xml:space="preserve">; Section 3 </w:t>
      </w:r>
      <w:r w:rsidR="006F48CE">
        <w:t>introduces the data used in the estimation</w:t>
      </w:r>
      <w:r>
        <w:t xml:space="preserve">; Section 4 </w:t>
      </w:r>
      <w:r w:rsidR="00F6473D">
        <w:t xml:space="preserve">describes the </w:t>
      </w:r>
      <w:r w:rsidR="00CB6301">
        <w:t>econometric method</w:t>
      </w:r>
      <w:r w:rsidR="00F6473D">
        <w:t>; Section 5 presents the</w:t>
      </w:r>
      <w:r w:rsidR="00F96C7B">
        <w:t xml:space="preserve"> estimation</w:t>
      </w:r>
      <w:r w:rsidR="00F6473D">
        <w:t xml:space="preserve"> </w:t>
      </w:r>
      <w:r w:rsidR="006F48CE">
        <w:t>results</w:t>
      </w:r>
      <w:r>
        <w:t>;</w:t>
      </w:r>
      <w:r w:rsidR="00F96C7B">
        <w:t xml:space="preserve"> Section 6 presents a set of projections produced using the framework</w:t>
      </w:r>
      <w:r>
        <w:t xml:space="preserve"> and the paper concludes with Section </w:t>
      </w:r>
      <w:r w:rsidR="00F96C7B">
        <w:t>7</w:t>
      </w:r>
      <w:r w:rsidR="00271774">
        <w:t xml:space="preserve"> </w:t>
      </w:r>
      <w:r>
        <w:t>which summarises the main findings and suggestions for future work.</w:t>
      </w:r>
    </w:p>
    <w:p w14:paraId="53CB9E4F" w14:textId="77777777" w:rsidR="00467172" w:rsidRDefault="00467172">
      <w:pPr>
        <w:spacing w:after="200" w:line="276" w:lineRule="auto"/>
        <w:rPr>
          <w:rFonts w:ascii="Arial Bold" w:hAnsi="Arial Bold"/>
          <w:b/>
          <w:color w:val="003157"/>
          <w:sz w:val="38"/>
        </w:rPr>
      </w:pPr>
      <w:r>
        <w:br w:type="page"/>
      </w:r>
    </w:p>
    <w:p w14:paraId="07C8DD1F" w14:textId="21910723" w:rsidR="00F012EA" w:rsidRPr="00422BA9" w:rsidRDefault="00E87AC0" w:rsidP="00422BA9">
      <w:pPr>
        <w:pStyle w:val="Heading1-Numbered"/>
      </w:pPr>
      <w:bookmarkStart w:id="4" w:name="_Toc70507612"/>
      <w:r w:rsidRPr="00422BA9">
        <w:lastRenderedPageBreak/>
        <w:t>Labour force participation m</w:t>
      </w:r>
      <w:r w:rsidR="00A823C3" w:rsidRPr="00422BA9">
        <w:t>odel</w:t>
      </w:r>
      <w:bookmarkEnd w:id="4"/>
    </w:p>
    <w:p w14:paraId="228B4A1D" w14:textId="5635CD4A" w:rsidR="00E4351E" w:rsidRDefault="00FA273B" w:rsidP="00FA273B">
      <w:pPr>
        <w:rPr>
          <w:lang w:val="en-US" w:eastAsia="en-AU"/>
        </w:rPr>
      </w:pPr>
      <w:r>
        <w:rPr>
          <w:lang w:val="en-US" w:eastAsia="en-AU"/>
        </w:rPr>
        <w:t xml:space="preserve">The econometric </w:t>
      </w:r>
      <w:r w:rsidR="00A048F8">
        <w:rPr>
          <w:lang w:val="en-US" w:eastAsia="en-AU"/>
        </w:rPr>
        <w:t>method</w:t>
      </w:r>
      <w:r w:rsidR="00317C71">
        <w:rPr>
          <w:lang w:val="en-US" w:eastAsia="en-AU"/>
        </w:rPr>
        <w:t>ology</w:t>
      </w:r>
      <w:r w:rsidR="00A048F8">
        <w:rPr>
          <w:lang w:val="en-US" w:eastAsia="en-AU"/>
        </w:rPr>
        <w:t xml:space="preserve"> </w:t>
      </w:r>
      <w:r>
        <w:rPr>
          <w:lang w:val="en-US" w:eastAsia="en-AU"/>
        </w:rPr>
        <w:t xml:space="preserve">in this paper is based on </w:t>
      </w:r>
      <w:r w:rsidR="00E4351E">
        <w:rPr>
          <w:lang w:val="en-US" w:eastAsia="en-AU"/>
        </w:rPr>
        <w:t>Montes</w:t>
      </w:r>
      <w:r w:rsidR="00051668">
        <w:rPr>
          <w:lang w:val="en-US" w:eastAsia="en-AU"/>
        </w:rPr>
        <w:t xml:space="preserve"> (20</w:t>
      </w:r>
      <w:r w:rsidR="00E4351E">
        <w:rPr>
          <w:lang w:val="en-US" w:eastAsia="en-AU"/>
        </w:rPr>
        <w:t>18</w:t>
      </w:r>
      <w:r>
        <w:rPr>
          <w:lang w:val="en-US" w:eastAsia="en-AU"/>
        </w:rPr>
        <w:t>)</w:t>
      </w:r>
      <w:r w:rsidR="00A048F8">
        <w:rPr>
          <w:lang w:val="en-US" w:eastAsia="en-AU"/>
        </w:rPr>
        <w:t xml:space="preserve">. </w:t>
      </w:r>
      <w:r w:rsidR="00C2429D">
        <w:rPr>
          <w:lang w:val="en-US" w:eastAsia="en-AU"/>
        </w:rPr>
        <w:t>In</w:t>
      </w:r>
      <w:r w:rsidR="004503CE">
        <w:rPr>
          <w:lang w:val="en-US" w:eastAsia="en-AU"/>
        </w:rPr>
        <w:t xml:space="preserve"> </w:t>
      </w:r>
      <w:r w:rsidR="00A40D78">
        <w:rPr>
          <w:lang w:val="en-US" w:eastAsia="en-AU"/>
        </w:rPr>
        <w:t xml:space="preserve">this </w:t>
      </w:r>
      <w:r w:rsidR="004503CE">
        <w:rPr>
          <w:lang w:val="en-US" w:eastAsia="en-AU"/>
        </w:rPr>
        <w:t>approach</w:t>
      </w:r>
      <w:r w:rsidR="00A40D78">
        <w:rPr>
          <w:lang w:val="en-US" w:eastAsia="en-AU"/>
        </w:rPr>
        <w:t xml:space="preserve">, the </w:t>
      </w:r>
      <w:proofErr w:type="spellStart"/>
      <w:r w:rsidR="00A40D78">
        <w:rPr>
          <w:lang w:val="en-US" w:eastAsia="en-AU"/>
        </w:rPr>
        <w:t>labour</w:t>
      </w:r>
      <w:proofErr w:type="spellEnd"/>
      <w:r w:rsidR="00A40D78">
        <w:rPr>
          <w:lang w:val="en-US" w:eastAsia="en-AU"/>
        </w:rPr>
        <w:t xml:space="preserve"> force participation rate for a specific age group </w:t>
      </w:r>
      <w:r w:rsidR="00C93249">
        <w:rPr>
          <w:lang w:val="en-US" w:eastAsia="en-AU"/>
        </w:rPr>
        <w:t xml:space="preserve">denoted by </w:t>
      </w:r>
      <w:r w:rsidR="00C93249" w:rsidRPr="00E22EE9">
        <w:rPr>
          <w:i/>
          <w:lang w:val="en-US" w:eastAsia="en-AU"/>
        </w:rPr>
        <w:t>a</w:t>
      </w:r>
      <w:r w:rsidR="00C93249">
        <w:rPr>
          <w:lang w:val="en-US" w:eastAsia="en-AU"/>
        </w:rPr>
        <w:t xml:space="preserve"> </w:t>
      </w:r>
      <w:r w:rsidR="00A40D78">
        <w:rPr>
          <w:lang w:val="en-US" w:eastAsia="en-AU"/>
        </w:rPr>
        <w:t>is a function of</w:t>
      </w:r>
      <w:r w:rsidR="00F53AE1">
        <w:rPr>
          <w:lang w:val="en-US" w:eastAsia="en-AU"/>
        </w:rPr>
        <w:t xml:space="preserve"> unobserved</w:t>
      </w:r>
      <w:r w:rsidR="00A40D78">
        <w:rPr>
          <w:lang w:val="en-US" w:eastAsia="en-AU"/>
        </w:rPr>
        <w:t xml:space="preserve"> fixed age </w:t>
      </w:r>
      <w:r w:rsidR="00F53AE1">
        <w:rPr>
          <w:lang w:val="en-US" w:eastAsia="en-AU"/>
        </w:rPr>
        <w:t xml:space="preserve">and </w:t>
      </w:r>
      <w:r w:rsidR="00A40D78">
        <w:rPr>
          <w:lang w:val="en-US" w:eastAsia="en-AU"/>
        </w:rPr>
        <w:t xml:space="preserve">cohort effects and set of observed variables that are </w:t>
      </w:r>
      <w:r w:rsidR="006C132C">
        <w:rPr>
          <w:lang w:val="en-US" w:eastAsia="en-AU"/>
        </w:rPr>
        <w:t xml:space="preserve">assumed </w:t>
      </w:r>
      <w:r w:rsidR="00A40D78">
        <w:rPr>
          <w:lang w:val="en-US" w:eastAsia="en-AU"/>
        </w:rPr>
        <w:t>to affect participation rates</w:t>
      </w:r>
      <w:r w:rsidR="00C93249">
        <w:rPr>
          <w:lang w:val="en-US" w:eastAsia="en-AU"/>
        </w:rPr>
        <w:t>:</w:t>
      </w:r>
    </w:p>
    <w:p w14:paraId="1F8FA7DF" w14:textId="2FC27981" w:rsidR="00FA273B" w:rsidRPr="00D7235B" w:rsidRDefault="000F1892" w:rsidP="00FA273B">
      <w:pPr>
        <w:rPr>
          <w:rFonts w:eastAsiaTheme="minorEastAsia"/>
        </w:rPr>
      </w:pPr>
      <m:oMathPara>
        <m:oMath>
          <m:r>
            <w:rPr>
              <w:rFonts w:ascii="Cambria Math" w:hAnsi="Cambria Math"/>
            </w:rPr>
            <m:t>f(</m:t>
          </m:r>
          <m:sSubSup>
            <m:sSubSupPr>
              <m:ctrlPr>
                <w:rPr>
                  <w:rFonts w:ascii="Cambria Math" w:hAnsi="Cambria Math"/>
                  <w:i/>
                </w:rPr>
              </m:ctrlPr>
            </m:sSubSupPr>
            <m:e>
              <m:r>
                <w:rPr>
                  <w:rFonts w:ascii="Cambria Math" w:hAnsi="Cambria Math"/>
                </w:rPr>
                <m:t>P</m:t>
              </m:r>
            </m:e>
            <m:sub>
              <m:r>
                <w:rPr>
                  <w:rFonts w:ascii="Cambria Math" w:hAnsi="Cambria Math"/>
                </w:rPr>
                <m:t>t</m:t>
              </m:r>
            </m:sub>
            <m:sup>
              <m:r>
                <w:rPr>
                  <w:rFonts w:ascii="Cambria Math" w:hAnsi="Cambria Math"/>
                </w:rPr>
                <m:t>a</m:t>
              </m:r>
            </m:sup>
          </m:sSubSup>
          <m:r>
            <w:rPr>
              <w:rFonts w:ascii="Cambria Math" w:hAnsi="Cambria Math"/>
            </w:rPr>
            <m:t>)=f(</m:t>
          </m:r>
          <m:sSup>
            <m:sSupPr>
              <m:ctrlPr>
                <w:rPr>
                  <w:rFonts w:ascii="Cambria Math" w:hAnsi="Cambria Math"/>
                  <w:i/>
                </w:rPr>
              </m:ctrlPr>
            </m:sSupPr>
            <m:e>
              <m:r>
                <w:rPr>
                  <w:rFonts w:ascii="Cambria Math" w:hAnsi="Cambria Math"/>
                </w:rPr>
                <m:t>γ</m:t>
              </m:r>
            </m:e>
            <m:sup>
              <m:r>
                <w:rPr>
                  <w:rFonts w:ascii="Cambria Math" w:hAnsi="Cambria Math"/>
                </w:rPr>
                <m:t>a</m:t>
              </m:r>
            </m:sup>
          </m:sSup>
          <m:r>
            <w:rPr>
              <w:rFonts w:ascii="Cambria Math" w:hAnsi="Cambria Math"/>
            </w:rPr>
            <m:t>)+</m:t>
          </m:r>
          <m:nary>
            <m:naryPr>
              <m:chr m:val="∑"/>
              <m:limLoc m:val="undOvr"/>
              <m:ctrlPr>
                <w:rPr>
                  <w:rFonts w:ascii="Cambria Math" w:hAnsi="Cambria Math"/>
                  <w:i/>
                </w:rPr>
              </m:ctrlPr>
            </m:naryPr>
            <m:sub>
              <m:r>
                <w:rPr>
                  <w:rFonts w:ascii="Cambria Math" w:hAnsi="Cambria Math"/>
                </w:rPr>
                <m:t>b</m:t>
              </m:r>
            </m:sub>
            <m:sup/>
            <m:e>
              <m:r>
                <w:rPr>
                  <w:rFonts w:ascii="Cambria Math" w:hAnsi="Cambria Math"/>
                </w:rPr>
                <m:t>f</m:t>
              </m:r>
              <m:d>
                <m:dPr>
                  <m:ctrlPr>
                    <w:rPr>
                      <w:rFonts w:ascii="Cambria Math" w:hAnsi="Cambria Math"/>
                      <w:i/>
                    </w:rPr>
                  </m:ctrlPr>
                </m:dPr>
                <m:e>
                  <m:sSubSup>
                    <m:sSubSupPr>
                      <m:ctrlPr>
                        <w:rPr>
                          <w:rFonts w:ascii="Cambria Math" w:hAnsi="Cambria Math"/>
                          <w:i/>
                        </w:rPr>
                      </m:ctrlPr>
                    </m:sSubSupPr>
                    <m:e>
                      <m:r>
                        <w:rPr>
                          <w:rFonts w:ascii="Cambria Math" w:hAnsi="Cambria Math"/>
                        </w:rPr>
                        <m:t>β</m:t>
                      </m:r>
                    </m:e>
                    <m:sub>
                      <m:r>
                        <w:rPr>
                          <w:rFonts w:ascii="Cambria Math" w:hAnsi="Cambria Math"/>
                        </w:rPr>
                        <m:t>s</m:t>
                      </m:r>
                    </m:sub>
                    <m:sup>
                      <m:r>
                        <w:rPr>
                          <w:rFonts w:ascii="Cambria Math" w:hAnsi="Cambria Math"/>
                        </w:rPr>
                        <m:t>b</m:t>
                      </m:r>
                    </m:sup>
                  </m:sSubSup>
                </m:e>
              </m:d>
            </m:e>
          </m:nary>
          <m:r>
            <w:rPr>
              <w:rFonts w:ascii="Cambria Math" w:hAnsi="Cambria Math"/>
            </w:rPr>
            <m:t>I</m:t>
          </m:r>
          <m:d>
            <m:dPr>
              <m:ctrlPr>
                <w:rPr>
                  <w:rFonts w:ascii="Cambria Math" w:hAnsi="Cambria Math"/>
                  <w:i/>
                </w:rPr>
              </m:ctrlPr>
            </m:dPr>
            <m:e>
              <m:r>
                <w:rPr>
                  <w:rFonts w:ascii="Cambria Math" w:hAnsi="Cambria Math"/>
                </w:rPr>
                <m:t>t,a,b</m:t>
              </m:r>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a</m:t>
              </m:r>
            </m:sup>
          </m:sSup>
          <m:r>
            <w:rPr>
              <w:rFonts w:ascii="Cambria Math" w:eastAsiaTheme="minorEastAsia" w:hAnsi="Cambria Math"/>
            </w:rPr>
            <m:t>f(</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 xml:space="preserve">) + </m:t>
          </m:r>
          <m:sSubSup>
            <m:sSubSupPr>
              <m:ctrlPr>
                <w:rPr>
                  <w:rFonts w:ascii="Cambria Math" w:eastAsiaTheme="minorEastAsia" w:hAnsi="Cambria Math"/>
                  <w:i/>
                </w:rPr>
              </m:ctrlPr>
            </m:sSubSupPr>
            <m:e>
              <m:r>
                <w:rPr>
                  <w:rFonts w:ascii="Cambria Math" w:eastAsiaTheme="minorEastAsia" w:hAnsi="Cambria Math"/>
                </w:rPr>
                <m:t>ε</m:t>
              </m:r>
            </m:e>
            <m:sub>
              <m:r>
                <w:rPr>
                  <w:rFonts w:ascii="Cambria Math" w:eastAsiaTheme="minorEastAsia" w:hAnsi="Cambria Math"/>
                </w:rPr>
                <m:t>t</m:t>
              </m:r>
            </m:sub>
            <m:sup>
              <m:r>
                <w:rPr>
                  <w:rFonts w:ascii="Cambria Math" w:eastAsiaTheme="minorEastAsia" w:hAnsi="Cambria Math"/>
                </w:rPr>
                <m:t>a</m:t>
              </m:r>
            </m:sup>
          </m:sSubSup>
        </m:oMath>
      </m:oMathPara>
    </w:p>
    <w:p w14:paraId="0A1AA1F6" w14:textId="0AFBCCCF" w:rsidR="008C73ED" w:rsidRDefault="008C73ED" w:rsidP="008B77EE">
      <w:r>
        <w:t xml:space="preserve">where </w:t>
      </w:r>
      <m:oMath>
        <m:sSubSup>
          <m:sSubSupPr>
            <m:ctrlPr>
              <w:rPr>
                <w:rFonts w:ascii="Cambria Math" w:hAnsi="Cambria Math"/>
                <w:i/>
              </w:rPr>
            </m:ctrlPr>
          </m:sSubSupPr>
          <m:e>
            <m:r>
              <w:rPr>
                <w:rFonts w:ascii="Cambria Math" w:hAnsi="Cambria Math"/>
              </w:rPr>
              <m:t>P</m:t>
            </m:r>
          </m:e>
          <m:sub>
            <m:r>
              <w:rPr>
                <w:rFonts w:ascii="Cambria Math" w:hAnsi="Cambria Math"/>
              </w:rPr>
              <m:t>t</m:t>
            </m:r>
          </m:sub>
          <m:sup>
            <m:r>
              <w:rPr>
                <w:rFonts w:ascii="Cambria Math" w:hAnsi="Cambria Math"/>
              </w:rPr>
              <m:t>a</m:t>
            </m:r>
          </m:sup>
        </m:sSubSup>
      </m:oMath>
      <w:r>
        <w:t xml:space="preserve"> is the participation rate for age group </w:t>
      </w:r>
      <m:oMath>
        <m:r>
          <w:rPr>
            <w:rFonts w:ascii="Cambria Math" w:hAnsi="Cambria Math"/>
          </w:rPr>
          <m:t>a</m:t>
        </m:r>
      </m:oMath>
      <w:r>
        <w:t xml:space="preserve"> at time </w:t>
      </w:r>
      <m:oMath>
        <m:r>
          <w:rPr>
            <w:rFonts w:ascii="Cambria Math" w:hAnsi="Cambria Math"/>
          </w:rPr>
          <m:t>t</m:t>
        </m:r>
      </m:oMath>
      <w:r>
        <w:t xml:space="preserve">, </w:t>
      </w:r>
      <m:oMath>
        <m:sSup>
          <m:sSupPr>
            <m:ctrlPr>
              <w:rPr>
                <w:rFonts w:ascii="Cambria Math" w:hAnsi="Cambria Math"/>
                <w:i/>
              </w:rPr>
            </m:ctrlPr>
          </m:sSupPr>
          <m:e>
            <m:r>
              <w:rPr>
                <w:rFonts w:ascii="Cambria Math" w:hAnsi="Cambria Math"/>
              </w:rPr>
              <m:t>γ</m:t>
            </m:r>
          </m:e>
          <m:sup>
            <m:r>
              <w:rPr>
                <w:rFonts w:ascii="Cambria Math" w:hAnsi="Cambria Math"/>
              </w:rPr>
              <m:t>a</m:t>
            </m:r>
          </m:sup>
        </m:sSup>
      </m:oMath>
      <w:r>
        <w:rPr>
          <w:rFonts w:eastAsiaTheme="minorEastAsia"/>
        </w:rPr>
        <w:t xml:space="preserve"> </w:t>
      </w:r>
      <w:r>
        <w:t xml:space="preserve">is the age effect, </w:t>
      </w:r>
      <m:oMath>
        <m:r>
          <w:rPr>
            <w:rFonts w:ascii="Cambria Math" w:hAnsi="Cambria Math"/>
          </w:rPr>
          <m:t>I(t,a,b)</m:t>
        </m:r>
      </m:oMath>
      <w:r>
        <w:rPr>
          <w:rFonts w:eastAsiaTheme="minorEastAsia"/>
        </w:rPr>
        <w:t xml:space="preserve"> </w:t>
      </w:r>
      <w:r>
        <w:t>indicates the</w:t>
      </w:r>
      <w:r w:rsidR="000E27C1">
        <w:t xml:space="preserve"> </w:t>
      </w:r>
      <w:r w:rsidR="00E87AC0">
        <w:t xml:space="preserve">proportion of the </w:t>
      </w:r>
      <w:r>
        <w:t xml:space="preserve">cohort </w:t>
      </w:r>
      <w:r w:rsidR="00E87AC0">
        <w:t xml:space="preserve">that </w:t>
      </w:r>
      <w:r w:rsidR="00301DC3">
        <w:t>was</w:t>
      </w:r>
      <w:r w:rsidR="00AE2CD2">
        <w:t xml:space="preserve"> </w:t>
      </w:r>
      <w:r>
        <w:t xml:space="preserve">born in year </w:t>
      </w:r>
      <m:oMath>
        <m:r>
          <w:rPr>
            <w:rFonts w:ascii="Cambria Math" w:hAnsi="Cambria Math"/>
          </w:rPr>
          <m:t>b</m:t>
        </m:r>
      </m:oMath>
      <w:r>
        <w:t xml:space="preserve"> </w:t>
      </w:r>
      <w:r w:rsidR="000E27C1">
        <w:t xml:space="preserve">and is in </w:t>
      </w:r>
      <w:r>
        <w:t xml:space="preserve">age group </w:t>
      </w:r>
      <m:oMath>
        <m:r>
          <w:rPr>
            <w:rFonts w:ascii="Cambria Math" w:hAnsi="Cambria Math"/>
          </w:rPr>
          <m:t>a</m:t>
        </m:r>
      </m:oMath>
      <w:r>
        <w:t xml:space="preserve"> at time </w:t>
      </w:r>
      <m:oMath>
        <m:r>
          <w:rPr>
            <w:rFonts w:ascii="Cambria Math" w:hAnsi="Cambria Math"/>
          </w:rPr>
          <m:t>t</m:t>
        </m:r>
      </m:oMath>
      <w:r>
        <w:rPr>
          <w:rFonts w:eastAsiaTheme="minorEastAsia"/>
        </w:rPr>
        <w:t xml:space="preserve">, </w:t>
      </w:r>
      <m:oMath>
        <m:sSubSup>
          <m:sSubSupPr>
            <m:ctrlPr>
              <w:rPr>
                <w:rFonts w:ascii="Cambria Math" w:hAnsi="Cambria Math"/>
                <w:i/>
              </w:rPr>
            </m:ctrlPr>
          </m:sSubSupPr>
          <m:e>
            <m:r>
              <w:rPr>
                <w:rFonts w:ascii="Cambria Math" w:hAnsi="Cambria Math"/>
              </w:rPr>
              <m:t>β</m:t>
            </m:r>
          </m:e>
          <m:sub>
            <m:r>
              <w:rPr>
                <w:rFonts w:ascii="Cambria Math" w:hAnsi="Cambria Math"/>
              </w:rPr>
              <m:t>s</m:t>
            </m:r>
          </m:sub>
          <m:sup>
            <m:r>
              <w:rPr>
                <w:rFonts w:ascii="Cambria Math" w:hAnsi="Cambria Math"/>
              </w:rPr>
              <m:t>b</m:t>
            </m:r>
          </m:sup>
        </m:sSubSup>
      </m:oMath>
      <w:r>
        <w:rPr>
          <w:rFonts w:eastAsiaTheme="minorEastAsia"/>
        </w:rPr>
        <w:t xml:space="preserve"> is the cohort effect</w:t>
      </w:r>
      <w:r>
        <w:t xml:space="preserve"> </w:t>
      </w:r>
      <w:r w:rsidR="00AC364E">
        <w:t xml:space="preserve">in stage of life </w:t>
      </w:r>
      <m:oMath>
        <m:r>
          <w:rPr>
            <w:rFonts w:ascii="Cambria Math" w:hAnsi="Cambria Math"/>
          </w:rPr>
          <m:t>s</m:t>
        </m:r>
      </m:oMath>
      <w:r w:rsidR="00AC364E">
        <w:t xml:space="preserve"> </w:t>
      </w:r>
      <w:r>
        <w:t xml:space="preserve">and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t xml:space="preserve"> is </w:t>
      </w:r>
      <w:r w:rsidR="00AA10EA">
        <w:t xml:space="preserve">a </w:t>
      </w:r>
      <w:r>
        <w:t xml:space="preserve">vector of other covariates with coefficient vector </w:t>
      </w:r>
      <w:r w:rsidRPr="00E22EE9">
        <w:rPr>
          <w:rFonts w:ascii="Symbol" w:hAnsi="Symbol"/>
        </w:rPr>
        <w:t></w:t>
      </w:r>
      <w:r w:rsidRPr="00E22EE9">
        <w:rPr>
          <w:vertAlign w:val="superscript"/>
        </w:rPr>
        <w:t>a</w:t>
      </w:r>
      <w:r>
        <w:t>.</w:t>
      </w:r>
      <w:r w:rsidR="005E7A0F">
        <w:t xml:space="preserve"> </w:t>
      </w:r>
      <w:r w:rsidR="00E87AC0">
        <w:t>W</w:t>
      </w:r>
      <w:r w:rsidR="00E87AC0" w:rsidRPr="00E9732C">
        <w:t xml:space="preserve">e </w:t>
      </w:r>
      <w:r w:rsidR="005E7A0F" w:rsidRPr="00E9732C">
        <w:t>adopt two different functional forms</w:t>
      </w:r>
      <w:r w:rsidR="00670AE7">
        <w:t xml:space="preserve"> (</w:t>
      </w:r>
      <w:r w:rsidR="00670AE7" w:rsidRPr="00E9732C">
        <w:t>levels and logarithms</w:t>
      </w:r>
      <w:r w:rsidR="00670AE7">
        <w:t xml:space="preserve">) </w:t>
      </w:r>
      <w:r w:rsidR="00287C68" w:rsidRPr="00E9732C">
        <w:t>denoted by f</w:t>
      </w:r>
      <w:r w:rsidR="00670AE7" w:rsidRPr="00E9732C">
        <w:t>(</w:t>
      </w:r>
      <w:r w:rsidR="00670AE7">
        <w:t xml:space="preserve"> </w:t>
      </w:r>
      <w:r w:rsidR="00670AE7" w:rsidRPr="00E9732C">
        <w:t>)</w:t>
      </w:r>
      <w:r w:rsidR="00670AE7">
        <w:t>.</w:t>
      </w:r>
    </w:p>
    <w:p w14:paraId="5571615E" w14:textId="535B18F7" w:rsidR="005E7A0F" w:rsidRDefault="005E7A0F" w:rsidP="008B77EE">
      <w:r>
        <w:t xml:space="preserve">Consistent with the CBO, we have also separated the </w:t>
      </w:r>
      <w:proofErr w:type="gramStart"/>
      <w:r>
        <w:t>life-cycle</w:t>
      </w:r>
      <w:proofErr w:type="gramEnd"/>
      <w:r>
        <w:t xml:space="preserve"> into a number of stages</w:t>
      </w:r>
      <w:r w:rsidR="000C53B2">
        <w:t xml:space="preserve"> of life</w:t>
      </w:r>
      <w:r w:rsidR="00ED1CA6">
        <w:t xml:space="preserve">. </w:t>
      </w:r>
      <w:r w:rsidR="00E63A81">
        <w:t>The</w:t>
      </w:r>
      <w:r w:rsidR="00ED1CA6">
        <w:t xml:space="preserve"> </w:t>
      </w:r>
      <w:r w:rsidR="00E63A81">
        <w:t xml:space="preserve">below </w:t>
      </w:r>
      <w:r w:rsidR="00ED1CA6">
        <w:t xml:space="preserve">discussion </w:t>
      </w:r>
      <w:r w:rsidR="00E63A81">
        <w:t>of</w:t>
      </w:r>
      <w:r w:rsidR="00ED1CA6">
        <w:t xml:space="preserve"> the intuition </w:t>
      </w:r>
      <w:r w:rsidR="00E63A81">
        <w:t xml:space="preserve">behind </w:t>
      </w:r>
      <w:r w:rsidR="00ED1CA6">
        <w:t>and interpretation of</w:t>
      </w:r>
      <w:r w:rsidR="00E63A81">
        <w:t xml:space="preserve"> the different effects </w:t>
      </w:r>
      <w:r w:rsidR="000C53B2">
        <w:t xml:space="preserve">has been written in the context of a complete life </w:t>
      </w:r>
      <w:proofErr w:type="gramStart"/>
      <w:r w:rsidR="000C53B2">
        <w:t>cycle, but</w:t>
      </w:r>
      <w:proofErr w:type="gramEnd"/>
      <w:r w:rsidR="000C53B2">
        <w:t xml:space="preserve"> applies equally to</w:t>
      </w:r>
      <w:r w:rsidR="00E63A81">
        <w:t xml:space="preserve"> a stage of life.</w:t>
      </w:r>
    </w:p>
    <w:p w14:paraId="56FB0D06" w14:textId="10259917" w:rsidR="00584ACE" w:rsidRPr="00494029" w:rsidRDefault="00584ACE" w:rsidP="008B77EE">
      <w:r w:rsidRPr="00584ACE">
        <w:t xml:space="preserve">The cohort effects </w:t>
      </w:r>
      <m:oMath>
        <m:sSubSup>
          <m:sSubSupPr>
            <m:ctrlPr>
              <w:rPr>
                <w:rFonts w:ascii="Cambria Math" w:hAnsi="Cambria Math"/>
                <w:i/>
              </w:rPr>
            </m:ctrlPr>
          </m:sSubSupPr>
          <m:e>
            <m:r>
              <w:rPr>
                <w:rFonts w:ascii="Cambria Math" w:hAnsi="Cambria Math"/>
              </w:rPr>
              <m:t>β</m:t>
            </m:r>
          </m:e>
          <m:sub>
            <m:r>
              <w:rPr>
                <w:rFonts w:ascii="Cambria Math" w:hAnsi="Cambria Math"/>
              </w:rPr>
              <m:t>s</m:t>
            </m:r>
          </m:sub>
          <m:sup>
            <m:r>
              <w:rPr>
                <w:rFonts w:ascii="Cambria Math" w:hAnsi="Cambria Math"/>
              </w:rPr>
              <m:t>b</m:t>
            </m:r>
          </m:sup>
        </m:sSubSup>
        <m:r>
          <w:rPr>
            <w:rFonts w:ascii="Cambria Math" w:hAnsi="Cambria Math"/>
          </w:rPr>
          <m:t xml:space="preserve"> </m:t>
        </m:r>
      </m:oMath>
      <w:r w:rsidR="00434FF3">
        <w:rPr>
          <w:rFonts w:eastAsiaTheme="minorEastAsia"/>
        </w:rPr>
        <w:t>are</w:t>
      </w:r>
      <w:r w:rsidRPr="00494029">
        <w:rPr>
          <w:rFonts w:eastAsiaTheme="minorEastAsia"/>
        </w:rPr>
        <w:t xml:space="preserve"> identified by the restriction that they are equal across </w:t>
      </w:r>
      <w:r w:rsidR="00434FF3">
        <w:rPr>
          <w:rFonts w:eastAsiaTheme="minorEastAsia"/>
        </w:rPr>
        <w:t xml:space="preserve">the birth cohort’s </w:t>
      </w:r>
      <w:r w:rsidR="00C2429D">
        <w:rPr>
          <w:rFonts w:eastAsiaTheme="minorEastAsia"/>
        </w:rPr>
        <w:t xml:space="preserve">stage of life </w:t>
      </w:r>
      <w:r w:rsidR="00E63A81">
        <w:rPr>
          <w:rFonts w:eastAsiaTheme="minorEastAsia"/>
        </w:rPr>
        <w:t>(</w:t>
      </w:r>
      <w:r w:rsidR="00321D08">
        <w:rPr>
          <w:rFonts w:eastAsiaTheme="minorEastAsia"/>
        </w:rPr>
        <w:t>that is,</w:t>
      </w:r>
      <w:r w:rsidR="00E63A81">
        <w:rPr>
          <w:rFonts w:eastAsiaTheme="minorEastAsia"/>
        </w:rPr>
        <w:t xml:space="preserve"> it is the same in each equation that a given cohort is observed in</w:t>
      </w:r>
      <w:r w:rsidR="00670AE7">
        <w:rPr>
          <w:rFonts w:eastAsiaTheme="minorEastAsia"/>
        </w:rPr>
        <w:t xml:space="preserve"> for a specific age range</w:t>
      </w:r>
      <w:r w:rsidR="00E63A81">
        <w:rPr>
          <w:rFonts w:eastAsiaTheme="minorEastAsia"/>
        </w:rPr>
        <w:t>)</w:t>
      </w:r>
      <w:r w:rsidRPr="00494029">
        <w:rPr>
          <w:rFonts w:eastAsiaTheme="minorEastAsia"/>
        </w:rPr>
        <w:t>. There are no other cross-equation restrictions</w:t>
      </w:r>
      <w:r w:rsidR="0083230C">
        <w:rPr>
          <w:rFonts w:eastAsiaTheme="minorEastAsia"/>
        </w:rPr>
        <w:t>.</w:t>
      </w:r>
      <w:r w:rsidR="00213AF9">
        <w:t xml:space="preserve"> </w:t>
      </w:r>
      <w:r w:rsidR="00C93249">
        <w:t>Without loss of generality t</w:t>
      </w:r>
      <w:r w:rsidRPr="00494029">
        <w:t xml:space="preserve">he cohort effect is normalised </w:t>
      </w:r>
      <w:r w:rsidR="00E63A81">
        <w:t xml:space="preserve">(with the normalisation dependent on the specific functional form) </w:t>
      </w:r>
      <w:r w:rsidRPr="00494029">
        <w:t xml:space="preserve">for </w:t>
      </w:r>
      <w:r w:rsidR="00C93249">
        <w:t>a</w:t>
      </w:r>
      <w:r w:rsidR="00C93249" w:rsidRPr="00494029">
        <w:t xml:space="preserve"> </w:t>
      </w:r>
      <w:r w:rsidR="00E63A81">
        <w:t xml:space="preserve">given </w:t>
      </w:r>
      <w:r w:rsidRPr="00494029">
        <w:t>cohort</w:t>
      </w:r>
      <w:r w:rsidR="002235A4">
        <w:t xml:space="preserve"> (the ‘reference cohort’)</w:t>
      </w:r>
      <w:r w:rsidRPr="00494029">
        <w:t xml:space="preserve">. This normalisation means that we can interpret the age effects as representing the average life-time participation rate </w:t>
      </w:r>
      <w:r w:rsidR="00C93249">
        <w:t xml:space="preserve">profile </w:t>
      </w:r>
      <w:r w:rsidRPr="00494029">
        <w:t xml:space="preserve">for that cohort (assuming that all other covariates for that cohort would have been equal to their sample means). It then follows that the cohort effects </w:t>
      </w:r>
      <w:r w:rsidR="00C2429D">
        <w:t>determin</w:t>
      </w:r>
      <w:r w:rsidR="00670AE7">
        <w:t>e</w:t>
      </w:r>
      <w:r w:rsidR="00C2429D">
        <w:t xml:space="preserve"> </w:t>
      </w:r>
      <w:r w:rsidRPr="00494029">
        <w:t>the propensity to participat</w:t>
      </w:r>
      <w:r w:rsidR="00C2429D">
        <w:t>e</w:t>
      </w:r>
      <w:r w:rsidRPr="00494029">
        <w:t xml:space="preserve"> </w:t>
      </w:r>
      <w:r w:rsidR="00EC6231">
        <w:t xml:space="preserve">throughout a stage of life </w:t>
      </w:r>
      <w:r w:rsidR="00670AE7">
        <w:t>for</w:t>
      </w:r>
      <w:r w:rsidR="00670AE7" w:rsidRPr="00494029">
        <w:t xml:space="preserve"> </w:t>
      </w:r>
      <w:r w:rsidRPr="00494029">
        <w:t xml:space="preserve">each cohort relative to the </w:t>
      </w:r>
      <w:r w:rsidR="00C93249">
        <w:t>reference</w:t>
      </w:r>
      <w:r w:rsidRPr="00494029">
        <w:t xml:space="preserve"> cohort.</w:t>
      </w:r>
    </w:p>
    <w:p w14:paraId="782F8A8C" w14:textId="49E8D5A2" w:rsidR="00584ACE" w:rsidRPr="00494029" w:rsidRDefault="00584ACE" w:rsidP="008B77EE">
      <w:r w:rsidRPr="00494029">
        <w:t>We construct five-year wide birth cohorts because the participation rate data are only available by five-year age groups.  This means that the proportion of a cohort that is in an age group varies from 0.05 in the first (and last) quarter that the cohort overlaps with that age group to 1 when they fully overlap.</w:t>
      </w:r>
    </w:p>
    <w:p w14:paraId="13BBD077" w14:textId="1C9E60ED" w:rsidR="00584ACE" w:rsidRDefault="00584ACE" w:rsidP="008B77EE">
      <w:r w:rsidRPr="00494029">
        <w:t xml:space="preserve">We also de-mean each of the covariates over </w:t>
      </w:r>
      <w:r w:rsidR="00B31BEA" w:rsidRPr="00584ACE">
        <w:t>the estimation</w:t>
      </w:r>
      <w:r w:rsidRPr="00494029">
        <w:t xml:space="preserve"> period. This is necessary </w:t>
      </w:r>
      <w:proofErr w:type="gramStart"/>
      <w:r w:rsidRPr="00494029">
        <w:t>in order to</w:t>
      </w:r>
      <w:proofErr w:type="gramEnd"/>
      <w:r w:rsidRPr="00494029">
        <w:t xml:space="preserve"> maintain the interpretation of the age effects.</w:t>
      </w:r>
    </w:p>
    <w:p w14:paraId="654F1DD5" w14:textId="59BD8212" w:rsidR="00F41F33" w:rsidRDefault="00BC6363" w:rsidP="008B77EE">
      <w:r>
        <w:t xml:space="preserve">Below we discuss the intuition behind each set of variables. We also visualise the effects associated with each </w:t>
      </w:r>
      <w:r w:rsidR="00B40481">
        <w:t>of them by</w:t>
      </w:r>
      <w:r>
        <w:t xml:space="preserve"> </w:t>
      </w:r>
      <w:r w:rsidR="00B40481">
        <w:t xml:space="preserve">illustrating </w:t>
      </w:r>
      <w:r>
        <w:t xml:space="preserve">how they can be </w:t>
      </w:r>
      <w:r w:rsidR="00B40481">
        <w:t xml:space="preserve">mapped into the </w:t>
      </w:r>
      <w:proofErr w:type="gramStart"/>
      <w:r w:rsidR="00B40481">
        <w:t>life-cycle</w:t>
      </w:r>
      <w:proofErr w:type="gramEnd"/>
      <w:r w:rsidR="00B40481">
        <w:t xml:space="preserve"> </w:t>
      </w:r>
      <w:r w:rsidR="0017044C">
        <w:t xml:space="preserve">(or stage of life) </w:t>
      </w:r>
      <w:r w:rsidR="00B40481">
        <w:t xml:space="preserve">participation rate </w:t>
      </w:r>
      <w:r>
        <w:t xml:space="preserve">profile for a </w:t>
      </w:r>
      <w:r w:rsidR="00B40481">
        <w:t>given</w:t>
      </w:r>
      <w:r>
        <w:t xml:space="preserve"> cohort.</w:t>
      </w:r>
      <w:r w:rsidR="00F41F33" w:rsidDel="00F41F33">
        <w:t xml:space="preserve"> </w:t>
      </w:r>
    </w:p>
    <w:p w14:paraId="161EBC07" w14:textId="1BB14722" w:rsidR="00AF6E4F" w:rsidRDefault="00BC6363" w:rsidP="008B77EE">
      <w:pPr>
        <w:pStyle w:val="Bullet"/>
        <w:keepNext w:val="0"/>
      </w:pPr>
      <w:r w:rsidRPr="004D3313">
        <w:t xml:space="preserve">The </w:t>
      </w:r>
      <w:r w:rsidRPr="004D3313">
        <w:rPr>
          <w:b/>
          <w:bCs/>
        </w:rPr>
        <w:t>age</w:t>
      </w:r>
      <w:r w:rsidR="007B279A" w:rsidRPr="004D3313">
        <w:rPr>
          <w:b/>
          <w:bCs/>
        </w:rPr>
        <w:t>-specific effects</w:t>
      </w:r>
      <w:r w:rsidR="007B279A" w:rsidRPr="004D3313">
        <w:t xml:space="preserve"> </w:t>
      </w:r>
      <m:oMath>
        <m:r>
          <m:rPr>
            <m:sty m:val="p"/>
          </m:rPr>
          <w:rPr>
            <w:rFonts w:ascii="Cambria Math" w:hAnsi="Cambria Math"/>
          </w:rPr>
          <m:t>(</m:t>
        </m:r>
        <m:sSup>
          <m:sSupPr>
            <m:ctrlPr>
              <w:rPr>
                <w:rFonts w:ascii="Cambria Math" w:hAnsi="Cambria Math"/>
              </w:rPr>
            </m:ctrlPr>
          </m:sSupPr>
          <m:e>
            <m:r>
              <w:rPr>
                <w:rFonts w:ascii="Cambria Math" w:hAnsi="Cambria Math"/>
              </w:rPr>
              <m:t>γ</m:t>
            </m:r>
          </m:e>
          <m:sup>
            <m:r>
              <w:rPr>
                <w:rFonts w:ascii="Cambria Math" w:hAnsi="Cambria Math"/>
              </w:rPr>
              <m:t>a</m:t>
            </m:r>
          </m:sup>
        </m:sSup>
        <m:r>
          <m:rPr>
            <m:sty m:val="p"/>
          </m:rPr>
          <w:rPr>
            <w:rFonts w:ascii="Cambria Math" w:hAnsi="Cambria Math"/>
          </w:rPr>
          <m:t xml:space="preserve">) </m:t>
        </m:r>
      </m:oMath>
      <w:r w:rsidR="007B279A" w:rsidRPr="004D3313">
        <w:t>capture</w:t>
      </w:r>
      <w:r w:rsidRPr="004D3313">
        <w:t xml:space="preserve"> the systematic way in which participation varies with age</w:t>
      </w:r>
      <w:r w:rsidR="007B279A" w:rsidRPr="004D3313">
        <w:t xml:space="preserve">. This is different to explicitly </w:t>
      </w:r>
      <w:r w:rsidR="00AF6E4F" w:rsidRPr="004D3313">
        <w:t>modelling</w:t>
      </w:r>
      <w:r w:rsidR="007B279A" w:rsidRPr="004D3313">
        <w:t xml:space="preserve"> </w:t>
      </w:r>
      <w:r w:rsidR="00AF6E4F" w:rsidRPr="004D3313">
        <w:t xml:space="preserve">participation </w:t>
      </w:r>
      <w:r w:rsidR="007B279A" w:rsidRPr="004D3313">
        <w:t>decision</w:t>
      </w:r>
      <w:r w:rsidR="00A6773C" w:rsidRPr="004D3313">
        <w:t>s</w:t>
      </w:r>
      <w:r w:rsidR="007B279A" w:rsidRPr="004D3313">
        <w:t xml:space="preserve"> at different</w:t>
      </w:r>
      <w:r w:rsidR="00F53AE1" w:rsidRPr="004D3313">
        <w:t xml:space="preserve"> ages</w:t>
      </w:r>
      <w:r w:rsidR="007B279A" w:rsidRPr="004D3313">
        <w:t>. Instead, the</w:t>
      </w:r>
      <w:r w:rsidR="0033578C">
        <w:br/>
      </w:r>
      <w:r w:rsidR="007B279A" w:rsidRPr="004D3313">
        <w:t xml:space="preserve">age-specific effects capture </w:t>
      </w:r>
      <w:r w:rsidR="00AF6E4F" w:rsidRPr="004D3313">
        <w:t xml:space="preserve">the underlying </w:t>
      </w:r>
      <w:r w:rsidR="007B279A" w:rsidRPr="004D3313">
        <w:t xml:space="preserve">structural </w:t>
      </w:r>
      <w:r w:rsidR="00AF6E4F" w:rsidRPr="004D3313">
        <w:t xml:space="preserve">factors that cause systematic variations </w:t>
      </w:r>
      <w:r w:rsidR="00F53AE1" w:rsidRPr="004D3313">
        <w:t xml:space="preserve">in </w:t>
      </w:r>
      <w:r w:rsidR="00AF6E4F" w:rsidRPr="004D3313">
        <w:t xml:space="preserve">labour supply decisions throughout </w:t>
      </w:r>
      <w:r w:rsidR="00317C71" w:rsidRPr="004D3313">
        <w:t>an individual’s life</w:t>
      </w:r>
      <w:r w:rsidR="00AF6E4F" w:rsidRPr="004D3313">
        <w:t xml:space="preserve">. The age-specific effects are assumed to be common across all birth cohorts. This means they describe an underlying age profile that would be shared by all </w:t>
      </w:r>
      <w:r w:rsidR="00317C71" w:rsidRPr="004D3313">
        <w:t>generations</w:t>
      </w:r>
      <w:r w:rsidR="00AF6E4F" w:rsidRPr="004D3313">
        <w:t xml:space="preserve"> if there were no differences in other determinants of participation.</w:t>
      </w:r>
      <w:r w:rsidR="0083230C" w:rsidRPr="004D3313">
        <w:t xml:space="preserve"> The underlying age profile is given by the set of age-specific effects. This is shown by the bottom</w:t>
      </w:r>
      <w:r w:rsidR="00D2258C">
        <w:t xml:space="preserve"> light</w:t>
      </w:r>
      <w:r w:rsidR="0083230C" w:rsidRPr="004D3313">
        <w:t xml:space="preserve"> </w:t>
      </w:r>
      <w:r w:rsidR="00D2258C">
        <w:t>blue</w:t>
      </w:r>
      <w:r w:rsidR="007F5210" w:rsidRPr="004D3313">
        <w:t xml:space="preserve"> </w:t>
      </w:r>
      <w:r w:rsidR="0083230C" w:rsidRPr="004D3313">
        <w:t>line in Figure 3.</w:t>
      </w:r>
    </w:p>
    <w:p w14:paraId="0EB9E933" w14:textId="4026DC1E" w:rsidR="0033578C" w:rsidRDefault="00BC6363" w:rsidP="00444637">
      <w:pPr>
        <w:pStyle w:val="Bullet"/>
      </w:pPr>
      <w:r w:rsidRPr="004D3313">
        <w:lastRenderedPageBreak/>
        <w:t xml:space="preserve">The </w:t>
      </w:r>
      <w:r w:rsidR="008A0604" w:rsidRPr="004D3313">
        <w:rPr>
          <w:b/>
          <w:bCs/>
        </w:rPr>
        <w:t>cohort-specific effects</w:t>
      </w:r>
      <w:r w:rsidR="008A0604" w:rsidRPr="004D3313">
        <w:t xml:space="preserve"> </w:t>
      </w:r>
      <m:oMath>
        <m:r>
          <m:rPr>
            <m:sty m:val="p"/>
          </m:rPr>
          <w:rPr>
            <w:rFonts w:ascii="Cambria Math" w:hAnsi="Cambria Math"/>
          </w:rPr>
          <m:t>(</m:t>
        </m:r>
        <m:sSubSup>
          <m:sSubSupPr>
            <m:ctrlPr>
              <w:rPr>
                <w:rFonts w:ascii="Cambria Math" w:hAnsi="Cambria Math"/>
              </w:rPr>
            </m:ctrlPr>
          </m:sSubSupPr>
          <m:e>
            <m:r>
              <w:rPr>
                <w:rFonts w:ascii="Cambria Math" w:hAnsi="Cambria Math"/>
              </w:rPr>
              <m:t>β</m:t>
            </m:r>
          </m:e>
          <m:sub>
            <m:r>
              <w:rPr>
                <w:rFonts w:ascii="Cambria Math" w:hAnsi="Cambria Math"/>
              </w:rPr>
              <m:t>s</m:t>
            </m:r>
          </m:sub>
          <m:sup>
            <m:r>
              <w:rPr>
                <w:rFonts w:ascii="Cambria Math" w:hAnsi="Cambria Math"/>
              </w:rPr>
              <m:t>b</m:t>
            </m:r>
          </m:sup>
        </m:sSubSup>
        <m:r>
          <m:rPr>
            <m:sty m:val="p"/>
          </m:rPr>
          <w:rPr>
            <w:rFonts w:ascii="Cambria Math" w:hAnsi="Cambria Math"/>
          </w:rPr>
          <m:t xml:space="preserve">) </m:t>
        </m:r>
      </m:oMath>
      <w:r w:rsidR="00A2087D" w:rsidRPr="004D3313">
        <w:t xml:space="preserve">capture </w:t>
      </w:r>
      <w:r w:rsidR="008A0604" w:rsidRPr="004D3313">
        <w:t xml:space="preserve">differences in the </w:t>
      </w:r>
      <w:r w:rsidR="00A2087D" w:rsidRPr="004D3313">
        <w:t>propensity to participate</w:t>
      </w:r>
      <w:r w:rsidR="008A0604" w:rsidRPr="004D3313">
        <w:t xml:space="preserve"> across </w:t>
      </w:r>
      <w:r w:rsidR="00317C71" w:rsidRPr="004D3313">
        <w:t>generations</w:t>
      </w:r>
      <w:r w:rsidR="008A0604" w:rsidRPr="004D3313">
        <w:t xml:space="preserve">. As with the age-specific effects, </w:t>
      </w:r>
      <w:r w:rsidR="00317C71" w:rsidRPr="004D3313">
        <w:t>we do not model the drivers of these differences</w:t>
      </w:r>
      <w:r w:rsidR="008A0604" w:rsidRPr="004D3313">
        <w:t xml:space="preserve">.  Instead the </w:t>
      </w:r>
      <w:r w:rsidRPr="004D3313">
        <w:t>cohort effect</w:t>
      </w:r>
      <w:r w:rsidR="008A0604" w:rsidRPr="004D3313">
        <w:t>s</w:t>
      </w:r>
      <w:r w:rsidRPr="004D3313">
        <w:t xml:space="preserve"> capture</w:t>
      </w:r>
      <w:r w:rsidR="008A0604" w:rsidRPr="004D3313">
        <w:t xml:space="preserve"> the effect</w:t>
      </w:r>
      <w:r w:rsidRPr="004D3313">
        <w:t xml:space="preserve"> </w:t>
      </w:r>
      <w:r w:rsidR="008A0604" w:rsidRPr="004D3313">
        <w:t>of</w:t>
      </w:r>
      <w:r w:rsidRPr="004D3313">
        <w:t xml:space="preserve"> unobserved social, cultural, </w:t>
      </w:r>
      <w:proofErr w:type="gramStart"/>
      <w:r w:rsidRPr="004D3313">
        <w:t>economic</w:t>
      </w:r>
      <w:proofErr w:type="gramEnd"/>
      <w:r w:rsidRPr="004D3313">
        <w:t xml:space="preserve"> and demographic factors that are specific to each cohort. </w:t>
      </w:r>
      <w:r w:rsidR="00787F8E" w:rsidRPr="004D3313">
        <w:t xml:space="preserve">For instance, </w:t>
      </w:r>
      <w:r w:rsidR="008A0604" w:rsidRPr="004D3313">
        <w:t xml:space="preserve">the cohort effects </w:t>
      </w:r>
      <w:r w:rsidR="00787F8E" w:rsidRPr="004D3313">
        <w:t xml:space="preserve">would account for the cultural and economic shifts that have led </w:t>
      </w:r>
      <w:r w:rsidR="00B00DAA" w:rsidRPr="004D3313">
        <w:t>female</w:t>
      </w:r>
      <w:r w:rsidR="00787F8E" w:rsidRPr="004D3313">
        <w:t xml:space="preserve"> participation to increase over time. </w:t>
      </w:r>
      <w:r w:rsidR="0083230C" w:rsidRPr="004D3313">
        <w:t>The cohort effect for this specific cohort then shifts the underlying age profile up (representing that this cohort is assumed to have higher participation th</w:t>
      </w:r>
      <w:r w:rsidR="0000380E" w:rsidRPr="004D3313">
        <w:t>a</w:t>
      </w:r>
      <w:r w:rsidR="0083230C" w:rsidRPr="004D3313">
        <w:t xml:space="preserve">n the reference cohort). This is illustrated by the shift to the </w:t>
      </w:r>
      <w:r w:rsidR="007F5210" w:rsidRPr="004D3313">
        <w:t xml:space="preserve">dark blue </w:t>
      </w:r>
      <w:r w:rsidR="0083230C" w:rsidRPr="004D3313">
        <w:t>line in Figure 3.</w:t>
      </w:r>
      <w:r w:rsidR="002235A4" w:rsidRPr="004D3313">
        <w:t xml:space="preserve"> </w:t>
      </w:r>
    </w:p>
    <w:p w14:paraId="3787E82C" w14:textId="04D91FAB" w:rsidR="00BC6363" w:rsidRPr="004D3313" w:rsidRDefault="00BC6363" w:rsidP="004D3313">
      <w:pPr>
        <w:pStyle w:val="Bullet"/>
      </w:pPr>
      <w:r w:rsidRPr="004D3313">
        <w:t xml:space="preserve">The </w:t>
      </w:r>
      <w:r w:rsidR="000A6E28" w:rsidRPr="004D3313">
        <w:rPr>
          <w:b/>
          <w:bCs/>
        </w:rPr>
        <w:t xml:space="preserve">observed </w:t>
      </w:r>
      <w:r w:rsidRPr="004D3313">
        <w:rPr>
          <w:b/>
          <w:bCs/>
        </w:rPr>
        <w:t>variables</w:t>
      </w:r>
      <w:r w:rsidRPr="004D3313">
        <w:t xml:space="preserve"> </w:t>
      </w:r>
      <m:oMath>
        <m:sSubSup>
          <m:sSubSupPr>
            <m:ctrlPr>
              <w:rPr>
                <w:rFonts w:ascii="Cambria Math" w:hAnsi="Cambria Math"/>
              </w:rPr>
            </m:ctrlPr>
          </m:sSubSupPr>
          <m:e>
            <m:r>
              <w:rPr>
                <w:rFonts w:ascii="Cambria Math" w:hAnsi="Cambria Math"/>
              </w:rPr>
              <m:t>X</m:t>
            </m:r>
          </m:e>
          <m:sub>
            <m:r>
              <w:rPr>
                <w:rFonts w:ascii="Cambria Math" w:hAnsi="Cambria Math"/>
              </w:rPr>
              <m:t>t</m:t>
            </m:r>
          </m:sub>
          <m:sup>
            <m:r>
              <w:rPr>
                <w:rFonts w:ascii="Cambria Math" w:hAnsi="Cambria Math"/>
              </w:rPr>
              <m:t>a</m:t>
            </m:r>
          </m:sup>
        </m:sSubSup>
      </m:oMath>
      <w:r w:rsidRPr="004D3313">
        <w:t xml:space="preserve"> are included to account for the effect </w:t>
      </w:r>
      <w:r w:rsidR="00DD2DB9" w:rsidRPr="004D3313">
        <w:t>that</w:t>
      </w:r>
      <w:r w:rsidRPr="004D3313">
        <w:t xml:space="preserve"> observed </w:t>
      </w:r>
      <w:r w:rsidR="00AC688F" w:rsidRPr="004D3313">
        <w:t xml:space="preserve">non-cyclical </w:t>
      </w:r>
      <w:r w:rsidRPr="004D3313">
        <w:t xml:space="preserve">variables </w:t>
      </w:r>
      <w:r w:rsidR="00DD2DB9" w:rsidRPr="004D3313">
        <w:t xml:space="preserve">have on the participation rate </w:t>
      </w:r>
      <w:r w:rsidRPr="004D3313">
        <w:t xml:space="preserve">at different stages of a cohort’s life. </w:t>
      </w:r>
      <w:r w:rsidR="000A6E28" w:rsidRPr="004D3313">
        <w:t>Another way to think about this is that these observed variables help us explain how the shape of the age-profile has changed across cohorts. O</w:t>
      </w:r>
      <w:r w:rsidR="00A57CE6" w:rsidRPr="004D3313">
        <w:t>ne o</w:t>
      </w:r>
      <w:r w:rsidR="000A6E28" w:rsidRPr="004D3313">
        <w:t>bvious e</w:t>
      </w:r>
      <w:r w:rsidR="000931BD" w:rsidRPr="004D3313">
        <w:t>xample</w:t>
      </w:r>
      <w:r w:rsidR="00A57CE6" w:rsidRPr="004D3313">
        <w:t xml:space="preserve"> is</w:t>
      </w:r>
      <w:r w:rsidR="000931BD" w:rsidRPr="004D3313">
        <w:t xml:space="preserve"> fertility rates: </w:t>
      </w:r>
      <w:r w:rsidR="00DD2DB9" w:rsidRPr="004D3313">
        <w:t xml:space="preserve">at various ages, </w:t>
      </w:r>
      <w:r w:rsidR="00C73185" w:rsidRPr="004D3313">
        <w:t xml:space="preserve">female participation rates have been affected by changes in </w:t>
      </w:r>
      <w:r w:rsidR="00DD2DB9" w:rsidRPr="004D3313">
        <w:t>the age</w:t>
      </w:r>
      <w:r w:rsidR="00C73185" w:rsidRPr="004D3313">
        <w:t xml:space="preserve"> </w:t>
      </w:r>
      <w:r w:rsidR="00A57CE6" w:rsidRPr="004D3313">
        <w:t xml:space="preserve">at which </w:t>
      </w:r>
      <w:r w:rsidR="00C73185" w:rsidRPr="004D3313">
        <w:t xml:space="preserve">women </w:t>
      </w:r>
      <w:r w:rsidR="000A6E28" w:rsidRPr="004D3313">
        <w:t>give birth</w:t>
      </w:r>
      <w:r w:rsidR="00C73185" w:rsidRPr="004D3313">
        <w:t xml:space="preserve">. </w:t>
      </w:r>
      <w:r w:rsidR="00A57CE6" w:rsidRPr="004D3313">
        <w:t xml:space="preserve">Another example is the effect of an </w:t>
      </w:r>
      <w:r w:rsidR="0083230C" w:rsidRPr="004D3313">
        <w:t>increase in education</w:t>
      </w:r>
      <w:r w:rsidR="00A57CE6" w:rsidRPr="004D3313">
        <w:t>al levels</w:t>
      </w:r>
      <w:r w:rsidR="0083230C" w:rsidRPr="004D3313">
        <w:t xml:space="preserve">. A cohort with high educational attendance at younger ages may have below-average participation during this stage of their lives, but above-average participation at older ages thanks to relatively high levels of human capital. This example is illustrated by the shift to the </w:t>
      </w:r>
      <w:r w:rsidR="00D2258C">
        <w:t>purple</w:t>
      </w:r>
      <w:r w:rsidR="007F5210" w:rsidRPr="004D3313">
        <w:t xml:space="preserve"> </w:t>
      </w:r>
      <w:r w:rsidR="0083230C" w:rsidRPr="004D3313">
        <w:t>line in Figure 3.</w:t>
      </w:r>
    </w:p>
    <w:p w14:paraId="4C327086" w14:textId="7B3007DF" w:rsidR="0004652D" w:rsidRDefault="00174D00">
      <w:pPr>
        <w:pStyle w:val="Bullet"/>
        <w:keepNext w:val="0"/>
      </w:pPr>
      <w:r>
        <w:t xml:space="preserve">The difference between the life-cycle participation rate profile suggested by the model (the </w:t>
      </w:r>
      <w:r w:rsidR="00004A57">
        <w:t>purple</w:t>
      </w:r>
      <w:r w:rsidR="007F5210">
        <w:t xml:space="preserve"> </w:t>
      </w:r>
      <w:r>
        <w:t xml:space="preserve">line) and the actual observed data </w:t>
      </w:r>
      <w:r w:rsidR="006A33CF">
        <w:t>(</w:t>
      </w:r>
      <w:r w:rsidR="009F0474">
        <w:t xml:space="preserve">the </w:t>
      </w:r>
      <w:r w:rsidR="00004A57">
        <w:t>red</w:t>
      </w:r>
      <w:r w:rsidR="006A33CF">
        <w:t xml:space="preserve"> line) </w:t>
      </w:r>
      <w:r>
        <w:t>is the variation in the data that we are not able to explain within the model. This is what ends up in the residual term.</w:t>
      </w:r>
    </w:p>
    <w:p w14:paraId="22CF4FFF" w14:textId="77777777" w:rsidR="00444637" w:rsidRPr="004D3313" w:rsidRDefault="00444637" w:rsidP="00444637">
      <w:pPr>
        <w:pStyle w:val="FigureHeading"/>
      </w:pPr>
      <w:r w:rsidRPr="004D3313">
        <w:t xml:space="preserve">Figure 3: The effects of age, </w:t>
      </w:r>
      <w:proofErr w:type="gramStart"/>
      <w:r w:rsidRPr="004D3313">
        <w:t>cohort</w:t>
      </w:r>
      <w:proofErr w:type="gramEnd"/>
      <w:r w:rsidRPr="004D3313">
        <w:t xml:space="preserve"> and other variables</w:t>
      </w:r>
    </w:p>
    <w:p w14:paraId="063C9F97" w14:textId="77777777" w:rsidR="00444637" w:rsidRPr="003170E1" w:rsidRDefault="00444637" w:rsidP="00525E83">
      <w:pPr>
        <w:pStyle w:val="Figuregraphic"/>
        <w:spacing w:after="0"/>
        <w:jc w:val="center"/>
      </w:pPr>
      <w:r w:rsidRPr="006A1009">
        <w:rPr>
          <w:noProof/>
        </w:rPr>
        <w:drawing>
          <wp:inline distT="0" distB="0" distL="0" distR="0" wp14:anchorId="5EC30EF0" wp14:editId="7D99AE5A">
            <wp:extent cx="5583925" cy="38195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70" t="1532" r="6061" b="1158"/>
                    <a:stretch/>
                  </pic:blipFill>
                  <pic:spPr bwMode="auto">
                    <a:xfrm>
                      <a:off x="0" y="0"/>
                      <a:ext cx="5591872" cy="3824961"/>
                    </a:xfrm>
                    <a:prstGeom prst="rect">
                      <a:avLst/>
                    </a:prstGeom>
                    <a:noFill/>
                    <a:ln>
                      <a:noFill/>
                    </a:ln>
                    <a:extLst>
                      <a:ext uri="{53640926-AAD7-44D8-BBD7-CCE9431645EC}">
                        <a14:shadowObscured xmlns:a14="http://schemas.microsoft.com/office/drawing/2010/main"/>
                      </a:ext>
                    </a:extLst>
                  </pic:spPr>
                </pic:pic>
              </a:graphicData>
            </a:graphic>
          </wp:inline>
        </w:drawing>
      </w:r>
    </w:p>
    <w:p w14:paraId="4BA562E2" w14:textId="77777777" w:rsidR="00444637" w:rsidRDefault="00444637" w:rsidP="00444637"/>
    <w:p w14:paraId="7957804B" w14:textId="45851950" w:rsidR="00F012EA" w:rsidRPr="00422BA9" w:rsidRDefault="00BC6363" w:rsidP="00422BA9">
      <w:pPr>
        <w:pStyle w:val="Heading1-Numbered"/>
      </w:pPr>
      <w:bookmarkStart w:id="5" w:name="_Toc70507613"/>
      <w:r w:rsidRPr="00422BA9">
        <w:lastRenderedPageBreak/>
        <w:t>Data</w:t>
      </w:r>
      <w:bookmarkEnd w:id="5"/>
    </w:p>
    <w:p w14:paraId="6BB62BF4" w14:textId="2A59B55E" w:rsidR="00FC15D4" w:rsidRDefault="00FC15D4" w:rsidP="008B77EE">
      <w:pPr>
        <w:spacing w:after="120"/>
      </w:pPr>
      <w:r>
        <w:t xml:space="preserve">The discussion above summarises </w:t>
      </w:r>
      <w:r w:rsidR="00842D55">
        <w:t xml:space="preserve">the </w:t>
      </w:r>
      <w:r>
        <w:t xml:space="preserve">conceptual framework </w:t>
      </w:r>
      <w:r w:rsidR="00842D55">
        <w:t xml:space="preserve">and methodology we will use </w:t>
      </w:r>
      <w:r>
        <w:t>to understand the relationship between participation rates for different ages</w:t>
      </w:r>
      <w:r w:rsidR="005F6A29">
        <w:t xml:space="preserve">, </w:t>
      </w:r>
      <w:r>
        <w:t xml:space="preserve">birth cohorts, and over time. </w:t>
      </w:r>
      <w:r w:rsidR="00E6311C">
        <w:t xml:space="preserve">Before moving on to our empirical investigation, we present some </w:t>
      </w:r>
      <w:r w:rsidR="00E52D09">
        <w:t xml:space="preserve">historical developments in participation rates </w:t>
      </w:r>
      <w:r w:rsidR="00AC688F">
        <w:t>for</w:t>
      </w:r>
      <w:r w:rsidR="00E52D09">
        <w:t xml:space="preserve"> males and females, and in terms of full</w:t>
      </w:r>
      <w:r w:rsidR="00617E72">
        <w:t>-</w:t>
      </w:r>
      <w:r w:rsidR="00E52D09">
        <w:t>time and part</w:t>
      </w:r>
      <w:r w:rsidR="00617E72">
        <w:t>-</w:t>
      </w:r>
      <w:r w:rsidR="00E52D09">
        <w:t xml:space="preserve">time work.  We will also examine </w:t>
      </w:r>
      <w:r w:rsidR="00A57CE6">
        <w:t xml:space="preserve">two </w:t>
      </w:r>
      <w:r w:rsidR="00E52D09">
        <w:t>variable</w:t>
      </w:r>
      <w:r w:rsidR="000223EF">
        <w:t>s</w:t>
      </w:r>
      <w:r w:rsidR="00E52D09">
        <w:t xml:space="preserve"> – the fertility rate and educational </w:t>
      </w:r>
      <w:r w:rsidR="00A57CE6">
        <w:t xml:space="preserve">attendance </w:t>
      </w:r>
      <w:r w:rsidR="00E52D09">
        <w:t xml:space="preserve">– </w:t>
      </w:r>
      <w:r w:rsidR="005A5234">
        <w:t xml:space="preserve">that we believe </w:t>
      </w:r>
      <w:r w:rsidR="00E52D09">
        <w:t xml:space="preserve">have </w:t>
      </w:r>
      <w:r w:rsidR="000223EF">
        <w:t>influenced the</w:t>
      </w:r>
      <w:r w:rsidR="00E52D09">
        <w:t xml:space="preserve"> participation </w:t>
      </w:r>
      <w:r w:rsidR="000223EF">
        <w:t xml:space="preserve">rate. For the </w:t>
      </w:r>
      <w:r w:rsidR="005A5234">
        <w:t xml:space="preserve">data </w:t>
      </w:r>
      <w:r w:rsidR="000223EF">
        <w:t xml:space="preserve">discussed in this section, </w:t>
      </w:r>
      <w:r w:rsidR="00DD2DB9">
        <w:t xml:space="preserve">further </w:t>
      </w:r>
      <w:r w:rsidR="000223EF">
        <w:t xml:space="preserve">detail about definitions and data sources </w:t>
      </w:r>
      <w:r w:rsidR="00DD2DB9">
        <w:t>is provided</w:t>
      </w:r>
      <w:r w:rsidR="000223EF">
        <w:t xml:space="preserve"> in Appendix</w:t>
      </w:r>
      <w:r w:rsidR="00617E72">
        <w:t xml:space="preserve"> </w:t>
      </w:r>
      <w:r w:rsidR="00AA10EA">
        <w:rPr>
          <w:caps/>
        </w:rPr>
        <w:t>B</w:t>
      </w:r>
      <w:r w:rsidR="000223EF">
        <w:t>.</w:t>
      </w:r>
    </w:p>
    <w:p w14:paraId="2CE1BBCD" w14:textId="09E704AC" w:rsidR="00F012EA" w:rsidRPr="00CB4CA1" w:rsidRDefault="00BC6363" w:rsidP="00422BA9">
      <w:pPr>
        <w:pStyle w:val="Heading2-Numbered"/>
      </w:pPr>
      <w:bookmarkStart w:id="6" w:name="_Toc70507614"/>
      <w:r w:rsidRPr="00CB4CA1">
        <w:t>Labour force participation rates</w:t>
      </w:r>
      <w:bookmarkEnd w:id="6"/>
    </w:p>
    <w:p w14:paraId="0832A967" w14:textId="726505F3" w:rsidR="00213AF9" w:rsidRPr="00213AF9" w:rsidRDefault="00C03ED5" w:rsidP="00C56A15">
      <w:r>
        <w:rPr>
          <w:lang w:val="en-US" w:eastAsia="en-AU"/>
        </w:rPr>
        <w:t xml:space="preserve">Our data set spans </w:t>
      </w:r>
      <w:r w:rsidR="0017044C">
        <w:rPr>
          <w:lang w:val="en-US" w:eastAsia="en-AU"/>
        </w:rPr>
        <w:t>4</w:t>
      </w:r>
      <w:r w:rsidR="00AA10EA">
        <w:rPr>
          <w:lang w:val="en-US" w:eastAsia="en-AU"/>
        </w:rPr>
        <w:t>3</w:t>
      </w:r>
      <w:r w:rsidR="0017044C">
        <w:rPr>
          <w:lang w:val="en-US" w:eastAsia="en-AU"/>
        </w:rPr>
        <w:t xml:space="preserve"> </w:t>
      </w:r>
      <w:r>
        <w:rPr>
          <w:lang w:val="en-US" w:eastAsia="en-AU"/>
        </w:rPr>
        <w:t>years from 1978</w:t>
      </w:r>
      <w:r w:rsidR="0061335C">
        <w:rPr>
          <w:lang w:val="en-US" w:eastAsia="en-AU"/>
        </w:rPr>
        <w:t xml:space="preserve"> to 20</w:t>
      </w:r>
      <w:r w:rsidR="007E247E">
        <w:rPr>
          <w:lang w:val="en-US" w:eastAsia="en-AU"/>
        </w:rPr>
        <w:t>20</w:t>
      </w:r>
      <w:r>
        <w:rPr>
          <w:lang w:val="en-US" w:eastAsia="en-AU"/>
        </w:rPr>
        <w:t xml:space="preserve">. </w:t>
      </w:r>
      <w:r w:rsidR="00632E9C">
        <w:rPr>
          <w:lang w:val="en-US" w:eastAsia="en-AU"/>
        </w:rPr>
        <w:t>The data covers</w:t>
      </w:r>
      <w:r w:rsidR="00213AF9">
        <w:rPr>
          <w:lang w:val="en-US" w:eastAsia="en-AU"/>
        </w:rPr>
        <w:t xml:space="preserve"> 1</w:t>
      </w:r>
      <w:r>
        <w:rPr>
          <w:lang w:val="en-US" w:eastAsia="en-AU"/>
        </w:rPr>
        <w:t>1</w:t>
      </w:r>
      <w:r w:rsidR="00213AF9">
        <w:rPr>
          <w:lang w:val="en-US" w:eastAsia="en-AU"/>
        </w:rPr>
        <w:t xml:space="preserve"> </w:t>
      </w:r>
      <w:r>
        <w:rPr>
          <w:lang w:val="en-US" w:eastAsia="en-AU"/>
        </w:rPr>
        <w:t xml:space="preserve">five-age groups from </w:t>
      </w:r>
      <w:r w:rsidR="00213AF9">
        <w:rPr>
          <w:lang w:val="en-US" w:eastAsia="en-AU"/>
        </w:rPr>
        <w:t>15</w:t>
      </w:r>
      <w:r w:rsidR="00680A6C">
        <w:rPr>
          <w:lang w:val="en-US" w:eastAsia="en-AU"/>
        </w:rPr>
        <w:t xml:space="preserve"> to </w:t>
      </w:r>
      <w:r w:rsidR="00213AF9">
        <w:rPr>
          <w:lang w:val="en-US" w:eastAsia="en-AU"/>
        </w:rPr>
        <w:t>69</w:t>
      </w:r>
      <w:r>
        <w:rPr>
          <w:lang w:val="en-US" w:eastAsia="en-AU"/>
        </w:rPr>
        <w:t xml:space="preserve"> and a group that is 70</w:t>
      </w:r>
      <w:r w:rsidR="0061335C">
        <w:rPr>
          <w:lang w:val="en-US" w:eastAsia="en-AU"/>
        </w:rPr>
        <w:t xml:space="preserve"> and over. </w:t>
      </w:r>
      <w:r w:rsidR="00213AF9">
        <w:rPr>
          <w:lang w:val="en-US" w:eastAsia="en-AU"/>
        </w:rPr>
        <w:t xml:space="preserve">Participation rates for males and females are modelled separately to account for the significant </w:t>
      </w:r>
      <w:r w:rsidR="00B91C1D">
        <w:rPr>
          <w:lang w:val="en-US" w:eastAsia="en-AU"/>
        </w:rPr>
        <w:t xml:space="preserve">historical </w:t>
      </w:r>
      <w:r w:rsidR="00213AF9">
        <w:rPr>
          <w:lang w:val="en-US" w:eastAsia="en-AU"/>
        </w:rPr>
        <w:t>differences between the</w:t>
      </w:r>
      <w:r w:rsidR="00B91C1D">
        <w:rPr>
          <w:lang w:val="en-US" w:eastAsia="en-AU"/>
        </w:rPr>
        <w:t>se two groups</w:t>
      </w:r>
      <w:r w:rsidR="00213AF9">
        <w:rPr>
          <w:lang w:val="en-US" w:eastAsia="en-AU"/>
        </w:rPr>
        <w:t>. These gender splits are further divided into full-time and part-time because we want to incorporate information on not only the binary choice between participating or not</w:t>
      </w:r>
      <w:r w:rsidR="00CB6301">
        <w:rPr>
          <w:lang w:val="en-US" w:eastAsia="en-AU"/>
        </w:rPr>
        <w:t xml:space="preserve"> </w:t>
      </w:r>
      <w:r w:rsidR="00213AF9">
        <w:rPr>
          <w:lang w:val="en-US" w:eastAsia="en-AU"/>
        </w:rPr>
        <w:t>participating</w:t>
      </w:r>
      <w:r>
        <w:rPr>
          <w:lang w:val="en-US" w:eastAsia="en-AU"/>
        </w:rPr>
        <w:t xml:space="preserve"> </w:t>
      </w:r>
      <w:r w:rsidR="00213AF9">
        <w:rPr>
          <w:lang w:val="en-US" w:eastAsia="en-AU"/>
        </w:rPr>
        <w:t>but also the number of hours that people are willing to supply.</w:t>
      </w:r>
      <w:r w:rsidR="00E05EB8">
        <w:rPr>
          <w:lang w:val="en-US" w:eastAsia="en-AU"/>
        </w:rPr>
        <w:t xml:space="preserve"> We also divide the life cycle into three stages of life.</w:t>
      </w:r>
    </w:p>
    <w:p w14:paraId="42184C47" w14:textId="3E577CD3" w:rsidR="00F012EA" w:rsidRDefault="00BC6363" w:rsidP="00422BA9">
      <w:pPr>
        <w:pStyle w:val="Heading3NotNumbered"/>
      </w:pPr>
      <w:r>
        <w:t>Total male and female participation rates</w:t>
      </w:r>
    </w:p>
    <w:p w14:paraId="09870B30" w14:textId="2692E04A" w:rsidR="00C5731B" w:rsidRDefault="00AC688F" w:rsidP="00BC6363">
      <w:pPr>
        <w:rPr>
          <w:lang w:val="en-US" w:eastAsia="en-AU"/>
        </w:rPr>
      </w:pPr>
      <w:r>
        <w:rPr>
          <w:lang w:val="en-US" w:eastAsia="en-AU"/>
        </w:rPr>
        <w:t xml:space="preserve">In this </w:t>
      </w:r>
      <w:r w:rsidR="00C03ED5">
        <w:rPr>
          <w:lang w:val="en-US" w:eastAsia="en-AU"/>
        </w:rPr>
        <w:t>sub-</w:t>
      </w:r>
      <w:r>
        <w:rPr>
          <w:lang w:val="en-US" w:eastAsia="en-AU"/>
        </w:rPr>
        <w:t xml:space="preserve">section, we </w:t>
      </w:r>
      <w:r w:rsidR="00BC6363" w:rsidRPr="008C1687">
        <w:rPr>
          <w:lang w:val="en-US" w:eastAsia="en-AU"/>
        </w:rPr>
        <w:t xml:space="preserve">present the participation rate </w:t>
      </w:r>
      <w:r w:rsidR="00156AAD">
        <w:rPr>
          <w:lang w:val="en-US" w:eastAsia="en-AU"/>
        </w:rPr>
        <w:t>age profiles</w:t>
      </w:r>
      <w:r w:rsidR="00BC6363" w:rsidRPr="008C1687">
        <w:rPr>
          <w:lang w:val="en-US" w:eastAsia="en-AU"/>
        </w:rPr>
        <w:t xml:space="preserve"> by cohort separately for females and males. </w:t>
      </w:r>
      <w:r w:rsidR="002D525E">
        <w:rPr>
          <w:lang w:val="en-US" w:eastAsia="en-AU"/>
        </w:rPr>
        <w:t xml:space="preserve">These profiles are derived from the time-series data on participation rates by age, by tracking different birth cohorts as they move between different age groups. </w:t>
      </w:r>
      <w:r w:rsidR="007F37BE">
        <w:rPr>
          <w:lang w:val="en-US" w:eastAsia="en-AU"/>
        </w:rPr>
        <w:t>Note that because the time series data only covers 43 years it is not possible to derive any complete life-cycle</w:t>
      </w:r>
      <w:r w:rsidR="002D525E">
        <w:rPr>
          <w:lang w:val="en-US" w:eastAsia="en-AU"/>
        </w:rPr>
        <w:t xml:space="preserve"> </w:t>
      </w:r>
      <w:r w:rsidR="007F37BE">
        <w:rPr>
          <w:lang w:val="en-US" w:eastAsia="en-AU"/>
        </w:rPr>
        <w:t xml:space="preserve">profiles. </w:t>
      </w:r>
      <w:r w:rsidR="00BC6363" w:rsidRPr="008C1687">
        <w:rPr>
          <w:lang w:val="en-US" w:eastAsia="en-AU"/>
        </w:rPr>
        <w:t xml:space="preserve">In line with </w:t>
      </w:r>
      <w:r>
        <w:rPr>
          <w:lang w:val="en-US" w:eastAsia="en-AU"/>
        </w:rPr>
        <w:t>our</w:t>
      </w:r>
      <w:r w:rsidRPr="008C1687">
        <w:rPr>
          <w:lang w:val="en-US" w:eastAsia="en-AU"/>
        </w:rPr>
        <w:t xml:space="preserve"> </w:t>
      </w:r>
      <w:r w:rsidR="00BC6363">
        <w:rPr>
          <w:lang w:val="en-US" w:eastAsia="en-AU"/>
        </w:rPr>
        <w:t>conceptual</w:t>
      </w:r>
      <w:r w:rsidR="00BC6363" w:rsidRPr="008C1687">
        <w:rPr>
          <w:lang w:val="en-US" w:eastAsia="en-AU"/>
        </w:rPr>
        <w:t xml:space="preserve"> framework, we </w:t>
      </w:r>
      <w:r>
        <w:rPr>
          <w:lang w:val="en-US" w:eastAsia="en-AU"/>
        </w:rPr>
        <w:t xml:space="preserve">will </w:t>
      </w:r>
      <w:r w:rsidR="00BC6363">
        <w:rPr>
          <w:lang w:val="en-US" w:eastAsia="en-AU"/>
        </w:rPr>
        <w:t xml:space="preserve">first discuss these profiles in terms of </w:t>
      </w:r>
      <w:r w:rsidR="00BC6363" w:rsidRPr="008C1687">
        <w:rPr>
          <w:lang w:val="en-US" w:eastAsia="en-AU"/>
        </w:rPr>
        <w:t xml:space="preserve">the general pattern </w:t>
      </w:r>
      <w:r w:rsidR="00BC6363">
        <w:rPr>
          <w:lang w:val="en-US" w:eastAsia="en-AU"/>
        </w:rPr>
        <w:t xml:space="preserve">over the </w:t>
      </w:r>
      <w:r w:rsidR="00490827">
        <w:rPr>
          <w:lang w:val="en-US" w:eastAsia="en-AU"/>
        </w:rPr>
        <w:t>life cycle</w:t>
      </w:r>
      <w:r w:rsidR="00BC6363" w:rsidRPr="008C1687">
        <w:rPr>
          <w:lang w:val="en-US" w:eastAsia="en-AU"/>
        </w:rPr>
        <w:t xml:space="preserve"> (the age effects)</w:t>
      </w:r>
      <w:r>
        <w:rPr>
          <w:lang w:val="en-US" w:eastAsia="en-AU"/>
        </w:rPr>
        <w:t xml:space="preserve">. We then consider how </w:t>
      </w:r>
      <w:r w:rsidR="00BC6363" w:rsidRPr="008C1687">
        <w:rPr>
          <w:lang w:val="en-US" w:eastAsia="en-AU"/>
        </w:rPr>
        <w:t xml:space="preserve">the level and shape of the profiles </w:t>
      </w:r>
      <w:r>
        <w:rPr>
          <w:lang w:val="en-US" w:eastAsia="en-AU"/>
        </w:rPr>
        <w:t xml:space="preserve">has changed </w:t>
      </w:r>
      <w:r w:rsidR="00BC6363" w:rsidRPr="008C1687">
        <w:rPr>
          <w:lang w:val="en-US" w:eastAsia="en-AU"/>
        </w:rPr>
        <w:t>over time</w:t>
      </w:r>
      <w:r w:rsidR="00DD2DB9">
        <w:rPr>
          <w:lang w:val="en-US" w:eastAsia="en-AU"/>
        </w:rPr>
        <w:t xml:space="preserve">, </w:t>
      </w:r>
      <w:r w:rsidR="00BC6363" w:rsidRPr="008C1687">
        <w:rPr>
          <w:lang w:val="en-US" w:eastAsia="en-AU"/>
        </w:rPr>
        <w:t xml:space="preserve">representing cohort effects </w:t>
      </w:r>
      <w:r w:rsidR="00DD2DB9">
        <w:rPr>
          <w:lang w:val="en-US" w:eastAsia="en-AU"/>
        </w:rPr>
        <w:t>as well as</w:t>
      </w:r>
      <w:r w:rsidR="00DD2DB9" w:rsidRPr="008C1687">
        <w:rPr>
          <w:lang w:val="en-US" w:eastAsia="en-AU"/>
        </w:rPr>
        <w:t xml:space="preserve"> </w:t>
      </w:r>
      <w:r w:rsidR="00BC6363" w:rsidRPr="008C1687">
        <w:rPr>
          <w:lang w:val="en-US" w:eastAsia="en-AU"/>
        </w:rPr>
        <w:t xml:space="preserve">the </w:t>
      </w:r>
      <w:r w:rsidR="00DD2DB9">
        <w:rPr>
          <w:lang w:val="en-US" w:eastAsia="en-AU"/>
        </w:rPr>
        <w:t>effect of</w:t>
      </w:r>
      <w:r w:rsidR="00BC6363" w:rsidRPr="008C1687">
        <w:rPr>
          <w:lang w:val="en-US" w:eastAsia="en-AU"/>
        </w:rPr>
        <w:t xml:space="preserve"> </w:t>
      </w:r>
      <w:r w:rsidR="00FB06C0">
        <w:rPr>
          <w:lang w:val="en-US" w:eastAsia="en-AU"/>
        </w:rPr>
        <w:t>other</w:t>
      </w:r>
      <w:r w:rsidR="00BC6363" w:rsidRPr="008C1687">
        <w:rPr>
          <w:lang w:val="en-US" w:eastAsia="en-AU"/>
        </w:rPr>
        <w:t xml:space="preserve"> variables.</w:t>
      </w:r>
      <w:r w:rsidR="00DD2DB9">
        <w:rPr>
          <w:lang w:val="en-US" w:eastAsia="en-AU"/>
        </w:rPr>
        <w:t xml:space="preserve"> </w:t>
      </w:r>
      <w:r w:rsidR="00AD0DC9">
        <w:rPr>
          <w:lang w:val="en-US" w:eastAsia="en-AU"/>
        </w:rPr>
        <w:t xml:space="preserve">In all </w:t>
      </w:r>
      <w:r w:rsidR="00156AAD">
        <w:rPr>
          <w:lang w:val="en-US" w:eastAsia="en-AU"/>
        </w:rPr>
        <w:t>age</w:t>
      </w:r>
      <w:r w:rsidR="00AD0DC9">
        <w:rPr>
          <w:lang w:val="en-US" w:eastAsia="en-AU"/>
        </w:rPr>
        <w:t xml:space="preserve"> profile charts used in this paper, the </w:t>
      </w:r>
      <w:r w:rsidR="00AD0DC9" w:rsidRPr="00436DF4">
        <w:rPr>
          <w:lang w:eastAsia="en-AU"/>
        </w:rPr>
        <w:t>colours</w:t>
      </w:r>
      <w:r w:rsidR="00AD0DC9">
        <w:rPr>
          <w:lang w:val="en-US" w:eastAsia="en-AU"/>
        </w:rPr>
        <w:t xml:space="preserve"> of the different cohort profiles are used to represent the birth year of the cohort, with the darkest red lines representing the earliest cohorts and blue lines representing the most recent cohorts.</w:t>
      </w:r>
      <w:r w:rsidR="00156AAD">
        <w:rPr>
          <w:lang w:val="en-US" w:eastAsia="en-AU"/>
        </w:rPr>
        <w:t xml:space="preserve"> The </w:t>
      </w:r>
      <w:proofErr w:type="spellStart"/>
      <w:r w:rsidR="00156AAD">
        <w:rPr>
          <w:lang w:val="en-US" w:eastAsia="en-AU"/>
        </w:rPr>
        <w:t>colours</w:t>
      </w:r>
      <w:proofErr w:type="spellEnd"/>
      <w:r w:rsidR="00156AAD">
        <w:rPr>
          <w:lang w:val="en-US" w:eastAsia="en-AU"/>
        </w:rPr>
        <w:t xml:space="preserve"> are also consistent across different variables</w:t>
      </w:r>
      <w:r w:rsidR="00D60FD5">
        <w:rPr>
          <w:lang w:val="en-US" w:eastAsia="en-AU"/>
        </w:rPr>
        <w:t>. This means</w:t>
      </w:r>
      <w:r w:rsidR="00156AAD">
        <w:rPr>
          <w:lang w:val="en-US" w:eastAsia="en-AU"/>
        </w:rPr>
        <w:t xml:space="preserve"> that if you look at</w:t>
      </w:r>
      <w:r w:rsidR="00D60FD5">
        <w:rPr>
          <w:lang w:val="en-US" w:eastAsia="en-AU"/>
        </w:rPr>
        <w:t>,</w:t>
      </w:r>
      <w:r w:rsidR="00156AAD">
        <w:rPr>
          <w:lang w:val="en-US" w:eastAsia="en-AU"/>
        </w:rPr>
        <w:t xml:space="preserve"> for example</w:t>
      </w:r>
      <w:r w:rsidR="00D60FD5">
        <w:rPr>
          <w:lang w:val="en-US" w:eastAsia="en-AU"/>
        </w:rPr>
        <w:t>,</w:t>
      </w:r>
      <w:r w:rsidR="00156AAD">
        <w:rPr>
          <w:lang w:val="en-US" w:eastAsia="en-AU"/>
        </w:rPr>
        <w:t xml:space="preserve"> a specific cohort profile for female participation</w:t>
      </w:r>
      <w:r w:rsidR="00D60FD5">
        <w:rPr>
          <w:lang w:val="en-US" w:eastAsia="en-AU"/>
        </w:rPr>
        <w:t>,</w:t>
      </w:r>
      <w:r w:rsidR="00156AAD">
        <w:rPr>
          <w:lang w:val="en-US" w:eastAsia="en-AU"/>
        </w:rPr>
        <w:t xml:space="preserve"> </w:t>
      </w:r>
      <w:r w:rsidR="005C23A0">
        <w:rPr>
          <w:lang w:val="en-US" w:eastAsia="en-AU"/>
        </w:rPr>
        <w:t xml:space="preserve">you can easily identify the fertility rate for the same cohort by the </w:t>
      </w:r>
      <w:proofErr w:type="spellStart"/>
      <w:r w:rsidR="005C23A0">
        <w:rPr>
          <w:lang w:val="en-US" w:eastAsia="en-AU"/>
        </w:rPr>
        <w:t>colour</w:t>
      </w:r>
      <w:proofErr w:type="spellEnd"/>
      <w:r w:rsidR="005C23A0">
        <w:rPr>
          <w:lang w:val="en-US" w:eastAsia="en-AU"/>
        </w:rPr>
        <w:t xml:space="preserve"> of the line.</w:t>
      </w:r>
      <w:r w:rsidR="00C5731B">
        <w:rPr>
          <w:lang w:val="en-US" w:eastAsia="en-AU"/>
        </w:rPr>
        <w:t xml:space="preserve"> </w:t>
      </w:r>
      <w:r w:rsidR="007F37BE">
        <w:rPr>
          <w:lang w:val="en-US" w:eastAsia="en-AU"/>
        </w:rPr>
        <w:t>The charts also show the most recently observed values at each age (labeled ‘Latest</w:t>
      </w:r>
      <w:r w:rsidR="00496988">
        <w:rPr>
          <w:lang w:val="en-US" w:eastAsia="en-AU"/>
        </w:rPr>
        <w:t xml:space="preserve"> at age</w:t>
      </w:r>
      <w:r w:rsidR="007F37BE">
        <w:rPr>
          <w:lang w:val="en-US" w:eastAsia="en-AU"/>
        </w:rPr>
        <w:t>’).</w:t>
      </w:r>
    </w:p>
    <w:p w14:paraId="63F8C5CC" w14:textId="2BFFD956" w:rsidR="00A37759" w:rsidRPr="004D3313" w:rsidRDefault="00DD2DB9" w:rsidP="008B77EE">
      <w:pPr>
        <w:pStyle w:val="Bullet"/>
        <w:keepNext w:val="0"/>
      </w:pPr>
      <w:r w:rsidRPr="004D3313">
        <w:t>We start by discussing t</w:t>
      </w:r>
      <w:r w:rsidR="00BC6363" w:rsidRPr="004D3313">
        <w:t>he data for males</w:t>
      </w:r>
      <w:r w:rsidRPr="004D3313">
        <w:t>, because</w:t>
      </w:r>
      <w:r w:rsidR="00BC6363" w:rsidRPr="004D3313">
        <w:t xml:space="preserve"> the relative stability of male participation rates over time makes it easier to introduce the relationship between the data and our conceptual framework.</w:t>
      </w:r>
      <w:r w:rsidR="00AD0DC9" w:rsidRPr="004D3313">
        <w:t xml:space="preserve"> </w:t>
      </w:r>
      <w:r w:rsidRPr="004D3313">
        <w:t>From the cohort life-cycle profile</w:t>
      </w:r>
      <w:r w:rsidR="00AD5904" w:rsidRPr="004D3313">
        <w:t>s</w:t>
      </w:r>
      <w:r w:rsidRPr="004D3313">
        <w:t xml:space="preserve"> for males (Chart </w:t>
      </w:r>
      <w:r w:rsidR="000379D3" w:rsidRPr="004D3313">
        <w:t>2</w:t>
      </w:r>
      <w:r w:rsidRPr="004D3313">
        <w:t xml:space="preserve">), we </w:t>
      </w:r>
      <w:r w:rsidR="00AD0DC9" w:rsidRPr="004D3313">
        <w:t>make</w:t>
      </w:r>
      <w:r w:rsidRPr="004D3313">
        <w:t xml:space="preserve"> </w:t>
      </w:r>
      <w:proofErr w:type="gramStart"/>
      <w:r w:rsidRPr="004D3313">
        <w:t>a number of</w:t>
      </w:r>
      <w:proofErr w:type="gramEnd"/>
      <w:r w:rsidRPr="004D3313">
        <w:t xml:space="preserve"> observations.</w:t>
      </w:r>
      <w:r w:rsidR="0004064D" w:rsidRPr="004D3313">
        <w:t xml:space="preserve"> </w:t>
      </w:r>
      <w:r w:rsidRPr="004D3313">
        <w:t>P</w:t>
      </w:r>
      <w:r w:rsidR="00BC6363" w:rsidRPr="004D3313">
        <w:t>articipation rates vary in a systematic manner over the life cycle, following an inverted U-shape</w:t>
      </w:r>
      <w:r w:rsidRPr="004D3313">
        <w:t xml:space="preserve">. </w:t>
      </w:r>
      <w:r w:rsidR="00BC6363" w:rsidRPr="004D3313">
        <w:t>The age-specific effects in the conceptual framework are intended to capture this general profile. The general life-cycle pattern can be roughly divided into four stages: 1) participation rates start low at age of 15 and increase sharply  over the next 10 years or so, as many individuals finish school and university and enter the labour market;</w:t>
      </w:r>
      <w:r w:rsidR="00762D1B">
        <w:br/>
      </w:r>
      <w:r w:rsidR="00BC6363" w:rsidRPr="004D3313">
        <w:t>2) high and stable participation rates throughout most of the prime working age (</w:t>
      </w:r>
      <w:r w:rsidR="00AD0DC9" w:rsidRPr="004D3313">
        <w:t xml:space="preserve">age </w:t>
      </w:r>
      <w:r w:rsidR="00BC6363" w:rsidRPr="004D3313">
        <w:t>25</w:t>
      </w:r>
      <w:r w:rsidR="008A4952" w:rsidRPr="004D3313">
        <w:t xml:space="preserve"> to </w:t>
      </w:r>
      <w:r w:rsidR="00BC6363" w:rsidRPr="004D3313">
        <w:t xml:space="preserve">49); 3) a gradual decline in participation rates for </w:t>
      </w:r>
      <w:r w:rsidR="000379D3" w:rsidRPr="004D3313">
        <w:t xml:space="preserve">males </w:t>
      </w:r>
      <w:r w:rsidR="00BC6363" w:rsidRPr="004D3313">
        <w:t>in their 50s; and 4) sharply falling participation rates as males enter their 60s and increasingly retire.</w:t>
      </w:r>
    </w:p>
    <w:p w14:paraId="4B3BB6A4" w14:textId="01134E95" w:rsidR="00AD0DC9" w:rsidRPr="004D3313" w:rsidRDefault="00BC6363" w:rsidP="004D3313">
      <w:pPr>
        <w:pStyle w:val="Bullet"/>
      </w:pPr>
      <w:r w:rsidRPr="004D3313">
        <w:lastRenderedPageBreak/>
        <w:t xml:space="preserve">There are significant differences in participation rates between cohorts. </w:t>
      </w:r>
      <w:r w:rsidR="00AD0DC9" w:rsidRPr="004D3313">
        <w:t xml:space="preserve">For instance, </w:t>
      </w:r>
      <w:r w:rsidRPr="004D3313">
        <w:t xml:space="preserve">a decline in participation between the ages of 15 and 24 is likely the </w:t>
      </w:r>
      <w:r w:rsidR="00AD0DC9" w:rsidRPr="004D3313">
        <w:t xml:space="preserve">result </w:t>
      </w:r>
      <w:r w:rsidRPr="004D3313">
        <w:t>of an increase in educational attendance over time, and to some extent cyclical weakness in labour market conditions for recent birth cohorts. Participation rates have also declined between the ages of 25 and 49.</w:t>
      </w:r>
    </w:p>
    <w:p w14:paraId="5E2718AF" w14:textId="10F96573" w:rsidR="00BC6363" w:rsidRPr="004D3313" w:rsidRDefault="00AD0DC9" w:rsidP="004D3313">
      <w:pPr>
        <w:pStyle w:val="Bullet"/>
      </w:pPr>
      <w:r w:rsidRPr="004D3313">
        <w:t xml:space="preserve">Some changes between cohorts do not have an obvious </w:t>
      </w:r>
      <w:r w:rsidR="00BE023E" w:rsidRPr="004D3313">
        <w:t>explanation and</w:t>
      </w:r>
      <w:r w:rsidRPr="004D3313">
        <w:t xml:space="preserve"> may be attributed </w:t>
      </w:r>
      <w:r w:rsidR="00F13D11" w:rsidRPr="004D3313">
        <w:t xml:space="preserve">in our model to the birth cohort effect. </w:t>
      </w:r>
      <w:r w:rsidR="00BC6363" w:rsidRPr="004D3313">
        <w:t xml:space="preserve">For example, </w:t>
      </w:r>
      <w:r w:rsidRPr="004D3313">
        <w:t xml:space="preserve">when it reached 40 to 44 years of age, </w:t>
      </w:r>
      <w:r w:rsidR="00BC6363" w:rsidRPr="004D3313">
        <w:t>the cohort born in 194</w:t>
      </w:r>
      <w:r w:rsidR="0002176E" w:rsidRPr="004D3313">
        <w:t>4</w:t>
      </w:r>
      <w:r w:rsidR="0061335C" w:rsidRPr="004D3313">
        <w:t xml:space="preserve"> to 19</w:t>
      </w:r>
      <w:r w:rsidR="00BC6363" w:rsidRPr="004D3313">
        <w:t>4</w:t>
      </w:r>
      <w:r w:rsidR="0002176E" w:rsidRPr="004D3313">
        <w:t>8</w:t>
      </w:r>
      <w:r w:rsidR="00BC6363" w:rsidRPr="004D3313">
        <w:t xml:space="preserve"> had a participation rate of around </w:t>
      </w:r>
      <w:r w:rsidR="0002176E" w:rsidRPr="004D3313">
        <w:t>95</w:t>
      </w:r>
      <w:r w:rsidR="00BC6363" w:rsidRPr="004D3313">
        <w:t>.</w:t>
      </w:r>
      <w:r w:rsidR="0002176E" w:rsidRPr="004D3313">
        <w:t>9</w:t>
      </w:r>
      <w:r w:rsidR="00BC6363" w:rsidRPr="004D3313">
        <w:t xml:space="preserve"> per cent</w:t>
      </w:r>
      <w:r w:rsidRPr="004D3313">
        <w:t>, compared with</w:t>
      </w:r>
      <w:r w:rsidR="00BC6363" w:rsidRPr="004D3313">
        <w:t xml:space="preserve"> </w:t>
      </w:r>
      <w:r w:rsidRPr="004D3313">
        <w:t>90.</w:t>
      </w:r>
      <w:r w:rsidR="0002176E" w:rsidRPr="004D3313">
        <w:t xml:space="preserve">8 </w:t>
      </w:r>
      <w:r w:rsidRPr="004D3313">
        <w:t>per cent for t</w:t>
      </w:r>
      <w:r w:rsidR="00BC6363" w:rsidRPr="004D3313">
        <w:t>he cohort born three decades later. It is not obvious what has been driving this development</w:t>
      </w:r>
      <w:r w:rsidR="00F13D11" w:rsidRPr="004D3313">
        <w:t>. W</w:t>
      </w:r>
      <w:r w:rsidR="00BC6363" w:rsidRPr="004D3313">
        <w:t xml:space="preserve">e expect it represents shifts in the life-cycle profiles due </w:t>
      </w:r>
      <w:r w:rsidR="00180123" w:rsidRPr="004D3313">
        <w:t xml:space="preserve">to </w:t>
      </w:r>
      <w:r w:rsidR="00BC6363" w:rsidRPr="004D3313">
        <w:t>some unobserved variable.</w:t>
      </w:r>
    </w:p>
    <w:p w14:paraId="3914AEC6" w14:textId="040EAB98" w:rsidR="00A37759" w:rsidRPr="004D3313" w:rsidRDefault="00F13D11" w:rsidP="004D3313">
      <w:pPr>
        <w:pStyle w:val="Bullet"/>
      </w:pPr>
      <w:r w:rsidRPr="004D3313">
        <w:t xml:space="preserve">That said, </w:t>
      </w:r>
      <w:r w:rsidR="00E05EB8" w:rsidRPr="004D3313">
        <w:t>the differences between consecutive cohorts seems to be getting smaller over time</w:t>
      </w:r>
      <w:r w:rsidR="00BC6363" w:rsidRPr="004D3313">
        <w:t xml:space="preserve">. For those between the ages of 25 and 49, there are only very small differences in participation rates between the most recent cohorts observed. </w:t>
      </w:r>
      <w:proofErr w:type="gramStart"/>
      <w:r w:rsidRPr="004D3313">
        <w:t>So</w:t>
      </w:r>
      <w:proofErr w:type="gramEnd"/>
      <w:r w:rsidRPr="004D3313">
        <w:t xml:space="preserve"> although the birth cohort effect</w:t>
      </w:r>
      <w:r w:rsidR="00FB06C0" w:rsidRPr="004D3313">
        <w:t>s</w:t>
      </w:r>
      <w:r w:rsidRPr="004D3313">
        <w:t xml:space="preserve"> may have driven participation rate changes in the past, this influence appears to be waning</w:t>
      </w:r>
      <w:r w:rsidR="004D3313">
        <w:t>.</w:t>
      </w:r>
    </w:p>
    <w:p w14:paraId="797E712A" w14:textId="5E63233A" w:rsidR="00BC6363" w:rsidRDefault="00BC6363" w:rsidP="004D3313">
      <w:pPr>
        <w:pStyle w:val="Bullet"/>
      </w:pPr>
      <w:r w:rsidRPr="004D3313">
        <w:t>There has also been a significant increase in male participation rates beyond the age of 60</w:t>
      </w:r>
      <w:r w:rsidR="00F13D11" w:rsidRPr="004D3313">
        <w:t>. This may</w:t>
      </w:r>
      <w:r w:rsidRPr="004D3313">
        <w:t xml:space="preserve"> </w:t>
      </w:r>
      <w:r w:rsidR="00F13D11" w:rsidRPr="004D3313">
        <w:t>reflect</w:t>
      </w:r>
      <w:r w:rsidRPr="004D3313">
        <w:t xml:space="preserve"> increased life expectancy, improved health at older ages</w:t>
      </w:r>
      <w:r w:rsidR="00F13D11" w:rsidRPr="004D3313">
        <w:t>,</w:t>
      </w:r>
      <w:r w:rsidRPr="004D3313">
        <w:t xml:space="preserve"> and an increase in less physically demanding employment opportunities. For example, </w:t>
      </w:r>
      <w:r w:rsidR="00A22882" w:rsidRPr="004D3313">
        <w:t>when it reached the ages of 60</w:t>
      </w:r>
      <w:r w:rsidR="0033578C">
        <w:t> </w:t>
      </w:r>
      <w:r w:rsidR="008A4952" w:rsidRPr="004D3313">
        <w:t xml:space="preserve">to </w:t>
      </w:r>
      <w:r w:rsidR="00A22882" w:rsidRPr="004D3313">
        <w:t>64 and 65</w:t>
      </w:r>
      <w:r w:rsidR="008A4952" w:rsidRPr="004D3313">
        <w:t xml:space="preserve"> to </w:t>
      </w:r>
      <w:r w:rsidR="00A22882" w:rsidRPr="004D3313">
        <w:t xml:space="preserve">69, </w:t>
      </w:r>
      <w:r w:rsidRPr="004D3313">
        <w:t>the cohort born in 191</w:t>
      </w:r>
      <w:r w:rsidR="0002176E" w:rsidRPr="004D3313">
        <w:t>9</w:t>
      </w:r>
      <w:r w:rsidRPr="004D3313">
        <w:t>-</w:t>
      </w:r>
      <w:r w:rsidR="00516416" w:rsidRPr="004D3313">
        <w:t xml:space="preserve">23 </w:t>
      </w:r>
      <w:r w:rsidRPr="004D3313">
        <w:t>had participation rate</w:t>
      </w:r>
      <w:r w:rsidR="00A22882" w:rsidRPr="004D3313">
        <w:t>s</w:t>
      </w:r>
      <w:r w:rsidRPr="004D3313">
        <w:t xml:space="preserve"> of </w:t>
      </w:r>
      <w:r w:rsidR="00374146" w:rsidRPr="004D3313">
        <w:t>4</w:t>
      </w:r>
      <w:r w:rsidR="0002176E" w:rsidRPr="004D3313">
        <w:t>5.0</w:t>
      </w:r>
      <w:r w:rsidR="000379D3" w:rsidRPr="004D3313">
        <w:t xml:space="preserve"> </w:t>
      </w:r>
      <w:r w:rsidRPr="004D3313">
        <w:t>and</w:t>
      </w:r>
      <w:r w:rsidR="0033578C">
        <w:br/>
      </w:r>
      <w:r w:rsidRPr="004D3313">
        <w:t>1</w:t>
      </w:r>
      <w:r w:rsidR="00374146" w:rsidRPr="004D3313">
        <w:t>3.</w:t>
      </w:r>
      <w:r w:rsidR="0002176E" w:rsidRPr="004D3313">
        <w:t>5</w:t>
      </w:r>
      <w:r w:rsidRPr="004D3313">
        <w:t xml:space="preserve"> per cent respectively</w:t>
      </w:r>
      <w:r w:rsidR="00A22882" w:rsidRPr="004D3313">
        <w:t>. For the cohort born three decades later (the most recent birth cohort that we have observed at these ages), these rates rose to</w:t>
      </w:r>
      <w:r w:rsidR="00F13D11" w:rsidRPr="004D3313">
        <w:t xml:space="preserve"> </w:t>
      </w:r>
      <w:r w:rsidR="00A22882" w:rsidRPr="004D3313">
        <w:t>6</w:t>
      </w:r>
      <w:r w:rsidR="00374146" w:rsidRPr="004D3313">
        <w:t>2</w:t>
      </w:r>
      <w:r w:rsidR="00A22882" w:rsidRPr="004D3313">
        <w:t>.</w:t>
      </w:r>
      <w:r w:rsidR="0002176E" w:rsidRPr="004D3313">
        <w:t>0</w:t>
      </w:r>
      <w:r w:rsidR="00A22882" w:rsidRPr="004D3313">
        <w:t xml:space="preserve"> per cent and 3</w:t>
      </w:r>
      <w:r w:rsidR="0002176E" w:rsidRPr="004D3313">
        <w:t>4</w:t>
      </w:r>
      <w:r w:rsidR="00A22882" w:rsidRPr="004D3313">
        <w:t>.</w:t>
      </w:r>
      <w:r w:rsidR="0002176E" w:rsidRPr="004D3313">
        <w:t>7</w:t>
      </w:r>
      <w:r w:rsidR="00A22882" w:rsidRPr="004D3313">
        <w:t xml:space="preserve"> per cent respectively.</w:t>
      </w:r>
    </w:p>
    <w:p w14:paraId="02C84E59" w14:textId="30759349" w:rsidR="00BC6363" w:rsidRDefault="00BC6363" w:rsidP="004D3313">
      <w:pPr>
        <w:pStyle w:val="ChartMainHeading"/>
      </w:pPr>
      <w:r>
        <w:t xml:space="preserve">Chart </w:t>
      </w:r>
      <w:r w:rsidR="00F45135">
        <w:t>2</w:t>
      </w:r>
      <w:r>
        <w:t>: Total labour force participation rates by cohort</w:t>
      </w:r>
    </w:p>
    <w:tbl>
      <w:tblPr>
        <w:tblStyle w:val="TableGrid"/>
        <w:tblW w:w="8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4D3313" w14:paraId="1D36F189" w14:textId="77777777" w:rsidTr="004D3313">
        <w:trPr>
          <w:jc w:val="center"/>
        </w:trPr>
        <w:tc>
          <w:tcPr>
            <w:tcW w:w="4479" w:type="dxa"/>
          </w:tcPr>
          <w:p w14:paraId="0AE51153" w14:textId="77777777" w:rsidR="00BC6363" w:rsidRDefault="00EB0C5B" w:rsidP="004D3313">
            <w:pPr>
              <w:pStyle w:val="ChartGraphic"/>
              <w:jc w:val="center"/>
              <w:rPr>
                <w:noProof/>
              </w:rPr>
            </w:pPr>
            <w:r>
              <w:rPr>
                <w:noProof/>
              </w:rPr>
              <w:t>Male</w:t>
            </w:r>
            <w:r w:rsidR="0025587C">
              <w:rPr>
                <w:noProof/>
              </w:rPr>
              <w:t>s</w:t>
            </w:r>
          </w:p>
          <w:p w14:paraId="597269FF" w14:textId="03848408" w:rsidR="0025587C" w:rsidRPr="0025587C" w:rsidRDefault="0025587C" w:rsidP="0025587C">
            <w:pPr>
              <w:spacing w:after="0"/>
            </w:pPr>
            <w:r w:rsidRPr="0025587C">
              <w:rPr>
                <w:noProof/>
              </w:rPr>
              <w:drawing>
                <wp:inline distT="0" distB="0" distL="0" distR="0" wp14:anchorId="13F8757D" wp14:editId="74DAA8A4">
                  <wp:extent cx="2778760" cy="2778760"/>
                  <wp:effectExtent l="0" t="0" r="254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78760" cy="2778760"/>
                          </a:xfrm>
                          <a:prstGeom prst="rect">
                            <a:avLst/>
                          </a:prstGeom>
                          <a:noFill/>
                          <a:ln>
                            <a:noFill/>
                          </a:ln>
                        </pic:spPr>
                      </pic:pic>
                    </a:graphicData>
                  </a:graphic>
                </wp:inline>
              </w:drawing>
            </w:r>
          </w:p>
        </w:tc>
        <w:tc>
          <w:tcPr>
            <w:tcW w:w="4479" w:type="dxa"/>
          </w:tcPr>
          <w:p w14:paraId="61C869DF" w14:textId="77777777" w:rsidR="00BC6363" w:rsidRDefault="0025587C" w:rsidP="004D3313">
            <w:pPr>
              <w:pStyle w:val="ChartGraphic"/>
              <w:jc w:val="center"/>
              <w:rPr>
                <w:noProof/>
              </w:rPr>
            </w:pPr>
            <w:r>
              <w:rPr>
                <w:noProof/>
              </w:rPr>
              <w:t>Females</w:t>
            </w:r>
          </w:p>
          <w:p w14:paraId="1559484A" w14:textId="41AA5825" w:rsidR="0025587C" w:rsidRPr="0025587C" w:rsidRDefault="0025587C" w:rsidP="0025587C">
            <w:pPr>
              <w:spacing w:after="0"/>
            </w:pPr>
            <w:r w:rsidRPr="0025587C">
              <w:rPr>
                <w:noProof/>
              </w:rPr>
              <w:drawing>
                <wp:inline distT="0" distB="0" distL="0" distR="0" wp14:anchorId="524830A0" wp14:editId="46DDAFB4">
                  <wp:extent cx="2778760" cy="2778760"/>
                  <wp:effectExtent l="0" t="0" r="254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78760" cy="2778760"/>
                          </a:xfrm>
                          <a:prstGeom prst="rect">
                            <a:avLst/>
                          </a:prstGeom>
                          <a:noFill/>
                          <a:ln>
                            <a:noFill/>
                          </a:ln>
                        </pic:spPr>
                      </pic:pic>
                    </a:graphicData>
                  </a:graphic>
                </wp:inline>
              </w:drawing>
            </w:r>
          </w:p>
        </w:tc>
      </w:tr>
      <w:tr w:rsidR="0025587C" w14:paraId="1730CB38" w14:textId="77777777" w:rsidTr="003F5297">
        <w:trPr>
          <w:jc w:val="center"/>
        </w:trPr>
        <w:tc>
          <w:tcPr>
            <w:tcW w:w="8958" w:type="dxa"/>
            <w:gridSpan w:val="2"/>
          </w:tcPr>
          <w:p w14:paraId="5A55587E" w14:textId="318D7857" w:rsidR="0025587C" w:rsidRDefault="0025587C" w:rsidP="004D3313">
            <w:pPr>
              <w:pStyle w:val="ChartGraphic"/>
              <w:jc w:val="center"/>
              <w:rPr>
                <w:noProof/>
              </w:rPr>
            </w:pPr>
            <w:r w:rsidRPr="00151139">
              <w:rPr>
                <w:noProof/>
              </w:rPr>
              <w:drawing>
                <wp:inline distT="0" distB="0" distL="0" distR="0" wp14:anchorId="1B4E5D53" wp14:editId="5FBB6DE3">
                  <wp:extent cx="4191000" cy="8096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7292" b="4167"/>
                          <a:stretch/>
                        </pic:blipFill>
                        <pic:spPr bwMode="auto">
                          <a:xfrm>
                            <a:off x="0" y="0"/>
                            <a:ext cx="4191000" cy="8096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C90093" w14:textId="6CFDCE25" w:rsidR="0004064D" w:rsidRPr="00321D08" w:rsidRDefault="0060553B" w:rsidP="00321D08">
      <w:pPr>
        <w:pStyle w:val="Source"/>
        <w:spacing w:before="120"/>
      </w:pPr>
      <w:r w:rsidRPr="004F1454">
        <w:t>Source:</w:t>
      </w:r>
      <w:r>
        <w:tab/>
        <w:t>ABS Cat. No. 6291; Unpublished ABS data for age 65-69 and 70+; Authors’ calculations.</w:t>
      </w:r>
    </w:p>
    <w:p w14:paraId="5FC42C1F" w14:textId="77777777" w:rsidR="004D3313" w:rsidRDefault="004D3313" w:rsidP="008B77EE">
      <w:pPr>
        <w:spacing w:after="120"/>
      </w:pPr>
    </w:p>
    <w:p w14:paraId="1FD91499" w14:textId="5A25308B" w:rsidR="00A22882" w:rsidRDefault="00A22882" w:rsidP="008B77EE">
      <w:pPr>
        <w:spacing w:after="200"/>
      </w:pPr>
      <w:r>
        <w:lastRenderedPageBreak/>
        <w:t>The</w:t>
      </w:r>
      <w:r w:rsidR="00BC6363">
        <w:t xml:space="preserve"> participation </w:t>
      </w:r>
      <w:r>
        <w:t>profiles for f</w:t>
      </w:r>
      <w:r w:rsidR="00BC6363">
        <w:t>emale</w:t>
      </w:r>
      <w:r>
        <w:t>s show some similarities to</w:t>
      </w:r>
      <w:r w:rsidR="00BC6363">
        <w:t xml:space="preserve"> </w:t>
      </w:r>
      <w:r>
        <w:t>those for men, though also some notable differences.</w:t>
      </w:r>
    </w:p>
    <w:p w14:paraId="38843650" w14:textId="1BAB3F94" w:rsidR="00BC6363" w:rsidRDefault="00A22882" w:rsidP="008B77EE">
      <w:pPr>
        <w:pStyle w:val="Bullet"/>
        <w:keepNext w:val="0"/>
        <w:spacing w:after="200"/>
      </w:pPr>
      <w:r>
        <w:t>As with men, female p</w:t>
      </w:r>
      <w:r w:rsidR="00BC6363">
        <w:t>articipation varies in a systematic manner over the life cycle</w:t>
      </w:r>
      <w:r>
        <w:t xml:space="preserve"> </w:t>
      </w:r>
      <w:r w:rsidR="000E0951">
        <w:t>–</w:t>
      </w:r>
      <w:r>
        <w:t xml:space="preserve"> though</w:t>
      </w:r>
      <w:r w:rsidR="00BC6363">
        <w:t xml:space="preserve"> </w:t>
      </w:r>
      <w:r>
        <w:t xml:space="preserve">this time </w:t>
      </w:r>
      <w:r w:rsidR="00BC6363">
        <w:t>following an M-shape</w:t>
      </w:r>
      <w:r>
        <w:t xml:space="preserve"> rather than male’s inverted U-shape</w:t>
      </w:r>
      <w:r w:rsidR="00BC6363">
        <w:t xml:space="preserve">. </w:t>
      </w:r>
      <w:proofErr w:type="gramStart"/>
      <w:r w:rsidR="00BC6363">
        <w:t>Similar to</w:t>
      </w:r>
      <w:proofErr w:type="gramEnd"/>
      <w:r w:rsidR="00BC6363">
        <w:t xml:space="preserve"> males, females increase their participation sharply between the ages of 15 and 24. </w:t>
      </w:r>
      <w:r w:rsidR="000E0951">
        <w:t>But</w:t>
      </w:r>
      <w:r w:rsidR="00BC6363">
        <w:t xml:space="preserve"> females then reduce their participation over the 15</w:t>
      </w:r>
      <w:r w:rsidR="000379D3">
        <w:t>-</w:t>
      </w:r>
      <w:r w:rsidR="008A4952">
        <w:t xml:space="preserve"> to </w:t>
      </w:r>
      <w:r w:rsidR="000379D3">
        <w:t>20-year</w:t>
      </w:r>
      <w:r w:rsidR="00BC6363">
        <w:t xml:space="preserve"> period during which it is most common to raise children. Most females then appear to return to the labour market, and by the age of 40</w:t>
      </w:r>
      <w:r w:rsidR="000F2368">
        <w:t xml:space="preserve"> to </w:t>
      </w:r>
      <w:r w:rsidR="00BC6363">
        <w:t>44 the participation rate has generally recovered to the level observed when aged 20</w:t>
      </w:r>
      <w:r w:rsidR="00637462">
        <w:t xml:space="preserve"> to </w:t>
      </w:r>
      <w:r w:rsidR="00BC6363">
        <w:t>24. Participation rates are then stable over the next 10 years, before decreasing as the retirement age is approaching.</w:t>
      </w:r>
    </w:p>
    <w:p w14:paraId="4324652B" w14:textId="132B7FC5" w:rsidR="00BC6363" w:rsidRDefault="00BC6363" w:rsidP="008B77EE">
      <w:pPr>
        <w:pStyle w:val="Bullet"/>
        <w:keepNext w:val="0"/>
        <w:spacing w:after="200"/>
      </w:pPr>
      <w:r>
        <w:t xml:space="preserve">Differences between birth cohorts over time are much larger for females than for males, and generally in the opposite direction. </w:t>
      </w:r>
      <w:r w:rsidR="000E0951">
        <w:t xml:space="preserve">Whereas male participation rates have generally fallen over time, </w:t>
      </w:r>
      <w:r>
        <w:t>life-cycle participation profiles for females have shifted upwards at all ages except</w:t>
      </w:r>
      <w:r w:rsidR="0033578C">
        <w:br/>
      </w:r>
      <w:r>
        <w:t>15 to 19</w:t>
      </w:r>
      <w:r w:rsidR="000E0951">
        <w:t>. This is c</w:t>
      </w:r>
      <w:r>
        <w:t>onsistent with the changing social norms around females working. The largest increases have been observed at older ages. For example, the cohort born in 192</w:t>
      </w:r>
      <w:r w:rsidR="00975A09">
        <w:t>4</w:t>
      </w:r>
      <w:r w:rsidR="0061335C">
        <w:t xml:space="preserve"> to 19</w:t>
      </w:r>
      <w:r>
        <w:t>2</w:t>
      </w:r>
      <w:r w:rsidR="00975A09">
        <w:t>8</w:t>
      </w:r>
      <w:r>
        <w:t xml:space="preserve"> had a participation rate of </w:t>
      </w:r>
      <w:r w:rsidR="000E0951">
        <w:t xml:space="preserve">just </w:t>
      </w:r>
      <w:r>
        <w:t>28</w:t>
      </w:r>
      <w:r w:rsidR="00975A09">
        <w:t>.7</w:t>
      </w:r>
      <w:r>
        <w:t xml:space="preserve"> per cent</w:t>
      </w:r>
      <w:r w:rsidR="004D22E6">
        <w:t xml:space="preserve"> at age </w:t>
      </w:r>
      <w:r w:rsidR="00975A09">
        <w:t>5</w:t>
      </w:r>
      <w:r w:rsidR="00B5352A">
        <w:t>5</w:t>
      </w:r>
      <w:r w:rsidR="00637462">
        <w:t xml:space="preserve"> to </w:t>
      </w:r>
      <w:r w:rsidR="00975A09">
        <w:t>5</w:t>
      </w:r>
      <w:r w:rsidR="00B5352A">
        <w:t>9</w:t>
      </w:r>
      <w:r w:rsidR="000E0951">
        <w:t xml:space="preserve">, </w:t>
      </w:r>
      <w:r>
        <w:t>compared with 6</w:t>
      </w:r>
      <w:r w:rsidR="00B5352A">
        <w:t>9</w:t>
      </w:r>
      <w:r w:rsidR="00975A09">
        <w:t>.6</w:t>
      </w:r>
      <w:r w:rsidR="00B5352A">
        <w:t xml:space="preserve"> </w:t>
      </w:r>
      <w:r>
        <w:t>per cent for the cohort born in 195</w:t>
      </w:r>
      <w:r w:rsidR="00975A09">
        <w:t>9</w:t>
      </w:r>
      <w:r w:rsidR="0061335C">
        <w:t xml:space="preserve"> to 19</w:t>
      </w:r>
      <w:r w:rsidR="00B5352A">
        <w:t>6</w:t>
      </w:r>
      <w:r w:rsidR="00975A09">
        <w:t>3</w:t>
      </w:r>
      <w:r>
        <w:t xml:space="preserve">. </w:t>
      </w:r>
    </w:p>
    <w:p w14:paraId="035B80F4" w14:textId="0580E304" w:rsidR="00C17F69" w:rsidRDefault="000E0951" w:rsidP="00D257D2">
      <w:pPr>
        <w:pStyle w:val="Bullet"/>
        <w:keepNext w:val="0"/>
      </w:pPr>
      <w:r>
        <w:t xml:space="preserve">But as with men, </w:t>
      </w:r>
      <w:r w:rsidR="00E05EB8">
        <w:t>differences between cohorts</w:t>
      </w:r>
      <w:r>
        <w:t xml:space="preserve"> </w:t>
      </w:r>
      <w:r w:rsidR="00C546C7">
        <w:t>appear</w:t>
      </w:r>
      <w:r>
        <w:t xml:space="preserve"> to be waning. </w:t>
      </w:r>
      <w:r w:rsidR="00BC6363">
        <w:t xml:space="preserve">The upward shifts between consecutive female life-cycle profiles </w:t>
      </w:r>
      <w:r w:rsidR="00C546C7">
        <w:t xml:space="preserve">seem </w:t>
      </w:r>
      <w:r w:rsidR="00BC6363">
        <w:t xml:space="preserve">to have become smaller for recent </w:t>
      </w:r>
      <w:r w:rsidR="00BC6363" w:rsidRPr="00A531F3">
        <w:t>birth cohorts. The M-shape of the female life-cycle profiles also appear to have become less pronounced over time, due to</w:t>
      </w:r>
      <w:r w:rsidR="00BC6363">
        <w:t xml:space="preserve"> smaller reductions in participation rates during the main child-rearing years for later birth cohorts. </w:t>
      </w:r>
      <w:r w:rsidR="00C546C7">
        <w:t xml:space="preserve">Combined, these developments suggest </w:t>
      </w:r>
      <w:r w:rsidR="003A062E">
        <w:t>female</w:t>
      </w:r>
      <w:r w:rsidR="00BC6363">
        <w:t xml:space="preserve"> life-cycle profiles mig</w:t>
      </w:r>
      <w:r w:rsidR="00166986">
        <w:t>ht be converging at a new level.</w:t>
      </w:r>
    </w:p>
    <w:p w14:paraId="3D590435" w14:textId="3D287C54" w:rsidR="00BC6363" w:rsidRPr="00422BA9" w:rsidRDefault="00BC6363" w:rsidP="00422BA9">
      <w:pPr>
        <w:pStyle w:val="Heading3NotNumbered"/>
      </w:pPr>
      <w:r w:rsidRPr="00422BA9">
        <w:t>Full-time and part-time participation rates</w:t>
      </w:r>
    </w:p>
    <w:p w14:paraId="0F13F642" w14:textId="118ACFCE" w:rsidR="00AF5ABD" w:rsidRDefault="00BC6363" w:rsidP="00A37759">
      <w:pPr>
        <w:rPr>
          <w:lang w:val="en-US" w:eastAsia="en-AU"/>
        </w:rPr>
      </w:pPr>
      <w:r>
        <w:rPr>
          <w:lang w:val="en-US" w:eastAsia="en-AU"/>
        </w:rPr>
        <w:t xml:space="preserve">The total participation rate discussed above only reflects individuals’ binary decisions </w:t>
      </w:r>
      <w:r w:rsidR="003A63F4">
        <w:rPr>
          <w:lang w:val="en-US" w:eastAsia="en-AU"/>
        </w:rPr>
        <w:t xml:space="preserve">about </w:t>
      </w:r>
      <w:r>
        <w:rPr>
          <w:lang w:val="en-US" w:eastAsia="en-AU"/>
        </w:rPr>
        <w:t xml:space="preserve">whether to participate in the </w:t>
      </w:r>
      <w:proofErr w:type="spellStart"/>
      <w:r>
        <w:rPr>
          <w:lang w:val="en-US" w:eastAsia="en-AU"/>
        </w:rPr>
        <w:t>labour</w:t>
      </w:r>
      <w:proofErr w:type="spellEnd"/>
      <w:r>
        <w:rPr>
          <w:lang w:val="en-US" w:eastAsia="en-AU"/>
        </w:rPr>
        <w:t xml:space="preserve"> market or not. This means that no consideration is given to the number of hours that </w:t>
      </w:r>
      <w:proofErr w:type="gramStart"/>
      <w:r>
        <w:rPr>
          <w:lang w:val="en-US" w:eastAsia="en-AU"/>
        </w:rPr>
        <w:t>each individual</w:t>
      </w:r>
      <w:proofErr w:type="gramEnd"/>
      <w:r>
        <w:rPr>
          <w:lang w:val="en-US" w:eastAsia="en-AU"/>
        </w:rPr>
        <w:t xml:space="preserve"> is willing to work</w:t>
      </w:r>
      <w:r w:rsidR="00737FE1">
        <w:rPr>
          <w:lang w:val="en-US" w:eastAsia="en-AU"/>
        </w:rPr>
        <w:t>.</w:t>
      </w:r>
    </w:p>
    <w:p w14:paraId="0414F083" w14:textId="1587A9A4" w:rsidR="00BC6363" w:rsidRDefault="00BC6363" w:rsidP="00766B4C">
      <w:r>
        <w:rPr>
          <w:lang w:val="en-US" w:eastAsia="en-AU"/>
        </w:rPr>
        <w:t xml:space="preserve">In this paper we incorporate this dimension by constructing full-time and part-time participation rates, </w:t>
      </w:r>
      <w:r w:rsidR="00737FE1">
        <w:rPr>
          <w:lang w:val="en-US" w:eastAsia="en-AU"/>
        </w:rPr>
        <w:t>which sum to make the total participation rate</w:t>
      </w:r>
      <w:r w:rsidR="004D22E6">
        <w:rPr>
          <w:lang w:val="en-US" w:eastAsia="en-AU"/>
        </w:rPr>
        <w:t xml:space="preserve"> (see Appendix </w:t>
      </w:r>
      <w:r w:rsidR="000379D3">
        <w:rPr>
          <w:lang w:val="en-US" w:eastAsia="en-AU"/>
        </w:rPr>
        <w:t>B</w:t>
      </w:r>
      <w:r w:rsidR="004D22E6">
        <w:rPr>
          <w:lang w:val="en-US" w:eastAsia="en-AU"/>
        </w:rPr>
        <w:t xml:space="preserve"> for definitions)</w:t>
      </w:r>
      <w:r w:rsidR="00AF5ABD">
        <w:rPr>
          <w:lang w:val="en-US" w:eastAsia="en-AU"/>
        </w:rPr>
        <w:t>.</w:t>
      </w:r>
      <w:r w:rsidR="004D22E6" w:rsidRPr="00AF5ABD" w:rsidDel="004D22E6">
        <w:t xml:space="preserve"> </w:t>
      </w:r>
    </w:p>
    <w:p w14:paraId="7BA53380" w14:textId="654009F8" w:rsidR="00BC6363" w:rsidRDefault="00394BE8" w:rsidP="00A37759">
      <w:pPr>
        <w:pStyle w:val="Bullet"/>
        <w:keepNext w:val="0"/>
      </w:pPr>
      <w:r>
        <w:t>T</w:t>
      </w:r>
      <w:r w:rsidR="00BC6363">
        <w:t>here are significant differences for males between the part-time and full-time participation rates over the life cycle</w:t>
      </w:r>
      <w:r w:rsidR="000379D3">
        <w:t xml:space="preserve"> (Chart 3)</w:t>
      </w:r>
      <w:r w:rsidR="00BC6363">
        <w:t xml:space="preserve">. </w:t>
      </w:r>
      <w:r w:rsidR="008F12C2">
        <w:t>P</w:t>
      </w:r>
      <w:r w:rsidR="00BC6363">
        <w:t xml:space="preserve">art-time participation is </w:t>
      </w:r>
      <w:r w:rsidR="008F12C2">
        <w:t xml:space="preserve">highest at </w:t>
      </w:r>
      <w:r w:rsidR="00BC6363">
        <w:t xml:space="preserve">age 15 to 19, </w:t>
      </w:r>
      <w:r w:rsidR="008F12C2">
        <w:t>before</w:t>
      </w:r>
      <w:r w:rsidR="00BC6363">
        <w:t xml:space="preserve"> declin</w:t>
      </w:r>
      <w:r w:rsidR="008F12C2">
        <w:t>ing</w:t>
      </w:r>
      <w:r w:rsidR="00BC6363">
        <w:t xml:space="preserve"> over the next 10 years as </w:t>
      </w:r>
      <w:r w:rsidR="008F12C2">
        <w:t xml:space="preserve">males shift </w:t>
      </w:r>
      <w:r w:rsidR="00BC6363">
        <w:t xml:space="preserve">from </w:t>
      </w:r>
      <w:r w:rsidR="008F12C2">
        <w:t>pursuing</w:t>
      </w:r>
      <w:r w:rsidR="00BC6363">
        <w:t xml:space="preserve"> education and part-time work to full-time participation. It then remains stable at a low level until people enter their 60s, at which point there is a small but significant increase. The part-time participation rate then drops off when people are in their 70s and over. </w:t>
      </w:r>
      <w:r w:rsidR="008F12C2">
        <w:t>By contrast, t</w:t>
      </w:r>
      <w:r w:rsidR="00BC6363">
        <w:t xml:space="preserve">he shape of </w:t>
      </w:r>
      <w:r w:rsidR="008F12C2">
        <w:t xml:space="preserve">males’ </w:t>
      </w:r>
      <w:r w:rsidR="00BC6363">
        <w:t>full-time participation rate age profile is very similar to the</w:t>
      </w:r>
      <w:r w:rsidR="008F12C2">
        <w:t>ir</w:t>
      </w:r>
      <w:r w:rsidR="00BC6363">
        <w:t xml:space="preserve"> total participation rate age profile</w:t>
      </w:r>
      <w:r w:rsidR="008F12C2">
        <w:t>, in part reflecting the relatively small share of males pursuing part</w:t>
      </w:r>
      <w:r w:rsidR="009A33F2">
        <w:t>-</w:t>
      </w:r>
      <w:r w:rsidR="008F12C2">
        <w:t>time work</w:t>
      </w:r>
      <w:r w:rsidR="00BC6363">
        <w:t>.</w:t>
      </w:r>
    </w:p>
    <w:p w14:paraId="4E6B3CCB" w14:textId="77777777" w:rsidR="003C28AF" w:rsidRDefault="003C28AF">
      <w:pPr>
        <w:spacing w:after="200" w:line="276" w:lineRule="auto"/>
      </w:pPr>
      <w:r>
        <w:br w:type="page"/>
      </w:r>
    </w:p>
    <w:p w14:paraId="5433D5B5" w14:textId="42F865EE" w:rsidR="00BC6363" w:rsidRDefault="005424B9" w:rsidP="00A37759">
      <w:pPr>
        <w:pStyle w:val="Bullet"/>
        <w:keepNext w:val="0"/>
      </w:pPr>
      <w:r>
        <w:lastRenderedPageBreak/>
        <w:t>The downward shift in males’</w:t>
      </w:r>
      <w:r w:rsidR="00BC6363">
        <w:t xml:space="preserve"> total participation rate profiles </w:t>
      </w:r>
      <w:r>
        <w:t xml:space="preserve">over time masks </w:t>
      </w:r>
      <w:r w:rsidR="00035338">
        <w:t xml:space="preserve">partly offsetting </w:t>
      </w:r>
      <w:r w:rsidR="00BC6363">
        <w:t>movements in full-time and part-time participation rates at most ages.</w:t>
      </w:r>
      <w:r>
        <w:t xml:space="preserve"> </w:t>
      </w:r>
      <w:r w:rsidR="00BC6363">
        <w:t xml:space="preserve">For </w:t>
      </w:r>
      <w:r>
        <w:t>instance, f</w:t>
      </w:r>
      <w:r w:rsidR="00BC6363">
        <w:t xml:space="preserve">or males aged 15 </w:t>
      </w:r>
      <w:r>
        <w:t xml:space="preserve">to </w:t>
      </w:r>
      <w:r w:rsidR="00D26EF1">
        <w:t xml:space="preserve">24 </w:t>
      </w:r>
      <w:r w:rsidR="00BC6363">
        <w:t xml:space="preserve">part-time participation rates </w:t>
      </w:r>
      <w:r>
        <w:t>have been increasing, though not as much as</w:t>
      </w:r>
      <w:r w:rsidR="0033578C">
        <w:br/>
      </w:r>
      <w:r w:rsidR="00BC6363">
        <w:t>full-time participation rates</w:t>
      </w:r>
      <w:r>
        <w:t xml:space="preserve"> have been falling</w:t>
      </w:r>
      <w:r w:rsidR="00BC6363">
        <w:t xml:space="preserve">. </w:t>
      </w:r>
      <w:r>
        <w:t>These movements are</w:t>
      </w:r>
      <w:r w:rsidR="00BC6363">
        <w:t xml:space="preserve"> consistent with a </w:t>
      </w:r>
      <w:r>
        <w:t xml:space="preserve">trend </w:t>
      </w:r>
      <w:r w:rsidR="00BC6363">
        <w:t xml:space="preserve">towards </w:t>
      </w:r>
      <w:r>
        <w:t xml:space="preserve">more </w:t>
      </w:r>
      <w:r w:rsidR="00BC6363">
        <w:t xml:space="preserve">educational attendance at younger ages. </w:t>
      </w:r>
      <w:r>
        <w:t>Significantly, t</w:t>
      </w:r>
      <w:r w:rsidR="00BC6363">
        <w:t xml:space="preserve">hese shifts have continued for recent birth cohorts, </w:t>
      </w:r>
      <w:r w:rsidR="00D26EF1">
        <w:t xml:space="preserve">although at a slower rate. This suggests </w:t>
      </w:r>
      <w:r w:rsidR="00BC6363">
        <w:t xml:space="preserve">that the </w:t>
      </w:r>
      <w:r>
        <w:t xml:space="preserve">move </w:t>
      </w:r>
      <w:r w:rsidR="00BC6363">
        <w:t>towards</w:t>
      </w:r>
      <w:r w:rsidR="0033578C">
        <w:br/>
      </w:r>
      <w:r w:rsidR="00BC6363">
        <w:t>part-time participation might have further to go.</w:t>
      </w:r>
    </w:p>
    <w:p w14:paraId="639A5F29" w14:textId="2533134D" w:rsidR="00BC6363" w:rsidRDefault="00BC6363" w:rsidP="00A37759">
      <w:pPr>
        <w:pStyle w:val="Bullet"/>
        <w:keepNext w:val="0"/>
      </w:pPr>
      <w:r>
        <w:t xml:space="preserve">Participation rates for males at ages </w:t>
      </w:r>
      <w:r w:rsidR="00D26EF1">
        <w:t xml:space="preserve">25 </w:t>
      </w:r>
      <w:r w:rsidR="000F2368">
        <w:t xml:space="preserve">to </w:t>
      </w:r>
      <w:r>
        <w:t xml:space="preserve">54 have shifted in </w:t>
      </w:r>
      <w:r w:rsidR="008E1343">
        <w:t xml:space="preserve">a </w:t>
      </w:r>
      <w:r>
        <w:t xml:space="preserve">similar </w:t>
      </w:r>
      <w:r w:rsidR="008E1343">
        <w:t>manner, though in a way that suggests convergence</w:t>
      </w:r>
      <w:r>
        <w:t xml:space="preserve">. </w:t>
      </w:r>
      <w:r w:rsidR="008E1343">
        <w:t>For ages 35</w:t>
      </w:r>
      <w:r w:rsidR="000F2368">
        <w:t xml:space="preserve"> to </w:t>
      </w:r>
      <w:r w:rsidR="008E1343">
        <w:t>39, t</w:t>
      </w:r>
      <w:r>
        <w:t xml:space="preserve">he part-time participation rate increased by around </w:t>
      </w:r>
      <w:r w:rsidR="00516416">
        <w:t xml:space="preserve">4 </w:t>
      </w:r>
      <w:r>
        <w:t xml:space="preserve">percentage points </w:t>
      </w:r>
      <w:r w:rsidR="008E1343">
        <w:t xml:space="preserve">from </w:t>
      </w:r>
      <w:r>
        <w:t>the cohort born in 194</w:t>
      </w:r>
      <w:r w:rsidR="00D25FBD">
        <w:t>4</w:t>
      </w:r>
      <w:r w:rsidR="0061335C">
        <w:t xml:space="preserve"> to 19</w:t>
      </w:r>
      <w:r>
        <w:t>4</w:t>
      </w:r>
      <w:r w:rsidR="00D25FBD">
        <w:t>8</w:t>
      </w:r>
      <w:r>
        <w:t xml:space="preserve"> </w:t>
      </w:r>
      <w:r w:rsidR="008E1343">
        <w:t>to the cohort</w:t>
      </w:r>
      <w:r>
        <w:t xml:space="preserve"> born in 197</w:t>
      </w:r>
      <w:r w:rsidR="00D25FBD">
        <w:t>4</w:t>
      </w:r>
      <w:r w:rsidR="0061335C">
        <w:t xml:space="preserve"> to 19</w:t>
      </w:r>
      <w:r>
        <w:t>7</w:t>
      </w:r>
      <w:r w:rsidR="00D25FBD">
        <w:t>8</w:t>
      </w:r>
      <w:r>
        <w:t xml:space="preserve">. </w:t>
      </w:r>
      <w:r w:rsidR="008E1343">
        <w:t>By contrast, the</w:t>
      </w:r>
      <w:r>
        <w:t xml:space="preserve"> full-time participation rate</w:t>
      </w:r>
      <w:r w:rsidR="008E1343">
        <w:t>s for the same age</w:t>
      </w:r>
      <w:r>
        <w:t xml:space="preserve"> </w:t>
      </w:r>
      <w:r w:rsidR="008E1343">
        <w:t>and birth cohorts</w:t>
      </w:r>
      <w:r>
        <w:t xml:space="preserve"> was</w:t>
      </w:r>
      <w:r w:rsidR="0033578C">
        <w:br/>
      </w:r>
      <w:r w:rsidR="00516416">
        <w:t>93</w:t>
      </w:r>
      <w:r>
        <w:t>.</w:t>
      </w:r>
      <w:r w:rsidR="00516416">
        <w:t>6</w:t>
      </w:r>
      <w:r>
        <w:t xml:space="preserve"> per cent and 8</w:t>
      </w:r>
      <w:r w:rsidR="00516416">
        <w:t>3</w:t>
      </w:r>
      <w:r>
        <w:t>.</w:t>
      </w:r>
      <w:r w:rsidR="00516416">
        <w:t>7</w:t>
      </w:r>
      <w:r>
        <w:t xml:space="preserve"> per cent </w:t>
      </w:r>
      <w:r w:rsidR="008E1343">
        <w:t>respectively</w:t>
      </w:r>
      <w:r>
        <w:t xml:space="preserve">, a decrease of </w:t>
      </w:r>
      <w:r w:rsidR="00516416">
        <w:t xml:space="preserve">10 </w:t>
      </w:r>
      <w:r>
        <w:t xml:space="preserve">percentage points. However, compared with the younger ages, </w:t>
      </w:r>
      <w:r w:rsidR="00B17ECA">
        <w:t xml:space="preserve">there are signs that </w:t>
      </w:r>
      <w:r>
        <w:t xml:space="preserve">both the part-time and full-time cohort profiles </w:t>
      </w:r>
      <w:r w:rsidR="00B17ECA">
        <w:t>are</w:t>
      </w:r>
      <w:r>
        <w:t xml:space="preserve"> converging at new levels. </w:t>
      </w:r>
    </w:p>
    <w:p w14:paraId="3441A301" w14:textId="39FFD6DF" w:rsidR="00BC6363" w:rsidRDefault="008E1343" w:rsidP="00A37759">
      <w:pPr>
        <w:pStyle w:val="Bullet"/>
        <w:keepNext w:val="0"/>
      </w:pPr>
      <w:r>
        <w:t>M</w:t>
      </w:r>
      <w:r w:rsidR="00BC6363">
        <w:t xml:space="preserve">ales </w:t>
      </w:r>
      <w:r>
        <w:t xml:space="preserve">in their 60s </w:t>
      </w:r>
      <w:r w:rsidR="00BC6363">
        <w:t>have generally increased both their part-time and full-time participation rates</w:t>
      </w:r>
      <w:r>
        <w:t>. That said,</w:t>
      </w:r>
      <w:r w:rsidR="00BC6363">
        <w:t xml:space="preserve"> the upward shift in part-time participation has been slightly larger and more consistent. </w:t>
      </w:r>
      <w:r>
        <w:t>Though d</w:t>
      </w:r>
      <w:r w:rsidR="00BC6363">
        <w:t>ifferences between the most recent birth cohorts observed at this age are generally small</w:t>
      </w:r>
      <w:r>
        <w:t>, it</w:t>
      </w:r>
      <w:r w:rsidR="00BC6363">
        <w:t xml:space="preserve"> is difficult to say whether this is due to the profiles converging at a new level or an effect of the relatively weak labour market towards the end of our sample period.</w:t>
      </w:r>
    </w:p>
    <w:p w14:paraId="5517218C" w14:textId="4242EBA5" w:rsidR="00BC6363" w:rsidRDefault="00BC6363" w:rsidP="004D3313">
      <w:pPr>
        <w:pStyle w:val="ChartMainHeading"/>
      </w:pPr>
      <w:r>
        <w:t xml:space="preserve">Chart </w:t>
      </w:r>
      <w:r w:rsidR="00F45135">
        <w:t>3</w:t>
      </w:r>
      <w:r>
        <w:t>: Male participation rates by birth cohort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4D3313" w14:paraId="59776504" w14:textId="77777777" w:rsidTr="001D1F01">
        <w:tc>
          <w:tcPr>
            <w:tcW w:w="4479" w:type="dxa"/>
          </w:tcPr>
          <w:p w14:paraId="05EA3575" w14:textId="77777777" w:rsidR="00BC6363" w:rsidRDefault="00622B82" w:rsidP="00622B82">
            <w:pPr>
              <w:pStyle w:val="ChartGraphic"/>
              <w:jc w:val="center"/>
              <w:rPr>
                <w:noProof/>
              </w:rPr>
            </w:pPr>
            <w:r>
              <w:rPr>
                <w:noProof/>
              </w:rPr>
              <w:t>Full-time</w:t>
            </w:r>
          </w:p>
          <w:p w14:paraId="736EDCEF" w14:textId="77C8F953" w:rsidR="00622B82" w:rsidRPr="00622B82" w:rsidRDefault="00622B82" w:rsidP="001D1F01">
            <w:pPr>
              <w:spacing w:after="0"/>
            </w:pPr>
            <w:r w:rsidRPr="00622B82">
              <w:rPr>
                <w:noProof/>
              </w:rPr>
              <w:drawing>
                <wp:inline distT="0" distB="0" distL="0" distR="0" wp14:anchorId="22296B49" wp14:editId="44AB397B">
                  <wp:extent cx="2778760" cy="2778760"/>
                  <wp:effectExtent l="0" t="0" r="254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78760" cy="2778760"/>
                          </a:xfrm>
                          <a:prstGeom prst="rect">
                            <a:avLst/>
                          </a:prstGeom>
                          <a:noFill/>
                          <a:ln>
                            <a:noFill/>
                          </a:ln>
                        </pic:spPr>
                      </pic:pic>
                    </a:graphicData>
                  </a:graphic>
                </wp:inline>
              </w:drawing>
            </w:r>
          </w:p>
        </w:tc>
        <w:tc>
          <w:tcPr>
            <w:tcW w:w="4479" w:type="dxa"/>
          </w:tcPr>
          <w:p w14:paraId="231248B9" w14:textId="77777777" w:rsidR="00BC6363" w:rsidRDefault="001D1F01" w:rsidP="001D1F01">
            <w:pPr>
              <w:pStyle w:val="ChartGraphic"/>
              <w:jc w:val="center"/>
              <w:rPr>
                <w:noProof/>
              </w:rPr>
            </w:pPr>
            <w:r>
              <w:rPr>
                <w:noProof/>
              </w:rPr>
              <w:t>Part-time</w:t>
            </w:r>
          </w:p>
          <w:p w14:paraId="7F1EBE4C" w14:textId="3DD492A6" w:rsidR="001D1F01" w:rsidRPr="001D1F01" w:rsidRDefault="001D1F01" w:rsidP="001D1F01">
            <w:pPr>
              <w:spacing w:after="0"/>
            </w:pPr>
            <w:r w:rsidRPr="001D1F01">
              <w:rPr>
                <w:noProof/>
              </w:rPr>
              <w:drawing>
                <wp:inline distT="0" distB="0" distL="0" distR="0" wp14:anchorId="3B7D0527" wp14:editId="34ABCC97">
                  <wp:extent cx="2778760" cy="2778760"/>
                  <wp:effectExtent l="0" t="0" r="254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78760" cy="2778760"/>
                          </a:xfrm>
                          <a:prstGeom prst="rect">
                            <a:avLst/>
                          </a:prstGeom>
                          <a:noFill/>
                          <a:ln>
                            <a:noFill/>
                          </a:ln>
                        </pic:spPr>
                      </pic:pic>
                    </a:graphicData>
                  </a:graphic>
                </wp:inline>
              </w:drawing>
            </w:r>
          </w:p>
        </w:tc>
      </w:tr>
      <w:tr w:rsidR="001D1F01" w14:paraId="1345D2AA" w14:textId="77777777" w:rsidTr="003F5297">
        <w:tc>
          <w:tcPr>
            <w:tcW w:w="8958" w:type="dxa"/>
            <w:gridSpan w:val="2"/>
          </w:tcPr>
          <w:p w14:paraId="1CD7863F" w14:textId="4ABBEECC" w:rsidR="001D1F01" w:rsidRDefault="001D1F01" w:rsidP="001D1F01">
            <w:pPr>
              <w:pStyle w:val="ChartGraphic"/>
              <w:jc w:val="center"/>
              <w:rPr>
                <w:noProof/>
              </w:rPr>
            </w:pPr>
            <w:r w:rsidRPr="00151139">
              <w:rPr>
                <w:noProof/>
              </w:rPr>
              <w:drawing>
                <wp:inline distT="0" distB="0" distL="0" distR="0" wp14:anchorId="26C4F5A8" wp14:editId="6D10F6EF">
                  <wp:extent cx="4191000" cy="914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1000" cy="914400"/>
                          </a:xfrm>
                          <a:prstGeom prst="rect">
                            <a:avLst/>
                          </a:prstGeom>
                          <a:noFill/>
                          <a:ln>
                            <a:noFill/>
                          </a:ln>
                        </pic:spPr>
                      </pic:pic>
                    </a:graphicData>
                  </a:graphic>
                </wp:inline>
              </w:drawing>
            </w:r>
          </w:p>
        </w:tc>
      </w:tr>
    </w:tbl>
    <w:p w14:paraId="546B2A96" w14:textId="4BDA0737" w:rsidR="00BC6363" w:rsidRDefault="0060553B" w:rsidP="00321D08">
      <w:pPr>
        <w:pStyle w:val="Source"/>
        <w:spacing w:before="120"/>
      </w:pPr>
      <w:r w:rsidRPr="004F1454">
        <w:t>Source:</w:t>
      </w:r>
      <w:r>
        <w:tab/>
        <w:t>ABS Cat. No. 6291; Unpublished ABS data for age 65-69 and 70+; Authors’ calculations.</w:t>
      </w:r>
    </w:p>
    <w:p w14:paraId="7C0203EF" w14:textId="77777777" w:rsidR="004D3313" w:rsidRDefault="004D3313" w:rsidP="00D30812"/>
    <w:p w14:paraId="3EC26163" w14:textId="18F4A246" w:rsidR="008E1343" w:rsidRDefault="00791B86" w:rsidP="00D30812">
      <w:r>
        <w:lastRenderedPageBreak/>
        <w:t>P</w:t>
      </w:r>
      <w:r w:rsidR="00BC6363">
        <w:t xml:space="preserve">art-time and full-time labour participation rate age profiles </w:t>
      </w:r>
      <w:r w:rsidR="0071686E">
        <w:t xml:space="preserve">for women follow very different paths to those for men </w:t>
      </w:r>
      <w:r>
        <w:t xml:space="preserve">(Chart </w:t>
      </w:r>
      <w:r w:rsidR="000379D3">
        <w:t>4</w:t>
      </w:r>
      <w:r>
        <w:t>)</w:t>
      </w:r>
      <w:r w:rsidR="00BC6363">
        <w:t xml:space="preserve">. </w:t>
      </w:r>
    </w:p>
    <w:p w14:paraId="2E4D980E" w14:textId="27D82AE0" w:rsidR="00BC6363" w:rsidRDefault="0071686E" w:rsidP="00D30812">
      <w:pPr>
        <w:pStyle w:val="Bullet"/>
        <w:keepNext w:val="0"/>
      </w:pPr>
      <w:r>
        <w:t>Though women’s</w:t>
      </w:r>
      <w:r w:rsidR="00791B86">
        <w:t xml:space="preserve"> </w:t>
      </w:r>
      <w:r>
        <w:t>full-time and part-time life cycle profiles are different, they are generally much less so than for men.</w:t>
      </w:r>
      <w:r w:rsidR="00BC6363">
        <w:t xml:space="preserve"> Female part-time participation starts relatively high when aged 15 to 19, before falling over the next 10 years. </w:t>
      </w:r>
      <w:r w:rsidR="00791B86">
        <w:t>It</w:t>
      </w:r>
      <w:r w:rsidR="00BC6363">
        <w:t xml:space="preserve"> then increase</w:t>
      </w:r>
      <w:r w:rsidR="00791B86">
        <w:t>s</w:t>
      </w:r>
      <w:r w:rsidR="00BC6363">
        <w:t xml:space="preserve"> </w:t>
      </w:r>
      <w:r w:rsidR="00791B86">
        <w:t>until the</w:t>
      </w:r>
      <w:r w:rsidR="00BC6363">
        <w:t xml:space="preserve"> mid-40s, followed by a gradual decline until retirement age and a sharper decline beyond. </w:t>
      </w:r>
      <w:r w:rsidR="00791B86">
        <w:t>By</w:t>
      </w:r>
      <w:r w:rsidR="00BC6363">
        <w:t xml:space="preserve"> contrast, full-time participation rates start at relatively low levels when aged 15 to 19. </w:t>
      </w:r>
      <w:r w:rsidR="00791B86">
        <w:t>They</w:t>
      </w:r>
      <w:r w:rsidR="00BC6363">
        <w:t xml:space="preserve"> then increase by around 20 percentage points </w:t>
      </w:r>
      <w:r w:rsidR="00791B86">
        <w:t xml:space="preserve">for </w:t>
      </w:r>
      <w:r w:rsidR="00BC6363">
        <w:t>age</w:t>
      </w:r>
      <w:r w:rsidR="00791B86">
        <w:t>s</w:t>
      </w:r>
      <w:r w:rsidR="00BC6363">
        <w:t xml:space="preserve"> 20 to 24</w:t>
      </w:r>
      <w:r w:rsidR="00791B86">
        <w:t>, before</w:t>
      </w:r>
      <w:r w:rsidR="00BC6363">
        <w:t xml:space="preserve"> decreas</w:t>
      </w:r>
      <w:r w:rsidR="00791B86">
        <w:t>ing</w:t>
      </w:r>
      <w:r w:rsidR="00BC6363">
        <w:t xml:space="preserve"> significantly by the time </w:t>
      </w:r>
      <w:r w:rsidR="00791B86">
        <w:t>women reach</w:t>
      </w:r>
      <w:r w:rsidR="00BC6363">
        <w:t xml:space="preserve"> 30</w:t>
      </w:r>
      <w:r w:rsidR="0033578C">
        <w:t> </w:t>
      </w:r>
      <w:r w:rsidR="00BC6363">
        <w:t>to 34</w:t>
      </w:r>
      <w:r w:rsidR="00791B86">
        <w:t xml:space="preserve"> years</w:t>
      </w:r>
      <w:r w:rsidR="00BC6363">
        <w:t xml:space="preserve">. After the age of 35, the difference between female part-time and full-time participation rates appear to </w:t>
      </w:r>
      <w:r w:rsidR="00976E71">
        <w:t>be</w:t>
      </w:r>
      <w:r w:rsidR="00BC6363">
        <w:t xml:space="preserve"> smaller</w:t>
      </w:r>
      <w:r w:rsidR="00976E71">
        <w:t>, although part-time participation is generally lower than full-time participation</w:t>
      </w:r>
      <w:r w:rsidR="00BC6363">
        <w:t xml:space="preserve">.  </w:t>
      </w:r>
    </w:p>
    <w:p w14:paraId="71CF2993" w14:textId="67EFEE05" w:rsidR="00BC6363" w:rsidRDefault="00BC6363" w:rsidP="00D30812">
      <w:pPr>
        <w:pStyle w:val="Bullet"/>
        <w:keepNext w:val="0"/>
      </w:pPr>
      <w:r>
        <w:t xml:space="preserve">Females have generally increased their part-time participation rates </w:t>
      </w:r>
      <w:r w:rsidR="0071686E">
        <w:t>at all ages</w:t>
      </w:r>
      <w:r>
        <w:t xml:space="preserve">. At younger ages there has been a large increase, likely due to increased educational attendance. Part-time participation rates have also increased significantly </w:t>
      </w:r>
      <w:r w:rsidR="0071686E">
        <w:t xml:space="preserve">for women </w:t>
      </w:r>
      <w:r>
        <w:t>aged 35</w:t>
      </w:r>
      <w:r w:rsidR="00637462">
        <w:t xml:space="preserve"> to </w:t>
      </w:r>
      <w:r>
        <w:t xml:space="preserve">69, </w:t>
      </w:r>
      <w:r w:rsidR="0071686E">
        <w:t xml:space="preserve">whereas </w:t>
      </w:r>
      <w:r>
        <w:t>there has been little change for those aged 25</w:t>
      </w:r>
      <w:r w:rsidR="00637462">
        <w:t xml:space="preserve"> to </w:t>
      </w:r>
      <w:r>
        <w:t xml:space="preserve">34 and 70 and over. The recent birth cohort profiles seem to be converging for ages between 25 and 59, suggesting that changes in the underlying propensity to participate between different cohorts (captured by the birth cohort effects in our model) will not be a driver of future participation rate increases. However, </w:t>
      </w:r>
      <w:r w:rsidR="0071686E">
        <w:t>shifts</w:t>
      </w:r>
      <w:r>
        <w:t xml:space="preserve"> in educational attendance and </w:t>
      </w:r>
      <w:r w:rsidR="00B17ECA">
        <w:t>pension eligibility ages</w:t>
      </w:r>
      <w:r w:rsidR="0071686E">
        <w:t>,</w:t>
      </w:r>
      <w:r>
        <w:t xml:space="preserve"> </w:t>
      </w:r>
      <w:r w:rsidR="0071686E">
        <w:t>for example,</w:t>
      </w:r>
      <w:r>
        <w:t xml:space="preserve"> could drive further changes at younger and older ages.</w:t>
      </w:r>
    </w:p>
    <w:p w14:paraId="337ADA19" w14:textId="19DBAEED" w:rsidR="00BC6363" w:rsidRDefault="00BC6363" w:rsidP="00D30812">
      <w:pPr>
        <w:pStyle w:val="Bullet"/>
        <w:keepNext w:val="0"/>
      </w:pPr>
      <w:r>
        <w:t xml:space="preserve">Female full-time birth cohort profiles have generally shifted upwards over time, but there are also </w:t>
      </w:r>
      <w:proofErr w:type="gramStart"/>
      <w:r>
        <w:t>a number of</w:t>
      </w:r>
      <w:proofErr w:type="gramEnd"/>
      <w:r>
        <w:t xml:space="preserve"> noteworthy changes in the shape of the profiles. At younger ages there has been a decrease in full-time participation, offsetting the increase in part-time participation discussed above. This is likely to partly </w:t>
      </w:r>
      <w:r w:rsidR="0071686E">
        <w:t>reflect</w:t>
      </w:r>
      <w:r>
        <w:t xml:space="preserve"> increasing educational attendance at these ages, as </w:t>
      </w:r>
      <w:r w:rsidR="0071686E">
        <w:t>students</w:t>
      </w:r>
      <w:r>
        <w:t xml:space="preserve"> are more likely to work part-time th</w:t>
      </w:r>
      <w:r w:rsidR="0071686E">
        <w:t>a</w:t>
      </w:r>
      <w:r>
        <w:t xml:space="preserve">n full-time. </w:t>
      </w:r>
    </w:p>
    <w:p w14:paraId="0B0DC7ED" w14:textId="7C26524F" w:rsidR="00BC6363" w:rsidRDefault="0071686E" w:rsidP="00D30812">
      <w:pPr>
        <w:pStyle w:val="Bullet"/>
        <w:keepNext w:val="0"/>
      </w:pPr>
      <w:r>
        <w:t>T</w:t>
      </w:r>
      <w:r w:rsidR="00BC6363">
        <w:t xml:space="preserve">he peak in full-time participation has shifted </w:t>
      </w:r>
      <w:r w:rsidR="000E4688">
        <w:t>towards the</w:t>
      </w:r>
      <w:r w:rsidR="00BC6363">
        <w:t xml:space="preserve"> 25</w:t>
      </w:r>
      <w:r w:rsidR="00637462">
        <w:t xml:space="preserve"> to </w:t>
      </w:r>
      <w:r w:rsidR="00BC6363">
        <w:t>29</w:t>
      </w:r>
      <w:r w:rsidR="000E4688">
        <w:t xml:space="preserve"> age group</w:t>
      </w:r>
      <w:r w:rsidR="00BC6363">
        <w:t xml:space="preserve">. This is consistent with the peak in fertility rates shifting </w:t>
      </w:r>
      <w:r w:rsidR="000316E4">
        <w:t>towards the ages of</w:t>
      </w:r>
      <w:r w:rsidR="00BC6363">
        <w:t xml:space="preserve"> 30</w:t>
      </w:r>
      <w:r w:rsidR="0061335C">
        <w:t xml:space="preserve"> to</w:t>
      </w:r>
      <w:r w:rsidR="00CE3400">
        <w:t xml:space="preserve"> </w:t>
      </w:r>
      <w:r w:rsidR="00BC6363">
        <w:t xml:space="preserve">34. Even though </w:t>
      </w:r>
      <w:r w:rsidR="009F132C">
        <w:t>peak fertility rates have</w:t>
      </w:r>
      <w:r w:rsidR="00BC6363">
        <w:t xml:space="preserve"> shifted towards the age of 30</w:t>
      </w:r>
      <w:r w:rsidR="00637462">
        <w:t xml:space="preserve"> to </w:t>
      </w:r>
      <w:r w:rsidR="00BC6363">
        <w:t>34, full-time participation rates at this age have also increased. This could be either because of birth cohort effects of increasing female labour participation, or because of a reduction in the amount of time that females spend away from the labour market after having children. Full-time participation rates have also increased at older ages, likely due to a combination of birth cohort effects</w:t>
      </w:r>
      <w:r w:rsidR="00CE5ED8">
        <w:t xml:space="preserve"> and increases to the age pension eligibility age for females</w:t>
      </w:r>
      <w:r w:rsidR="00BC6363">
        <w:t>.</w:t>
      </w:r>
    </w:p>
    <w:p w14:paraId="2ABB9695" w14:textId="5B0A7780" w:rsidR="00BC6363" w:rsidRDefault="00BC6363" w:rsidP="0033578C">
      <w:pPr>
        <w:pStyle w:val="ChartMainHeading"/>
        <w:spacing w:after="80"/>
      </w:pPr>
      <w:r>
        <w:lastRenderedPageBreak/>
        <w:t xml:space="preserve">Chart </w:t>
      </w:r>
      <w:r w:rsidR="00F45135">
        <w:t>4</w:t>
      </w:r>
      <w:r>
        <w:t>: Female participation rates by birth cohort</w:t>
      </w:r>
    </w:p>
    <w:tbl>
      <w:tblPr>
        <w:tblStyle w:val="TableGrid"/>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BC6363" w14:paraId="1D9A469D" w14:textId="77777777" w:rsidTr="00B164C7">
        <w:tc>
          <w:tcPr>
            <w:tcW w:w="4479" w:type="dxa"/>
          </w:tcPr>
          <w:p w14:paraId="53B6752D" w14:textId="77777777" w:rsidR="00BC6363" w:rsidRDefault="00E92167" w:rsidP="00AB3E97">
            <w:pPr>
              <w:pStyle w:val="ChartGraphic"/>
              <w:jc w:val="center"/>
            </w:pPr>
            <w:r>
              <w:t>Full-time</w:t>
            </w:r>
          </w:p>
          <w:p w14:paraId="798C908A" w14:textId="3D6F421C" w:rsidR="00E92167" w:rsidRPr="00E92167" w:rsidRDefault="00AB3E97" w:rsidP="001317AE">
            <w:pPr>
              <w:spacing w:after="0"/>
            </w:pPr>
            <w:r w:rsidRPr="00AB3E97">
              <w:rPr>
                <w:noProof/>
              </w:rPr>
              <w:drawing>
                <wp:inline distT="0" distB="0" distL="0" distR="0" wp14:anchorId="1C23EC73" wp14:editId="2FD5F045">
                  <wp:extent cx="2783205" cy="2783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83205" cy="2783205"/>
                          </a:xfrm>
                          <a:prstGeom prst="rect">
                            <a:avLst/>
                          </a:prstGeom>
                          <a:noFill/>
                          <a:ln>
                            <a:noFill/>
                          </a:ln>
                        </pic:spPr>
                      </pic:pic>
                    </a:graphicData>
                  </a:graphic>
                </wp:inline>
              </w:drawing>
            </w:r>
          </w:p>
        </w:tc>
        <w:tc>
          <w:tcPr>
            <w:tcW w:w="4479" w:type="dxa"/>
          </w:tcPr>
          <w:p w14:paraId="3C6B07D9" w14:textId="77777777" w:rsidR="00BC6363" w:rsidRDefault="00AB3E97" w:rsidP="00AB3E97">
            <w:pPr>
              <w:pStyle w:val="ChartGraphic"/>
              <w:jc w:val="center"/>
              <w:rPr>
                <w:noProof/>
              </w:rPr>
            </w:pPr>
            <w:r>
              <w:rPr>
                <w:noProof/>
              </w:rPr>
              <w:t>Part-time</w:t>
            </w:r>
          </w:p>
          <w:p w14:paraId="20920A1A" w14:textId="7AECB18D" w:rsidR="00AB3E97" w:rsidRPr="00AB3E97" w:rsidRDefault="003F0C34" w:rsidP="001317AE">
            <w:pPr>
              <w:spacing w:after="0"/>
            </w:pPr>
            <w:r w:rsidRPr="003F0C34">
              <w:rPr>
                <w:noProof/>
              </w:rPr>
              <w:drawing>
                <wp:inline distT="0" distB="0" distL="0" distR="0" wp14:anchorId="7C227BB9" wp14:editId="7F2CF62A">
                  <wp:extent cx="2783205" cy="27832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83205" cy="2783205"/>
                          </a:xfrm>
                          <a:prstGeom prst="rect">
                            <a:avLst/>
                          </a:prstGeom>
                          <a:noFill/>
                          <a:ln>
                            <a:noFill/>
                          </a:ln>
                        </pic:spPr>
                      </pic:pic>
                    </a:graphicData>
                  </a:graphic>
                </wp:inline>
              </w:drawing>
            </w:r>
          </w:p>
        </w:tc>
      </w:tr>
      <w:tr w:rsidR="003F0C34" w14:paraId="302CE0B7" w14:textId="77777777" w:rsidTr="003F5297">
        <w:tc>
          <w:tcPr>
            <w:tcW w:w="8958" w:type="dxa"/>
            <w:gridSpan w:val="2"/>
          </w:tcPr>
          <w:p w14:paraId="6AE6B7FA" w14:textId="2ED1F369" w:rsidR="003F0C34" w:rsidRDefault="00151139" w:rsidP="00AB3E97">
            <w:pPr>
              <w:pStyle w:val="ChartGraphic"/>
              <w:jc w:val="center"/>
              <w:rPr>
                <w:noProof/>
              </w:rPr>
            </w:pPr>
            <w:r w:rsidRPr="00151139">
              <w:rPr>
                <w:noProof/>
              </w:rPr>
              <w:drawing>
                <wp:inline distT="0" distB="0" distL="0" distR="0" wp14:anchorId="3A1DC529" wp14:editId="67410576">
                  <wp:extent cx="4191000" cy="8191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6249" b="4167"/>
                          <a:stretch/>
                        </pic:blipFill>
                        <pic:spPr bwMode="auto">
                          <a:xfrm>
                            <a:off x="0" y="0"/>
                            <a:ext cx="4191000" cy="8191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93AD3B" w14:textId="5409E7E5" w:rsidR="00BC6363" w:rsidRDefault="0060553B" w:rsidP="00321D08">
      <w:pPr>
        <w:pStyle w:val="Source"/>
        <w:spacing w:before="120"/>
      </w:pPr>
      <w:r w:rsidRPr="004F1454">
        <w:t>Source:</w:t>
      </w:r>
      <w:r>
        <w:tab/>
        <w:t>ABS Cat. No. 6291; Unpublished ABS data for age 65-69 and 70+; Authors’ calculations.</w:t>
      </w:r>
    </w:p>
    <w:p w14:paraId="2241A284" w14:textId="77777777" w:rsidR="00B164C7" w:rsidRPr="00B164C7" w:rsidRDefault="00B164C7" w:rsidP="0033578C">
      <w:pPr>
        <w:spacing w:after="0"/>
      </w:pPr>
    </w:p>
    <w:p w14:paraId="1E80A790" w14:textId="17A66FB2" w:rsidR="00C93249" w:rsidRPr="0033578C" w:rsidRDefault="00C93249" w:rsidP="00321D08">
      <w:pPr>
        <w:pStyle w:val="Heading2-Numbered"/>
        <w:spacing w:before="300"/>
      </w:pPr>
      <w:bookmarkStart w:id="7" w:name="_Toc70507615"/>
      <w:r w:rsidRPr="0033578C">
        <w:t>Other covariates</w:t>
      </w:r>
      <w:bookmarkEnd w:id="7"/>
    </w:p>
    <w:p w14:paraId="5DADE4BB" w14:textId="3443AF33" w:rsidR="00C93249" w:rsidRDefault="00C93249" w:rsidP="0033578C">
      <w:pPr>
        <w:spacing w:after="180"/>
      </w:pPr>
      <w:r>
        <w:t>As discussed above, we include covariates to help explain changes in participation rates at different points of the life cycle. Table 1 shows which variables enter which equations. We discuss the reasoning behind including each of these variables in this sub-section.</w:t>
      </w:r>
    </w:p>
    <w:p w14:paraId="2C92A8F5" w14:textId="7C05F694" w:rsidR="00BC6363" w:rsidRDefault="00BC6363" w:rsidP="00422BA9">
      <w:pPr>
        <w:pStyle w:val="Heading3NotNumbered"/>
      </w:pPr>
      <w:r>
        <w:t>Educational attendance</w:t>
      </w:r>
      <w:r w:rsidR="003B0721">
        <w:t xml:space="preserve"> rates</w:t>
      </w:r>
    </w:p>
    <w:p w14:paraId="29C889BD" w14:textId="101671FE" w:rsidR="000205F1" w:rsidRDefault="00AB7E4F" w:rsidP="0033578C">
      <w:pPr>
        <w:spacing w:after="180"/>
      </w:pPr>
      <w:r>
        <w:t xml:space="preserve">Educational attendance could be related to participation rates in </w:t>
      </w:r>
      <w:proofErr w:type="gramStart"/>
      <w:r w:rsidR="00ED4AC0">
        <w:t>a number of</w:t>
      </w:r>
      <w:proofErr w:type="gramEnd"/>
      <w:r>
        <w:t xml:space="preserve"> different ways. The first is that an increase in educational attendance could be expected to lead to a fall in full-time participation but an increase in part-time participation. This is because while </w:t>
      </w:r>
      <w:r w:rsidR="000205F1">
        <w:t xml:space="preserve">a person </w:t>
      </w:r>
      <w:r w:rsidR="00820C7D">
        <w:t>enrolled in</w:t>
      </w:r>
      <w:r w:rsidR="000205F1">
        <w:t xml:space="preserve"> full-time education</w:t>
      </w:r>
      <w:r w:rsidR="000205F1" w:rsidRPr="009A33B1">
        <w:t xml:space="preserve"> </w:t>
      </w:r>
      <w:r w:rsidR="000205F1">
        <w:t>can</w:t>
      </w:r>
      <w:r w:rsidR="00F67A79">
        <w:t xml:space="preserve"> engage in part time work </w:t>
      </w:r>
      <w:r w:rsidR="00820C7D">
        <w:t>it would be more difficult to also engage in</w:t>
      </w:r>
      <w:r w:rsidR="0033578C">
        <w:br/>
      </w:r>
      <w:r w:rsidR="00FD6AC2">
        <w:t>full-</w:t>
      </w:r>
      <w:r w:rsidR="00F67A79">
        <w:t>time work.</w:t>
      </w:r>
      <w:r>
        <w:t xml:space="preserve"> The second way through which educational attendance could be expected to be related to participation is as a way for younger people to deal with periods of</w:t>
      </w:r>
      <w:r w:rsidR="00C53E62">
        <w:t xml:space="preserve"> weak labour market conditions. If there are few employment opportunities, young people may decide to remain in</w:t>
      </w:r>
      <w:r w:rsidR="0033578C">
        <w:br/>
      </w:r>
      <w:r w:rsidR="00C53E62">
        <w:t>full-time education rather than participate in the labour market.</w:t>
      </w:r>
      <w:r w:rsidR="007812E0">
        <w:t xml:space="preserve"> We include the educational attendance rate for males and females at ages 15</w:t>
      </w:r>
      <w:r w:rsidR="00637462">
        <w:t xml:space="preserve"> to</w:t>
      </w:r>
      <w:r w:rsidR="00CE3400">
        <w:t xml:space="preserve"> </w:t>
      </w:r>
      <w:r w:rsidR="007812E0">
        <w:t>19 and 20</w:t>
      </w:r>
      <w:r w:rsidR="00637462">
        <w:t xml:space="preserve"> to </w:t>
      </w:r>
      <w:r w:rsidR="007812E0">
        <w:t>24.</w:t>
      </w:r>
    </w:p>
    <w:p w14:paraId="7E896174" w14:textId="347E392D" w:rsidR="00B75C90" w:rsidRDefault="005F2342" w:rsidP="0033578C">
      <w:pPr>
        <w:spacing w:after="180"/>
      </w:pPr>
      <w:r>
        <w:t>E</w:t>
      </w:r>
      <w:r w:rsidR="00BC6363">
        <w:t>ducational attendance has been increasing over time for males and females up to age 24</w:t>
      </w:r>
      <w:r w:rsidR="00976E71">
        <w:t xml:space="preserve"> (Chart 5)</w:t>
      </w:r>
      <w:r>
        <w:t>.</w:t>
      </w:r>
      <w:r w:rsidR="00BC6363">
        <w:t xml:space="preserve"> </w:t>
      </w:r>
      <w:r>
        <w:t xml:space="preserve">As expected, this has coincided with the large shifts from full-time to part-time participation at younger ages discussed above (Charts </w:t>
      </w:r>
      <w:r w:rsidR="005B2767">
        <w:t>3</w:t>
      </w:r>
      <w:r>
        <w:t xml:space="preserve"> and </w:t>
      </w:r>
      <w:r w:rsidR="005B2767">
        <w:t>4</w:t>
      </w:r>
      <w:r>
        <w:t>).</w:t>
      </w:r>
    </w:p>
    <w:p w14:paraId="4C539A87" w14:textId="104A5DB1" w:rsidR="00ED4AC0" w:rsidRDefault="00B75C90" w:rsidP="0033578C">
      <w:pPr>
        <w:spacing w:after="180"/>
      </w:pPr>
      <w:r>
        <w:lastRenderedPageBreak/>
        <w:t>Over the longer run, one important explanation for the increase in educational attendance is</w:t>
      </w:r>
      <w:r w:rsidR="005B2767">
        <w:t xml:space="preserve"> </w:t>
      </w:r>
      <w:r w:rsidR="00851699">
        <w:t xml:space="preserve">likely </w:t>
      </w:r>
      <w:r>
        <w:t>that the return</w:t>
      </w:r>
      <w:r w:rsidR="00851699">
        <w:t>s</w:t>
      </w:r>
      <w:r>
        <w:t xml:space="preserve"> to education</w:t>
      </w:r>
      <w:r w:rsidR="005B2767">
        <w:t xml:space="preserve"> has been increasing as the economy has shifted towards activities that require higher levels of education. Thus, the cost of not attending full-time education has increased over time. The effect of this could be expected to be some combination of a decline in labour force participation rates at younger ages, or a shift towards part-time participation (see above).</w:t>
      </w:r>
      <w:r w:rsidR="002F48D0">
        <w:t xml:space="preserve"> Importantly, th</w:t>
      </w:r>
      <w:r w:rsidR="007E5AE3">
        <w:t xml:space="preserve">e resulting increase in educational attainment </w:t>
      </w:r>
      <w:r w:rsidR="002F48D0">
        <w:t>could also result in higher participation rates at older ages as it increases the opportunity cost of leisure (due to higher potential wages).</w:t>
      </w:r>
      <w:r w:rsidR="00FC261E">
        <w:t xml:space="preserve"> </w:t>
      </w:r>
      <w:r w:rsidR="00585483">
        <w:t xml:space="preserve">It might also be the case that higher educational attainment is associated with less physically demanding jobs, </w:t>
      </w:r>
      <w:r w:rsidR="00926C1B">
        <w:t xml:space="preserve">which could </w:t>
      </w:r>
      <w:r w:rsidR="00585483">
        <w:t>mak</w:t>
      </w:r>
      <w:r w:rsidR="00926C1B">
        <w:t>e</w:t>
      </w:r>
      <w:r w:rsidR="00585483">
        <w:t xml:space="preserve"> it easier </w:t>
      </w:r>
      <w:r w:rsidR="00926C1B">
        <w:t xml:space="preserve">to </w:t>
      </w:r>
      <w:r w:rsidR="00585483">
        <w:t xml:space="preserve">keep working at older ages. </w:t>
      </w:r>
      <w:r w:rsidR="00FC261E">
        <w:t xml:space="preserve">We do not explicitly account for </w:t>
      </w:r>
      <w:r w:rsidR="007E5AE3">
        <w:t xml:space="preserve">changes in educational attainment in the model, but the cohort effects are likely to </w:t>
      </w:r>
      <w:proofErr w:type="gramStart"/>
      <w:r w:rsidR="007E5AE3">
        <w:t>at least partially capture differences</w:t>
      </w:r>
      <w:proofErr w:type="gramEnd"/>
      <w:r w:rsidR="007E5AE3">
        <w:t xml:space="preserve"> in educational attainment between birth cohorts.</w:t>
      </w:r>
    </w:p>
    <w:p w14:paraId="3D09252A" w14:textId="0661B565" w:rsidR="00BC6363" w:rsidRPr="008132CC" w:rsidRDefault="003B0721" w:rsidP="00BC6363">
      <w:pPr>
        <w:rPr>
          <w:i/>
        </w:rPr>
      </w:pPr>
      <w:r>
        <w:t xml:space="preserve">Leading up to the </w:t>
      </w:r>
      <w:r w:rsidR="00581A16">
        <w:t xml:space="preserve">2007-08 </w:t>
      </w:r>
      <w:r>
        <w:t xml:space="preserve">Global Financial Crisis there were signs that </w:t>
      </w:r>
      <w:r w:rsidR="005F2342">
        <w:t>educational attendance rates</w:t>
      </w:r>
      <w:r w:rsidR="00F67A79">
        <w:t xml:space="preserve"> </w:t>
      </w:r>
      <w:r>
        <w:t>were</w:t>
      </w:r>
      <w:r w:rsidR="00BC6363">
        <w:t xml:space="preserve"> stabilising at new levels.</w:t>
      </w:r>
      <w:r w:rsidR="00D014C5">
        <w:t xml:space="preserve"> </w:t>
      </w:r>
      <w:r w:rsidR="00BC6363">
        <w:t xml:space="preserve"> </w:t>
      </w:r>
      <w:r>
        <w:t xml:space="preserve">However, since the GFC </w:t>
      </w:r>
      <w:r w:rsidR="00BC6363">
        <w:t xml:space="preserve">educational attendance rates for </w:t>
      </w:r>
      <w:r w:rsidR="00D014C5">
        <w:t xml:space="preserve">males and females </w:t>
      </w:r>
      <w:r w:rsidR="00BC6363">
        <w:t>aged 15</w:t>
      </w:r>
      <w:r w:rsidR="0061335C">
        <w:t xml:space="preserve"> </w:t>
      </w:r>
      <w:r w:rsidR="00637462">
        <w:t xml:space="preserve">to </w:t>
      </w:r>
      <w:r w:rsidR="00BC6363">
        <w:t xml:space="preserve">19 </w:t>
      </w:r>
      <w:r w:rsidR="00D014C5">
        <w:t>have increased</w:t>
      </w:r>
      <w:r w:rsidR="002A5206">
        <w:t xml:space="preserve"> significantly</w:t>
      </w:r>
      <w:r w:rsidR="00CE3400">
        <w:t xml:space="preserve"> (see shifts between most recent cohorts in Chart</w:t>
      </w:r>
      <w:r w:rsidR="0033578C">
        <w:t> </w:t>
      </w:r>
      <w:r w:rsidR="00CE3400">
        <w:t>5)</w:t>
      </w:r>
      <w:r w:rsidR="00D014C5">
        <w:t>,</w:t>
      </w:r>
      <w:r w:rsidR="002A5206">
        <w:t xml:space="preserve"> after being relatively stable </w:t>
      </w:r>
      <w:r w:rsidR="00BC6363">
        <w:t>for over a decade.</w:t>
      </w:r>
      <w:r>
        <w:t xml:space="preserve"> While this is likely to partly be the result of </w:t>
      </w:r>
      <w:r w:rsidR="00BC6363">
        <w:t>cyclical weakness in the labour market during this period</w:t>
      </w:r>
      <w:r>
        <w:t xml:space="preserve"> (</w:t>
      </w:r>
      <w:r w:rsidR="00314A72">
        <w:t xml:space="preserve">which </w:t>
      </w:r>
      <w:r w:rsidR="00D014C5">
        <w:t>can</w:t>
      </w:r>
      <w:r w:rsidR="00314A72">
        <w:t xml:space="preserve"> lead young people to instead pursue education</w:t>
      </w:r>
      <w:r>
        <w:t xml:space="preserve">) there have also been significant policy changes that might have affected educational attendance rates. In particular, the school leaving age increased from 15 or 16 years of age to 17 </w:t>
      </w:r>
      <w:r w:rsidR="005A3EA2">
        <w:t xml:space="preserve">years </w:t>
      </w:r>
      <w:r>
        <w:t>across all states and territories between 2006 and 2010</w:t>
      </w:r>
      <w:r w:rsidR="003B023E">
        <w:t xml:space="preserve"> (</w:t>
      </w:r>
      <w:r w:rsidR="00976E71">
        <w:t xml:space="preserve">ACARA </w:t>
      </w:r>
      <w:r w:rsidR="003B023E">
        <w:t>2011)</w:t>
      </w:r>
      <w:r>
        <w:t>. These changes have likely resulted in structural shifts in the level of educational attendance rates for this age group.</w:t>
      </w:r>
      <w:r w:rsidR="00B925B8">
        <w:t xml:space="preserve"> Educational attendance rates since 2010 have also been affected by the introduction of the ‘demand driven university’ policy which meant that constraints on the number of university places for domestic students were eased. Between 2009 and 2017, the number of domestic students incre</w:t>
      </w:r>
      <w:r w:rsidR="005430A0">
        <w:t>ased from 577,000 to 769,000 (Productivity Commission</w:t>
      </w:r>
      <w:r w:rsidR="00B925B8">
        <w:t xml:space="preserve"> 2019).</w:t>
      </w:r>
    </w:p>
    <w:p w14:paraId="118BDD0A" w14:textId="1D56C6D8" w:rsidR="00BC6363" w:rsidRPr="00890410" w:rsidRDefault="00BC6363" w:rsidP="00B164C7">
      <w:pPr>
        <w:pStyle w:val="ChartMainHeading"/>
      </w:pPr>
      <w:r w:rsidRPr="00890410">
        <w:t xml:space="preserve">Chart </w:t>
      </w:r>
      <w:r w:rsidR="00DC2286">
        <w:t>5</w:t>
      </w:r>
      <w:r w:rsidRPr="00890410">
        <w:t xml:space="preserve">: </w:t>
      </w:r>
      <w:r>
        <w:t>Educational attendance</w:t>
      </w:r>
      <w:r w:rsidRPr="00890410">
        <w:t xml:space="preserve"> </w:t>
      </w:r>
      <w:r w:rsidR="00160F82">
        <w:t xml:space="preserve">rates </w:t>
      </w:r>
      <w:r w:rsidRPr="00890410">
        <w:t>by birth cohort</w:t>
      </w:r>
    </w:p>
    <w:tbl>
      <w:tblPr>
        <w:tblStyle w:val="TableGrid"/>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BC6363" w:rsidRPr="00B53C55" w14:paraId="613929A9" w14:textId="77777777" w:rsidTr="00B164C7">
        <w:tc>
          <w:tcPr>
            <w:tcW w:w="4479" w:type="dxa"/>
          </w:tcPr>
          <w:p w14:paraId="6816EA76" w14:textId="77777777" w:rsidR="00BC6363" w:rsidRDefault="00BE5803" w:rsidP="00BE5803">
            <w:pPr>
              <w:pStyle w:val="ChartGraphic"/>
              <w:jc w:val="center"/>
            </w:pPr>
            <w:r>
              <w:t>Males</w:t>
            </w:r>
          </w:p>
          <w:p w14:paraId="3DAB8686" w14:textId="2DEF1043" w:rsidR="00BE5803" w:rsidRPr="00BE5803" w:rsidRDefault="006B6FA8" w:rsidP="001B4FA6">
            <w:pPr>
              <w:spacing w:after="0"/>
            </w:pPr>
            <w:r w:rsidRPr="006B6FA8">
              <w:rPr>
                <w:noProof/>
              </w:rPr>
              <w:drawing>
                <wp:inline distT="0" distB="0" distL="0" distR="0" wp14:anchorId="6746996D" wp14:editId="4F6D44A3">
                  <wp:extent cx="2763520" cy="278384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63520" cy="2783840"/>
                          </a:xfrm>
                          <a:prstGeom prst="rect">
                            <a:avLst/>
                          </a:prstGeom>
                          <a:noFill/>
                          <a:ln>
                            <a:noFill/>
                          </a:ln>
                        </pic:spPr>
                      </pic:pic>
                    </a:graphicData>
                  </a:graphic>
                </wp:inline>
              </w:drawing>
            </w:r>
          </w:p>
        </w:tc>
        <w:tc>
          <w:tcPr>
            <w:tcW w:w="4479" w:type="dxa"/>
          </w:tcPr>
          <w:p w14:paraId="160002F4" w14:textId="77777777" w:rsidR="00BC6363" w:rsidRDefault="006B6FA8" w:rsidP="006B6FA8">
            <w:pPr>
              <w:pStyle w:val="ChartGraphic"/>
              <w:jc w:val="center"/>
            </w:pPr>
            <w:r>
              <w:t>Females</w:t>
            </w:r>
          </w:p>
          <w:p w14:paraId="78549DDD" w14:textId="2AF3E2FD" w:rsidR="006B6FA8" w:rsidRPr="006B6FA8" w:rsidRDefault="006B6FA8" w:rsidP="001B4FA6">
            <w:pPr>
              <w:spacing w:after="0"/>
            </w:pPr>
            <w:r w:rsidRPr="006B6FA8">
              <w:rPr>
                <w:noProof/>
              </w:rPr>
              <w:drawing>
                <wp:inline distT="0" distB="0" distL="0" distR="0" wp14:anchorId="397DD5B9" wp14:editId="2D8D90AC">
                  <wp:extent cx="2763520" cy="278384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63520" cy="2783840"/>
                          </a:xfrm>
                          <a:prstGeom prst="rect">
                            <a:avLst/>
                          </a:prstGeom>
                          <a:noFill/>
                          <a:ln>
                            <a:noFill/>
                          </a:ln>
                        </pic:spPr>
                      </pic:pic>
                    </a:graphicData>
                  </a:graphic>
                </wp:inline>
              </w:drawing>
            </w:r>
          </w:p>
        </w:tc>
      </w:tr>
      <w:tr w:rsidR="006B6FA8" w:rsidRPr="00B53C55" w14:paraId="59FDE092" w14:textId="77777777" w:rsidTr="003F5297">
        <w:tc>
          <w:tcPr>
            <w:tcW w:w="8958" w:type="dxa"/>
            <w:gridSpan w:val="2"/>
          </w:tcPr>
          <w:p w14:paraId="373727C7" w14:textId="1FCED2B4" w:rsidR="006B6FA8" w:rsidRDefault="001B4FA6" w:rsidP="006B6FA8">
            <w:pPr>
              <w:pStyle w:val="ChartGraphic"/>
              <w:jc w:val="center"/>
            </w:pPr>
            <w:r w:rsidRPr="001B4FA6">
              <w:rPr>
                <w:noProof/>
              </w:rPr>
              <w:drawing>
                <wp:inline distT="0" distB="0" distL="0" distR="0" wp14:anchorId="29653DC7" wp14:editId="75A9F843">
                  <wp:extent cx="4189730" cy="7715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7292" b="8333"/>
                          <a:stretch/>
                        </pic:blipFill>
                        <pic:spPr bwMode="auto">
                          <a:xfrm>
                            <a:off x="0" y="0"/>
                            <a:ext cx="4189730" cy="7715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9001454" w14:textId="003B6BD6" w:rsidR="00BC6363" w:rsidRDefault="00BC6363" w:rsidP="00321D08">
      <w:pPr>
        <w:pStyle w:val="Source"/>
        <w:spacing w:before="120"/>
      </w:pPr>
      <w:r w:rsidRPr="009A33B1">
        <w:t>Source:</w:t>
      </w:r>
      <w:r w:rsidR="00321D08">
        <w:tab/>
      </w:r>
      <w:r w:rsidRPr="009A33B1">
        <w:t xml:space="preserve">ABS Cat. No. </w:t>
      </w:r>
      <w:r w:rsidR="00605311">
        <w:t>6202</w:t>
      </w:r>
      <w:r w:rsidRPr="009A33B1">
        <w:t xml:space="preserve">; ABS Cat. No. </w:t>
      </w:r>
      <w:r w:rsidR="00605311">
        <w:t>6227</w:t>
      </w:r>
      <w:r w:rsidRPr="009A33B1">
        <w:t>; Authors’ calculations</w:t>
      </w:r>
      <w:r w:rsidR="008F34A3">
        <w:t>.</w:t>
      </w:r>
    </w:p>
    <w:p w14:paraId="4318D5D9" w14:textId="12E3B60E" w:rsidR="00BC6363" w:rsidRPr="00494029" w:rsidRDefault="00BC6363" w:rsidP="00422BA9">
      <w:pPr>
        <w:pStyle w:val="Heading3NotNumbered"/>
      </w:pPr>
      <w:r w:rsidRPr="00494029">
        <w:lastRenderedPageBreak/>
        <w:t>Fertility rates</w:t>
      </w:r>
    </w:p>
    <w:p w14:paraId="25393C74" w14:textId="742AFEEC" w:rsidR="00BC6363" w:rsidRPr="00494029" w:rsidRDefault="00232329" w:rsidP="00BC6363">
      <w:r w:rsidRPr="00494029">
        <w:t>T</w:t>
      </w:r>
      <w:r w:rsidR="00BC6363" w:rsidRPr="00494029">
        <w:t>he birth of a child is associated with a</w:t>
      </w:r>
      <w:r w:rsidR="00581A16">
        <w:t>t</w:t>
      </w:r>
      <w:r w:rsidR="00BC6363" w:rsidRPr="00494029">
        <w:t xml:space="preserve"> least some time away from the labour market</w:t>
      </w:r>
      <w:r w:rsidRPr="00494029">
        <w:t>. As such, w</w:t>
      </w:r>
      <w:r w:rsidR="00BC6363" w:rsidRPr="00494029">
        <w:t xml:space="preserve">e expect a negative relationship between fertility rates and female participation rates around the ages that women generally have children. As with participation rates, there are two main aspects of fertility rates that are of interest here. The first is how fertility rates change </w:t>
      </w:r>
      <w:r w:rsidR="00966265" w:rsidRPr="00494029">
        <w:t>with age</w:t>
      </w:r>
      <w:r w:rsidRPr="00494029">
        <w:t xml:space="preserve">, </w:t>
      </w:r>
      <w:r w:rsidR="00BC6363" w:rsidRPr="00494029">
        <w:t>corresponding to the age profile for the participation rates</w:t>
      </w:r>
      <w:r w:rsidRPr="00494029">
        <w:t>. Th</w:t>
      </w:r>
      <w:r w:rsidR="00BC6363" w:rsidRPr="00494029">
        <w:t>e second is systematic variations in the level and timing of fertility between different birth cohorts.</w:t>
      </w:r>
    </w:p>
    <w:p w14:paraId="6FC73E77" w14:textId="02A4ABCA" w:rsidR="0087627A" w:rsidRDefault="001B7911" w:rsidP="00BC6363">
      <w:r w:rsidRPr="00494029">
        <w:t xml:space="preserve">In order to </w:t>
      </w:r>
      <w:r w:rsidR="00581A16">
        <w:t xml:space="preserve">capture </w:t>
      </w:r>
      <w:r w:rsidR="0083299E">
        <w:t xml:space="preserve">not only how </w:t>
      </w:r>
      <w:r w:rsidRPr="00494029">
        <w:t xml:space="preserve">child birth affects female participation rate decisions </w:t>
      </w:r>
      <w:r w:rsidR="0083299E">
        <w:t xml:space="preserve">in the same year as the birth, </w:t>
      </w:r>
      <w:r w:rsidRPr="00494029">
        <w:t xml:space="preserve">we </w:t>
      </w:r>
      <w:r>
        <w:t>use fertility rate data to calculate</w:t>
      </w:r>
      <w:r w:rsidRPr="00494029">
        <w:t xml:space="preserve"> the number of children born </w:t>
      </w:r>
      <w:r w:rsidR="0087627A">
        <w:t xml:space="preserve">per women </w:t>
      </w:r>
      <w:r w:rsidRPr="00494029">
        <w:t>in an age group over the past six years (including the current year).</w:t>
      </w:r>
      <w:r>
        <w:t xml:space="preserve"> This is done to account for the fact that participation rates are not only going to be affected in the year that a child is born but also in subsequent years.</w:t>
      </w:r>
      <w:r w:rsidR="00CA1B42">
        <w:t xml:space="preserve"> </w:t>
      </w:r>
      <w:r w:rsidR="00DF4515">
        <w:t xml:space="preserve">Including children born in the past </w:t>
      </w:r>
      <w:r w:rsidR="00030A40">
        <w:t>six</w:t>
      </w:r>
      <w:r w:rsidR="00DF4515">
        <w:t xml:space="preserve"> years is consistent with the children being legally required to attend school from the age of six</w:t>
      </w:r>
      <w:r w:rsidR="00030A40">
        <w:t xml:space="preserve"> in most states and territories.</w:t>
      </w:r>
      <w:r w:rsidR="0083299E">
        <w:t xml:space="preserve"> We include this variable for age groups 20</w:t>
      </w:r>
      <w:r w:rsidR="008E0076">
        <w:t xml:space="preserve"> to </w:t>
      </w:r>
      <w:r w:rsidR="0083299E">
        <w:t>24</w:t>
      </w:r>
      <w:r w:rsidR="00454141">
        <w:t>, 25 to 29, 35 to 39</w:t>
      </w:r>
      <w:r w:rsidR="0083299E">
        <w:t xml:space="preserve"> and 40</w:t>
      </w:r>
      <w:r w:rsidR="008E0076">
        <w:t xml:space="preserve"> to </w:t>
      </w:r>
      <w:r w:rsidR="0083299E">
        <w:t>44. We exclude the variable for age groups 15</w:t>
      </w:r>
      <w:r w:rsidR="0061335C">
        <w:t xml:space="preserve"> to </w:t>
      </w:r>
      <w:r w:rsidR="0083299E">
        <w:t>19 and 4</w:t>
      </w:r>
      <w:r w:rsidR="00373E99">
        <w:t>5</w:t>
      </w:r>
      <w:r w:rsidR="0061335C">
        <w:t xml:space="preserve"> to </w:t>
      </w:r>
      <w:r w:rsidR="0083299E">
        <w:t>4</w:t>
      </w:r>
      <w:r w:rsidR="00373E99">
        <w:t>9</w:t>
      </w:r>
      <w:r w:rsidR="0083299E">
        <w:t xml:space="preserve"> as fertility rates for these groups are too low to have any meaningful impact on the level of participation.</w:t>
      </w:r>
      <w:r w:rsidR="00454141">
        <w:t xml:space="preserve"> We also exclude the variable for the 30 to 34 age group as</w:t>
      </w:r>
      <w:r w:rsidR="00955961">
        <w:t>,</w:t>
      </w:r>
      <w:r w:rsidR="00454141">
        <w:t xml:space="preserve"> </w:t>
      </w:r>
      <w:r w:rsidR="00B56A47">
        <w:t>if included, the m</w:t>
      </w:r>
      <w:r w:rsidR="00454141">
        <w:t xml:space="preserve">odel suggests an implausible positive participation rate effect of </w:t>
      </w:r>
      <w:r w:rsidR="00B56A47">
        <w:t>more children.</w:t>
      </w:r>
      <w:r w:rsidR="00CA62E4">
        <w:t xml:space="preserve"> This is likely because of the omission of other relevant variables, </w:t>
      </w:r>
      <w:r w:rsidR="00944121">
        <w:t>and</w:t>
      </w:r>
      <w:r w:rsidR="00CA62E4">
        <w:t xml:space="preserve"> </w:t>
      </w:r>
      <w:r w:rsidR="001E368F">
        <w:t xml:space="preserve">what </w:t>
      </w:r>
      <w:r w:rsidR="00CA62E4">
        <w:t>the</w:t>
      </w:r>
      <w:r w:rsidR="00944121">
        <w:t xml:space="preserve"> </w:t>
      </w:r>
      <w:r w:rsidR="005E1BF6">
        <w:t xml:space="preserve">model </w:t>
      </w:r>
      <w:r w:rsidR="00CA62E4">
        <w:t>picks up</w:t>
      </w:r>
      <w:r w:rsidR="001E368F">
        <w:t xml:space="preserve"> is</w:t>
      </w:r>
      <w:r w:rsidR="00CA62E4">
        <w:t xml:space="preserve"> that both participation and fertility rates have increased at these ages.</w:t>
      </w:r>
    </w:p>
    <w:p w14:paraId="1FD0E404" w14:textId="17CCAD08" w:rsidR="00BC6363" w:rsidRPr="00766B4C" w:rsidRDefault="00232329" w:rsidP="00BC6363">
      <w:pPr>
        <w:rPr>
          <w:highlight w:val="yellow"/>
        </w:rPr>
      </w:pPr>
      <w:r w:rsidRPr="00494029">
        <w:t xml:space="preserve">The </w:t>
      </w:r>
      <w:r w:rsidR="00B53265" w:rsidRPr="00494029">
        <w:t>key development</w:t>
      </w:r>
      <w:r w:rsidRPr="00494029">
        <w:t xml:space="preserve"> is that women are having </w:t>
      </w:r>
      <w:r w:rsidR="00EB2C99" w:rsidRPr="00494029">
        <w:t xml:space="preserve">children </w:t>
      </w:r>
      <w:r w:rsidR="00B53265" w:rsidRPr="00494029">
        <w:t>lat</w:t>
      </w:r>
      <w:r w:rsidRPr="00494029">
        <w:t>er in life</w:t>
      </w:r>
      <w:r w:rsidR="00913C1C" w:rsidRPr="00494029">
        <w:t xml:space="preserve">. </w:t>
      </w:r>
      <w:r w:rsidR="00BC6363" w:rsidRPr="00494029">
        <w:t xml:space="preserve">These profiles show that in the last 50 years or so women </w:t>
      </w:r>
      <w:r w:rsidR="00B53265" w:rsidRPr="00494029">
        <w:t>have moved to have</w:t>
      </w:r>
      <w:r w:rsidR="00BC6363" w:rsidRPr="00494029">
        <w:t xml:space="preserve"> children much </w:t>
      </w:r>
      <w:proofErr w:type="gramStart"/>
      <w:r w:rsidR="00BC6363" w:rsidRPr="00494029">
        <w:t>later on</w:t>
      </w:r>
      <w:proofErr w:type="gramEnd"/>
      <w:r w:rsidR="00BC6363" w:rsidRPr="00494029">
        <w:t xml:space="preserve"> average (Chart </w:t>
      </w:r>
      <w:r w:rsidR="00AA76BD">
        <w:t>6</w:t>
      </w:r>
      <w:r w:rsidR="00BC6363" w:rsidRPr="00494029">
        <w:t xml:space="preserve">). For </w:t>
      </w:r>
      <w:r w:rsidR="00B53265" w:rsidRPr="00494029">
        <w:t xml:space="preserve">instance, </w:t>
      </w:r>
      <w:r w:rsidR="00BC6363" w:rsidRPr="00494029">
        <w:t>the cohort born in 195</w:t>
      </w:r>
      <w:r w:rsidR="00983E39">
        <w:t>4</w:t>
      </w:r>
      <w:r w:rsidR="00BC6363" w:rsidRPr="00494029">
        <w:t>-5</w:t>
      </w:r>
      <w:r w:rsidR="00983E39">
        <w:t>8</w:t>
      </w:r>
      <w:r w:rsidR="0087627A">
        <w:t xml:space="preserve"> had given birth to just </w:t>
      </w:r>
      <w:r w:rsidR="00983E39">
        <w:t xml:space="preserve">under </w:t>
      </w:r>
      <w:r w:rsidR="0087627A">
        <w:t>800 children</w:t>
      </w:r>
      <w:r w:rsidR="00A61A33">
        <w:t xml:space="preserve"> (</w:t>
      </w:r>
      <w:r w:rsidR="005E52F0">
        <w:t>over</w:t>
      </w:r>
      <w:r w:rsidR="00A61A33">
        <w:t xml:space="preserve"> the </w:t>
      </w:r>
      <w:r w:rsidR="005E52F0">
        <w:t>p</w:t>
      </w:r>
      <w:r w:rsidR="00A61A33">
        <w:t>ast 6</w:t>
      </w:r>
      <w:r w:rsidR="008F34A3">
        <w:t> </w:t>
      </w:r>
      <w:r w:rsidR="00A61A33">
        <w:t>years)</w:t>
      </w:r>
      <w:r w:rsidR="0087627A">
        <w:t xml:space="preserve"> </w:t>
      </w:r>
      <w:r w:rsidR="004B4B23">
        <w:t xml:space="preserve">per 1000 women </w:t>
      </w:r>
      <w:r w:rsidR="0087627A">
        <w:t>when aged 25</w:t>
      </w:r>
      <w:r w:rsidR="00637462">
        <w:t xml:space="preserve"> to </w:t>
      </w:r>
      <w:r w:rsidR="0087627A" w:rsidRPr="0087627A">
        <w:t>29,</w:t>
      </w:r>
      <w:r w:rsidR="00BC6363" w:rsidRPr="00494029">
        <w:t xml:space="preserve"> compared with </w:t>
      </w:r>
      <w:r w:rsidR="005C4B01" w:rsidRPr="00494029">
        <w:t xml:space="preserve">just </w:t>
      </w:r>
      <w:r w:rsidR="0087627A" w:rsidRPr="00494029">
        <w:t>o</w:t>
      </w:r>
      <w:r w:rsidR="005C42DE">
        <w:t>ver 45</w:t>
      </w:r>
      <w:r w:rsidR="0087627A" w:rsidRPr="00494029">
        <w:t xml:space="preserve">0 </w:t>
      </w:r>
      <w:r w:rsidR="00BC6363" w:rsidRPr="00494029">
        <w:t xml:space="preserve">for the cohort born in </w:t>
      </w:r>
      <w:r w:rsidR="00EF1D65" w:rsidRPr="00494029">
        <w:t>19</w:t>
      </w:r>
      <w:r w:rsidR="00EF1D65">
        <w:t>7</w:t>
      </w:r>
      <w:r w:rsidR="00983E39">
        <w:t>9</w:t>
      </w:r>
      <w:r w:rsidR="0061335C">
        <w:t xml:space="preserve"> to 19</w:t>
      </w:r>
      <w:r w:rsidR="005C42DE">
        <w:t>8</w:t>
      </w:r>
      <w:r w:rsidR="00983E39">
        <w:t>3</w:t>
      </w:r>
      <w:r w:rsidR="00BC6363" w:rsidRPr="00494029">
        <w:t xml:space="preserve">. </w:t>
      </w:r>
      <w:r w:rsidR="005C4B01" w:rsidRPr="00494029">
        <w:t>But when aged 30</w:t>
      </w:r>
      <w:r w:rsidR="00637462">
        <w:t xml:space="preserve"> to </w:t>
      </w:r>
      <w:r w:rsidR="005C4B01" w:rsidRPr="00494029">
        <w:t xml:space="preserve">34, the </w:t>
      </w:r>
      <w:r w:rsidR="00BC6363" w:rsidRPr="00494029">
        <w:t xml:space="preserve">same cohorts had </w:t>
      </w:r>
      <w:r w:rsidR="005C42DE">
        <w:t xml:space="preserve">both </w:t>
      </w:r>
      <w:r w:rsidR="0087627A" w:rsidRPr="00494029">
        <w:t>given birth</w:t>
      </w:r>
      <w:r w:rsidR="005C42DE">
        <w:t xml:space="preserve"> to around 700</w:t>
      </w:r>
      <w:r w:rsidR="008F34A3">
        <w:t> </w:t>
      </w:r>
      <w:r w:rsidR="005C42DE">
        <w:t>children per 100</w:t>
      </w:r>
      <w:r w:rsidR="00EF1D65">
        <w:t>0</w:t>
      </w:r>
      <w:r w:rsidR="005C42DE">
        <w:t xml:space="preserve"> women</w:t>
      </w:r>
      <w:r w:rsidR="00BC6363" w:rsidRPr="00494029">
        <w:t xml:space="preserve">. </w:t>
      </w:r>
      <w:r w:rsidR="00DB4B1A" w:rsidRPr="00494029">
        <w:t>So,</w:t>
      </w:r>
      <w:r w:rsidR="005C4B01" w:rsidRPr="00494029">
        <w:t xml:space="preserve"> whereas </w:t>
      </w:r>
      <w:r w:rsidR="00913C1C" w:rsidRPr="00494029">
        <w:t xml:space="preserve">the </w:t>
      </w:r>
      <w:r w:rsidR="00042C8F" w:rsidRPr="00494029">
        <w:t xml:space="preserve">number of children </w:t>
      </w:r>
      <w:r w:rsidR="00913C1C" w:rsidRPr="00494029">
        <w:t>for the 195</w:t>
      </w:r>
      <w:r w:rsidR="001C676C">
        <w:t>3</w:t>
      </w:r>
      <w:r w:rsidR="0061335C">
        <w:t xml:space="preserve"> to 19</w:t>
      </w:r>
      <w:r w:rsidR="00913C1C" w:rsidRPr="00494029">
        <w:t>5</w:t>
      </w:r>
      <w:r w:rsidR="001C676C">
        <w:t>7</w:t>
      </w:r>
      <w:r w:rsidR="00913C1C" w:rsidRPr="00494029">
        <w:t xml:space="preserve"> cohort peaked at age 25</w:t>
      </w:r>
      <w:r w:rsidR="006529A4">
        <w:t xml:space="preserve"> </w:t>
      </w:r>
      <w:r w:rsidR="00637462">
        <w:t xml:space="preserve">to </w:t>
      </w:r>
      <w:r w:rsidR="00913C1C" w:rsidRPr="00494029">
        <w:t xml:space="preserve">29, for the </w:t>
      </w:r>
      <w:r w:rsidR="00042C8F" w:rsidRPr="00494029">
        <w:t>1978</w:t>
      </w:r>
      <w:r w:rsidR="0061335C">
        <w:t xml:space="preserve"> to 19</w:t>
      </w:r>
      <w:r w:rsidR="00042C8F" w:rsidRPr="00494029">
        <w:t>82</w:t>
      </w:r>
      <w:r w:rsidR="00913C1C" w:rsidRPr="00494029">
        <w:t xml:space="preserve"> cohort it peaked at age 30</w:t>
      </w:r>
      <w:r w:rsidR="00637462">
        <w:t xml:space="preserve"> to </w:t>
      </w:r>
      <w:r w:rsidR="00913C1C" w:rsidRPr="00494029">
        <w:t xml:space="preserve">34. </w:t>
      </w:r>
      <w:r w:rsidR="00BA5E9E" w:rsidRPr="00494029">
        <w:t>Mean</w:t>
      </w:r>
      <w:r w:rsidR="00BA5E9E">
        <w:t>while,</w:t>
      </w:r>
      <w:r w:rsidR="00BA5E9E" w:rsidRPr="00494029">
        <w:t xml:space="preserve"> women aged 15</w:t>
      </w:r>
      <w:r w:rsidR="00637462">
        <w:t xml:space="preserve"> to </w:t>
      </w:r>
      <w:r w:rsidR="00BA5E9E" w:rsidRPr="00494029">
        <w:t xml:space="preserve">24 </w:t>
      </w:r>
      <w:r w:rsidR="00BA5E9E">
        <w:t xml:space="preserve">have fewer </w:t>
      </w:r>
      <w:r w:rsidR="00BA5E9E" w:rsidRPr="00494029">
        <w:t>children aged under 6</w:t>
      </w:r>
      <w:r w:rsidR="00BA5E9E">
        <w:t>, whereas</w:t>
      </w:r>
      <w:r w:rsidR="00BA5E9E" w:rsidRPr="00494029">
        <w:t xml:space="preserve"> women aged 35</w:t>
      </w:r>
      <w:r w:rsidR="00637462">
        <w:t xml:space="preserve"> to </w:t>
      </w:r>
      <w:r w:rsidR="00BA5E9E" w:rsidRPr="00494029">
        <w:t>49</w:t>
      </w:r>
      <w:r w:rsidR="00BA5E9E">
        <w:t xml:space="preserve"> have more.</w:t>
      </w:r>
      <w:r w:rsidR="00913C1C" w:rsidRPr="00494029">
        <w:t xml:space="preserve"> In other words,</w:t>
      </w:r>
      <w:r w:rsidR="00BC6363" w:rsidRPr="00494029">
        <w:t xml:space="preserve"> the whole distribution has shifted towards older ages.</w:t>
      </w:r>
    </w:p>
    <w:p w14:paraId="2BC837EF" w14:textId="5E14E022" w:rsidR="00BC6363" w:rsidRPr="00494029" w:rsidRDefault="00BC6363" w:rsidP="00BC6363">
      <w:r w:rsidRPr="00494029">
        <w:t xml:space="preserve">These changes align well with the large upward shifts in full-time participation </w:t>
      </w:r>
      <w:r w:rsidR="00913C1C" w:rsidRPr="00494029">
        <w:t>for women</w:t>
      </w:r>
      <w:r w:rsidRPr="00494029">
        <w:t xml:space="preserve"> </w:t>
      </w:r>
      <w:r w:rsidR="00913C1C" w:rsidRPr="00494029">
        <w:t>aged</w:t>
      </w:r>
      <w:r w:rsidRPr="00494029">
        <w:t xml:space="preserve"> 25</w:t>
      </w:r>
      <w:r w:rsidR="008F34A3">
        <w:t> </w:t>
      </w:r>
      <w:r w:rsidR="00637462">
        <w:t xml:space="preserve">to </w:t>
      </w:r>
      <w:r w:rsidRPr="00494029">
        <w:t xml:space="preserve">29. </w:t>
      </w:r>
      <w:r w:rsidR="00913C1C" w:rsidRPr="00494029">
        <w:t>But</w:t>
      </w:r>
      <w:r w:rsidRPr="00494029">
        <w:t xml:space="preserve"> </w:t>
      </w:r>
      <w:r w:rsidR="00913C1C" w:rsidRPr="00494029">
        <w:t>they are</w:t>
      </w:r>
      <w:r w:rsidRPr="00494029">
        <w:t xml:space="preserve"> </w:t>
      </w:r>
      <w:r w:rsidR="00913C1C" w:rsidRPr="00494029">
        <w:t>harder</w:t>
      </w:r>
      <w:r w:rsidRPr="00494029">
        <w:t xml:space="preserve"> to reconcile with increasing full-time participation rates </w:t>
      </w:r>
      <w:r w:rsidR="00913C1C" w:rsidRPr="00494029">
        <w:t>for women aged</w:t>
      </w:r>
      <w:r w:rsidRPr="00494029">
        <w:t xml:space="preserve"> 30</w:t>
      </w:r>
      <w:r w:rsidR="00637462">
        <w:t xml:space="preserve"> to </w:t>
      </w:r>
      <w:r w:rsidRPr="00494029">
        <w:t xml:space="preserve">34. </w:t>
      </w:r>
      <w:r w:rsidR="005A610A">
        <w:t>Part of the explanation</w:t>
      </w:r>
      <w:r w:rsidR="00AA47AF" w:rsidRPr="00494029">
        <w:t xml:space="preserve"> </w:t>
      </w:r>
      <w:r w:rsidR="005A610A">
        <w:t>could be that</w:t>
      </w:r>
      <w:r w:rsidR="00913C1C" w:rsidRPr="00494029">
        <w:t xml:space="preserve"> </w:t>
      </w:r>
      <w:r w:rsidRPr="00494029">
        <w:t xml:space="preserve">women spend </w:t>
      </w:r>
      <w:r w:rsidR="00AA47AF" w:rsidRPr="00494029">
        <w:t xml:space="preserve">less time </w:t>
      </w:r>
      <w:r w:rsidR="005A610A">
        <w:t>away from</w:t>
      </w:r>
      <w:r w:rsidRPr="00494029">
        <w:t xml:space="preserve"> the labour market following the birth of a child</w:t>
      </w:r>
      <w:r w:rsidR="005A610A">
        <w:t xml:space="preserve"> over time</w:t>
      </w:r>
      <w:r w:rsidR="00CA62E4">
        <w:t>, potentially due to childcare having become more accessible and increased sharing of parenting responsibilities between men and women</w:t>
      </w:r>
      <w:r w:rsidR="00AA47AF" w:rsidRPr="00494029">
        <w:t>. Another is that</w:t>
      </w:r>
      <w:r w:rsidRPr="00494029">
        <w:t xml:space="preserve"> positive birth cohort effects are pushing up participation rates for women who are not having children at this age.</w:t>
      </w:r>
    </w:p>
    <w:p w14:paraId="6B455D00" w14:textId="77777777" w:rsidR="00B164C7" w:rsidRDefault="00BC6363" w:rsidP="00B164C7">
      <w:pPr>
        <w:pStyle w:val="ChartMainHeading"/>
        <w:rPr>
          <w:lang w:val="en-US"/>
        </w:rPr>
      </w:pPr>
      <w:r w:rsidRPr="00494029">
        <w:rPr>
          <w:lang w:val="en-US"/>
        </w:rPr>
        <w:lastRenderedPageBreak/>
        <w:t xml:space="preserve">Chart </w:t>
      </w:r>
      <w:r w:rsidR="00AA76BD">
        <w:rPr>
          <w:lang w:val="en-US"/>
        </w:rPr>
        <w:t>6</w:t>
      </w:r>
      <w:r w:rsidRPr="00494029">
        <w:rPr>
          <w:lang w:val="en-US"/>
        </w:rPr>
        <w:t xml:space="preserve">: </w:t>
      </w:r>
      <w:r w:rsidR="00824426" w:rsidRPr="00494029">
        <w:rPr>
          <w:lang w:val="en-US"/>
        </w:rPr>
        <w:t>Children per 1000 women</w:t>
      </w:r>
      <w:r w:rsidRPr="00494029">
        <w:rPr>
          <w:lang w:val="en-US"/>
        </w:rPr>
        <w:t xml:space="preserve"> by </w:t>
      </w:r>
      <w:r w:rsidR="00824426" w:rsidRPr="00494029">
        <w:rPr>
          <w:lang w:val="en-US"/>
        </w:rPr>
        <w:t>b</w:t>
      </w:r>
      <w:r w:rsidRPr="00494029">
        <w:rPr>
          <w:lang w:val="en-US"/>
        </w:rPr>
        <w:t xml:space="preserve">irth </w:t>
      </w:r>
      <w:r w:rsidR="00824426" w:rsidRPr="00494029">
        <w:rPr>
          <w:lang w:val="en-US"/>
        </w:rPr>
        <w:t>c</w:t>
      </w:r>
      <w:r w:rsidRPr="00494029">
        <w:rPr>
          <w:lang w:val="en-US"/>
        </w:rPr>
        <w:t>ohort</w:t>
      </w:r>
    </w:p>
    <w:p w14:paraId="6C491A2C" w14:textId="30B91B73" w:rsidR="00BC6363" w:rsidRPr="00494029" w:rsidRDefault="0046746C" w:rsidP="00B164C7">
      <w:pPr>
        <w:pStyle w:val="ChartGraphic"/>
      </w:pPr>
      <w:r w:rsidRPr="0046746C">
        <w:rPr>
          <w:noProof/>
        </w:rPr>
        <w:drawing>
          <wp:inline distT="0" distB="0" distL="0" distR="0" wp14:anchorId="7B0DF892" wp14:editId="532BE2A3">
            <wp:extent cx="5496560" cy="4229100"/>
            <wp:effectExtent l="0" t="0" r="889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536" t="1100" b="1174"/>
                    <a:stretch/>
                  </pic:blipFill>
                  <pic:spPr bwMode="auto">
                    <a:xfrm>
                      <a:off x="0" y="0"/>
                      <a:ext cx="5496560" cy="4229100"/>
                    </a:xfrm>
                    <a:prstGeom prst="rect">
                      <a:avLst/>
                    </a:prstGeom>
                    <a:noFill/>
                    <a:ln>
                      <a:noFill/>
                    </a:ln>
                    <a:extLst>
                      <a:ext uri="{53640926-AAD7-44D8-BBD7-CCE9431645EC}">
                        <a14:shadowObscured xmlns:a14="http://schemas.microsoft.com/office/drawing/2010/main"/>
                      </a:ext>
                    </a:extLst>
                  </pic:spPr>
                </pic:pic>
              </a:graphicData>
            </a:graphic>
          </wp:inline>
        </w:drawing>
      </w:r>
    </w:p>
    <w:p w14:paraId="4B7DFE7F" w14:textId="15E6AA2D" w:rsidR="00BC6363" w:rsidRDefault="00BC6363" w:rsidP="00321D08">
      <w:pPr>
        <w:pStyle w:val="Source"/>
        <w:spacing w:before="120"/>
      </w:pPr>
      <w:r w:rsidRPr="00494029">
        <w:t>Source:</w:t>
      </w:r>
      <w:r w:rsidR="00321D08">
        <w:tab/>
      </w:r>
      <w:r w:rsidRPr="00494029">
        <w:t>ABS Cat. No. 3301; Authors’ calculations</w:t>
      </w:r>
    </w:p>
    <w:p w14:paraId="50D9CE9D" w14:textId="77777777" w:rsidR="003C28AF" w:rsidRPr="003C28AF" w:rsidRDefault="003C28AF" w:rsidP="003C28AF"/>
    <w:p w14:paraId="20BB25F1" w14:textId="55A25D15" w:rsidR="00CE5ED8" w:rsidRDefault="00CE5ED8" w:rsidP="00422BA9">
      <w:pPr>
        <w:pStyle w:val="Heading3NotNumbered"/>
      </w:pPr>
      <w:r>
        <w:t xml:space="preserve">Policy </w:t>
      </w:r>
      <w:r w:rsidR="00657D93">
        <w:t>developments</w:t>
      </w:r>
      <w:r w:rsidR="00A5774E">
        <w:t xml:space="preserve"> (1978 to 2020)</w:t>
      </w:r>
    </w:p>
    <w:p w14:paraId="29D3CDE2" w14:textId="11C04804" w:rsidR="00CE5ED8" w:rsidRDefault="00117BBB">
      <w:pPr>
        <w:rPr>
          <w:lang w:val="en-US" w:eastAsia="en-AU"/>
        </w:rPr>
      </w:pPr>
      <w:r>
        <w:rPr>
          <w:lang w:val="en-US" w:eastAsia="en-AU"/>
        </w:rPr>
        <w:t xml:space="preserve">Over the period this paper is studying, there have been </w:t>
      </w:r>
      <w:r w:rsidR="00C70F4A">
        <w:rPr>
          <w:lang w:val="en-US" w:eastAsia="en-AU"/>
        </w:rPr>
        <w:t>many</w:t>
      </w:r>
      <w:r>
        <w:rPr>
          <w:lang w:val="en-US" w:eastAsia="en-AU"/>
        </w:rPr>
        <w:t xml:space="preserve"> government </w:t>
      </w:r>
      <w:proofErr w:type="gramStart"/>
      <w:r>
        <w:rPr>
          <w:lang w:val="en-US" w:eastAsia="en-AU"/>
        </w:rPr>
        <w:t>policy</w:t>
      </w:r>
      <w:proofErr w:type="gramEnd"/>
      <w:r>
        <w:rPr>
          <w:lang w:val="en-US" w:eastAsia="en-AU"/>
        </w:rPr>
        <w:t xml:space="preserve"> changes that are likely to have affected participation rates for different </w:t>
      </w:r>
      <w:r w:rsidR="00A5774E">
        <w:rPr>
          <w:lang w:val="en-US" w:eastAsia="en-AU"/>
        </w:rPr>
        <w:t xml:space="preserve">birth </w:t>
      </w:r>
      <w:r>
        <w:rPr>
          <w:lang w:val="en-US" w:eastAsia="en-AU"/>
        </w:rPr>
        <w:t xml:space="preserve">cohorts, </w:t>
      </w:r>
      <w:r w:rsidR="00113224">
        <w:rPr>
          <w:lang w:val="en-US" w:eastAsia="en-AU"/>
        </w:rPr>
        <w:t xml:space="preserve">sexes </w:t>
      </w:r>
      <w:r>
        <w:rPr>
          <w:lang w:val="en-US" w:eastAsia="en-AU"/>
        </w:rPr>
        <w:t xml:space="preserve">and ages. It is not feasible to explicitly </w:t>
      </w:r>
      <w:r w:rsidR="00593C42">
        <w:rPr>
          <w:lang w:val="en-US" w:eastAsia="en-AU"/>
        </w:rPr>
        <w:t xml:space="preserve">incorporate </w:t>
      </w:r>
      <w:r w:rsidR="002D5245">
        <w:rPr>
          <w:lang w:val="en-US" w:eastAsia="en-AU"/>
        </w:rPr>
        <w:t>all</w:t>
      </w:r>
      <w:r w:rsidR="0035503A">
        <w:rPr>
          <w:lang w:val="en-US" w:eastAsia="en-AU"/>
        </w:rPr>
        <w:t xml:space="preserve"> </w:t>
      </w:r>
      <w:r>
        <w:rPr>
          <w:lang w:val="en-US" w:eastAsia="en-AU"/>
        </w:rPr>
        <w:t>these policy changes in the model in this paper. However, for understanding the results and the restrictions put on the model</w:t>
      </w:r>
      <w:r w:rsidR="00C70F4A">
        <w:rPr>
          <w:lang w:val="en-US" w:eastAsia="en-AU"/>
        </w:rPr>
        <w:t>,</w:t>
      </w:r>
      <w:r>
        <w:rPr>
          <w:lang w:val="en-US" w:eastAsia="en-AU"/>
        </w:rPr>
        <w:t xml:space="preserve"> it is important to be aware of some of the main policy developments over the period.</w:t>
      </w:r>
    </w:p>
    <w:p w14:paraId="594A7147" w14:textId="0A805585" w:rsidR="002D5245" w:rsidRPr="002D5245" w:rsidRDefault="000273C6" w:rsidP="002D5245">
      <w:pPr>
        <w:rPr>
          <w:lang w:val="en-US" w:eastAsia="en-AU"/>
        </w:rPr>
      </w:pPr>
      <w:r>
        <w:rPr>
          <w:lang w:val="en-US" w:eastAsia="en-AU"/>
        </w:rPr>
        <w:t>There are many policy changes that have supported (and partly been the result of) the long-term increases in female participation rates. This includes</w:t>
      </w:r>
      <w:r w:rsidR="00A5774E">
        <w:rPr>
          <w:lang w:val="en-US" w:eastAsia="en-AU"/>
        </w:rPr>
        <w:t xml:space="preserve"> policy developments</w:t>
      </w:r>
      <w:r>
        <w:rPr>
          <w:lang w:val="en-US" w:eastAsia="en-AU"/>
        </w:rPr>
        <w:t xml:space="preserve"> </w:t>
      </w:r>
      <w:r w:rsidR="00A5774E">
        <w:rPr>
          <w:lang w:val="en-US" w:eastAsia="en-AU"/>
        </w:rPr>
        <w:t>such as removal of marriage bars</w:t>
      </w:r>
      <w:r w:rsidR="00CA62E4">
        <w:rPr>
          <w:lang w:val="en-US" w:eastAsia="en-AU"/>
        </w:rPr>
        <w:t xml:space="preserve"> (which banned married women from working in the</w:t>
      </w:r>
      <w:r w:rsidR="00217510">
        <w:rPr>
          <w:lang w:val="en-US" w:eastAsia="en-AU"/>
        </w:rPr>
        <w:t xml:space="preserve"> public service)</w:t>
      </w:r>
      <w:r w:rsidR="00A5774E">
        <w:rPr>
          <w:lang w:val="en-US" w:eastAsia="en-AU"/>
        </w:rPr>
        <w:t>, equal pay for work of equal value, and sex discrimination laws</w:t>
      </w:r>
      <w:r>
        <w:rPr>
          <w:lang w:val="en-US" w:eastAsia="en-AU"/>
        </w:rPr>
        <w:t xml:space="preserve">. More recently, </w:t>
      </w:r>
      <w:r w:rsidR="0063199C">
        <w:rPr>
          <w:lang w:val="en-US" w:eastAsia="en-AU"/>
        </w:rPr>
        <w:t xml:space="preserve">there have also been </w:t>
      </w:r>
      <w:r>
        <w:rPr>
          <w:lang w:val="en-US" w:eastAsia="en-AU"/>
        </w:rPr>
        <w:t xml:space="preserve">changes to </w:t>
      </w:r>
      <w:r w:rsidR="0063199C">
        <w:rPr>
          <w:lang w:val="en-US" w:eastAsia="en-AU"/>
        </w:rPr>
        <w:t>childcare</w:t>
      </w:r>
      <w:r>
        <w:rPr>
          <w:lang w:val="en-US" w:eastAsia="en-AU"/>
        </w:rPr>
        <w:t xml:space="preserve"> support</w:t>
      </w:r>
      <w:r w:rsidR="0063199C">
        <w:rPr>
          <w:lang w:val="en-US" w:eastAsia="en-AU"/>
        </w:rPr>
        <w:t xml:space="preserve"> that are likely to have affected participation rates for women at certain ages. </w:t>
      </w:r>
      <w:r>
        <w:rPr>
          <w:lang w:val="en-US" w:eastAsia="en-AU"/>
        </w:rPr>
        <w:t>These</w:t>
      </w:r>
      <w:r w:rsidR="00A5774E">
        <w:rPr>
          <w:lang w:val="en-US" w:eastAsia="en-AU"/>
        </w:rPr>
        <w:t xml:space="preserve"> </w:t>
      </w:r>
      <w:r>
        <w:rPr>
          <w:lang w:val="en-US" w:eastAsia="en-AU"/>
        </w:rPr>
        <w:t xml:space="preserve">developments </w:t>
      </w:r>
      <w:r w:rsidR="00A5774E">
        <w:rPr>
          <w:lang w:val="en-US" w:eastAsia="en-AU"/>
        </w:rPr>
        <w:t>are likely to underly some of the observed cohort effects discussed</w:t>
      </w:r>
      <w:r>
        <w:rPr>
          <w:lang w:val="en-US" w:eastAsia="en-AU"/>
        </w:rPr>
        <w:t xml:space="preserve"> earlier.</w:t>
      </w:r>
    </w:p>
    <w:p w14:paraId="3AFC7EC9" w14:textId="77777777" w:rsidR="003C28AF" w:rsidRDefault="003C28AF">
      <w:pPr>
        <w:spacing w:after="200" w:line="276" w:lineRule="auto"/>
        <w:rPr>
          <w:rFonts w:ascii="Arial" w:hAnsi="Arial"/>
          <w:color w:val="003157"/>
          <w:sz w:val="28"/>
          <w:lang w:val="en-US" w:eastAsia="en-AU"/>
        </w:rPr>
      </w:pPr>
      <w:r>
        <w:br w:type="page"/>
      </w:r>
    </w:p>
    <w:p w14:paraId="74ACC206" w14:textId="7F88B7B4" w:rsidR="00117BBB" w:rsidRPr="00811A3F" w:rsidRDefault="00117BBB" w:rsidP="00422BA9">
      <w:pPr>
        <w:pStyle w:val="Heading3NotNumbered"/>
      </w:pPr>
      <w:r w:rsidRPr="00811A3F">
        <w:lastRenderedPageBreak/>
        <w:t>Age pension eligibility</w:t>
      </w:r>
    </w:p>
    <w:p w14:paraId="487F23CC" w14:textId="761FECE0" w:rsidR="004E2C0F" w:rsidRDefault="00B317E8">
      <w:r>
        <w:rPr>
          <w:lang w:val="en-US" w:eastAsia="en-AU"/>
        </w:rPr>
        <w:t xml:space="preserve">The pension eligibility </w:t>
      </w:r>
      <w:r w:rsidR="006529A4">
        <w:rPr>
          <w:lang w:val="en-US" w:eastAsia="en-AU"/>
        </w:rPr>
        <w:t xml:space="preserve">age </w:t>
      </w:r>
      <w:r>
        <w:rPr>
          <w:lang w:val="en-US" w:eastAsia="en-AU"/>
        </w:rPr>
        <w:t xml:space="preserve">is likely to have a significant effect on when individuals choose to retire, </w:t>
      </w:r>
      <w:proofErr w:type="gramStart"/>
      <w:r>
        <w:rPr>
          <w:lang w:val="en-US" w:eastAsia="en-AU"/>
        </w:rPr>
        <w:t>in particular for</w:t>
      </w:r>
      <w:proofErr w:type="gramEnd"/>
      <w:r>
        <w:rPr>
          <w:lang w:val="en-US" w:eastAsia="en-AU"/>
        </w:rPr>
        <w:t xml:space="preserve"> groups that do not have the financial resources to fund their own retirement. </w:t>
      </w:r>
      <w:r w:rsidR="006A14E2">
        <w:rPr>
          <w:lang w:val="en-US" w:eastAsia="en-AU"/>
        </w:rPr>
        <w:t>Historically</w:t>
      </w:r>
      <w:r w:rsidR="00C70F4A">
        <w:rPr>
          <w:lang w:val="en-US" w:eastAsia="en-AU"/>
        </w:rPr>
        <w:t>,</w:t>
      </w:r>
      <w:r w:rsidR="006A14E2">
        <w:rPr>
          <w:lang w:val="en-US" w:eastAsia="en-AU"/>
        </w:rPr>
        <w:t xml:space="preserve"> the age pension eligibility age has been different for males and females (DSS 2018). </w:t>
      </w:r>
      <w:r w:rsidR="00BB37B1">
        <w:rPr>
          <w:lang w:val="en-US" w:eastAsia="en-AU"/>
        </w:rPr>
        <w:t xml:space="preserve">Until 1995, </w:t>
      </w:r>
      <w:r w:rsidR="00C70F4A">
        <w:rPr>
          <w:lang w:val="en-US" w:eastAsia="en-AU"/>
        </w:rPr>
        <w:t>it</w:t>
      </w:r>
      <w:r w:rsidR="00BB37B1">
        <w:rPr>
          <w:lang w:val="en-US" w:eastAsia="en-AU"/>
        </w:rPr>
        <w:t xml:space="preserve"> was </w:t>
      </w:r>
      <w:r w:rsidR="006A14E2">
        <w:rPr>
          <w:lang w:val="en-US" w:eastAsia="en-AU"/>
        </w:rPr>
        <w:t>65 years</w:t>
      </w:r>
      <w:r w:rsidR="00BB37B1">
        <w:rPr>
          <w:lang w:val="en-US" w:eastAsia="en-AU"/>
        </w:rPr>
        <w:t xml:space="preserve"> </w:t>
      </w:r>
      <w:r w:rsidR="00C70F4A">
        <w:rPr>
          <w:lang w:val="en-US" w:eastAsia="en-AU"/>
        </w:rPr>
        <w:t xml:space="preserve">for males </w:t>
      </w:r>
      <w:r w:rsidR="00BB37B1">
        <w:rPr>
          <w:lang w:val="en-US" w:eastAsia="en-AU"/>
        </w:rPr>
        <w:t>and 60 years for females.</w:t>
      </w:r>
      <w:r w:rsidR="006A14E2">
        <w:rPr>
          <w:lang w:val="en-US" w:eastAsia="en-AU"/>
        </w:rPr>
        <w:t xml:space="preserve"> </w:t>
      </w:r>
      <w:r w:rsidR="002F1235">
        <w:rPr>
          <w:lang w:val="en-US" w:eastAsia="en-AU"/>
        </w:rPr>
        <w:t xml:space="preserve"> However, </w:t>
      </w:r>
      <w:r w:rsidR="00C70F4A">
        <w:rPr>
          <w:lang w:val="en-US" w:eastAsia="en-AU"/>
        </w:rPr>
        <w:t xml:space="preserve">from 1 July 1995 </w:t>
      </w:r>
      <w:r w:rsidR="002F1235">
        <w:rPr>
          <w:lang w:val="en-US" w:eastAsia="en-AU"/>
        </w:rPr>
        <w:t xml:space="preserve">the eligibility age for females increased by </w:t>
      </w:r>
      <w:r w:rsidR="00C70F4A">
        <w:rPr>
          <w:lang w:val="en-US" w:eastAsia="en-AU"/>
        </w:rPr>
        <w:t>six</w:t>
      </w:r>
      <w:r w:rsidR="002F1235">
        <w:rPr>
          <w:lang w:val="en-US" w:eastAsia="en-AU"/>
        </w:rPr>
        <w:t xml:space="preserve"> months every two years until it reached 65 years from 1</w:t>
      </w:r>
      <w:r w:rsidR="008F34A3">
        <w:rPr>
          <w:lang w:val="en-US" w:eastAsia="en-AU"/>
        </w:rPr>
        <w:t> </w:t>
      </w:r>
      <w:r w:rsidR="002F1235">
        <w:rPr>
          <w:lang w:val="en-US" w:eastAsia="en-AU"/>
        </w:rPr>
        <w:t>July 2013.</w:t>
      </w:r>
      <w:r w:rsidR="00FE23F2">
        <w:rPr>
          <w:lang w:val="en-US" w:eastAsia="en-AU"/>
        </w:rPr>
        <w:t xml:space="preserve"> As can be expected, the period during which these increases </w:t>
      </w:r>
      <w:r w:rsidR="00C70F4A">
        <w:rPr>
          <w:lang w:val="en-US" w:eastAsia="en-AU"/>
        </w:rPr>
        <w:t>occurred</w:t>
      </w:r>
      <w:r w:rsidR="00FE23F2">
        <w:rPr>
          <w:lang w:val="en-US" w:eastAsia="en-AU"/>
        </w:rPr>
        <w:t xml:space="preserve"> overlaps with an increase in the participation rates for females in age groups 55</w:t>
      </w:r>
      <w:r w:rsidR="00637462">
        <w:rPr>
          <w:lang w:val="en-US" w:eastAsia="en-AU"/>
        </w:rPr>
        <w:t xml:space="preserve"> to </w:t>
      </w:r>
      <w:r w:rsidR="00FE23F2">
        <w:rPr>
          <w:lang w:val="en-US" w:eastAsia="en-AU"/>
        </w:rPr>
        <w:t>59 and 60</w:t>
      </w:r>
      <w:r w:rsidR="00637462">
        <w:rPr>
          <w:lang w:val="en-US" w:eastAsia="en-AU"/>
        </w:rPr>
        <w:t xml:space="preserve"> to </w:t>
      </w:r>
      <w:r w:rsidR="00FE23F2">
        <w:rPr>
          <w:lang w:val="en-US" w:eastAsia="en-AU"/>
        </w:rPr>
        <w:t>64.</w:t>
      </w:r>
      <w:r w:rsidR="00FF31B4">
        <w:rPr>
          <w:lang w:val="en-US" w:eastAsia="en-AU"/>
        </w:rPr>
        <w:t xml:space="preserve"> </w:t>
      </w:r>
      <w:r w:rsidR="00D17F73">
        <w:rPr>
          <w:lang w:val="en-US" w:eastAsia="en-AU"/>
        </w:rPr>
        <w:t xml:space="preserve">While </w:t>
      </w:r>
      <w:r w:rsidR="00CA598D">
        <w:rPr>
          <w:lang w:val="en-US" w:eastAsia="en-AU"/>
        </w:rPr>
        <w:t>we expect the largest effect for age group 60</w:t>
      </w:r>
      <w:r w:rsidR="00637462">
        <w:rPr>
          <w:lang w:val="en-US" w:eastAsia="en-AU"/>
        </w:rPr>
        <w:t xml:space="preserve"> to </w:t>
      </w:r>
      <w:r w:rsidR="00CA598D">
        <w:rPr>
          <w:lang w:val="en-US" w:eastAsia="en-AU"/>
        </w:rPr>
        <w:t>64,</w:t>
      </w:r>
      <w:r w:rsidR="00CA598D">
        <w:t xml:space="preserve"> we also expect there could be effects for age group</w:t>
      </w:r>
      <w:r w:rsidR="008F34A3">
        <w:br/>
      </w:r>
      <w:r w:rsidR="00CA598D">
        <w:t>55</w:t>
      </w:r>
      <w:r w:rsidR="00637462">
        <w:t xml:space="preserve"> to </w:t>
      </w:r>
      <w:r w:rsidR="00CA598D">
        <w:t xml:space="preserve">59 as some individuals could decide to delay their retirement so that they would not have too much of a gap between the age of retiring and being able to receive the age pension. </w:t>
      </w:r>
      <w:r w:rsidR="00373E99">
        <w:t>The increase in female pension eligibility age can also be expected to have increased male participation rates at these ages as couples are likely to make joint decisions about the how much they</w:t>
      </w:r>
      <w:r w:rsidR="006E550D">
        <w:t xml:space="preserve"> work, and they are likely to share the burden of making up the income lost from the delayed age pension payments.</w:t>
      </w:r>
    </w:p>
    <w:p w14:paraId="3F84F21E" w14:textId="1740D190" w:rsidR="00FE5715" w:rsidRPr="007E6F19" w:rsidRDefault="00FE5715">
      <w:r>
        <w:t xml:space="preserve">There are </w:t>
      </w:r>
      <w:r w:rsidR="009422C1">
        <w:t>several</w:t>
      </w:r>
      <w:r>
        <w:t xml:space="preserve"> studies of the effects of changes to the pension eligibility rules on labour force participation rates in Australia. </w:t>
      </w:r>
      <w:proofErr w:type="spellStart"/>
      <w:r w:rsidR="007E2F4F">
        <w:t>Atalay</w:t>
      </w:r>
      <w:proofErr w:type="spellEnd"/>
      <w:r w:rsidR="007E2F4F">
        <w:t xml:space="preserve"> and Barret (2015) analyse the increase in the pension eligibility age for women between 1995 and 2013 as a natural experiment and found that a</w:t>
      </w:r>
      <w:r w:rsidR="008F34A3">
        <w:br/>
      </w:r>
      <w:r w:rsidR="007E2F4F">
        <w:t>one-year increase in the eligibility age increased participation rates by 18 percentage points. Morris</w:t>
      </w:r>
      <w:r w:rsidR="008F34A3">
        <w:t> </w:t>
      </w:r>
      <w:r w:rsidR="007E2F4F">
        <w:t>(201</w:t>
      </w:r>
      <w:r w:rsidR="00A21BE8">
        <w:t>9</w:t>
      </w:r>
      <w:r w:rsidR="007E2F4F">
        <w:t xml:space="preserve">) analysed the same </w:t>
      </w:r>
      <w:r w:rsidR="00A21BE8">
        <w:t>reform</w:t>
      </w:r>
      <w:r w:rsidR="007E2F4F">
        <w:t xml:space="preserve"> as </w:t>
      </w:r>
      <w:proofErr w:type="spellStart"/>
      <w:r w:rsidR="007E2F4F">
        <w:t>Atalay</w:t>
      </w:r>
      <w:proofErr w:type="spellEnd"/>
      <w:r w:rsidR="007E2F4F">
        <w:t xml:space="preserve"> and Barret with a different methodology and found much smaller effe</w:t>
      </w:r>
      <w:r w:rsidR="00A5774E">
        <w:t>c</w:t>
      </w:r>
      <w:r w:rsidR="007E2F4F">
        <w:t xml:space="preserve">ts. </w:t>
      </w:r>
      <w:r w:rsidR="00296E8F">
        <w:t>Rodgers (2019) analysed how participation rates of WWII veterans were affected by</w:t>
      </w:r>
      <w:r w:rsidR="009422C1">
        <w:t xml:space="preserve"> being eligible to </w:t>
      </w:r>
      <w:r w:rsidR="00296E8F">
        <w:t>access the Service Pension at age 60 (compared with the eligibility age of 65 for the Age Pension)</w:t>
      </w:r>
      <w:r w:rsidR="00992855">
        <w:t>. The results suggest</w:t>
      </w:r>
      <w:r w:rsidR="00783B7D">
        <w:t xml:space="preserve"> that the Service Pension lowered participation rates of males aged 60 to 64 by around 5 percentage points </w:t>
      </w:r>
      <w:r w:rsidR="006F2AF0">
        <w:t>between 1971 and 1981.</w:t>
      </w:r>
      <w:r w:rsidR="00300171">
        <w:t xml:space="preserve"> In the model estimated in this paper, the effects of the changes to pension eligibility ages are likely to be reflected in the cohort effects. This has implications for both the estimated effects and for how we treat future cohort effects when there are legislated changes to policy.</w:t>
      </w:r>
    </w:p>
    <w:p w14:paraId="65E5550B" w14:textId="790F7AC1" w:rsidR="00EA0D4A" w:rsidRPr="008F34A3" w:rsidRDefault="00EA0D4A" w:rsidP="008F34A3">
      <w:r w:rsidRPr="008F34A3">
        <w:t xml:space="preserve">More recently, further increases in the age pension eligibility age for both males and females have been legislated.  As of </w:t>
      </w:r>
      <w:r w:rsidR="009A3531" w:rsidRPr="008F34A3">
        <w:t>1 July 2017,</w:t>
      </w:r>
      <w:r w:rsidRPr="008F34A3">
        <w:t xml:space="preserve"> the eligibility age increased to 65 years and 6 months</w:t>
      </w:r>
      <w:r w:rsidR="00C45196" w:rsidRPr="008F34A3">
        <w:t xml:space="preserve"> and then to 66 years as of 1 July 2019</w:t>
      </w:r>
      <w:r w:rsidRPr="008F34A3">
        <w:t xml:space="preserve">, with additional increases of 6 months every </w:t>
      </w:r>
      <w:r w:rsidR="00E906D1" w:rsidRPr="008F34A3">
        <w:t xml:space="preserve">two </w:t>
      </w:r>
      <w:r w:rsidRPr="008F34A3">
        <w:t>year</w:t>
      </w:r>
      <w:r w:rsidR="00E906D1" w:rsidRPr="008F34A3">
        <w:t>s</w:t>
      </w:r>
      <w:r w:rsidRPr="008F34A3">
        <w:t xml:space="preserve"> until the eligibility age reaches 67 </w:t>
      </w:r>
      <w:r w:rsidR="0063565B" w:rsidRPr="008F34A3">
        <w:t>years on 1 July 2023</w:t>
      </w:r>
      <w:r w:rsidR="0001345B" w:rsidRPr="008F34A3">
        <w:t xml:space="preserve">. These most recent changes are unlikely to have had much of an effect on participation rates </w:t>
      </w:r>
      <w:r w:rsidR="009A3531" w:rsidRPr="008F34A3">
        <w:t>yet but</w:t>
      </w:r>
      <w:r w:rsidR="0001345B" w:rsidRPr="008F34A3">
        <w:t xml:space="preserve"> can be expected to in the future.</w:t>
      </w:r>
    </w:p>
    <w:p w14:paraId="10E77706" w14:textId="53CF5182" w:rsidR="00CE5ED8" w:rsidRPr="00811A3F" w:rsidRDefault="00544042" w:rsidP="00422BA9">
      <w:pPr>
        <w:pStyle w:val="Heading3NotNumbered"/>
      </w:pPr>
      <w:r w:rsidRPr="00811A3F">
        <w:t>S</w:t>
      </w:r>
      <w:r w:rsidR="00CE5ED8" w:rsidRPr="00811A3F">
        <w:t>uperannuation</w:t>
      </w:r>
    </w:p>
    <w:p w14:paraId="68FD5012" w14:textId="2E462392" w:rsidR="00544042" w:rsidRDefault="00A5469C" w:rsidP="00766B4C">
      <w:pPr>
        <w:rPr>
          <w:lang w:val="en-US" w:eastAsia="en-AU"/>
        </w:rPr>
      </w:pPr>
      <w:r>
        <w:rPr>
          <w:lang w:val="en-US" w:eastAsia="en-AU"/>
        </w:rPr>
        <w:t>Australia’s system of compulsory superannuation was introduced in 1992, with a compulsory contribution rate of 3 or 4 per cent depending on the size of the employer. The rate then gradually increased until it reached 9 per cent in 2002. Since then there has been further increases to</w:t>
      </w:r>
      <w:r w:rsidR="008F34A3">
        <w:rPr>
          <w:lang w:val="en-US" w:eastAsia="en-AU"/>
        </w:rPr>
        <w:br/>
      </w:r>
      <w:r>
        <w:rPr>
          <w:lang w:val="en-US" w:eastAsia="en-AU"/>
        </w:rPr>
        <w:t>9.5 per cent, with additional legislated increases to 12 per cent over the 2021</w:t>
      </w:r>
      <w:r w:rsidR="0061335C">
        <w:rPr>
          <w:lang w:val="en-US" w:eastAsia="en-AU"/>
        </w:rPr>
        <w:t xml:space="preserve"> to </w:t>
      </w:r>
      <w:r>
        <w:rPr>
          <w:lang w:val="en-US" w:eastAsia="en-AU"/>
        </w:rPr>
        <w:t>2025 period</w:t>
      </w:r>
      <w:r w:rsidR="00CA3A43">
        <w:rPr>
          <w:lang w:val="en-US" w:eastAsia="en-AU"/>
        </w:rPr>
        <w:t>.</w:t>
      </w:r>
      <w:r w:rsidR="00C150DF">
        <w:rPr>
          <w:lang w:val="en-US" w:eastAsia="en-AU"/>
        </w:rPr>
        <w:t xml:space="preserve"> </w:t>
      </w:r>
      <w:r w:rsidR="002611FF">
        <w:rPr>
          <w:lang w:val="en-US" w:eastAsia="en-AU"/>
        </w:rPr>
        <w:t>There have also been many other changes since the introduction, including to the preservation age and the rules around concessional voluntary contributions.</w:t>
      </w:r>
    </w:p>
    <w:p w14:paraId="12F37139" w14:textId="77777777" w:rsidR="003C28AF" w:rsidRDefault="003C28AF">
      <w:pPr>
        <w:spacing w:after="200" w:line="276" w:lineRule="auto"/>
        <w:rPr>
          <w:lang w:val="en-US" w:eastAsia="en-AU"/>
        </w:rPr>
      </w:pPr>
      <w:r>
        <w:rPr>
          <w:lang w:val="en-US" w:eastAsia="en-AU"/>
        </w:rPr>
        <w:br w:type="page"/>
      </w:r>
    </w:p>
    <w:p w14:paraId="13C9E55F" w14:textId="0398AB62" w:rsidR="00A5469C" w:rsidRDefault="006529A4" w:rsidP="00766B4C">
      <w:pPr>
        <w:rPr>
          <w:lang w:val="en-US" w:eastAsia="en-AU"/>
        </w:rPr>
      </w:pPr>
      <w:r>
        <w:rPr>
          <w:lang w:val="en-US" w:eastAsia="en-AU"/>
        </w:rPr>
        <w:lastRenderedPageBreak/>
        <w:t>T</w:t>
      </w:r>
      <w:r w:rsidR="00544042">
        <w:rPr>
          <w:lang w:val="en-US" w:eastAsia="en-AU"/>
        </w:rPr>
        <w:t xml:space="preserve">he introduction of, and changes to, superannuation would have affected </w:t>
      </w:r>
      <w:r w:rsidR="0052573D">
        <w:rPr>
          <w:lang w:val="en-US" w:eastAsia="en-AU"/>
        </w:rPr>
        <w:t xml:space="preserve">individuals’ </w:t>
      </w:r>
      <w:proofErr w:type="spellStart"/>
      <w:r w:rsidR="0052573D">
        <w:rPr>
          <w:lang w:val="en-US" w:eastAsia="en-AU"/>
        </w:rPr>
        <w:t>labour</w:t>
      </w:r>
      <w:proofErr w:type="spellEnd"/>
      <w:r w:rsidR="00544042">
        <w:rPr>
          <w:lang w:val="en-US" w:eastAsia="en-AU"/>
        </w:rPr>
        <w:t xml:space="preserve"> supply decisions</w:t>
      </w:r>
      <w:r w:rsidR="009C002F">
        <w:rPr>
          <w:lang w:val="en-US" w:eastAsia="en-AU"/>
        </w:rPr>
        <w:t xml:space="preserve">, </w:t>
      </w:r>
      <w:proofErr w:type="gramStart"/>
      <w:r w:rsidR="009C002F">
        <w:rPr>
          <w:lang w:val="en-US" w:eastAsia="en-AU"/>
        </w:rPr>
        <w:t>in particular around</w:t>
      </w:r>
      <w:proofErr w:type="gramEnd"/>
      <w:r w:rsidR="009C002F">
        <w:rPr>
          <w:lang w:val="en-US" w:eastAsia="en-AU"/>
        </w:rPr>
        <w:t xml:space="preserve"> the retirement phase. However, </w:t>
      </w:r>
      <w:r w:rsidR="00592F20">
        <w:rPr>
          <w:lang w:val="en-US" w:eastAsia="en-AU"/>
        </w:rPr>
        <w:t>neither the direction nor</w:t>
      </w:r>
      <w:r w:rsidR="00544042">
        <w:rPr>
          <w:lang w:val="en-US" w:eastAsia="en-AU"/>
        </w:rPr>
        <w:t xml:space="preserve"> </w:t>
      </w:r>
      <w:r w:rsidR="00592F20">
        <w:rPr>
          <w:lang w:val="en-US" w:eastAsia="en-AU"/>
        </w:rPr>
        <w:t>magnitude of these responses is</w:t>
      </w:r>
      <w:r w:rsidR="009C002F">
        <w:rPr>
          <w:lang w:val="en-US" w:eastAsia="en-AU"/>
        </w:rPr>
        <w:t xml:space="preserve"> </w:t>
      </w:r>
      <w:r w:rsidR="00592F20">
        <w:rPr>
          <w:lang w:val="en-US" w:eastAsia="en-AU"/>
        </w:rPr>
        <w:t>well understood.</w:t>
      </w:r>
      <w:r w:rsidR="00BE7F8F">
        <w:rPr>
          <w:lang w:val="en-US" w:eastAsia="en-AU"/>
        </w:rPr>
        <w:t xml:space="preserve"> </w:t>
      </w:r>
      <w:proofErr w:type="spellStart"/>
      <w:r w:rsidR="00751E2C">
        <w:rPr>
          <w:lang w:val="en-US" w:eastAsia="en-AU"/>
        </w:rPr>
        <w:t>Kudrna</w:t>
      </w:r>
      <w:proofErr w:type="spellEnd"/>
      <w:r w:rsidR="00751E2C">
        <w:rPr>
          <w:lang w:val="en-US" w:eastAsia="en-AU"/>
        </w:rPr>
        <w:t xml:space="preserve"> and Woodland (2013) </w:t>
      </w:r>
      <w:proofErr w:type="spellStart"/>
      <w:r w:rsidR="00751E2C">
        <w:rPr>
          <w:lang w:val="en-US" w:eastAsia="en-AU"/>
        </w:rPr>
        <w:t>analysed</w:t>
      </w:r>
      <w:proofErr w:type="spellEnd"/>
      <w:r w:rsidR="00751E2C">
        <w:rPr>
          <w:lang w:val="en-US" w:eastAsia="en-AU"/>
        </w:rPr>
        <w:t xml:space="preserve"> the effect of the legislated increase in superannuation guarantee rate f</w:t>
      </w:r>
      <w:r w:rsidR="00166986">
        <w:rPr>
          <w:lang w:val="en-US" w:eastAsia="en-AU"/>
        </w:rPr>
        <w:t>rom 9.5 to 12 per cent using a life-cycle framework</w:t>
      </w:r>
      <w:r w:rsidR="00751E2C">
        <w:rPr>
          <w:lang w:val="en-US" w:eastAsia="en-AU"/>
        </w:rPr>
        <w:t xml:space="preserve">. In that framework, an increase in the superannuation guarantee rate resulted in small </w:t>
      </w:r>
      <w:proofErr w:type="spellStart"/>
      <w:r w:rsidR="00751E2C">
        <w:rPr>
          <w:lang w:val="en-US" w:eastAsia="en-AU"/>
        </w:rPr>
        <w:t>labour</w:t>
      </w:r>
      <w:proofErr w:type="spellEnd"/>
      <w:r w:rsidR="00751E2C">
        <w:rPr>
          <w:lang w:val="en-US" w:eastAsia="en-AU"/>
        </w:rPr>
        <w:t xml:space="preserve"> supply increases at younger ages and slightly larger decreases around the retirement age.</w:t>
      </w:r>
    </w:p>
    <w:p w14:paraId="0FD42171" w14:textId="77777777" w:rsidR="00467172" w:rsidRDefault="00467172">
      <w:pPr>
        <w:spacing w:after="200" w:line="276" w:lineRule="auto"/>
        <w:rPr>
          <w:rFonts w:ascii="Arial Bold" w:hAnsi="Arial Bold"/>
          <w:b/>
          <w:smallCaps/>
          <w:color w:val="003157"/>
          <w:sz w:val="32"/>
        </w:rPr>
      </w:pPr>
      <w:r>
        <w:br w:type="page"/>
      </w:r>
    </w:p>
    <w:p w14:paraId="16B9A1E9" w14:textId="48B2D64D" w:rsidR="00571751" w:rsidRDefault="00287C68" w:rsidP="008F34A3">
      <w:pPr>
        <w:pStyle w:val="Heading1-Numbered"/>
        <w:spacing w:after="420"/>
      </w:pPr>
      <w:bookmarkStart w:id="8" w:name="_Toc70507616"/>
      <w:r>
        <w:lastRenderedPageBreak/>
        <w:t>Econometric method</w:t>
      </w:r>
      <w:bookmarkEnd w:id="8"/>
    </w:p>
    <w:p w14:paraId="38E7295C" w14:textId="63911B4A" w:rsidR="0044353C" w:rsidRPr="00185C00" w:rsidRDefault="008B0578" w:rsidP="008F34A3">
      <w:pPr>
        <w:spacing w:after="180"/>
      </w:pPr>
      <w:r>
        <w:t xml:space="preserve">Section 2 described the general age-cohort framework applied in this paper. In this section, we present the details of the model specification </w:t>
      </w:r>
      <w:r w:rsidR="00287C68">
        <w:t>and econometric methods</w:t>
      </w:r>
      <w:r>
        <w:t>, including the definition of the stages of life, the functional forms used</w:t>
      </w:r>
      <w:r w:rsidR="008025AE">
        <w:t xml:space="preserve"> and </w:t>
      </w:r>
      <w:r>
        <w:t>the treatment of recent cohorts.</w:t>
      </w:r>
    </w:p>
    <w:p w14:paraId="218B941B" w14:textId="6DD2A3F3" w:rsidR="0044353C" w:rsidRPr="008F3D74" w:rsidRDefault="0044353C" w:rsidP="008F34A3">
      <w:pPr>
        <w:pStyle w:val="Heading2-Numbered"/>
        <w:spacing w:before="300"/>
      </w:pPr>
      <w:bookmarkStart w:id="9" w:name="_Toc70507617"/>
      <w:r w:rsidRPr="008F3D74">
        <w:t>Separating the life</w:t>
      </w:r>
      <w:r w:rsidR="008025AE">
        <w:t xml:space="preserve"> </w:t>
      </w:r>
      <w:r w:rsidRPr="008F3D74">
        <w:t>cycle into stages of life</w:t>
      </w:r>
      <w:bookmarkEnd w:id="9"/>
    </w:p>
    <w:p w14:paraId="02BD8503" w14:textId="50D0C0FF" w:rsidR="0044353C" w:rsidRPr="008F3D74" w:rsidRDefault="0044353C" w:rsidP="008F34A3">
      <w:pPr>
        <w:spacing w:after="180"/>
      </w:pPr>
      <w:r w:rsidRPr="008F3D74">
        <w:t>The life</w:t>
      </w:r>
      <w:r w:rsidR="008025AE">
        <w:t>-</w:t>
      </w:r>
      <w:r w:rsidRPr="008F3D74">
        <w:t>cycle model considers labour force participation from the beginning to the end of an individual’s working life. This means that the cohort effects can be interpreted as a measure of a given cohort’s propensity to participate over its life. This approach works well if shifts in the participation rate profiles between cohorts are proportional</w:t>
      </w:r>
      <w:r w:rsidR="00F6473D">
        <w:t xml:space="preserve"> (if model is estimated in log levels) or constant (if model is estimated in levels)</w:t>
      </w:r>
      <w:r w:rsidRPr="008F3D74">
        <w:t xml:space="preserve"> over the lifecycle. However, this is not the case if the overall pattern of participation over the life</w:t>
      </w:r>
      <w:r w:rsidR="008025AE">
        <w:t xml:space="preserve"> </w:t>
      </w:r>
      <w:r w:rsidRPr="008F3D74">
        <w:t xml:space="preserve">cycle is changing </w:t>
      </w:r>
      <w:r w:rsidR="0078654E">
        <w:t xml:space="preserve">in </w:t>
      </w:r>
      <w:r w:rsidR="002959C5">
        <w:t xml:space="preserve">non-conforming </w:t>
      </w:r>
      <w:r w:rsidR="0078654E">
        <w:t>ways over time. One example is the</w:t>
      </w:r>
      <w:r w:rsidRPr="008F3D74">
        <w:t xml:space="preserve"> sharp rise in </w:t>
      </w:r>
      <w:r w:rsidR="002959C5">
        <w:t xml:space="preserve">the </w:t>
      </w:r>
      <w:r w:rsidRPr="008F3D74">
        <w:t xml:space="preserve">participation </w:t>
      </w:r>
      <w:r w:rsidR="002959C5">
        <w:t xml:space="preserve">of </w:t>
      </w:r>
      <w:r w:rsidRPr="008F3D74">
        <w:t>older</w:t>
      </w:r>
      <w:r w:rsidR="002959C5">
        <w:t xml:space="preserve"> workers in recent data</w:t>
      </w:r>
      <w:r w:rsidRPr="008F3D74">
        <w:t>. Even if the pattern of life</w:t>
      </w:r>
      <w:r w:rsidR="008025AE">
        <w:t>-</w:t>
      </w:r>
      <w:r w:rsidRPr="008F3D74">
        <w:t>cycle participation is changing, modelling the complete life</w:t>
      </w:r>
      <w:r w:rsidR="008025AE">
        <w:t xml:space="preserve"> </w:t>
      </w:r>
      <w:r w:rsidRPr="008F3D74">
        <w:t xml:space="preserve">cycle in a single model would still work well if it was possible to incorporate enough data on other factors that can explain these changes. For example, we </w:t>
      </w:r>
      <w:r w:rsidR="008025AE">
        <w:t>have</w:t>
      </w:r>
      <w:r w:rsidR="008025AE" w:rsidRPr="008F3D74">
        <w:t xml:space="preserve"> </w:t>
      </w:r>
      <w:r w:rsidRPr="008F3D74">
        <w:t>incorporate</w:t>
      </w:r>
      <w:r w:rsidR="008025AE">
        <w:t>d</w:t>
      </w:r>
      <w:r w:rsidRPr="008F3D74">
        <w:t xml:space="preserve"> fertility rates in the model to account for part of the shifts in female participation over the main child-rearing years.</w:t>
      </w:r>
    </w:p>
    <w:p w14:paraId="3BA47638" w14:textId="61DDE566" w:rsidR="0044353C" w:rsidRPr="008F3D74" w:rsidRDefault="0044353C" w:rsidP="008F34A3">
      <w:pPr>
        <w:spacing w:after="180"/>
      </w:pPr>
      <w:r w:rsidRPr="008F3D74">
        <w:t>For the data we are looking at in this paper, neither of the above two conditions are fully satisfied.</w:t>
      </w:r>
      <w:r w:rsidR="002959C5">
        <w:t xml:space="preserve"> Faced with a similar problem</w:t>
      </w:r>
      <w:r w:rsidR="006151B2" w:rsidRPr="008F3D74">
        <w:t xml:space="preserve"> t</w:t>
      </w:r>
      <w:r w:rsidRPr="008F3D74">
        <w:t>he CBO divide</w:t>
      </w:r>
      <w:r w:rsidR="006151B2" w:rsidRPr="008F3D74">
        <w:t>d</w:t>
      </w:r>
      <w:r w:rsidRPr="008F3D74">
        <w:t xml:space="preserve"> the lifecycle into four stages of life: </w:t>
      </w:r>
      <w:proofErr w:type="spellStart"/>
      <w:r w:rsidRPr="008F3D74">
        <w:t>i</w:t>
      </w:r>
      <w:proofErr w:type="spellEnd"/>
      <w:r w:rsidRPr="008F3D74">
        <w:t>) 16 to 24;</w:t>
      </w:r>
      <w:r w:rsidR="008F34A3">
        <w:br/>
      </w:r>
      <w:r w:rsidRPr="008F3D74">
        <w:t>ii) 25 to 64; iii) 64 to 79; and iv) 80 and over. This approach allow</w:t>
      </w:r>
      <w:r w:rsidR="002959C5">
        <w:t>ed</w:t>
      </w:r>
      <w:r w:rsidRPr="008F3D74">
        <w:t xml:space="preserve"> </w:t>
      </w:r>
      <w:r w:rsidR="0078654E">
        <w:t xml:space="preserve">the </w:t>
      </w:r>
      <w:r w:rsidR="002959C5">
        <w:t xml:space="preserve">CBO </w:t>
      </w:r>
      <w:r w:rsidR="0078654E">
        <w:t xml:space="preserve">to </w:t>
      </w:r>
      <w:r w:rsidRPr="008F3D74">
        <w:t xml:space="preserve">better capture trends at certain stages of the lifecycle </w:t>
      </w:r>
      <w:r w:rsidR="002959C5">
        <w:t>via</w:t>
      </w:r>
      <w:r w:rsidRPr="008F3D74">
        <w:t xml:space="preserve"> cohort effects, without those cohort effects affecting participation at other stages of life. </w:t>
      </w:r>
    </w:p>
    <w:p w14:paraId="2F5809AE" w14:textId="2766B6BA" w:rsidR="0044353C" w:rsidRPr="008F3D74" w:rsidRDefault="0044353C" w:rsidP="008F34A3">
      <w:pPr>
        <w:spacing w:after="180"/>
      </w:pPr>
      <w:r w:rsidRPr="008F3D74">
        <w:t xml:space="preserve">We have broadly followed the approach taken by the </w:t>
      </w:r>
      <w:r w:rsidR="00576BE5" w:rsidRPr="008F3D74">
        <w:t>CBO and</w:t>
      </w:r>
      <w:r w:rsidRPr="008F3D74">
        <w:t xml:space="preserve"> have divided the lifecycle into three</w:t>
      </w:r>
      <w:r w:rsidR="008F34A3">
        <w:t> </w:t>
      </w:r>
      <w:r w:rsidRPr="008F3D74">
        <w:t xml:space="preserve">stages of life: </w:t>
      </w:r>
      <w:proofErr w:type="spellStart"/>
      <w:r w:rsidRPr="008F3D74">
        <w:t>i</w:t>
      </w:r>
      <w:proofErr w:type="spellEnd"/>
      <w:r w:rsidRPr="008F3D74">
        <w:t>) 15 to 24, ii) 25 to 64, and iii) 65 and over. However, as will be discussed below</w:t>
      </w:r>
      <w:r w:rsidR="00EB5F98">
        <w:t>,</w:t>
      </w:r>
      <w:r w:rsidRPr="008F3D74">
        <w:t xml:space="preserve"> the specification for male full-time participation is slightly different.</w:t>
      </w:r>
    </w:p>
    <w:p w14:paraId="5F781FB1" w14:textId="6582187C" w:rsidR="0044353C" w:rsidRPr="008F3D74" w:rsidRDefault="0044353C" w:rsidP="008F34A3">
      <w:pPr>
        <w:spacing w:after="180"/>
      </w:pPr>
      <w:r w:rsidRPr="008F3D74">
        <w:t xml:space="preserve">There are two </w:t>
      </w:r>
      <w:r w:rsidR="00D266C1">
        <w:t>possible</w:t>
      </w:r>
      <w:r w:rsidRPr="008F3D74">
        <w:t xml:space="preserve"> drawbacks of modelling stages of life separately. The first is that the </w:t>
      </w:r>
      <w:r w:rsidR="00D266C1">
        <w:t xml:space="preserve">simple </w:t>
      </w:r>
      <w:r w:rsidRPr="008F3D74">
        <w:t xml:space="preserve">connection between different stages of life is </w:t>
      </w:r>
      <w:r w:rsidR="0078654E">
        <w:t>lost</w:t>
      </w:r>
      <w:r w:rsidRPr="008F3D74">
        <w:t xml:space="preserve">. The second is that it is </w:t>
      </w:r>
      <w:r w:rsidR="00C44297" w:rsidRPr="008F3D74">
        <w:t>more difficult to incorporate additional</w:t>
      </w:r>
      <w:r w:rsidRPr="008F3D74">
        <w:t xml:space="preserve"> covariates </w:t>
      </w:r>
      <w:r w:rsidR="00C44297" w:rsidRPr="008F3D74">
        <w:t xml:space="preserve">in the </w:t>
      </w:r>
      <w:r w:rsidRPr="008F3D74">
        <w:t>model.</w:t>
      </w:r>
    </w:p>
    <w:p w14:paraId="1E64AE15" w14:textId="1BB63F7E" w:rsidR="0044353C" w:rsidRPr="0065386A" w:rsidRDefault="0044353C" w:rsidP="008F34A3">
      <w:pPr>
        <w:spacing w:after="0"/>
      </w:pPr>
      <w:r w:rsidRPr="0065386A">
        <w:t>We have split ages 15 to 24 out into a separate model for both males and females and full-time and part-time</w:t>
      </w:r>
      <w:r w:rsidR="0078654E" w:rsidRPr="0065386A">
        <w:t xml:space="preserve"> participation</w:t>
      </w:r>
      <w:r w:rsidRPr="0065386A">
        <w:t xml:space="preserve">. The reason for this is that changes in participation rates at these age groups have been very different to the rest of the </w:t>
      </w:r>
      <w:r w:rsidR="007F5896" w:rsidRPr="0065386A">
        <w:t>life cycle</w:t>
      </w:r>
      <w:r w:rsidRPr="0065386A">
        <w:t>, in terms of direction and/or magnitude. Including educational attendance in the model can address this to some degree, but not well enough that we would expect these shifts to flow through to the remainder of the cohorts’ lifecycle</w:t>
      </w:r>
      <w:r w:rsidR="000C61E9">
        <w:t>s</w:t>
      </w:r>
      <w:r w:rsidRPr="0065386A">
        <w:t>.</w:t>
      </w:r>
      <w:r w:rsidR="003F41EE">
        <w:t xml:space="preserve"> This is consistent with the findings in </w:t>
      </w:r>
      <w:proofErr w:type="gramStart"/>
      <w:r w:rsidR="003F41EE">
        <w:t>a number of</w:t>
      </w:r>
      <w:proofErr w:type="gramEnd"/>
      <w:r w:rsidR="003F41EE">
        <w:t xml:space="preserve"> other studies. For example, Borland</w:t>
      </w:r>
      <w:r w:rsidR="00762D1B">
        <w:t> </w:t>
      </w:r>
      <w:r w:rsidR="003F41EE">
        <w:t xml:space="preserve">and </w:t>
      </w:r>
      <w:proofErr w:type="spellStart"/>
      <w:r w:rsidR="003F41EE">
        <w:t>Coe</w:t>
      </w:r>
      <w:r w:rsidR="005430A0">
        <w:t>lli</w:t>
      </w:r>
      <w:proofErr w:type="spellEnd"/>
      <w:r w:rsidR="005430A0">
        <w:t xml:space="preserve"> (2020) and </w:t>
      </w:r>
      <w:r w:rsidR="00E149F0">
        <w:t xml:space="preserve">the </w:t>
      </w:r>
      <w:r w:rsidR="005430A0">
        <w:t>Productivity Commission</w:t>
      </w:r>
      <w:r w:rsidR="003F41EE">
        <w:t xml:space="preserve"> (2020) found that the changes to labour market outcomes for young people cannot be fully explained by changes to the share of young people in full-time education. </w:t>
      </w:r>
      <w:r w:rsidR="00857171">
        <w:t>These studies suggest that an imbalance between labour supply and labour demand since the GFC, largely driven by strong increases in participation rates by groups that are competing with the young for jobs</w:t>
      </w:r>
      <w:r w:rsidR="00EA7AE4">
        <w:t xml:space="preserve"> (in particular women aged over 55)</w:t>
      </w:r>
      <w:r w:rsidR="00857171">
        <w:t xml:space="preserve">, is a likely explanation of the weak labour market outcomes over this period. This explanation supports separating out the young into a separate model, at least if the imbalance between labour supply and demand is not permanent and there are no significant scarring effects that will </w:t>
      </w:r>
      <w:r w:rsidR="00C428C9">
        <w:t>affect</w:t>
      </w:r>
      <w:r w:rsidR="00857171">
        <w:t xml:space="preserve"> participation rates for the relevant cohorts at older ages.</w:t>
      </w:r>
      <w:r w:rsidR="00B75C90">
        <w:t xml:space="preserve"> </w:t>
      </w:r>
    </w:p>
    <w:p w14:paraId="17771ADF" w14:textId="50223A2A" w:rsidR="0044353C" w:rsidRPr="002F34D7" w:rsidRDefault="0044353C" w:rsidP="0044353C">
      <w:pPr>
        <w:rPr>
          <w:highlight w:val="cyan"/>
        </w:rPr>
      </w:pPr>
      <w:r w:rsidRPr="0065386A">
        <w:lastRenderedPageBreak/>
        <w:t>We have also split out ages 65 and over for both males and females and full-time and part-time</w:t>
      </w:r>
      <w:r w:rsidR="0078654E" w:rsidRPr="0065386A">
        <w:t xml:space="preserve"> participation</w:t>
      </w:r>
      <w:r w:rsidRPr="0065386A">
        <w:t xml:space="preserve">. There are multiple reasons for this decision. The first is that the cohort effects from the prime working ages </w:t>
      </w:r>
      <w:r w:rsidR="002E10A3">
        <w:t xml:space="preserve">do not necessarily </w:t>
      </w:r>
      <w:r w:rsidRPr="0065386A">
        <w:t>flow through to ages around and after the retirement age</w:t>
      </w:r>
      <w:r w:rsidR="000E6147">
        <w:t xml:space="preserve">. The principal </w:t>
      </w:r>
      <w:r w:rsidRPr="0065386A">
        <w:t xml:space="preserve">drivers of participation </w:t>
      </w:r>
      <w:r w:rsidR="002E10A3">
        <w:t>a</w:t>
      </w:r>
      <w:r w:rsidRPr="0065386A">
        <w:t>t older ages</w:t>
      </w:r>
      <w:r w:rsidR="000E6147">
        <w:t xml:space="preserve"> </w:t>
      </w:r>
      <w:r w:rsidRPr="0065386A">
        <w:t xml:space="preserve">are more likely to be factors such as retirement income policy settings, </w:t>
      </w:r>
      <w:proofErr w:type="gramStart"/>
      <w:r w:rsidRPr="0065386A">
        <w:t>health</w:t>
      </w:r>
      <w:proofErr w:type="gramEnd"/>
      <w:r w:rsidRPr="0065386A">
        <w:t xml:space="preserve"> and the availability of </w:t>
      </w:r>
      <w:r w:rsidR="000E6147">
        <w:t xml:space="preserve">age </w:t>
      </w:r>
      <w:r w:rsidRPr="0065386A">
        <w:t>appropriate jobs. This is most obvious for male full-time participation</w:t>
      </w:r>
      <w:r w:rsidR="002E10A3">
        <w:t xml:space="preserve"> which </w:t>
      </w:r>
      <w:r w:rsidRPr="0065386A">
        <w:t>has been increasing for ages 65 and over, while decreasing at all ages 64 and under.</w:t>
      </w:r>
      <w:r w:rsidRPr="002F34D7">
        <w:rPr>
          <w:highlight w:val="cyan"/>
        </w:rPr>
        <w:t xml:space="preserve"> </w:t>
      </w:r>
    </w:p>
    <w:p w14:paraId="4F4E9C2D" w14:textId="0D252516" w:rsidR="001D46F3" w:rsidRPr="0078654E" w:rsidRDefault="0044353C" w:rsidP="0044353C">
      <w:r w:rsidRPr="0065386A">
        <w:t xml:space="preserve">For male full-time participation we have also split out the 55 to 64 </w:t>
      </w:r>
      <w:r w:rsidR="002E10A3">
        <w:t xml:space="preserve">group </w:t>
      </w:r>
      <w:r w:rsidRPr="0065386A">
        <w:t xml:space="preserve">because shifts at these ages have been very different to the rest of the lifecycle. It </w:t>
      </w:r>
      <w:r w:rsidR="00C84C75">
        <w:t xml:space="preserve">is </w:t>
      </w:r>
      <w:r w:rsidRPr="0065386A">
        <w:t xml:space="preserve">not possible to capture these shifts if combined with younger ages. In the 1980s and 1990s full-time participation rates at these ages fell by between 15 and 20 percentage points, followed by a partial recovery in the 2000s. </w:t>
      </w:r>
      <w:r w:rsidR="00C84C75">
        <w:t>A further</w:t>
      </w:r>
      <w:r w:rsidR="00C84C75" w:rsidRPr="0065386A">
        <w:t xml:space="preserve"> </w:t>
      </w:r>
      <w:r w:rsidRPr="0065386A">
        <w:t>complication is that the age-cohort model fits the data poorly even if applied separately to the</w:t>
      </w:r>
      <w:r w:rsidR="008F34A3">
        <w:br/>
      </w:r>
      <w:r w:rsidRPr="0065386A">
        <w:t xml:space="preserve">55 to 64 age group, and therefore we use </w:t>
      </w:r>
      <w:r w:rsidR="003F36B2">
        <w:t xml:space="preserve">a univariate filtering technique </w:t>
      </w:r>
      <w:r w:rsidRPr="0065386A">
        <w:t>to estimate trends for these ages.</w:t>
      </w:r>
      <w:r w:rsidR="003F36B2">
        <w:rPr>
          <w:rStyle w:val="FootnoteReference"/>
        </w:rPr>
        <w:footnoteReference w:id="4"/>
      </w:r>
    </w:p>
    <w:p w14:paraId="1656ABE6" w14:textId="0F69C70C" w:rsidR="001D46F3" w:rsidRPr="0065386A" w:rsidRDefault="001D46F3" w:rsidP="0044353C">
      <w:r>
        <w:t xml:space="preserve">As discussed above, the cohort effects </w:t>
      </w:r>
      <w:r w:rsidR="003F36B2">
        <w:t>are</w:t>
      </w:r>
      <w:r>
        <w:t xml:space="preserve"> normalised to that of a reference cohort. </w:t>
      </w:r>
      <w:r w:rsidR="00002ECF">
        <w:t>In practice, a reference cohort needs to be chosen for each separate stage of life. As the choice of reference cohort doesn’t affect the results, we have chosen the most recent cohort within each stage of life to be the reference cohort. This simplifies the presentation, as the estimated age effects represent the level at which participation rates at different ages would stabilise in the long run (</w:t>
      </w:r>
      <w:r w:rsidR="00291E92">
        <w:t xml:space="preserve">assuming no further changes to cohort effects and </w:t>
      </w:r>
      <w:r w:rsidR="00002ECF">
        <w:t xml:space="preserve">except for when additional covariates are included). </w:t>
      </w:r>
    </w:p>
    <w:p w14:paraId="15CA48E9" w14:textId="77777777" w:rsidR="0044353C" w:rsidRPr="0065386A" w:rsidRDefault="0044353C" w:rsidP="00422BA9">
      <w:pPr>
        <w:pStyle w:val="Heading2-Numbered"/>
      </w:pPr>
      <w:bookmarkStart w:id="10" w:name="_Toc70507618"/>
      <w:r w:rsidRPr="0065386A">
        <w:t>Treatment of recent cohorts</w:t>
      </w:r>
      <w:bookmarkEnd w:id="10"/>
    </w:p>
    <w:p w14:paraId="0C5BCEF7" w14:textId="0AC2A2AF" w:rsidR="0044353C" w:rsidRPr="0065386A" w:rsidRDefault="0044353C" w:rsidP="0044353C">
      <w:pPr>
        <w:keepLines/>
      </w:pPr>
      <w:r w:rsidRPr="0065386A">
        <w:t xml:space="preserve">In the age-cohort framework, the behaviour of the youngest cohorts within each stage of life will largely determine the long-term projections. However, the younger cohorts have only been observed </w:t>
      </w:r>
      <w:r w:rsidR="000E6147">
        <w:t>for a small fraction of</w:t>
      </w:r>
      <w:r w:rsidRPr="0065386A">
        <w:t xml:space="preserve"> their life (</w:t>
      </w:r>
      <w:r w:rsidR="00321D08">
        <w:t xml:space="preserve">for example, </w:t>
      </w:r>
      <w:r w:rsidRPr="0065386A">
        <w:t xml:space="preserve">the youngest cohort for the 25 to </w:t>
      </w:r>
      <w:r w:rsidR="000C61E9">
        <w:t>64</w:t>
      </w:r>
      <w:r w:rsidRPr="0065386A">
        <w:t xml:space="preserve"> stage of life has only been observed at age</w:t>
      </w:r>
      <w:r w:rsidR="000C61E9">
        <w:t>s</w:t>
      </w:r>
      <w:r w:rsidRPr="0065386A">
        <w:t xml:space="preserve"> 25 to 29, and the second youngest cohort has only been observed at ages 25 to 34). </w:t>
      </w:r>
    </w:p>
    <w:p w14:paraId="391F95AD" w14:textId="29887A2A" w:rsidR="0044353C" w:rsidRPr="0065386A" w:rsidRDefault="0044353C" w:rsidP="0044353C">
      <w:pPr>
        <w:keepLines/>
      </w:pPr>
      <w:r w:rsidRPr="0065386A">
        <w:t xml:space="preserve">Consistent with the approach taken by the CBO, we have chosen to exclude the two most recent cohorts from the models covering the ages 25 </w:t>
      </w:r>
      <w:r w:rsidR="00F56191">
        <w:t>to</w:t>
      </w:r>
      <w:r w:rsidR="00F56191" w:rsidRPr="0065386A">
        <w:t xml:space="preserve"> </w:t>
      </w:r>
      <w:r w:rsidRPr="0065386A">
        <w:t xml:space="preserve">64 (this is equivalent to excluding 10 single year of </w:t>
      </w:r>
      <w:r w:rsidR="00C84C75">
        <w:t xml:space="preserve">age </w:t>
      </w:r>
      <w:r w:rsidRPr="0065386A">
        <w:t>birth cohorts in the CBO’s framework). Excluding recent cohorts from the estimation generally results</w:t>
      </w:r>
      <w:r w:rsidR="00366E1D" w:rsidRPr="0065386A">
        <w:t xml:space="preserve"> in worse fit of the model to</w:t>
      </w:r>
      <w:r w:rsidRPr="0065386A">
        <w:t xml:space="preserve"> recent data. However, in the past 10 years or so there has been relatively large movements and/or reversals of longer-running trends observed for those at ages 25</w:t>
      </w:r>
      <w:r w:rsidR="008F34A3">
        <w:t> </w:t>
      </w:r>
      <w:r w:rsidR="00F56191">
        <w:t xml:space="preserve">to </w:t>
      </w:r>
      <w:r w:rsidRPr="0065386A">
        <w:t>34</w:t>
      </w:r>
      <w:r w:rsidR="00366E1D" w:rsidRPr="0065386A">
        <w:t xml:space="preserve"> (</w:t>
      </w:r>
      <w:proofErr w:type="gramStart"/>
      <w:r w:rsidR="00366E1D" w:rsidRPr="0065386A">
        <w:t>in particular at</w:t>
      </w:r>
      <w:proofErr w:type="gramEnd"/>
      <w:r w:rsidR="00366E1D" w:rsidRPr="0065386A">
        <w:t xml:space="preserve"> the part-time and full-time level)</w:t>
      </w:r>
      <w:r w:rsidRPr="0065386A">
        <w:t xml:space="preserve">. Given the uncertainty around what has caused these large movements </w:t>
      </w:r>
      <w:r w:rsidR="009F5787">
        <w:t xml:space="preserve">we have adopted a prudent approach that does not </w:t>
      </w:r>
      <w:r w:rsidR="0065386A">
        <w:t xml:space="preserve">allow </w:t>
      </w:r>
      <w:r w:rsidR="009F5787">
        <w:t xml:space="preserve">these </w:t>
      </w:r>
      <w:r w:rsidR="007E5AE3">
        <w:t xml:space="preserve">shifts between full-time and part-time participation </w:t>
      </w:r>
      <w:r w:rsidRPr="0065386A">
        <w:t xml:space="preserve">to fully flow through to the remaining life of recent </w:t>
      </w:r>
      <w:r w:rsidR="009F5787">
        <w:t xml:space="preserve">and </w:t>
      </w:r>
      <w:r w:rsidRPr="0065386A">
        <w:t>future cohorts.</w:t>
      </w:r>
    </w:p>
    <w:p w14:paraId="0BBDCD51" w14:textId="4A8813DA" w:rsidR="0044353C" w:rsidRPr="0065386A" w:rsidRDefault="009F5787" w:rsidP="0044353C">
      <w:pPr>
        <w:pStyle w:val="Bullet"/>
        <w:keepNext w:val="0"/>
        <w:keepLines/>
        <w:numPr>
          <w:ilvl w:val="0"/>
          <w:numId w:val="0"/>
        </w:numPr>
      </w:pPr>
      <w:r>
        <w:t xml:space="preserve">In contrast, </w:t>
      </w:r>
      <w:r w:rsidRPr="005A6541">
        <w:t xml:space="preserve">participation rates </w:t>
      </w:r>
      <w:r>
        <w:t>for</w:t>
      </w:r>
      <w:r w:rsidR="0044353C" w:rsidRPr="0065386A">
        <w:t xml:space="preserve"> ages 15 to 24 and 65 and over, have either been </w:t>
      </w:r>
      <w:r w:rsidR="00C84C75">
        <w:t xml:space="preserve">relatively </w:t>
      </w:r>
      <w:r w:rsidR="0044353C" w:rsidRPr="0065386A">
        <w:t xml:space="preserve">stable over a longer period of time, or have been moving in line with longer-running trends over recent years, </w:t>
      </w:r>
      <w:r>
        <w:t xml:space="preserve">so </w:t>
      </w:r>
      <w:r w:rsidR="0044353C" w:rsidRPr="0065386A">
        <w:t>we include all cohorts in the estimation.</w:t>
      </w:r>
    </w:p>
    <w:p w14:paraId="1B05FAAB" w14:textId="77777777" w:rsidR="0044353C" w:rsidRPr="00856042" w:rsidRDefault="0044353C" w:rsidP="00422BA9">
      <w:pPr>
        <w:pStyle w:val="Heading2-Numbered"/>
      </w:pPr>
      <w:bookmarkStart w:id="11" w:name="_Toc70507619"/>
      <w:r w:rsidRPr="00856042">
        <w:lastRenderedPageBreak/>
        <w:t>Multiplicative versus additive specification</w:t>
      </w:r>
      <w:bookmarkEnd w:id="11"/>
    </w:p>
    <w:p w14:paraId="435DAD2B" w14:textId="7810E0D9" w:rsidR="004F1454" w:rsidRDefault="0056551D" w:rsidP="0044353C">
      <w:pPr>
        <w:pStyle w:val="Bullet"/>
        <w:numPr>
          <w:ilvl w:val="0"/>
          <w:numId w:val="0"/>
        </w:numPr>
      </w:pPr>
      <w:r w:rsidRPr="00856042">
        <w:t xml:space="preserve">Previous work using the age-cohort framework, including the CBO, has generally used </w:t>
      </w:r>
      <w:r w:rsidR="0044353C" w:rsidRPr="00856042">
        <w:t>a multiplicative specification of the cohort effects</w:t>
      </w:r>
      <w:r w:rsidR="00547B4B">
        <w:t>. I</w:t>
      </w:r>
      <w:r w:rsidR="0044353C" w:rsidRPr="00856042">
        <w:t xml:space="preserve">n practice this means that the model is estimated in log levels. </w:t>
      </w:r>
      <w:r w:rsidR="00664FF9">
        <w:t xml:space="preserve">This choice affects the </w:t>
      </w:r>
      <w:r w:rsidR="00664FF9" w:rsidRPr="00856042">
        <w:t>identifi</w:t>
      </w:r>
      <w:r w:rsidR="00664FF9">
        <w:t xml:space="preserve">cation of </w:t>
      </w:r>
      <w:r w:rsidR="00547B4B">
        <w:t xml:space="preserve">age </w:t>
      </w:r>
      <w:r w:rsidR="00664FF9">
        <w:t xml:space="preserve">and cohort effects. </w:t>
      </w:r>
      <w:r w:rsidR="00C84C75">
        <w:t>Using this specification</w:t>
      </w:r>
      <w:r w:rsidR="00664FF9">
        <w:t>, t</w:t>
      </w:r>
      <w:r w:rsidR="00B17C86" w:rsidRPr="00856042">
        <w:t xml:space="preserve">he </w:t>
      </w:r>
      <w:r w:rsidR="0044353C" w:rsidRPr="00856042">
        <w:t xml:space="preserve">cohort effect scales </w:t>
      </w:r>
      <w:r w:rsidR="00664FF9" w:rsidRPr="00856042">
        <w:t>th</w:t>
      </w:r>
      <w:r w:rsidR="00664FF9">
        <w:t>e</w:t>
      </w:r>
      <w:r w:rsidR="00664FF9" w:rsidRPr="00856042">
        <w:t xml:space="preserve"> </w:t>
      </w:r>
      <w:r w:rsidR="00B17C86">
        <w:t xml:space="preserve">age </w:t>
      </w:r>
      <w:r w:rsidR="00547B4B">
        <w:t>effect</w:t>
      </w:r>
      <w:r w:rsidR="00547B4B" w:rsidRPr="00856042">
        <w:t xml:space="preserve"> </w:t>
      </w:r>
      <w:r w:rsidR="0044353C" w:rsidRPr="00856042">
        <w:t>proportionally across the lifecycle</w:t>
      </w:r>
      <w:r w:rsidR="00547B4B">
        <w:t xml:space="preserve"> or stage of life</w:t>
      </w:r>
      <w:r w:rsidR="0044353C" w:rsidRPr="00856042">
        <w:t xml:space="preserve">. </w:t>
      </w:r>
      <w:r w:rsidR="00636D3F">
        <w:t xml:space="preserve">Figure 4 demonstrates that changes in the cohort effect of the same magnitude for younger and older ages will have very different implications </w:t>
      </w:r>
      <w:r w:rsidR="00C84C75">
        <w:t>for middle-</w:t>
      </w:r>
      <w:r w:rsidR="00636D3F">
        <w:t>age</w:t>
      </w:r>
      <w:r w:rsidR="00C84C75">
        <w:t>d</w:t>
      </w:r>
      <w:r w:rsidR="00636D3F">
        <w:t xml:space="preserve"> workers under the multiplicative and additive model specifications. </w:t>
      </w:r>
      <w:r w:rsidR="0080036F">
        <w:t>Because p</w:t>
      </w:r>
      <w:r w:rsidR="0080036F" w:rsidRPr="00856042">
        <w:t xml:space="preserve">articipation rates </w:t>
      </w:r>
      <w:r w:rsidR="0080036F">
        <w:t>are</w:t>
      </w:r>
      <w:r w:rsidR="0080036F" w:rsidRPr="00856042">
        <w:t xml:space="preserve"> </w:t>
      </w:r>
      <w:r w:rsidR="00636D3F">
        <w:t xml:space="preserve">typically </w:t>
      </w:r>
      <w:r w:rsidR="0080036F" w:rsidRPr="00856042">
        <w:t xml:space="preserve">lower at </w:t>
      </w:r>
      <w:r w:rsidR="0080036F">
        <w:t xml:space="preserve">young and </w:t>
      </w:r>
      <w:r w:rsidR="0080036F" w:rsidRPr="00856042">
        <w:t>older ages</w:t>
      </w:r>
      <w:r w:rsidR="0080036F">
        <w:t xml:space="preserve"> a </w:t>
      </w:r>
      <w:r w:rsidR="00274BA1">
        <w:t>multiplicative model</w:t>
      </w:r>
      <w:r w:rsidR="0044353C" w:rsidRPr="00856042">
        <w:t xml:space="preserve"> impl</w:t>
      </w:r>
      <w:r w:rsidR="00274BA1">
        <w:t>ies</w:t>
      </w:r>
      <w:r w:rsidR="0044353C" w:rsidRPr="00856042">
        <w:t xml:space="preserve"> a </w:t>
      </w:r>
      <w:r w:rsidR="00C17F69">
        <w:t>larger</w:t>
      </w:r>
      <w:r w:rsidR="00C17F69" w:rsidRPr="00856042">
        <w:t xml:space="preserve"> </w:t>
      </w:r>
      <w:r w:rsidR="0044353C" w:rsidRPr="00856042">
        <w:t xml:space="preserve">percentage point change </w:t>
      </w:r>
      <w:r w:rsidR="00B17C86">
        <w:t xml:space="preserve">for </w:t>
      </w:r>
      <w:r w:rsidR="00C17F69">
        <w:t xml:space="preserve">middle age </w:t>
      </w:r>
      <w:r w:rsidR="00B17C86">
        <w:t>workers</w:t>
      </w:r>
      <w:r w:rsidR="0080036F" w:rsidRPr="0080036F">
        <w:t xml:space="preserve"> </w:t>
      </w:r>
      <w:r w:rsidR="0080036F">
        <w:t xml:space="preserve">when compared with </w:t>
      </w:r>
      <w:r w:rsidR="00C17F69">
        <w:t xml:space="preserve">young and old </w:t>
      </w:r>
      <w:r w:rsidR="0080036F">
        <w:t>age workers.</w:t>
      </w:r>
      <w:r w:rsidR="00C84C75">
        <w:t xml:space="preserve"> </w:t>
      </w:r>
      <w:r w:rsidR="0044353C" w:rsidRPr="00856042">
        <w:t>A stylised version of this case is shown in the LHS panel of Figure 4</w:t>
      </w:r>
      <w:r w:rsidR="00636D3F">
        <w:t>,</w:t>
      </w:r>
      <w:r w:rsidR="0044353C" w:rsidRPr="00856042">
        <w:t xml:space="preserve"> </w:t>
      </w:r>
      <w:r w:rsidR="0080036F">
        <w:t xml:space="preserve">with </w:t>
      </w:r>
      <w:r w:rsidR="0044353C" w:rsidRPr="00856042">
        <w:t xml:space="preserve">each line </w:t>
      </w:r>
      <w:r w:rsidR="0080036F" w:rsidRPr="00856042">
        <w:t>represent</w:t>
      </w:r>
      <w:r w:rsidR="0080036F">
        <w:t>ing</w:t>
      </w:r>
      <w:r w:rsidR="0080036F" w:rsidRPr="00856042">
        <w:t xml:space="preserve"> </w:t>
      </w:r>
      <w:r w:rsidR="0044353C" w:rsidRPr="00856042">
        <w:t>a birth cohort.</w:t>
      </w:r>
      <w:r w:rsidR="0080036F" w:rsidRPr="0080036F">
        <w:t xml:space="preserve"> </w:t>
      </w:r>
      <w:r w:rsidR="00636D3F">
        <w:t>In contrast, changes in cohort effects in an additive model imply s</w:t>
      </w:r>
      <w:r w:rsidR="00636D3F" w:rsidRPr="00856042">
        <w:t xml:space="preserve">hifts in lifecycle profiles </w:t>
      </w:r>
      <w:r w:rsidR="00C84C75">
        <w:t xml:space="preserve">that </w:t>
      </w:r>
      <w:r w:rsidR="00636D3F">
        <w:t>are</w:t>
      </w:r>
      <w:r w:rsidR="00636D3F" w:rsidRPr="00856042">
        <w:t xml:space="preserve"> uniform over the </w:t>
      </w:r>
      <w:r w:rsidR="00762D1B" w:rsidRPr="00856042">
        <w:t>life cycle</w:t>
      </w:r>
      <w:r w:rsidR="00853C19">
        <w:t xml:space="preserve"> </w:t>
      </w:r>
      <w:r w:rsidR="00C84C75">
        <w:t>(</w:t>
      </w:r>
      <w:r w:rsidR="00853C19">
        <w:t>or stage of life</w:t>
      </w:r>
      <w:r w:rsidR="00C84C75">
        <w:t>)</w:t>
      </w:r>
      <w:r w:rsidR="00636D3F" w:rsidRPr="00856042">
        <w:t xml:space="preserve"> as is the case in the RHS panel</w:t>
      </w:r>
      <w:r w:rsidR="00636D3F">
        <w:t>.</w:t>
      </w:r>
    </w:p>
    <w:p w14:paraId="4F54B3E0" w14:textId="77777777" w:rsidR="0044353C" w:rsidRPr="00856042" w:rsidRDefault="0044353C" w:rsidP="00B164C7">
      <w:pPr>
        <w:pStyle w:val="FigureHeading"/>
      </w:pPr>
      <w:r w:rsidRPr="00856042">
        <w:t>Figure 4: Stylised multiplicative and additive cohort participation rate profiles</w:t>
      </w:r>
    </w:p>
    <w:tbl>
      <w:tblPr>
        <w:tblStyle w:val="TableGrid"/>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44353C" w:rsidRPr="00BD78A3" w14:paraId="6A58FFDC" w14:textId="77777777" w:rsidTr="00B164C7">
        <w:tc>
          <w:tcPr>
            <w:tcW w:w="4479" w:type="dxa"/>
          </w:tcPr>
          <w:p w14:paraId="7F857210" w14:textId="77777777" w:rsidR="0044353C" w:rsidRPr="002E55AE" w:rsidRDefault="0044353C" w:rsidP="0029639C">
            <w:pPr>
              <w:jc w:val="center"/>
              <w:rPr>
                <w:b/>
                <w:bCs/>
                <w:color w:val="003157"/>
              </w:rPr>
            </w:pPr>
            <w:r w:rsidRPr="002E55AE">
              <w:rPr>
                <w:b/>
                <w:bCs/>
                <w:color w:val="003157"/>
              </w:rPr>
              <w:t>Multiplicative specification</w:t>
            </w:r>
          </w:p>
          <w:p w14:paraId="3D75B9E9" w14:textId="7249E779" w:rsidR="0044353C" w:rsidRPr="00856042" w:rsidRDefault="006A1009" w:rsidP="002E55AE">
            <w:pPr>
              <w:pStyle w:val="Figuregraphic"/>
              <w:spacing w:after="0"/>
            </w:pPr>
            <w:r w:rsidRPr="006A1009">
              <w:rPr>
                <w:noProof/>
              </w:rPr>
              <w:drawing>
                <wp:inline distT="0" distB="0" distL="0" distR="0" wp14:anchorId="6C3158E3" wp14:editId="6B9A4300">
                  <wp:extent cx="2843530" cy="28003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b="1519"/>
                          <a:stretch/>
                        </pic:blipFill>
                        <pic:spPr bwMode="auto">
                          <a:xfrm>
                            <a:off x="0" y="0"/>
                            <a:ext cx="2844000" cy="28008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79" w:type="dxa"/>
          </w:tcPr>
          <w:p w14:paraId="686A0146" w14:textId="77777777" w:rsidR="0044353C" w:rsidRPr="002E55AE" w:rsidRDefault="0044353C" w:rsidP="0029639C">
            <w:pPr>
              <w:jc w:val="center"/>
              <w:rPr>
                <w:b/>
                <w:bCs/>
                <w:color w:val="003157"/>
              </w:rPr>
            </w:pPr>
            <w:r w:rsidRPr="002E55AE">
              <w:rPr>
                <w:b/>
                <w:bCs/>
                <w:color w:val="003157"/>
              </w:rPr>
              <w:t>Additive specification</w:t>
            </w:r>
          </w:p>
          <w:p w14:paraId="45BFCE45" w14:textId="2FD3909F" w:rsidR="0044353C" w:rsidRPr="00856042" w:rsidRDefault="007E35C7" w:rsidP="002E55AE">
            <w:pPr>
              <w:pStyle w:val="Figuregraphic"/>
              <w:spacing w:after="0"/>
            </w:pPr>
            <w:r w:rsidRPr="007E35C7">
              <w:rPr>
                <w:noProof/>
              </w:rPr>
              <w:drawing>
                <wp:inline distT="0" distB="0" distL="0" distR="0" wp14:anchorId="0B9B1193" wp14:editId="39E491BE">
                  <wp:extent cx="2843530" cy="28003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b="1519"/>
                          <a:stretch/>
                        </pic:blipFill>
                        <pic:spPr bwMode="auto">
                          <a:xfrm>
                            <a:off x="0" y="0"/>
                            <a:ext cx="2844000" cy="280081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317612F" w14:textId="77777777" w:rsidR="003C28AF" w:rsidRDefault="003C28AF" w:rsidP="003C28AF">
      <w:pPr>
        <w:pStyle w:val="SingleParagraph"/>
      </w:pPr>
    </w:p>
    <w:p w14:paraId="119DED09" w14:textId="204B480A" w:rsidR="00615136" w:rsidRDefault="00853C19" w:rsidP="0044353C">
      <w:pPr>
        <w:spacing w:after="200"/>
      </w:pPr>
      <w:r>
        <w:t>I</w:t>
      </w:r>
      <w:r w:rsidR="0044353C" w:rsidRPr="00856042">
        <w:t xml:space="preserve">f a multiplicative model is estimated for data that is consistent with an additive model this </w:t>
      </w:r>
      <w:r w:rsidR="000F6CD5" w:rsidRPr="00856042">
        <w:t>can</w:t>
      </w:r>
      <w:r w:rsidR="0044353C" w:rsidRPr="00856042">
        <w:t xml:space="preserve"> result in age effects that are</w:t>
      </w:r>
      <w:r w:rsidR="00D257D2">
        <w:t xml:space="preserve"> </w:t>
      </w:r>
      <w:r w:rsidR="0044353C" w:rsidRPr="00856042">
        <w:t>exaggerated towards the beginning and</w:t>
      </w:r>
      <w:r w:rsidR="00166096">
        <w:t xml:space="preserve"> </w:t>
      </w:r>
      <w:r w:rsidR="0044353C" w:rsidRPr="00856042">
        <w:t xml:space="preserve">end of the life cycle. When combined with cohort effects estimated from recent sharp movements in the data, these age effects can result in very significant movements in future participation rate lifecycle profiles. </w:t>
      </w:r>
    </w:p>
    <w:p w14:paraId="735C901B" w14:textId="58B81C85" w:rsidR="0044353C" w:rsidRPr="002F34D7" w:rsidRDefault="00615136" w:rsidP="0044353C">
      <w:pPr>
        <w:spacing w:after="200"/>
        <w:rPr>
          <w:highlight w:val="cyan"/>
        </w:rPr>
      </w:pPr>
      <w:r>
        <w:t>E</w:t>
      </w:r>
      <w:r w:rsidR="0044353C" w:rsidRPr="00856042">
        <w:t>stimation results suggests that an additive specification is a better fit for the 25</w:t>
      </w:r>
      <w:r w:rsidR="00BA7978">
        <w:t xml:space="preserve"> to </w:t>
      </w:r>
      <w:r w:rsidR="0044353C" w:rsidRPr="00856042">
        <w:t xml:space="preserve">64 age group. In particular, the additive specification results in plausible age effects for males towards the end of their prime working age. </w:t>
      </w:r>
      <w:r w:rsidR="00461CFA" w:rsidRPr="00856042">
        <w:t>As a result, the long-term projections of participation rates at these ages are also plausible.</w:t>
      </w:r>
      <w:r w:rsidR="00461CFA">
        <w:t xml:space="preserve"> In contrast, the multiplicative model for this stage of life suggests a set of age effects that do not capture the lifecycle participation patterns of recent cohorts</w:t>
      </w:r>
      <w:r w:rsidR="009D78EC">
        <w:t xml:space="preserve"> and that result in unrealistic projections.</w:t>
      </w:r>
      <w:r w:rsidR="00461CFA">
        <w:t xml:space="preserve"> </w:t>
      </w:r>
    </w:p>
    <w:p w14:paraId="2958B2D0" w14:textId="77777777" w:rsidR="008F34A3" w:rsidRDefault="008F34A3">
      <w:pPr>
        <w:spacing w:after="200" w:line="276" w:lineRule="auto"/>
      </w:pPr>
      <w:r>
        <w:br w:type="page"/>
      </w:r>
    </w:p>
    <w:p w14:paraId="41115F4F" w14:textId="73C36077" w:rsidR="0044353C" w:rsidRPr="00856042" w:rsidRDefault="0044353C" w:rsidP="0044353C">
      <w:pPr>
        <w:spacing w:after="200"/>
      </w:pPr>
      <w:r w:rsidRPr="00856042">
        <w:lastRenderedPageBreak/>
        <w:t xml:space="preserve">The multiplicative specification </w:t>
      </w:r>
      <w:r w:rsidR="00615136">
        <w:t>is also</w:t>
      </w:r>
      <w:r w:rsidRPr="00856042">
        <w:t xml:space="preserve"> problem</w:t>
      </w:r>
      <w:r w:rsidR="00615136">
        <w:t>atic</w:t>
      </w:r>
      <w:r w:rsidR="00BA70AC">
        <w:t xml:space="preserve"> in some cases</w:t>
      </w:r>
      <w:r w:rsidRPr="00856042">
        <w:t xml:space="preserve"> due to the separation of participation rates into full-time and part-time</w:t>
      </w:r>
      <w:r w:rsidR="000F6CD5" w:rsidRPr="00856042">
        <w:t xml:space="preserve"> rates</w:t>
      </w:r>
      <w:r w:rsidRPr="00856042">
        <w:t xml:space="preserve">. Because of the </w:t>
      </w:r>
      <w:r w:rsidR="00615136">
        <w:t xml:space="preserve">significant </w:t>
      </w:r>
      <w:r w:rsidRPr="00856042">
        <w:t>differen</w:t>
      </w:r>
      <w:r w:rsidR="00615136">
        <w:t>ces in</w:t>
      </w:r>
      <w:r w:rsidRPr="00856042">
        <w:t xml:space="preserve"> levels of full-time and part-time participation</w:t>
      </w:r>
      <w:r w:rsidR="00615136">
        <w:t xml:space="preserve"> rates</w:t>
      </w:r>
      <w:r w:rsidRPr="00856042">
        <w:t xml:space="preserve">, </w:t>
      </w:r>
      <w:r w:rsidR="00B32B9F">
        <w:t>especially</w:t>
      </w:r>
      <w:r w:rsidRPr="00856042">
        <w:t xml:space="preserve"> for males, relatively modest shifts between full-time and part-time participation can </w:t>
      </w:r>
      <w:r w:rsidR="00B32B9F">
        <w:t>have a significant effect</w:t>
      </w:r>
      <w:r w:rsidRPr="00856042">
        <w:t xml:space="preserve"> </w:t>
      </w:r>
      <w:r w:rsidR="00B32B9F">
        <w:t>on the total participation rate</w:t>
      </w:r>
      <w:r w:rsidR="00853C19">
        <w:t xml:space="preserve"> (potentially exceeding </w:t>
      </w:r>
      <w:r w:rsidR="00A1373A">
        <w:t>100 per cent</w:t>
      </w:r>
      <w:r w:rsidR="00853C19">
        <w:t>)</w:t>
      </w:r>
      <w:r w:rsidRPr="00856042">
        <w:t xml:space="preserve">. </w:t>
      </w:r>
    </w:p>
    <w:p w14:paraId="381697D3" w14:textId="3F9E79DA" w:rsidR="004C40A8" w:rsidRDefault="00B32B9F" w:rsidP="0044353C">
      <w:pPr>
        <w:spacing w:after="200"/>
      </w:pPr>
      <w:proofErr w:type="gramStart"/>
      <w:r>
        <w:t>In light of</w:t>
      </w:r>
      <w:proofErr w:type="gramEnd"/>
      <w:r>
        <w:t xml:space="preserve"> this </w:t>
      </w:r>
      <w:r w:rsidR="00AF5985">
        <w:t>discussion</w:t>
      </w:r>
      <w:r w:rsidR="0044353C" w:rsidRPr="00856042">
        <w:t xml:space="preserve">, we have adopted </w:t>
      </w:r>
      <w:r w:rsidR="00C97F74">
        <w:t xml:space="preserve">a mix of multiplicative and </w:t>
      </w:r>
      <w:r w:rsidR="0044353C" w:rsidRPr="00856042">
        <w:t>additive specification</w:t>
      </w:r>
      <w:r w:rsidR="00C97F74">
        <w:t>s</w:t>
      </w:r>
      <w:r w:rsidR="00A1373A">
        <w:t xml:space="preserve"> (s</w:t>
      </w:r>
      <w:r w:rsidR="00C97F74">
        <w:t>ee</w:t>
      </w:r>
      <w:r w:rsidR="008F34A3">
        <w:t> </w:t>
      </w:r>
      <w:r w:rsidR="00C97F74">
        <w:t>Table 1 for details</w:t>
      </w:r>
      <w:r w:rsidR="00A1373A">
        <w:t>)</w:t>
      </w:r>
      <w:r w:rsidR="00C97F74">
        <w:t xml:space="preserve">. </w:t>
      </w:r>
      <w:r w:rsidR="0044353C" w:rsidRPr="00856042">
        <w:t xml:space="preserve"> </w:t>
      </w:r>
      <w:r w:rsidR="00C97F74">
        <w:t>T</w:t>
      </w:r>
      <w:r w:rsidR="0044353C" w:rsidRPr="00856042">
        <w:t>he additive specification does not fit data</w:t>
      </w:r>
      <w:r w:rsidR="00C97F74">
        <w:t xml:space="preserve"> </w:t>
      </w:r>
      <w:r w:rsidR="00C97F74" w:rsidRPr="00856042">
        <w:t>covering the younger and older ages</w:t>
      </w:r>
      <w:r w:rsidR="00C97F74">
        <w:t xml:space="preserve"> because</w:t>
      </w:r>
      <w:r w:rsidR="00C97F74" w:rsidRPr="00856042">
        <w:t xml:space="preserve"> </w:t>
      </w:r>
      <w:r w:rsidR="0044353C" w:rsidRPr="00856042">
        <w:t xml:space="preserve">the level of participation and the shifts between cohorts at the different ages within each of these stages are of very different magnitudes. </w:t>
      </w:r>
      <w:r w:rsidR="007E3BF4" w:rsidRPr="00856042">
        <w:t>Therefore,</w:t>
      </w:r>
      <w:r w:rsidR="0044353C" w:rsidRPr="00856042">
        <w:t xml:space="preserve"> we have adopted a multiplicative specification in these cases.</w:t>
      </w:r>
      <w:r w:rsidR="00C97F74">
        <w:t xml:space="preserve"> In contrast, data for </w:t>
      </w:r>
      <w:r w:rsidR="00A1373A">
        <w:t xml:space="preserve">the </w:t>
      </w:r>
      <w:r w:rsidR="00C97F74">
        <w:t>middle age</w:t>
      </w:r>
      <w:r w:rsidR="00A1373A">
        <w:t>d</w:t>
      </w:r>
      <w:r w:rsidR="00C97F74">
        <w:t xml:space="preserve"> </w:t>
      </w:r>
      <w:r w:rsidR="00074DA5">
        <w:t xml:space="preserve">tend to </w:t>
      </w:r>
      <w:r w:rsidR="00A1373A">
        <w:t xml:space="preserve">suggest </w:t>
      </w:r>
      <w:r w:rsidR="00074DA5">
        <w:t xml:space="preserve">uniform shifts that </w:t>
      </w:r>
      <w:r w:rsidR="00C97F74">
        <w:t>are better explained by an additive specification.</w:t>
      </w:r>
    </w:p>
    <w:p w14:paraId="1F3EAF09" w14:textId="2ADC4D4F" w:rsidR="0044353C" w:rsidRPr="00856042" w:rsidRDefault="0044353C" w:rsidP="002E55AE">
      <w:pPr>
        <w:pStyle w:val="TableMainHeading"/>
      </w:pPr>
      <w:r w:rsidRPr="00856042">
        <w:t>T</w:t>
      </w:r>
      <w:r w:rsidR="005A09DA">
        <w:t>able 1</w:t>
      </w:r>
      <w:r w:rsidRPr="00856042">
        <w:t>: Summary of model</w:t>
      </w:r>
      <w:r w:rsidR="001D0EAA">
        <w:t xml:space="preserve"> specification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45"/>
        <w:gridCol w:w="3514"/>
        <w:gridCol w:w="2255"/>
        <w:gridCol w:w="1644"/>
      </w:tblGrid>
      <w:tr w:rsidR="0044353C" w:rsidRPr="00787843" w14:paraId="2E8FF9D0" w14:textId="77777777" w:rsidTr="00787843">
        <w:trPr>
          <w:trHeight w:val="393"/>
        </w:trPr>
        <w:tc>
          <w:tcPr>
            <w:tcW w:w="0" w:type="dxa"/>
            <w:shd w:val="clear" w:color="auto" w:fill="D5E1F1" w:themeFill="accent2" w:themeFillTint="33"/>
          </w:tcPr>
          <w:p w14:paraId="42CDBE3E" w14:textId="77777777" w:rsidR="0044353C" w:rsidRPr="00787843" w:rsidRDefault="0044353C" w:rsidP="00787843">
            <w:pPr>
              <w:pStyle w:val="TableColumnHeadingLeft"/>
              <w:spacing w:before="60" w:after="60"/>
            </w:pPr>
          </w:p>
        </w:tc>
        <w:tc>
          <w:tcPr>
            <w:tcW w:w="0" w:type="dxa"/>
            <w:shd w:val="clear" w:color="auto" w:fill="D5E1F1" w:themeFill="accent2" w:themeFillTint="33"/>
          </w:tcPr>
          <w:p w14:paraId="6A081F6C" w14:textId="4F0ECF46" w:rsidR="0044353C" w:rsidRPr="00787843" w:rsidRDefault="0044353C" w:rsidP="00787843">
            <w:pPr>
              <w:pStyle w:val="TableColumnHeadingLeft"/>
              <w:spacing w:before="60" w:after="60"/>
            </w:pPr>
            <w:r w:rsidRPr="00787843">
              <w:t>Functional form</w:t>
            </w:r>
          </w:p>
        </w:tc>
        <w:tc>
          <w:tcPr>
            <w:tcW w:w="0" w:type="dxa"/>
            <w:shd w:val="clear" w:color="auto" w:fill="D5E1F1" w:themeFill="accent2" w:themeFillTint="33"/>
          </w:tcPr>
          <w:p w14:paraId="54AA5656" w14:textId="0E30A573" w:rsidR="0044353C" w:rsidRPr="00787843" w:rsidRDefault="003F18BD" w:rsidP="00787843">
            <w:pPr>
              <w:pStyle w:val="TableColumnHeadingLeft"/>
              <w:spacing w:before="60" w:after="60"/>
            </w:pPr>
            <w:r w:rsidRPr="00787843">
              <w:t>Additional c</w:t>
            </w:r>
            <w:r w:rsidR="0044353C" w:rsidRPr="00787843">
              <w:t>ovariates</w:t>
            </w:r>
          </w:p>
        </w:tc>
        <w:tc>
          <w:tcPr>
            <w:tcW w:w="0" w:type="dxa"/>
            <w:shd w:val="clear" w:color="auto" w:fill="D5E1F1" w:themeFill="accent2" w:themeFillTint="33"/>
          </w:tcPr>
          <w:p w14:paraId="25BF14DC" w14:textId="65F4605A" w:rsidR="0044353C" w:rsidRPr="00787843" w:rsidRDefault="003F18BD" w:rsidP="00787843">
            <w:pPr>
              <w:pStyle w:val="TableColumnHeadingLeft"/>
              <w:spacing w:before="60" w:after="60"/>
            </w:pPr>
            <w:r w:rsidRPr="00787843">
              <w:t>Treatment of c</w:t>
            </w:r>
            <w:r w:rsidR="0044353C" w:rsidRPr="00787843">
              <w:t>ohort effects</w:t>
            </w:r>
          </w:p>
        </w:tc>
      </w:tr>
      <w:tr w:rsidR="0044353C" w:rsidRPr="002E55AE" w14:paraId="23EB50C4" w14:textId="77777777" w:rsidTr="00787843">
        <w:trPr>
          <w:trHeight w:val="296"/>
        </w:trPr>
        <w:tc>
          <w:tcPr>
            <w:tcW w:w="9016" w:type="dxa"/>
            <w:gridSpan w:val="4"/>
            <w:shd w:val="clear" w:color="auto" w:fill="D9D9D9" w:themeFill="background1" w:themeFillShade="D9"/>
          </w:tcPr>
          <w:p w14:paraId="646F7BC0" w14:textId="77777777" w:rsidR="0044353C" w:rsidRPr="002E55AE" w:rsidRDefault="0044353C" w:rsidP="00787843">
            <w:pPr>
              <w:pStyle w:val="TableColumnHeadingLeft"/>
              <w:spacing w:before="60" w:after="60"/>
              <w:rPr>
                <w:i/>
                <w:iCs/>
              </w:rPr>
            </w:pPr>
            <w:r w:rsidRPr="002E55AE">
              <w:rPr>
                <w:i/>
                <w:iCs/>
              </w:rPr>
              <w:t xml:space="preserve"> Female full-time/part-time and male part-time</w:t>
            </w:r>
          </w:p>
        </w:tc>
      </w:tr>
      <w:tr w:rsidR="0044353C" w:rsidRPr="00FD0D17" w14:paraId="61222F15" w14:textId="77777777" w:rsidTr="00787843">
        <w:trPr>
          <w:trHeight w:val="620"/>
        </w:trPr>
        <w:tc>
          <w:tcPr>
            <w:tcW w:w="1555" w:type="dxa"/>
          </w:tcPr>
          <w:p w14:paraId="158624C8" w14:textId="6D0E11BB" w:rsidR="0044353C" w:rsidRPr="00856042" w:rsidRDefault="0044353C" w:rsidP="002E55AE">
            <w:pPr>
              <w:pStyle w:val="TableTextLeft"/>
              <w:ind w:left="179"/>
            </w:pPr>
            <w:r w:rsidRPr="00856042">
              <w:t xml:space="preserve">15 </w:t>
            </w:r>
            <w:r w:rsidR="00A43BC6">
              <w:t>to</w:t>
            </w:r>
            <w:r w:rsidRPr="00856042">
              <w:t xml:space="preserve"> 24</w:t>
            </w:r>
          </w:p>
        </w:tc>
        <w:tc>
          <w:tcPr>
            <w:tcW w:w="3543" w:type="dxa"/>
          </w:tcPr>
          <w:p w14:paraId="563DBB43" w14:textId="77777777" w:rsidR="0044353C" w:rsidRPr="00856042" w:rsidRDefault="0044353C" w:rsidP="002E55AE">
            <w:pPr>
              <w:pStyle w:val="TableTextLeft"/>
            </w:pPr>
            <w:r w:rsidRPr="00856042">
              <w:t>Multiplicative age-cohort model</w:t>
            </w:r>
          </w:p>
        </w:tc>
        <w:tc>
          <w:tcPr>
            <w:tcW w:w="2268" w:type="dxa"/>
          </w:tcPr>
          <w:p w14:paraId="1945D26F" w14:textId="75DA43E8" w:rsidR="0044353C" w:rsidRPr="00856042" w:rsidRDefault="0044353C" w:rsidP="002E55AE">
            <w:pPr>
              <w:pStyle w:val="TableTextLeft"/>
            </w:pPr>
            <w:r w:rsidRPr="00856042">
              <w:t xml:space="preserve">Educational </w:t>
            </w:r>
            <w:proofErr w:type="gramStart"/>
            <w:r w:rsidRPr="00856042">
              <w:t>attendance;</w:t>
            </w:r>
            <w:proofErr w:type="gramEnd"/>
            <w:r w:rsidRPr="00856042">
              <w:t xml:space="preserve"> number of children born for females aged 20</w:t>
            </w:r>
            <w:r w:rsidR="000B3489">
              <w:t xml:space="preserve"> to </w:t>
            </w:r>
            <w:r w:rsidRPr="00856042">
              <w:t>24</w:t>
            </w:r>
          </w:p>
        </w:tc>
        <w:tc>
          <w:tcPr>
            <w:tcW w:w="1650" w:type="dxa"/>
          </w:tcPr>
          <w:p w14:paraId="26A69EAE" w14:textId="77777777" w:rsidR="0044353C" w:rsidRPr="00856042" w:rsidRDefault="0044353C" w:rsidP="002E55AE">
            <w:pPr>
              <w:pStyle w:val="TableTextLeft"/>
            </w:pPr>
            <w:r w:rsidRPr="00856042">
              <w:t>Estimate all</w:t>
            </w:r>
          </w:p>
        </w:tc>
      </w:tr>
      <w:tr w:rsidR="0044353C" w:rsidRPr="00FD0D17" w14:paraId="6D7F5AD6" w14:textId="77777777" w:rsidTr="00787843">
        <w:trPr>
          <w:trHeight w:val="417"/>
        </w:trPr>
        <w:tc>
          <w:tcPr>
            <w:tcW w:w="1555" w:type="dxa"/>
          </w:tcPr>
          <w:p w14:paraId="77752978" w14:textId="4FCB2EA4" w:rsidR="0044353C" w:rsidRPr="00856042" w:rsidRDefault="0044353C" w:rsidP="002E55AE">
            <w:pPr>
              <w:pStyle w:val="TableTextLeft"/>
              <w:ind w:left="179"/>
            </w:pPr>
            <w:r w:rsidRPr="00856042">
              <w:t>25 to 64</w:t>
            </w:r>
          </w:p>
        </w:tc>
        <w:tc>
          <w:tcPr>
            <w:tcW w:w="3543" w:type="dxa"/>
          </w:tcPr>
          <w:p w14:paraId="64C4CF90" w14:textId="77777777" w:rsidR="0044353C" w:rsidRPr="00856042" w:rsidRDefault="0044353C" w:rsidP="002E55AE">
            <w:pPr>
              <w:pStyle w:val="TableTextLeft"/>
            </w:pPr>
            <w:r w:rsidRPr="00856042">
              <w:t>Additive age-cohort model</w:t>
            </w:r>
          </w:p>
        </w:tc>
        <w:tc>
          <w:tcPr>
            <w:tcW w:w="2268" w:type="dxa"/>
          </w:tcPr>
          <w:p w14:paraId="6D5BA199" w14:textId="43CD13A8" w:rsidR="0044353C" w:rsidRPr="00856042" w:rsidRDefault="0044353C" w:rsidP="002E55AE">
            <w:pPr>
              <w:pStyle w:val="TableTextLeft"/>
            </w:pPr>
            <w:r w:rsidRPr="00856042">
              <w:t>Number of children born for females aged 25</w:t>
            </w:r>
            <w:r w:rsidR="000B3489">
              <w:t xml:space="preserve"> to 29, and 35 to 44</w:t>
            </w:r>
          </w:p>
        </w:tc>
        <w:tc>
          <w:tcPr>
            <w:tcW w:w="1650" w:type="dxa"/>
          </w:tcPr>
          <w:p w14:paraId="6F536610" w14:textId="77777777" w:rsidR="0044353C" w:rsidRPr="00856042" w:rsidRDefault="0044353C" w:rsidP="002E55AE">
            <w:pPr>
              <w:pStyle w:val="TableTextLeft"/>
            </w:pPr>
            <w:r w:rsidRPr="00856042">
              <w:t>Exclude two</w:t>
            </w:r>
          </w:p>
        </w:tc>
      </w:tr>
      <w:tr w:rsidR="0044353C" w:rsidRPr="00FD0D17" w14:paraId="37FAA3CB" w14:textId="77777777" w:rsidTr="00787843">
        <w:trPr>
          <w:trHeight w:val="417"/>
        </w:trPr>
        <w:tc>
          <w:tcPr>
            <w:tcW w:w="1555" w:type="dxa"/>
          </w:tcPr>
          <w:p w14:paraId="49CCBAA7" w14:textId="40C91F39" w:rsidR="0044353C" w:rsidRPr="00856042" w:rsidRDefault="0044353C" w:rsidP="002E55AE">
            <w:pPr>
              <w:pStyle w:val="TableTextLeft"/>
              <w:ind w:left="179"/>
            </w:pPr>
            <w:r w:rsidRPr="00856042">
              <w:t>65 and over</w:t>
            </w:r>
          </w:p>
        </w:tc>
        <w:tc>
          <w:tcPr>
            <w:tcW w:w="3543" w:type="dxa"/>
          </w:tcPr>
          <w:p w14:paraId="4E217CB2" w14:textId="77777777" w:rsidR="0044353C" w:rsidRPr="00856042" w:rsidRDefault="0044353C" w:rsidP="002E55AE">
            <w:pPr>
              <w:pStyle w:val="TableTextLeft"/>
            </w:pPr>
            <w:r w:rsidRPr="00856042">
              <w:t>Multiplicative age-cohort model</w:t>
            </w:r>
          </w:p>
        </w:tc>
        <w:tc>
          <w:tcPr>
            <w:tcW w:w="2268" w:type="dxa"/>
          </w:tcPr>
          <w:p w14:paraId="75B9A54F" w14:textId="194656AD" w:rsidR="0044353C" w:rsidRPr="00856042" w:rsidRDefault="00166096" w:rsidP="002E55AE">
            <w:pPr>
              <w:pStyle w:val="TableTextLeft"/>
            </w:pPr>
            <w:r>
              <w:t>None</w:t>
            </w:r>
          </w:p>
        </w:tc>
        <w:tc>
          <w:tcPr>
            <w:tcW w:w="1650" w:type="dxa"/>
          </w:tcPr>
          <w:p w14:paraId="6E07B012" w14:textId="77777777" w:rsidR="0044353C" w:rsidRPr="00856042" w:rsidRDefault="0044353C" w:rsidP="002E55AE">
            <w:pPr>
              <w:pStyle w:val="TableTextLeft"/>
            </w:pPr>
            <w:r w:rsidRPr="00856042">
              <w:t>Estimate all</w:t>
            </w:r>
          </w:p>
        </w:tc>
      </w:tr>
      <w:tr w:rsidR="0044353C" w:rsidRPr="002E55AE" w14:paraId="7D634464" w14:textId="77777777" w:rsidTr="00787843">
        <w:trPr>
          <w:trHeight w:val="296"/>
        </w:trPr>
        <w:tc>
          <w:tcPr>
            <w:tcW w:w="9016" w:type="dxa"/>
            <w:gridSpan w:val="4"/>
            <w:shd w:val="clear" w:color="auto" w:fill="D9D9D9" w:themeFill="background1" w:themeFillShade="D9"/>
          </w:tcPr>
          <w:p w14:paraId="256A62F6" w14:textId="77777777" w:rsidR="0044353C" w:rsidRPr="002E55AE" w:rsidRDefault="0044353C" w:rsidP="00787843">
            <w:pPr>
              <w:pStyle w:val="TableColumnHeadingLeft"/>
              <w:spacing w:before="60" w:after="60"/>
              <w:rPr>
                <w:i/>
                <w:iCs/>
              </w:rPr>
            </w:pPr>
            <w:r w:rsidRPr="002E55AE">
              <w:rPr>
                <w:i/>
                <w:iCs/>
              </w:rPr>
              <w:t>Males full-time</w:t>
            </w:r>
          </w:p>
        </w:tc>
      </w:tr>
      <w:tr w:rsidR="0044353C" w:rsidRPr="00FD0D17" w14:paraId="2FF4AE46" w14:textId="77777777" w:rsidTr="00787843">
        <w:trPr>
          <w:trHeight w:val="280"/>
        </w:trPr>
        <w:tc>
          <w:tcPr>
            <w:tcW w:w="1555" w:type="dxa"/>
          </w:tcPr>
          <w:p w14:paraId="6443A60A" w14:textId="7EBF98C8" w:rsidR="0044353C" w:rsidRPr="00856042" w:rsidRDefault="0044353C" w:rsidP="002E55AE">
            <w:pPr>
              <w:pStyle w:val="TableTextLeft"/>
              <w:ind w:left="179"/>
            </w:pPr>
            <w:r w:rsidRPr="00856042">
              <w:t xml:space="preserve">15 </w:t>
            </w:r>
            <w:r w:rsidR="00A43BC6">
              <w:t>to</w:t>
            </w:r>
            <w:r w:rsidRPr="00856042">
              <w:t xml:space="preserve"> 24</w:t>
            </w:r>
          </w:p>
        </w:tc>
        <w:tc>
          <w:tcPr>
            <w:tcW w:w="3543" w:type="dxa"/>
          </w:tcPr>
          <w:p w14:paraId="1245B543" w14:textId="77777777" w:rsidR="0044353C" w:rsidRPr="00856042" w:rsidRDefault="0044353C" w:rsidP="002E55AE">
            <w:pPr>
              <w:pStyle w:val="TableTextLeft"/>
            </w:pPr>
            <w:r w:rsidRPr="00856042">
              <w:t>Multiplicative age-cohort model</w:t>
            </w:r>
          </w:p>
        </w:tc>
        <w:tc>
          <w:tcPr>
            <w:tcW w:w="2268" w:type="dxa"/>
          </w:tcPr>
          <w:p w14:paraId="174786D6" w14:textId="77777777" w:rsidR="0044353C" w:rsidRPr="00856042" w:rsidRDefault="0044353C" w:rsidP="002E55AE">
            <w:pPr>
              <w:pStyle w:val="TableTextLeft"/>
            </w:pPr>
            <w:r w:rsidRPr="00856042">
              <w:t>Educational attendance</w:t>
            </w:r>
          </w:p>
        </w:tc>
        <w:tc>
          <w:tcPr>
            <w:tcW w:w="1650" w:type="dxa"/>
          </w:tcPr>
          <w:p w14:paraId="2E0C7BC3" w14:textId="77777777" w:rsidR="0044353C" w:rsidRPr="00856042" w:rsidRDefault="0044353C" w:rsidP="002E55AE">
            <w:pPr>
              <w:pStyle w:val="TableTextLeft"/>
            </w:pPr>
            <w:r w:rsidRPr="00856042">
              <w:t>Estimate all</w:t>
            </w:r>
          </w:p>
        </w:tc>
      </w:tr>
      <w:tr w:rsidR="0044353C" w:rsidRPr="00FD0D17" w14:paraId="13FD5A53" w14:textId="77777777" w:rsidTr="00787843">
        <w:trPr>
          <w:trHeight w:val="280"/>
        </w:trPr>
        <w:tc>
          <w:tcPr>
            <w:tcW w:w="1555" w:type="dxa"/>
          </w:tcPr>
          <w:p w14:paraId="58CE8361" w14:textId="17553103" w:rsidR="0044353C" w:rsidRPr="00856042" w:rsidRDefault="0044353C" w:rsidP="002E55AE">
            <w:pPr>
              <w:pStyle w:val="TableTextLeft"/>
              <w:ind w:left="179"/>
            </w:pPr>
            <w:r w:rsidRPr="00856042">
              <w:t xml:space="preserve">25 </w:t>
            </w:r>
            <w:r w:rsidR="00A43BC6">
              <w:t>to</w:t>
            </w:r>
            <w:r w:rsidRPr="00856042">
              <w:t xml:space="preserve"> 54 </w:t>
            </w:r>
          </w:p>
        </w:tc>
        <w:tc>
          <w:tcPr>
            <w:tcW w:w="3543" w:type="dxa"/>
          </w:tcPr>
          <w:p w14:paraId="0592F2D0" w14:textId="77777777" w:rsidR="0044353C" w:rsidRPr="00856042" w:rsidRDefault="0044353C" w:rsidP="002E55AE">
            <w:pPr>
              <w:pStyle w:val="TableTextLeft"/>
            </w:pPr>
            <w:r w:rsidRPr="00856042">
              <w:t>Additive age-cohort model</w:t>
            </w:r>
          </w:p>
        </w:tc>
        <w:tc>
          <w:tcPr>
            <w:tcW w:w="2268" w:type="dxa"/>
          </w:tcPr>
          <w:p w14:paraId="7179CF7B" w14:textId="066AA6C8" w:rsidR="0044353C" w:rsidRPr="00856042" w:rsidRDefault="00166096" w:rsidP="002E55AE">
            <w:pPr>
              <w:pStyle w:val="TableTextLeft"/>
            </w:pPr>
            <w:r>
              <w:t>None</w:t>
            </w:r>
          </w:p>
        </w:tc>
        <w:tc>
          <w:tcPr>
            <w:tcW w:w="1650" w:type="dxa"/>
          </w:tcPr>
          <w:p w14:paraId="69198B2E" w14:textId="77777777" w:rsidR="0044353C" w:rsidRPr="00856042" w:rsidRDefault="0044353C" w:rsidP="002E55AE">
            <w:pPr>
              <w:pStyle w:val="TableTextLeft"/>
            </w:pPr>
            <w:r w:rsidRPr="00856042">
              <w:t xml:space="preserve">Exclude two </w:t>
            </w:r>
          </w:p>
        </w:tc>
      </w:tr>
      <w:tr w:rsidR="0044353C" w:rsidRPr="00FD0D17" w14:paraId="02824282" w14:textId="77777777" w:rsidTr="00787843">
        <w:trPr>
          <w:trHeight w:val="280"/>
        </w:trPr>
        <w:tc>
          <w:tcPr>
            <w:tcW w:w="1555" w:type="dxa"/>
          </w:tcPr>
          <w:p w14:paraId="797EEA3B" w14:textId="3A45F969" w:rsidR="0044353C" w:rsidRPr="00856042" w:rsidRDefault="0044353C" w:rsidP="002E55AE">
            <w:pPr>
              <w:pStyle w:val="TableTextLeft"/>
              <w:ind w:left="179"/>
            </w:pPr>
            <w:r w:rsidRPr="00856042">
              <w:t xml:space="preserve">55 </w:t>
            </w:r>
            <w:r w:rsidR="00A43BC6">
              <w:t>to</w:t>
            </w:r>
            <w:r w:rsidRPr="00856042">
              <w:t xml:space="preserve"> 64</w:t>
            </w:r>
          </w:p>
        </w:tc>
        <w:tc>
          <w:tcPr>
            <w:tcW w:w="3543" w:type="dxa"/>
          </w:tcPr>
          <w:p w14:paraId="14ECCF99" w14:textId="77777777" w:rsidR="0044353C" w:rsidRPr="00856042" w:rsidRDefault="0044353C" w:rsidP="002E55AE">
            <w:pPr>
              <w:pStyle w:val="TableTextLeft"/>
            </w:pPr>
            <w:r w:rsidRPr="00856042">
              <w:t>HP-filter trend</w:t>
            </w:r>
          </w:p>
        </w:tc>
        <w:tc>
          <w:tcPr>
            <w:tcW w:w="2268" w:type="dxa"/>
          </w:tcPr>
          <w:p w14:paraId="5BE4E54A" w14:textId="77777777" w:rsidR="0044353C" w:rsidRPr="00856042" w:rsidRDefault="0044353C" w:rsidP="002E55AE">
            <w:pPr>
              <w:pStyle w:val="TableTextLeft"/>
            </w:pPr>
            <w:r w:rsidRPr="00856042">
              <w:t>N/A</w:t>
            </w:r>
          </w:p>
        </w:tc>
        <w:tc>
          <w:tcPr>
            <w:tcW w:w="1650" w:type="dxa"/>
          </w:tcPr>
          <w:p w14:paraId="773D3760" w14:textId="77777777" w:rsidR="0044353C" w:rsidRPr="00856042" w:rsidRDefault="0044353C" w:rsidP="002E55AE">
            <w:pPr>
              <w:pStyle w:val="TableTextLeft"/>
            </w:pPr>
            <w:r w:rsidRPr="00856042">
              <w:t>N/A</w:t>
            </w:r>
          </w:p>
        </w:tc>
      </w:tr>
      <w:tr w:rsidR="0044353C" w14:paraId="24CD63C1" w14:textId="77777777" w:rsidTr="00787843">
        <w:trPr>
          <w:trHeight w:val="280"/>
        </w:trPr>
        <w:tc>
          <w:tcPr>
            <w:tcW w:w="1555" w:type="dxa"/>
          </w:tcPr>
          <w:p w14:paraId="5A3E269A" w14:textId="297E0943" w:rsidR="0044353C" w:rsidRPr="00856042" w:rsidRDefault="0044353C" w:rsidP="002E55AE">
            <w:pPr>
              <w:pStyle w:val="TableTextLeft"/>
              <w:ind w:left="179"/>
            </w:pPr>
            <w:r w:rsidRPr="00856042">
              <w:t>65 and over</w:t>
            </w:r>
          </w:p>
        </w:tc>
        <w:tc>
          <w:tcPr>
            <w:tcW w:w="3543" w:type="dxa"/>
          </w:tcPr>
          <w:p w14:paraId="1D5BD6B0" w14:textId="77777777" w:rsidR="0044353C" w:rsidRPr="00856042" w:rsidRDefault="0044353C" w:rsidP="002E55AE">
            <w:pPr>
              <w:pStyle w:val="TableTextLeft"/>
            </w:pPr>
            <w:r w:rsidRPr="00856042">
              <w:t>Multiplicative age-cohort model</w:t>
            </w:r>
          </w:p>
        </w:tc>
        <w:tc>
          <w:tcPr>
            <w:tcW w:w="2268" w:type="dxa"/>
          </w:tcPr>
          <w:p w14:paraId="6747E844" w14:textId="16518294" w:rsidR="0044353C" w:rsidRPr="00856042" w:rsidRDefault="00166096" w:rsidP="002E55AE">
            <w:pPr>
              <w:pStyle w:val="TableTextLeft"/>
            </w:pPr>
            <w:r>
              <w:t>None</w:t>
            </w:r>
          </w:p>
        </w:tc>
        <w:tc>
          <w:tcPr>
            <w:tcW w:w="1650" w:type="dxa"/>
          </w:tcPr>
          <w:p w14:paraId="4CA659BC" w14:textId="77777777" w:rsidR="0044353C" w:rsidRDefault="0044353C" w:rsidP="002E55AE">
            <w:pPr>
              <w:pStyle w:val="TableTextLeft"/>
            </w:pPr>
            <w:r w:rsidRPr="00856042">
              <w:t>Estimate all</w:t>
            </w:r>
          </w:p>
        </w:tc>
      </w:tr>
    </w:tbl>
    <w:p w14:paraId="1A0F5EFD" w14:textId="77777777" w:rsidR="0014423C" w:rsidRDefault="0014423C" w:rsidP="0014423C">
      <w:pPr>
        <w:pStyle w:val="Bullet"/>
        <w:keepNext w:val="0"/>
        <w:numPr>
          <w:ilvl w:val="0"/>
          <w:numId w:val="0"/>
        </w:numPr>
      </w:pPr>
    </w:p>
    <w:p w14:paraId="662D2755" w14:textId="6880B564" w:rsidR="0014423C" w:rsidRDefault="0014423C" w:rsidP="0014423C">
      <w:pPr>
        <w:pStyle w:val="Bullet"/>
        <w:keepNext w:val="0"/>
        <w:numPr>
          <w:ilvl w:val="0"/>
          <w:numId w:val="0"/>
        </w:numPr>
      </w:pPr>
      <w:r>
        <w:t>For each stage of life, there is a system of equations for</w:t>
      </w:r>
      <w:r>
        <w:rPr>
          <w:lang w:val="en-US" w:eastAsia="en-AU"/>
        </w:rPr>
        <w:t xml:space="preserve"> each combination of gender, full-time and part-time status. The model</w:t>
      </w:r>
      <w:r w:rsidR="00A1373A">
        <w:rPr>
          <w:lang w:val="en-US" w:eastAsia="en-AU"/>
        </w:rPr>
        <w:t>s</w:t>
      </w:r>
      <w:r>
        <w:rPr>
          <w:lang w:val="en-US" w:eastAsia="en-AU"/>
        </w:rPr>
        <w:t xml:space="preserve"> </w:t>
      </w:r>
      <w:r w:rsidR="00A1373A">
        <w:rPr>
          <w:lang w:val="en-US" w:eastAsia="en-AU"/>
        </w:rPr>
        <w:t xml:space="preserve">are </w:t>
      </w:r>
      <w:r>
        <w:rPr>
          <w:lang w:val="en-US" w:eastAsia="en-AU"/>
        </w:rPr>
        <w:t>estimated using ordinary least squares.</w:t>
      </w:r>
    </w:p>
    <w:p w14:paraId="2EF4CB1D" w14:textId="77777777" w:rsidR="00467172" w:rsidRDefault="00467172">
      <w:pPr>
        <w:spacing w:after="200" w:line="276" w:lineRule="auto"/>
        <w:rPr>
          <w:rFonts w:ascii="Arial Bold" w:hAnsi="Arial Bold"/>
          <w:b/>
          <w:smallCaps/>
          <w:color w:val="003157"/>
          <w:sz w:val="32"/>
        </w:rPr>
      </w:pPr>
      <w:r>
        <w:br w:type="page"/>
      </w:r>
    </w:p>
    <w:p w14:paraId="3B99395C" w14:textId="66FA64AA" w:rsidR="00F012EA" w:rsidRPr="0087287A" w:rsidRDefault="00BC6363" w:rsidP="0087287A">
      <w:pPr>
        <w:pStyle w:val="Heading1-Numbered"/>
        <w:spacing w:after="360"/>
      </w:pPr>
      <w:bookmarkStart w:id="12" w:name="_Toc70507620"/>
      <w:r w:rsidRPr="0087287A">
        <w:lastRenderedPageBreak/>
        <w:t>Results</w:t>
      </w:r>
      <w:bookmarkEnd w:id="12"/>
    </w:p>
    <w:p w14:paraId="7F3D88C1" w14:textId="74B38BF5" w:rsidR="0017044C" w:rsidRDefault="0099402B" w:rsidP="0087287A">
      <w:r>
        <w:t xml:space="preserve">In this section we present the results </w:t>
      </w:r>
      <w:r w:rsidR="00AF5985">
        <w:t>of the</w:t>
      </w:r>
      <w:r>
        <w:t xml:space="preserve"> </w:t>
      </w:r>
      <w:r w:rsidR="00AF5985">
        <w:t xml:space="preserve">econometric </w:t>
      </w:r>
      <w:r>
        <w:t xml:space="preserve">estimation of the </w:t>
      </w:r>
      <w:r w:rsidRPr="009B4FD7">
        <w:t>model</w:t>
      </w:r>
      <w:r>
        <w:t>. We first go through the results for each of the variables in the model, separately for males and females, and discuss the</w:t>
      </w:r>
      <w:r w:rsidR="00AF5985">
        <w:t>ir</w:t>
      </w:r>
      <w:r>
        <w:t xml:space="preserve"> interpretation. We then consider how well the model fits the historical data.</w:t>
      </w:r>
    </w:p>
    <w:p w14:paraId="2774E471" w14:textId="633614B2" w:rsidR="00166096" w:rsidRPr="0014423C" w:rsidRDefault="004C40A8" w:rsidP="0087287A">
      <w:r>
        <w:t xml:space="preserve">Before </w:t>
      </w:r>
      <w:r w:rsidR="001C2C4A">
        <w:t>moving</w:t>
      </w:r>
      <w:r w:rsidR="00A1373A">
        <w:t xml:space="preserve"> on</w:t>
      </w:r>
      <w:r w:rsidR="001C2C4A">
        <w:t xml:space="preserve"> to </w:t>
      </w:r>
      <w:r>
        <w:t xml:space="preserve">the results, it is worth </w:t>
      </w:r>
      <w:r w:rsidR="001C2C4A">
        <w:t xml:space="preserve">spending time on </w:t>
      </w:r>
      <w:r>
        <w:t xml:space="preserve">the interpretation of the cohort effects in the multiplicative and additive specifications. In both specifications, the cohort effect measures a </w:t>
      </w:r>
      <w:r w:rsidR="001C2C4A">
        <w:t xml:space="preserve">particular </w:t>
      </w:r>
      <w:r>
        <w:t>cohort’s participation across the stage of life rel</w:t>
      </w:r>
      <w:r w:rsidR="00B83D87">
        <w:t>ative to the reference</w:t>
      </w:r>
      <w:r w:rsidR="001C2C4A">
        <w:t xml:space="preserve"> cohort</w:t>
      </w:r>
      <w:r w:rsidR="00B83D87">
        <w:t xml:space="preserve">. </w:t>
      </w:r>
      <w:r w:rsidR="00F97E0E">
        <w:t xml:space="preserve">In the multiplicative specification, the value of the cohort effect can be interpreted as the ratio of the average of the </w:t>
      </w:r>
      <w:r w:rsidR="001C2C4A">
        <w:t xml:space="preserve">specific </w:t>
      </w:r>
      <w:r w:rsidR="00F97E0E">
        <w:t xml:space="preserve">cohort’s participation rate profile to that of the reference cohort. For example, a value of 1.5 means that the </w:t>
      </w:r>
      <w:r w:rsidR="001C2C4A">
        <w:t xml:space="preserve">participation of the specific </w:t>
      </w:r>
      <w:r w:rsidR="00F97E0E">
        <w:t xml:space="preserve">cohort </w:t>
      </w:r>
      <w:r w:rsidR="001C2C4A">
        <w:t xml:space="preserve">is </w:t>
      </w:r>
      <w:r w:rsidR="00F97E0E">
        <w:t xml:space="preserve">50 per cent higher than the reference cohort, at all ages. In the additive specification, the cohort effect </w:t>
      </w:r>
      <w:r w:rsidR="00FF5F7F">
        <w:t>measures</w:t>
      </w:r>
      <w:r w:rsidR="00F97E0E">
        <w:t xml:space="preserve"> </w:t>
      </w:r>
      <w:r w:rsidR="00FF5F7F">
        <w:t xml:space="preserve">the </w:t>
      </w:r>
      <w:r w:rsidR="00F97E0E">
        <w:t xml:space="preserve">constant </w:t>
      </w:r>
      <w:r w:rsidR="00FF5F7F">
        <w:t xml:space="preserve">percentage point </w:t>
      </w:r>
      <w:r w:rsidR="00F97E0E">
        <w:t>shift in the cohort’s participation profile relative to the reference cohort. For example, a cohort effect of 10 means that the cohort’s participation is 10 percentage points higher at all ages in that stage of life.</w:t>
      </w:r>
      <w:r w:rsidR="003D735A">
        <w:t xml:space="preserve"> In the</w:t>
      </w:r>
      <w:r w:rsidR="0089071F">
        <w:t xml:space="preserve"> </w:t>
      </w:r>
      <w:r w:rsidR="004F1454">
        <w:t>charts below</w:t>
      </w:r>
      <w:r w:rsidR="001D1097">
        <w:t xml:space="preserve"> presenting the estimated </w:t>
      </w:r>
      <w:r w:rsidR="0089071F">
        <w:t>cohort effect</w:t>
      </w:r>
      <w:r w:rsidR="001D1097">
        <w:t>s</w:t>
      </w:r>
      <w:r w:rsidR="003D735A">
        <w:t xml:space="preserve"> </w:t>
      </w:r>
      <w:r w:rsidR="00DF1BD5">
        <w:t>(Charts 9 and 12)</w:t>
      </w:r>
      <w:r w:rsidR="0089071F">
        <w:t>,</w:t>
      </w:r>
      <w:r w:rsidR="003D735A">
        <w:t xml:space="preserve"> the LHS axis </w:t>
      </w:r>
      <w:r w:rsidR="00FF5F7F">
        <w:t xml:space="preserve">plots the additive model percentage point deviation from the reference cohort, while the </w:t>
      </w:r>
      <w:r w:rsidR="003D735A">
        <w:t xml:space="preserve">RHS </w:t>
      </w:r>
      <w:r w:rsidR="00FF5F7F">
        <w:t xml:space="preserve">plots the </w:t>
      </w:r>
      <w:r w:rsidR="004F1454">
        <w:t xml:space="preserve">multiplicative </w:t>
      </w:r>
      <w:r w:rsidR="00FF5F7F">
        <w:t xml:space="preserve">model ratio to </w:t>
      </w:r>
      <w:r w:rsidR="003D735A">
        <w:t>the reference cohort.</w:t>
      </w:r>
    </w:p>
    <w:p w14:paraId="54AE3540" w14:textId="1EB8828C" w:rsidR="00CC2619" w:rsidRPr="00C03432" w:rsidRDefault="00192654" w:rsidP="0087287A">
      <w:pPr>
        <w:pStyle w:val="Heading2-Numbered"/>
        <w:spacing w:before="180"/>
      </w:pPr>
      <w:bookmarkStart w:id="13" w:name="_Toc70507621"/>
      <w:r w:rsidRPr="00C03432">
        <w:t>Male</w:t>
      </w:r>
      <w:r w:rsidR="00664AAA" w:rsidRPr="00C03432">
        <w:t xml:space="preserve"> age and cohort effects</w:t>
      </w:r>
      <w:bookmarkEnd w:id="13"/>
    </w:p>
    <w:p w14:paraId="41790BAD" w14:textId="6EF2DBB6" w:rsidR="00CC2619" w:rsidRPr="00F267A8" w:rsidRDefault="001D46F3" w:rsidP="00F267A8">
      <w:pPr>
        <w:pStyle w:val="Bullet"/>
        <w:keepNext w:val="0"/>
        <w:numPr>
          <w:ilvl w:val="0"/>
          <w:numId w:val="0"/>
        </w:numPr>
      </w:pPr>
      <w:r w:rsidRPr="00F267A8">
        <w:t xml:space="preserve">The estimated age effects fit the historical lifetime profiles for full-time and part-time male participation </w:t>
      </w:r>
      <w:r w:rsidR="00291E92">
        <w:t xml:space="preserve">rates </w:t>
      </w:r>
      <w:r w:rsidRPr="00F267A8">
        <w:t>well</w:t>
      </w:r>
      <w:r w:rsidR="007C0FC6">
        <w:t xml:space="preserve"> (Charts 7 and 8</w:t>
      </w:r>
      <w:r w:rsidR="00AB5E6C">
        <w:t>,</w:t>
      </w:r>
      <w:r w:rsidRPr="00F267A8">
        <w:t xml:space="preserve"> the </w:t>
      </w:r>
      <w:r w:rsidR="00217510" w:rsidRPr="00F267A8">
        <w:t>life</w:t>
      </w:r>
      <w:r w:rsidR="00217510">
        <w:t>cycle</w:t>
      </w:r>
      <w:r w:rsidR="00217510" w:rsidRPr="00F267A8">
        <w:t xml:space="preserve"> </w:t>
      </w:r>
      <w:r w:rsidRPr="00F267A8">
        <w:t xml:space="preserve">profiles constructed from data are plotted with a lighter colour and thinner lines). </w:t>
      </w:r>
      <w:r w:rsidR="00FC426C">
        <w:t>In terms of implications for the future, the key finding is that t</w:t>
      </w:r>
      <w:r w:rsidR="00AB5E6C">
        <w:t xml:space="preserve">he age effects for the ages 25 </w:t>
      </w:r>
      <w:r w:rsidR="00BA7978">
        <w:t xml:space="preserve">to </w:t>
      </w:r>
      <w:r w:rsidR="00AB5E6C">
        <w:t xml:space="preserve">64 suggest that the most recent cohort and </w:t>
      </w:r>
      <w:r w:rsidR="00AF5985">
        <w:t xml:space="preserve">all </w:t>
      </w:r>
      <w:r w:rsidR="00AB5E6C">
        <w:t xml:space="preserve">future cohorts </w:t>
      </w:r>
      <w:r w:rsidR="00FC426C">
        <w:t>will have lower full-time participation and higher part-time participation rates throughout their prime working age compared with earlier cohorts</w:t>
      </w:r>
      <w:r w:rsidR="00AB5E6C">
        <w:t>.</w:t>
      </w:r>
    </w:p>
    <w:tbl>
      <w:tblPr>
        <w:tblStyle w:val="TableGrid"/>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107849" w14:paraId="63A29974" w14:textId="77777777" w:rsidTr="00B42574">
        <w:tc>
          <w:tcPr>
            <w:tcW w:w="4479" w:type="dxa"/>
          </w:tcPr>
          <w:p w14:paraId="16D662EE" w14:textId="16D86A1E" w:rsidR="0099402B" w:rsidRPr="00B42574" w:rsidRDefault="00AA76BD" w:rsidP="00674E97">
            <w:pPr>
              <w:pStyle w:val="ChartMainHeading"/>
              <w:spacing w:after="0"/>
            </w:pPr>
            <w:r>
              <w:t>Chart 7</w:t>
            </w:r>
            <w:r w:rsidR="0099402B" w:rsidRPr="00315382">
              <w:t xml:space="preserve">: </w:t>
            </w:r>
            <w:r w:rsidR="0099402B">
              <w:t>Male</w:t>
            </w:r>
            <w:r w:rsidR="0099402B" w:rsidRPr="00315382">
              <w:t xml:space="preserve"> </w:t>
            </w:r>
            <w:r w:rsidR="0099402B">
              <w:t>full-time age effects</w:t>
            </w:r>
            <w:r w:rsidR="00824638" w:rsidRPr="00824638">
              <w:rPr>
                <w:noProof/>
              </w:rPr>
              <w:drawing>
                <wp:inline distT="0" distB="0" distL="0" distR="0" wp14:anchorId="5ADE633A" wp14:editId="3BF78750">
                  <wp:extent cx="2772000" cy="2796059"/>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72000" cy="2796059"/>
                          </a:xfrm>
                          <a:prstGeom prst="rect">
                            <a:avLst/>
                          </a:prstGeom>
                          <a:noFill/>
                          <a:ln>
                            <a:noFill/>
                          </a:ln>
                        </pic:spPr>
                      </pic:pic>
                    </a:graphicData>
                  </a:graphic>
                </wp:inline>
              </w:drawing>
            </w:r>
          </w:p>
        </w:tc>
        <w:tc>
          <w:tcPr>
            <w:tcW w:w="4479" w:type="dxa"/>
          </w:tcPr>
          <w:p w14:paraId="399DF28B" w14:textId="5FEB5ACC" w:rsidR="0099402B" w:rsidRDefault="00AA76BD" w:rsidP="007F40E4">
            <w:pPr>
              <w:pStyle w:val="ChartMainHeading"/>
              <w:spacing w:after="0"/>
            </w:pPr>
            <w:r>
              <w:t>Chart 8</w:t>
            </w:r>
            <w:r w:rsidR="0099402B" w:rsidRPr="00315382">
              <w:t xml:space="preserve">: </w:t>
            </w:r>
            <w:r w:rsidR="0099402B">
              <w:t>Male</w:t>
            </w:r>
            <w:r w:rsidR="0099402B" w:rsidRPr="00315382">
              <w:t xml:space="preserve"> </w:t>
            </w:r>
            <w:r w:rsidR="0099402B">
              <w:t>part-time age effects</w:t>
            </w:r>
          </w:p>
          <w:p w14:paraId="7B6E8D2B" w14:textId="76BF06D4" w:rsidR="0099402B" w:rsidRPr="007F40E4" w:rsidRDefault="008A0A4F" w:rsidP="00B42574">
            <w:pPr>
              <w:pStyle w:val="ChartGraphic"/>
              <w:rPr>
                <w:b/>
                <w:sz w:val="22"/>
              </w:rPr>
            </w:pPr>
            <w:r w:rsidRPr="008A0A4F">
              <w:rPr>
                <w:b/>
                <w:noProof/>
                <w:sz w:val="22"/>
              </w:rPr>
              <w:drawing>
                <wp:inline distT="0" distB="0" distL="0" distR="0" wp14:anchorId="70CEC3FB" wp14:editId="4FEAFE8F">
                  <wp:extent cx="2772000" cy="2796059"/>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72000" cy="2796059"/>
                          </a:xfrm>
                          <a:prstGeom prst="rect">
                            <a:avLst/>
                          </a:prstGeom>
                          <a:noFill/>
                          <a:ln>
                            <a:noFill/>
                          </a:ln>
                        </pic:spPr>
                      </pic:pic>
                    </a:graphicData>
                  </a:graphic>
                </wp:inline>
              </w:drawing>
            </w:r>
          </w:p>
        </w:tc>
      </w:tr>
      <w:tr w:rsidR="0099402B" w:rsidRPr="00800DF7" w14:paraId="3D5256D2" w14:textId="77777777" w:rsidTr="00B42574">
        <w:tc>
          <w:tcPr>
            <w:tcW w:w="8958" w:type="dxa"/>
            <w:gridSpan w:val="2"/>
          </w:tcPr>
          <w:p w14:paraId="14EA04EB" w14:textId="203ACFD0" w:rsidR="0099402B" w:rsidRPr="00B42574" w:rsidRDefault="0099402B" w:rsidP="009A2C3A">
            <w:pPr>
              <w:pStyle w:val="ChartorTableNote"/>
            </w:pPr>
            <w:r w:rsidRPr="00B42574">
              <w:t>Note:</w:t>
            </w:r>
            <w:r w:rsidR="00B42574">
              <w:tab/>
            </w:r>
            <w:r w:rsidRPr="00B42574">
              <w:t xml:space="preserve">Lines plotted in lighter colour are partial lifetime profiles constructed from data. The solid sections of the darker line </w:t>
            </w:r>
            <w:r w:rsidR="0089058C" w:rsidRPr="00B42574">
              <w:t>represent</w:t>
            </w:r>
            <w:r w:rsidRPr="00B42574">
              <w:t xml:space="preserve"> the age effects from each of the stages of life.</w:t>
            </w:r>
          </w:p>
          <w:p w14:paraId="51D396F0" w14:textId="2A9E72B3" w:rsidR="004F1454" w:rsidRPr="00B42574" w:rsidRDefault="004F1454" w:rsidP="00321D08">
            <w:pPr>
              <w:pStyle w:val="Source"/>
            </w:pPr>
            <w:r w:rsidRPr="004F1454">
              <w:t>Source:</w:t>
            </w:r>
            <w:r w:rsidR="00B42574">
              <w:tab/>
            </w:r>
            <w:r>
              <w:t>ABS Cat. No. 6291; Unpublished ABS data for age 65-69 and 70+</w:t>
            </w:r>
            <w:r w:rsidR="00C56BD8">
              <w:t>; Authors’ calculations.</w:t>
            </w:r>
          </w:p>
        </w:tc>
      </w:tr>
    </w:tbl>
    <w:p w14:paraId="4BE71FC8" w14:textId="11CC194C" w:rsidR="00842B61" w:rsidRDefault="006E1912" w:rsidP="00F267A8">
      <w:pPr>
        <w:pStyle w:val="Bullet"/>
        <w:keepNext w:val="0"/>
        <w:numPr>
          <w:ilvl w:val="0"/>
          <w:numId w:val="0"/>
        </w:numPr>
      </w:pPr>
      <w:r w:rsidRPr="00F267A8">
        <w:lastRenderedPageBreak/>
        <w:t xml:space="preserve">The cohort effects for </w:t>
      </w:r>
      <w:r>
        <w:t xml:space="preserve">males </w:t>
      </w:r>
      <w:r w:rsidR="00E15075">
        <w:t xml:space="preserve">at </w:t>
      </w:r>
      <w:r w:rsidR="000F2368">
        <w:t>ages</w:t>
      </w:r>
      <w:r>
        <w:t xml:space="preserve"> </w:t>
      </w:r>
      <w:r w:rsidRPr="00F267A8">
        <w:t xml:space="preserve">15 </w:t>
      </w:r>
      <w:r w:rsidR="000F2368">
        <w:t>to</w:t>
      </w:r>
      <w:r w:rsidR="000F2368" w:rsidRPr="00F267A8">
        <w:t xml:space="preserve"> </w:t>
      </w:r>
      <w:r w:rsidRPr="00F267A8">
        <w:t>24</w:t>
      </w:r>
      <w:r w:rsidR="000F2368">
        <w:t xml:space="preserve"> </w:t>
      </w:r>
      <w:r w:rsidR="00DE0DD9">
        <w:t>reflect</w:t>
      </w:r>
      <w:r w:rsidRPr="00F267A8">
        <w:t xml:space="preserve"> the historical shift from full-time to part-time participation at these ages</w:t>
      </w:r>
      <w:r>
        <w:t xml:space="preserve"> (</w:t>
      </w:r>
      <w:r w:rsidR="00051F18">
        <w:t>red</w:t>
      </w:r>
      <w:r w:rsidR="00EC546E">
        <w:t xml:space="preserve"> lines in </w:t>
      </w:r>
      <w:r>
        <w:t xml:space="preserve">Chart </w:t>
      </w:r>
      <w:r w:rsidR="00BE0591">
        <w:t>9</w:t>
      </w:r>
      <w:r w:rsidRPr="00F267A8">
        <w:t xml:space="preserve">). </w:t>
      </w:r>
      <w:r w:rsidR="00D14A35">
        <w:t xml:space="preserve">Given that the cohort effect measures the average participation rate across the stage of life relative to the reference cohort, the </w:t>
      </w:r>
      <w:r w:rsidR="00DE0DD9">
        <w:t>estimated</w:t>
      </w:r>
      <w:r w:rsidRPr="00F267A8">
        <w:t xml:space="preserve"> cohort effects suggest that the propensity for full-time participation </w:t>
      </w:r>
      <w:r w:rsidR="00DE0DD9">
        <w:t>has</w:t>
      </w:r>
      <w:r w:rsidRPr="00F267A8">
        <w:t xml:space="preserve"> </w:t>
      </w:r>
      <w:r>
        <w:t>fallen by a third from</w:t>
      </w:r>
      <w:r w:rsidRPr="00F267A8">
        <w:t xml:space="preserve"> the earliest (195</w:t>
      </w:r>
      <w:r w:rsidR="00E35A9A">
        <w:t>1</w:t>
      </w:r>
      <w:r w:rsidR="002D5FE4">
        <w:t>-</w:t>
      </w:r>
      <w:r w:rsidRPr="00F267A8">
        <w:t>5</w:t>
      </w:r>
      <w:r w:rsidR="00E35A9A">
        <w:t>5</w:t>
      </w:r>
      <w:r w:rsidRPr="00F267A8">
        <w:t xml:space="preserve">) </w:t>
      </w:r>
      <w:r>
        <w:t>to</w:t>
      </w:r>
      <w:r w:rsidRPr="00F267A8">
        <w:t xml:space="preserve"> the most recent cohort (200</w:t>
      </w:r>
      <w:r w:rsidR="00E35A9A">
        <w:t>1</w:t>
      </w:r>
      <w:r w:rsidR="002D5FE4">
        <w:t>-</w:t>
      </w:r>
      <w:r w:rsidRPr="00F267A8">
        <w:t>0</w:t>
      </w:r>
      <w:r w:rsidR="00E35A9A">
        <w:t>5</w:t>
      </w:r>
      <w:r>
        <w:t>)</w:t>
      </w:r>
      <w:r w:rsidRPr="00F267A8">
        <w:t xml:space="preserve">. </w:t>
      </w:r>
      <w:r>
        <w:t xml:space="preserve">At the same time, the </w:t>
      </w:r>
      <w:r w:rsidR="007B5AE7">
        <w:t>propensity for</w:t>
      </w:r>
      <w:r w:rsidR="00A21287">
        <w:br/>
      </w:r>
      <w:r w:rsidR="007B5AE7">
        <w:t>part-time participation has increased three-fold</w:t>
      </w:r>
      <w:r w:rsidR="001653AF">
        <w:t>.</w:t>
      </w:r>
      <w:r w:rsidR="007B5AE7">
        <w:t xml:space="preserve"> </w:t>
      </w:r>
      <w:r w:rsidR="00E15075">
        <w:t xml:space="preserve">In terms of the outlook for the future, it is worth noting that the most recent cohorts have very similar cohort </w:t>
      </w:r>
      <w:r w:rsidR="0089058C">
        <w:t>effects,</w:t>
      </w:r>
      <w:r w:rsidR="00E15075">
        <w:t xml:space="preserve"> and this suggests that participation rates at these ages might be stabilising.</w:t>
      </w:r>
    </w:p>
    <w:p w14:paraId="79356134" w14:textId="65E50CD4" w:rsidR="00842B61" w:rsidRDefault="007B5AE7" w:rsidP="00F267A8">
      <w:pPr>
        <w:pStyle w:val="Bullet"/>
        <w:keepNext w:val="0"/>
        <w:numPr>
          <w:ilvl w:val="0"/>
          <w:numId w:val="0"/>
        </w:numPr>
      </w:pPr>
      <w:r w:rsidRPr="00F267A8">
        <w:t xml:space="preserve">For males at ages 25 </w:t>
      </w:r>
      <w:r w:rsidR="000F2368">
        <w:t>to</w:t>
      </w:r>
      <w:r w:rsidR="000F2368" w:rsidRPr="00F267A8">
        <w:t xml:space="preserve"> </w:t>
      </w:r>
      <w:r w:rsidR="00E15075">
        <w:t xml:space="preserve">64 (25 to </w:t>
      </w:r>
      <w:r w:rsidRPr="00F267A8">
        <w:t>54</w:t>
      </w:r>
      <w:r w:rsidR="00E15075">
        <w:t xml:space="preserve"> for full-time participation)</w:t>
      </w:r>
      <w:r w:rsidRPr="00F267A8">
        <w:t xml:space="preserve">, the cohort effects also </w:t>
      </w:r>
      <w:r w:rsidR="00842B61">
        <w:t>reflect</w:t>
      </w:r>
      <w:r w:rsidRPr="00F267A8">
        <w:t xml:space="preserve"> the shift from full-time to part-time participation</w:t>
      </w:r>
      <w:r w:rsidR="00BE0591">
        <w:t xml:space="preserve"> (</w:t>
      </w:r>
      <w:r w:rsidR="00DB1E26">
        <w:t>blue</w:t>
      </w:r>
      <w:r w:rsidR="007A7499">
        <w:t xml:space="preserve"> </w:t>
      </w:r>
      <w:r w:rsidR="00BE0591">
        <w:t>lines</w:t>
      </w:r>
      <w:r w:rsidR="00EC546E" w:rsidRPr="00F267A8">
        <w:t>)</w:t>
      </w:r>
      <w:r w:rsidRPr="00F267A8">
        <w:t xml:space="preserve">. </w:t>
      </w:r>
      <w:r w:rsidR="001653AF">
        <w:t>The</w:t>
      </w:r>
      <w:r w:rsidRPr="00F267A8">
        <w:t xml:space="preserve"> full-time </w:t>
      </w:r>
      <w:r w:rsidR="001653AF">
        <w:t>participation</w:t>
      </w:r>
      <w:r w:rsidR="003A3041">
        <w:t xml:space="preserve"> profile </w:t>
      </w:r>
      <w:r w:rsidRPr="00F267A8">
        <w:t xml:space="preserve">has </w:t>
      </w:r>
      <w:r w:rsidR="003A3041">
        <w:t>shifted down</w:t>
      </w:r>
      <w:r w:rsidR="003A3041" w:rsidRPr="00F267A8">
        <w:t xml:space="preserve"> </w:t>
      </w:r>
      <w:r w:rsidRPr="00F267A8">
        <w:t>by just over 10 percentage points</w:t>
      </w:r>
      <w:r w:rsidR="003A3041">
        <w:t xml:space="preserve"> across the stage of life</w:t>
      </w:r>
      <w:r w:rsidRPr="00F267A8">
        <w:t xml:space="preserve">, and this has been broadly offset by an </w:t>
      </w:r>
      <w:r w:rsidR="003A3041">
        <w:t>upward shift to the</w:t>
      </w:r>
      <w:r w:rsidRPr="00F267A8">
        <w:t xml:space="preserve"> part-time </w:t>
      </w:r>
      <w:r w:rsidR="003A3041">
        <w:t xml:space="preserve">profile </w:t>
      </w:r>
      <w:r w:rsidR="000F2368">
        <w:t>by</w:t>
      </w:r>
      <w:r w:rsidR="000F2368" w:rsidRPr="00F267A8">
        <w:t xml:space="preserve"> </w:t>
      </w:r>
      <w:r w:rsidRPr="00F267A8">
        <w:t>a similar magnitude</w:t>
      </w:r>
      <w:r w:rsidR="00EC546E" w:rsidRPr="00EC546E">
        <w:t>.</w:t>
      </w:r>
      <w:r w:rsidR="00EC546E">
        <w:t xml:space="preserve"> </w:t>
      </w:r>
    </w:p>
    <w:p w14:paraId="00C41EA0" w14:textId="617CB5EF" w:rsidR="00A21287" w:rsidRPr="00F267A8" w:rsidRDefault="00F66BCE" w:rsidP="00F267A8">
      <w:pPr>
        <w:pStyle w:val="Bullet"/>
        <w:keepNext w:val="0"/>
        <w:numPr>
          <w:ilvl w:val="0"/>
          <w:numId w:val="0"/>
        </w:numPr>
      </w:pPr>
      <w:r>
        <w:t>For males ages 65 and over, the cohort effects reflect the decline in both full-time and part-time participation for cohorts born in the early 20</w:t>
      </w:r>
      <w:r w:rsidRPr="00F267A8">
        <w:rPr>
          <w:vertAlign w:val="superscript"/>
        </w:rPr>
        <w:t>th</w:t>
      </w:r>
      <w:r>
        <w:t xml:space="preserve"> century, followed by a continued increase in the propensity to participate starting with the cohorts born </w:t>
      </w:r>
      <w:r w:rsidR="00B53835">
        <w:t xml:space="preserve">around </w:t>
      </w:r>
      <w:r>
        <w:t>the first half of the 1930s</w:t>
      </w:r>
      <w:r w:rsidR="00A25DEF">
        <w:t xml:space="preserve"> (purple lines)</w:t>
      </w:r>
      <w:r>
        <w:t>.</w:t>
      </w:r>
      <w:r w:rsidR="00B53835">
        <w:t xml:space="preserve"> As discussed above, the model does not explicitly incorporate changes to the pension eligibility age. However, the</w:t>
      </w:r>
      <w:r w:rsidR="00B2498F">
        <w:t xml:space="preserve"> most </w:t>
      </w:r>
      <w:r w:rsidR="001D5719">
        <w:t xml:space="preserve">recent </w:t>
      </w:r>
      <w:r w:rsidR="00B2498F">
        <w:t xml:space="preserve">cohort effect should partly reflect the increases in the pension </w:t>
      </w:r>
      <w:r w:rsidR="001D5719">
        <w:t xml:space="preserve">eligibility </w:t>
      </w:r>
      <w:r w:rsidR="00B2498F">
        <w:t>age over recent years, and the</w:t>
      </w:r>
      <w:r w:rsidR="00B53835">
        <w:t xml:space="preserve"> ongoing increases to the </w:t>
      </w:r>
      <w:r w:rsidR="00166986">
        <w:t>eligibility</w:t>
      </w:r>
      <w:r w:rsidR="00B53835">
        <w:t xml:space="preserve"> age is likely to push up participation at these ages </w:t>
      </w:r>
      <w:r w:rsidR="00B2498F">
        <w:t>further</w:t>
      </w:r>
      <w:r w:rsidR="00B53835">
        <w:t>.</w:t>
      </w:r>
    </w:p>
    <w:p w14:paraId="21FFC8BA" w14:textId="02F020C4" w:rsidR="00C20D8F" w:rsidRDefault="00AA76BD" w:rsidP="00B42574">
      <w:pPr>
        <w:pStyle w:val="ChartMainHeading"/>
      </w:pPr>
      <w:r w:rsidRPr="00185C00">
        <w:t xml:space="preserve">Chart </w:t>
      </w:r>
      <w:r>
        <w:t>9</w:t>
      </w:r>
      <w:r w:rsidR="00C20D8F" w:rsidRPr="00F267A8">
        <w:t>: Male cohort effects</w:t>
      </w:r>
    </w:p>
    <w:p w14:paraId="266033AC" w14:textId="19739E9C" w:rsidR="00AD3FDB" w:rsidRDefault="00DB1E26" w:rsidP="00FC228B">
      <w:pPr>
        <w:pStyle w:val="ChartGraphic"/>
        <w:jc w:val="center"/>
      </w:pPr>
      <w:r w:rsidRPr="00DB1E26">
        <w:rPr>
          <w:noProof/>
        </w:rPr>
        <w:drawing>
          <wp:inline distT="0" distB="0" distL="0" distR="0" wp14:anchorId="7424A75A" wp14:editId="0A5160A0">
            <wp:extent cx="5443220" cy="4371975"/>
            <wp:effectExtent l="0" t="0" r="508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1550" t="846" b="1948"/>
                    <a:stretch/>
                  </pic:blipFill>
                  <pic:spPr bwMode="auto">
                    <a:xfrm>
                      <a:off x="0" y="0"/>
                      <a:ext cx="5443220" cy="4371975"/>
                    </a:xfrm>
                    <a:prstGeom prst="rect">
                      <a:avLst/>
                    </a:prstGeom>
                    <a:noFill/>
                    <a:ln>
                      <a:noFill/>
                    </a:ln>
                    <a:extLst>
                      <a:ext uri="{53640926-AAD7-44D8-BBD7-CCE9431645EC}">
                        <a14:shadowObscured xmlns:a14="http://schemas.microsoft.com/office/drawing/2010/main"/>
                      </a:ext>
                    </a:extLst>
                  </pic:spPr>
                </pic:pic>
              </a:graphicData>
            </a:graphic>
          </wp:inline>
        </w:drawing>
      </w:r>
    </w:p>
    <w:p w14:paraId="1760EDCF" w14:textId="4D6D29B8" w:rsidR="00C20D8F" w:rsidRPr="001F04C2" w:rsidRDefault="001F04C2" w:rsidP="001F04C2">
      <w:pPr>
        <w:pStyle w:val="Source"/>
      </w:pPr>
      <w:r w:rsidRPr="004F1454">
        <w:t>Source:</w:t>
      </w:r>
      <w:r>
        <w:tab/>
        <w:t>Authors’ estimates</w:t>
      </w:r>
    </w:p>
    <w:p w14:paraId="0F069B27" w14:textId="0E222FC1" w:rsidR="006D5A43" w:rsidRPr="00C03432" w:rsidRDefault="006D5A43" w:rsidP="00422BA9">
      <w:pPr>
        <w:pStyle w:val="Heading2-Numbered"/>
      </w:pPr>
      <w:bookmarkStart w:id="14" w:name="_Toc70507622"/>
      <w:r w:rsidRPr="00C03432">
        <w:lastRenderedPageBreak/>
        <w:t>Female</w:t>
      </w:r>
      <w:r w:rsidR="00664AAA" w:rsidRPr="00C03432">
        <w:t xml:space="preserve"> age and cohort effects</w:t>
      </w:r>
      <w:bookmarkEnd w:id="14"/>
    </w:p>
    <w:p w14:paraId="4575F7E4" w14:textId="0F2956DE" w:rsidR="006D5A43" w:rsidRPr="00F267A8" w:rsidRDefault="00842B61" w:rsidP="00F267A8">
      <w:pPr>
        <w:pStyle w:val="Bullet"/>
        <w:keepNext w:val="0"/>
        <w:numPr>
          <w:ilvl w:val="0"/>
          <w:numId w:val="0"/>
        </w:numPr>
      </w:pPr>
      <w:proofErr w:type="gramStart"/>
      <w:r>
        <w:t>Similar to</w:t>
      </w:r>
      <w:proofErr w:type="gramEnd"/>
      <w:r w:rsidR="007C0FC6" w:rsidRPr="00F267A8">
        <w:t xml:space="preserve"> males, the estimated age effects capture the general life-cycle pattern of female participation rates well (Charts</w:t>
      </w:r>
      <w:r w:rsidR="00BE0591">
        <w:t xml:space="preserve"> 10 and 11</w:t>
      </w:r>
      <w:r w:rsidR="007C0FC6" w:rsidRPr="00F267A8">
        <w:t xml:space="preserve">). The full-time age effects show the M-shape that has been evident through much of history, while the part-time age effects also capture the dip in participation at ages 20 </w:t>
      </w:r>
      <w:r w:rsidR="00F56191">
        <w:t>to</w:t>
      </w:r>
      <w:r w:rsidR="00F56191" w:rsidRPr="00F267A8">
        <w:t xml:space="preserve"> </w:t>
      </w:r>
      <w:r w:rsidR="007C0FC6" w:rsidRPr="00F267A8">
        <w:t xml:space="preserve">24 and 25 </w:t>
      </w:r>
      <w:r w:rsidR="00F56191">
        <w:t>to</w:t>
      </w:r>
      <w:r w:rsidR="00F56191" w:rsidRPr="00F267A8">
        <w:t xml:space="preserve"> </w:t>
      </w:r>
      <w:r w:rsidR="007C0FC6" w:rsidRPr="00F267A8">
        <w:t xml:space="preserve">29. </w:t>
      </w:r>
      <w:r>
        <w:t>When compared to all previous cohorts, t</w:t>
      </w:r>
      <w:r w:rsidR="007C0FC6">
        <w:t xml:space="preserve">he level of the age effects for </w:t>
      </w:r>
      <w:r w:rsidR="0087436A">
        <w:t xml:space="preserve">females </w:t>
      </w:r>
      <w:r w:rsidR="007C0FC6">
        <w:t xml:space="preserve">25 </w:t>
      </w:r>
      <w:r w:rsidR="001A4275">
        <w:t xml:space="preserve">to </w:t>
      </w:r>
      <w:r w:rsidR="007C0FC6">
        <w:t xml:space="preserve">64 </w:t>
      </w:r>
      <w:r w:rsidR="004638E3">
        <w:t xml:space="preserve">suggest that recent and future cohorts have </w:t>
      </w:r>
      <w:r w:rsidR="0087436A">
        <w:t xml:space="preserve">or will have </w:t>
      </w:r>
      <w:r w:rsidR="004638E3">
        <w:t xml:space="preserve">significantly higher participation </w:t>
      </w:r>
      <w:r>
        <w:t xml:space="preserve">rates </w:t>
      </w:r>
      <w:r w:rsidR="004638E3">
        <w:t xml:space="preserve">at the end of that stage of life. This </w:t>
      </w:r>
      <w:r w:rsidR="00D67B74">
        <w:t>has been</w:t>
      </w:r>
      <w:r w:rsidR="0087436A">
        <w:t xml:space="preserve"> </w:t>
      </w:r>
      <w:r w:rsidR="004638E3">
        <w:t>driven by</w:t>
      </w:r>
      <w:r w:rsidR="00A21287">
        <w:br/>
      </w:r>
      <w:r w:rsidR="004638E3">
        <w:t>full-time participation</w:t>
      </w:r>
      <w:r w:rsidR="00D67B74">
        <w:t>,</w:t>
      </w:r>
      <w:r w:rsidR="0087436A">
        <w:t xml:space="preserve"> </w:t>
      </w:r>
      <w:r w:rsidR="00D67B74">
        <w:t xml:space="preserve">while </w:t>
      </w:r>
      <w:r w:rsidR="004638E3">
        <w:t xml:space="preserve">part-time participation at these ages </w:t>
      </w:r>
      <w:r w:rsidR="004A1E22">
        <w:t>is estimated to be</w:t>
      </w:r>
      <w:r w:rsidR="004638E3">
        <w:t xml:space="preserve"> very similar to that observed recently.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7327AE" w14:paraId="15A4677D" w14:textId="77777777" w:rsidTr="009A2C3A">
        <w:tc>
          <w:tcPr>
            <w:tcW w:w="4479" w:type="dxa"/>
          </w:tcPr>
          <w:p w14:paraId="21409379" w14:textId="77777777" w:rsidR="009A2C3A" w:rsidRDefault="007C0FC6" w:rsidP="009A2C3A">
            <w:pPr>
              <w:pStyle w:val="ChartMainHeading"/>
            </w:pPr>
            <w:r>
              <w:t>Chart 10</w:t>
            </w:r>
            <w:r w:rsidR="007327AE" w:rsidRPr="00315382">
              <w:t xml:space="preserve">: </w:t>
            </w:r>
            <w:r w:rsidR="007327AE">
              <w:t>Female</w:t>
            </w:r>
            <w:r w:rsidR="007327AE" w:rsidRPr="00315382">
              <w:t xml:space="preserve"> </w:t>
            </w:r>
            <w:r w:rsidR="007327AE">
              <w:t>full-time age effects</w:t>
            </w:r>
          </w:p>
          <w:p w14:paraId="63934547" w14:textId="406426E5" w:rsidR="007327AE" w:rsidRPr="009A2C3A" w:rsidRDefault="00AF3996" w:rsidP="009A2C3A">
            <w:pPr>
              <w:pStyle w:val="ChartGraphic"/>
              <w:jc w:val="center"/>
            </w:pPr>
            <w:r w:rsidRPr="00AF3996">
              <w:rPr>
                <w:noProof/>
              </w:rPr>
              <w:drawing>
                <wp:inline distT="0" distB="0" distL="0" distR="0" wp14:anchorId="6D8777D0" wp14:editId="13D48C86">
                  <wp:extent cx="2772000" cy="2796059"/>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72000" cy="2796059"/>
                          </a:xfrm>
                          <a:prstGeom prst="rect">
                            <a:avLst/>
                          </a:prstGeom>
                          <a:noFill/>
                          <a:ln>
                            <a:noFill/>
                          </a:ln>
                        </pic:spPr>
                      </pic:pic>
                    </a:graphicData>
                  </a:graphic>
                </wp:inline>
              </w:drawing>
            </w:r>
          </w:p>
        </w:tc>
        <w:tc>
          <w:tcPr>
            <w:tcW w:w="4479" w:type="dxa"/>
          </w:tcPr>
          <w:p w14:paraId="23D5A4F6" w14:textId="25A27325" w:rsidR="007327AE" w:rsidRDefault="007C0FC6" w:rsidP="009A2C3A">
            <w:pPr>
              <w:pStyle w:val="ChartMainHeading"/>
            </w:pPr>
            <w:r>
              <w:t>Chart 11</w:t>
            </w:r>
            <w:r w:rsidR="007327AE" w:rsidRPr="00315382">
              <w:t xml:space="preserve">: </w:t>
            </w:r>
            <w:r w:rsidR="007327AE">
              <w:t>Female</w:t>
            </w:r>
            <w:r w:rsidR="007327AE" w:rsidRPr="00315382">
              <w:t xml:space="preserve"> </w:t>
            </w:r>
            <w:r w:rsidR="007327AE">
              <w:t>part-time age effects</w:t>
            </w:r>
          </w:p>
          <w:p w14:paraId="562647FC" w14:textId="585A6431" w:rsidR="007327AE" w:rsidRPr="00916739" w:rsidRDefault="007C26B7" w:rsidP="009A2C3A">
            <w:pPr>
              <w:pStyle w:val="ChartGraphic"/>
              <w:jc w:val="center"/>
            </w:pPr>
            <w:r w:rsidRPr="007C26B7">
              <w:rPr>
                <w:noProof/>
              </w:rPr>
              <w:drawing>
                <wp:inline distT="0" distB="0" distL="0" distR="0" wp14:anchorId="4253BF11" wp14:editId="126840B0">
                  <wp:extent cx="2772000" cy="2796059"/>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72000" cy="2796059"/>
                          </a:xfrm>
                          <a:prstGeom prst="rect">
                            <a:avLst/>
                          </a:prstGeom>
                          <a:noFill/>
                          <a:ln>
                            <a:noFill/>
                          </a:ln>
                        </pic:spPr>
                      </pic:pic>
                    </a:graphicData>
                  </a:graphic>
                </wp:inline>
              </w:drawing>
            </w:r>
          </w:p>
        </w:tc>
      </w:tr>
      <w:tr w:rsidR="007327AE" w14:paraId="778B17CD" w14:textId="77777777" w:rsidTr="009A2C3A">
        <w:tc>
          <w:tcPr>
            <w:tcW w:w="8958" w:type="dxa"/>
            <w:gridSpan w:val="2"/>
          </w:tcPr>
          <w:p w14:paraId="10559960" w14:textId="0288D0FD" w:rsidR="00C56BD8" w:rsidRPr="009A2C3A" w:rsidRDefault="007327AE" w:rsidP="009A2C3A">
            <w:pPr>
              <w:pStyle w:val="ChartorTableNote"/>
            </w:pPr>
            <w:r w:rsidRPr="009A2C3A">
              <w:t>Note:</w:t>
            </w:r>
            <w:r w:rsidR="009A2C3A" w:rsidRPr="009A2C3A">
              <w:tab/>
            </w:r>
            <w:r w:rsidRPr="009A2C3A">
              <w:t xml:space="preserve">Lines plotted in lighter colour are partial lifetime profiles constructed from data. The solid sections of the darker line </w:t>
            </w:r>
            <w:r w:rsidR="0089058C" w:rsidRPr="009A2C3A">
              <w:t>represent</w:t>
            </w:r>
            <w:r w:rsidRPr="009A2C3A">
              <w:t xml:space="preserve"> the age effects from each of the stages of life.</w:t>
            </w:r>
            <w:r w:rsidR="00C56BD8" w:rsidRPr="009A2C3A">
              <w:t xml:space="preserve"> </w:t>
            </w:r>
          </w:p>
          <w:p w14:paraId="4A960002" w14:textId="4B5B72F9" w:rsidR="00C56BD8" w:rsidRPr="009A2C3A" w:rsidRDefault="00C56BD8" w:rsidP="00321D08">
            <w:pPr>
              <w:pStyle w:val="Source"/>
            </w:pPr>
            <w:r w:rsidRPr="004F1454">
              <w:t>Source:</w:t>
            </w:r>
            <w:r w:rsidR="009A2C3A">
              <w:tab/>
            </w:r>
            <w:r>
              <w:t>ABS Cat. No. 6291; Unpublished ABS data for age 65-69 and 70+; Authors’ calculations.</w:t>
            </w:r>
          </w:p>
        </w:tc>
      </w:tr>
    </w:tbl>
    <w:p w14:paraId="59DFBC3D" w14:textId="77777777" w:rsidR="009A2C3A" w:rsidRDefault="009A2C3A" w:rsidP="00F267A8">
      <w:pPr>
        <w:pStyle w:val="Bullet"/>
        <w:keepNext w:val="0"/>
        <w:numPr>
          <w:ilvl w:val="0"/>
          <w:numId w:val="0"/>
        </w:numPr>
      </w:pPr>
    </w:p>
    <w:p w14:paraId="24043FF1" w14:textId="14C63E5F" w:rsidR="004A1E22" w:rsidRDefault="00BF69BE" w:rsidP="00F267A8">
      <w:pPr>
        <w:pStyle w:val="Bullet"/>
        <w:keepNext w:val="0"/>
        <w:numPr>
          <w:ilvl w:val="0"/>
          <w:numId w:val="0"/>
        </w:numPr>
      </w:pPr>
      <w:r w:rsidRPr="00F267A8">
        <w:t xml:space="preserve">The cohort effects for females at the 15 </w:t>
      </w:r>
      <w:r w:rsidR="001A4275">
        <w:t>to</w:t>
      </w:r>
      <w:r w:rsidR="001A4275" w:rsidRPr="00F267A8">
        <w:t xml:space="preserve"> </w:t>
      </w:r>
      <w:r w:rsidRPr="00F267A8">
        <w:t>24 stage of life</w:t>
      </w:r>
      <w:r w:rsidR="0087436A">
        <w:t xml:space="preserve"> </w:t>
      </w:r>
      <w:r w:rsidR="004A1E22">
        <w:t>reflect</w:t>
      </w:r>
      <w:r w:rsidRPr="00F267A8">
        <w:t xml:space="preserve"> shift</w:t>
      </w:r>
      <w:r w:rsidR="0087436A">
        <w:t>s</w:t>
      </w:r>
      <w:r w:rsidRPr="00F267A8">
        <w:t xml:space="preserve"> from full-time to part-time participation rates</w:t>
      </w:r>
      <w:r w:rsidR="0087436A">
        <w:t xml:space="preserve"> </w:t>
      </w:r>
      <w:r w:rsidRPr="00F267A8">
        <w:t>(</w:t>
      </w:r>
      <w:r w:rsidR="00F406F4">
        <w:t>red</w:t>
      </w:r>
      <w:r w:rsidR="00EA1A8C" w:rsidRPr="00F267A8">
        <w:t xml:space="preserve"> lines in </w:t>
      </w:r>
      <w:r w:rsidR="00BE0591">
        <w:t>Chart 12</w:t>
      </w:r>
      <w:r w:rsidRPr="00F267A8">
        <w:t>).</w:t>
      </w:r>
      <w:r w:rsidR="00E46CD1" w:rsidRPr="00F267A8">
        <w:t xml:space="preserve"> Both the full-time and part-time cohort effects have been relatively unchanged between the two most recent cohorts and this suggests that there </w:t>
      </w:r>
      <w:r w:rsidR="004A1E22">
        <w:t xml:space="preserve">will </w:t>
      </w:r>
      <w:r w:rsidR="005546B5">
        <w:t>not be much</w:t>
      </w:r>
      <w:r w:rsidR="00E46CD1" w:rsidRPr="00F267A8">
        <w:t xml:space="preserve"> further change to participation </w:t>
      </w:r>
      <w:r w:rsidR="004A1E22">
        <w:t xml:space="preserve">rate </w:t>
      </w:r>
      <w:r w:rsidR="00E46CD1" w:rsidRPr="00F267A8">
        <w:t xml:space="preserve">at these ages </w:t>
      </w:r>
      <w:r w:rsidR="004A1E22">
        <w:t>due to</w:t>
      </w:r>
      <w:r w:rsidR="00E46CD1" w:rsidRPr="00F267A8">
        <w:t xml:space="preserve"> cohort effects. </w:t>
      </w:r>
    </w:p>
    <w:p w14:paraId="13C30C80" w14:textId="6EDAF50A" w:rsidR="004A1E22" w:rsidRDefault="00B2498F" w:rsidP="00F267A8">
      <w:pPr>
        <w:pStyle w:val="Bullet"/>
        <w:keepNext w:val="0"/>
        <w:numPr>
          <w:ilvl w:val="0"/>
          <w:numId w:val="0"/>
        </w:numPr>
      </w:pPr>
      <w:r>
        <w:t>Overall, the cohort effects for females aged 25 to 64 capture the long-term increase in both</w:t>
      </w:r>
      <w:r w:rsidR="00A21287">
        <w:br/>
      </w:r>
      <w:r>
        <w:t>full-time and part-time participation (</w:t>
      </w:r>
      <w:r w:rsidR="007A7499">
        <w:t>blue</w:t>
      </w:r>
      <w:r>
        <w:t xml:space="preserve"> lines), with the increase in full-time participation larger than that for part-time</w:t>
      </w:r>
      <w:r w:rsidR="0010650B">
        <w:t xml:space="preserve"> participation</w:t>
      </w:r>
      <w:r>
        <w:t xml:space="preserve">. </w:t>
      </w:r>
      <w:r w:rsidR="00DB1761">
        <w:t>T</w:t>
      </w:r>
      <w:r w:rsidR="00DB1761" w:rsidRPr="00F267A8">
        <w:t xml:space="preserve">he </w:t>
      </w:r>
      <w:r w:rsidR="00AC07FD" w:rsidRPr="00F267A8">
        <w:t xml:space="preserve">part-time cohort effects </w:t>
      </w:r>
      <w:r w:rsidR="00DB1761">
        <w:t>for the</w:t>
      </w:r>
      <w:r w:rsidR="00A21287">
        <w:br/>
      </w:r>
      <w:r w:rsidR="00DB1761">
        <w:t>25 to 64</w:t>
      </w:r>
      <w:r w:rsidR="00DB1761" w:rsidRPr="00F267A8">
        <w:t xml:space="preserve"> stage </w:t>
      </w:r>
      <w:r w:rsidR="00DB1761">
        <w:t>of life</w:t>
      </w:r>
      <w:r w:rsidR="00DB1761" w:rsidRPr="00F267A8">
        <w:t xml:space="preserve"> </w:t>
      </w:r>
      <w:r w:rsidR="00AC07FD" w:rsidRPr="00F267A8">
        <w:t>have been relatively stable for several cohorts</w:t>
      </w:r>
      <w:r w:rsidR="00EA1A8C" w:rsidRPr="00F267A8">
        <w:t xml:space="preserve"> (dashed </w:t>
      </w:r>
      <w:r w:rsidR="007A7499">
        <w:t>blue</w:t>
      </w:r>
      <w:r w:rsidR="00EA1A8C" w:rsidRPr="00F267A8">
        <w:t xml:space="preserve"> line</w:t>
      </w:r>
      <w:r w:rsidR="00DB1761" w:rsidRPr="00F267A8">
        <w:t>)</w:t>
      </w:r>
      <w:r w:rsidR="00DB1761">
        <w:t xml:space="preserve">. This suggests </w:t>
      </w:r>
      <w:r w:rsidR="00AC07FD" w:rsidRPr="00F267A8">
        <w:t>no further increases in part-time participation rates</w:t>
      </w:r>
      <w:r w:rsidR="00DB1761">
        <w:t xml:space="preserve"> from cohort effects</w:t>
      </w:r>
      <w:r w:rsidR="00AC07FD" w:rsidRPr="00F267A8">
        <w:t xml:space="preserve">. </w:t>
      </w:r>
      <w:r w:rsidR="00DB1761">
        <w:t>In contrast, t</w:t>
      </w:r>
      <w:r w:rsidR="00AC07FD" w:rsidRPr="00F267A8">
        <w:t>he full-time cohort effects have continued to increase</w:t>
      </w:r>
      <w:r w:rsidR="00EA1A8C" w:rsidRPr="00F267A8">
        <w:t xml:space="preserve"> (solid </w:t>
      </w:r>
      <w:r w:rsidR="007A7499">
        <w:t>blue</w:t>
      </w:r>
      <w:r w:rsidR="00EA1A8C" w:rsidRPr="00F267A8">
        <w:t xml:space="preserve"> line)</w:t>
      </w:r>
      <w:r w:rsidR="00DB1761">
        <w:t>.</w:t>
      </w:r>
      <w:r w:rsidR="00AC07FD" w:rsidRPr="00F267A8">
        <w:t xml:space="preserve"> </w:t>
      </w:r>
      <w:r w:rsidR="00DB1761">
        <w:t>A</w:t>
      </w:r>
      <w:r w:rsidR="00DB1761" w:rsidRPr="00F267A8">
        <w:t xml:space="preserve">s </w:t>
      </w:r>
      <w:r w:rsidR="00AC07FD" w:rsidRPr="00F267A8">
        <w:t xml:space="preserve">this </w:t>
      </w:r>
      <w:r w:rsidR="00DB1761">
        <w:t xml:space="preserve">effect </w:t>
      </w:r>
      <w:r w:rsidR="00AC07FD" w:rsidRPr="00F267A8">
        <w:t xml:space="preserve">flows through the age </w:t>
      </w:r>
      <w:r w:rsidR="0089058C" w:rsidRPr="00F267A8">
        <w:t>structure,</w:t>
      </w:r>
      <w:r w:rsidR="00AC07FD" w:rsidRPr="00F267A8">
        <w:t xml:space="preserve"> we can expect participation rates at the later ages of this stage of life to continue to increase for some time. </w:t>
      </w:r>
    </w:p>
    <w:p w14:paraId="343AD69E" w14:textId="77777777" w:rsidR="00A21287" w:rsidRDefault="00A21287">
      <w:pPr>
        <w:spacing w:after="200" w:line="276" w:lineRule="auto"/>
      </w:pPr>
      <w:r>
        <w:br w:type="page"/>
      </w:r>
    </w:p>
    <w:p w14:paraId="25013FF5" w14:textId="53FE29A2" w:rsidR="00593C42" w:rsidRPr="00F267A8" w:rsidRDefault="0010650B" w:rsidP="00F267A8">
      <w:pPr>
        <w:pStyle w:val="Bullet"/>
        <w:keepNext w:val="0"/>
        <w:numPr>
          <w:ilvl w:val="0"/>
          <w:numId w:val="0"/>
        </w:numPr>
      </w:pPr>
      <w:r>
        <w:lastRenderedPageBreak/>
        <w:t>For ages 65 and over, the cohort effects reflect the increases in full-time and part-time participation</w:t>
      </w:r>
      <w:r w:rsidR="002867F4">
        <w:t xml:space="preserve"> (purple lines)</w:t>
      </w:r>
      <w:r>
        <w:t xml:space="preserve">. While the cohort effects are of similar size for full-time and part-time, full-time participation was lower to start </w:t>
      </w:r>
      <w:r w:rsidR="00E86025">
        <w:t>with,</w:t>
      </w:r>
      <w:r>
        <w:t xml:space="preserve"> so the increase is smaller in percentage point terms. The increase</w:t>
      </w:r>
      <w:r w:rsidR="00B8452B">
        <w:t>s</w:t>
      </w:r>
      <w:r>
        <w:t xml:space="preserve"> to the cohort effects have continued for both </w:t>
      </w:r>
      <w:r w:rsidR="00EA1A8C" w:rsidRPr="00F267A8">
        <w:t>full-time and part-time participation</w:t>
      </w:r>
      <w:r>
        <w:t xml:space="preserve">, and this will have the effect of </w:t>
      </w:r>
      <w:r w:rsidR="00EA1A8C" w:rsidRPr="00F267A8">
        <w:t>increas</w:t>
      </w:r>
      <w:r>
        <w:t>ing</w:t>
      </w:r>
      <w:r w:rsidR="00EA1A8C" w:rsidRPr="00F267A8">
        <w:t xml:space="preserve"> participation rates at these ages somewhat over coming years.</w:t>
      </w:r>
    </w:p>
    <w:p w14:paraId="205F5886" w14:textId="6111AF2F" w:rsidR="000C2B34" w:rsidRDefault="00AA76BD" w:rsidP="009A2C3A">
      <w:pPr>
        <w:pStyle w:val="ChartMainHeading"/>
      </w:pPr>
      <w:r w:rsidRPr="00185C00">
        <w:t xml:space="preserve">Chart </w:t>
      </w:r>
      <w:r>
        <w:t>1</w:t>
      </w:r>
      <w:r w:rsidR="00BE0591">
        <w:t>2</w:t>
      </w:r>
      <w:r w:rsidR="000C2B34" w:rsidRPr="00F267A8">
        <w:t>: Female cohort effects</w:t>
      </w:r>
    </w:p>
    <w:p w14:paraId="3190DC24" w14:textId="53C8D142" w:rsidR="000C2B34" w:rsidRDefault="0090173A" w:rsidP="0093111E">
      <w:pPr>
        <w:pStyle w:val="ChartGraphic"/>
        <w:jc w:val="center"/>
      </w:pPr>
      <w:r w:rsidRPr="0090173A">
        <w:rPr>
          <w:noProof/>
        </w:rPr>
        <w:drawing>
          <wp:inline distT="0" distB="0" distL="0" distR="0" wp14:anchorId="1B1C0D1C" wp14:editId="35E25BC6">
            <wp:extent cx="5433695" cy="4381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722" t="847" b="1737"/>
                    <a:stretch/>
                  </pic:blipFill>
                  <pic:spPr bwMode="auto">
                    <a:xfrm>
                      <a:off x="0" y="0"/>
                      <a:ext cx="5433695" cy="4381500"/>
                    </a:xfrm>
                    <a:prstGeom prst="rect">
                      <a:avLst/>
                    </a:prstGeom>
                    <a:noFill/>
                    <a:ln>
                      <a:noFill/>
                    </a:ln>
                    <a:extLst>
                      <a:ext uri="{53640926-AAD7-44D8-BBD7-CCE9431645EC}">
                        <a14:shadowObscured xmlns:a14="http://schemas.microsoft.com/office/drawing/2010/main"/>
                      </a:ext>
                    </a:extLst>
                  </pic:spPr>
                </pic:pic>
              </a:graphicData>
            </a:graphic>
          </wp:inline>
        </w:drawing>
      </w:r>
    </w:p>
    <w:p w14:paraId="4FA360FF" w14:textId="77777777" w:rsidR="0090173A" w:rsidRPr="001F04C2" w:rsidRDefault="0090173A" w:rsidP="0090173A">
      <w:pPr>
        <w:pStyle w:val="Source"/>
      </w:pPr>
      <w:r w:rsidRPr="004F1454">
        <w:t>Source:</w:t>
      </w:r>
      <w:r>
        <w:tab/>
        <w:t>Authors’ estimates</w:t>
      </w:r>
    </w:p>
    <w:p w14:paraId="08E5186C" w14:textId="1DB0F635" w:rsidR="00664AAA" w:rsidRDefault="00664AAA" w:rsidP="00F267A8">
      <w:pPr>
        <w:pStyle w:val="Caption1"/>
      </w:pPr>
    </w:p>
    <w:p w14:paraId="28E208BA" w14:textId="7B792066" w:rsidR="00664AAA" w:rsidRDefault="00664AAA" w:rsidP="00422BA9">
      <w:pPr>
        <w:pStyle w:val="Heading2-Numbered"/>
      </w:pPr>
      <w:bookmarkStart w:id="15" w:name="_Toc70507623"/>
      <w:r>
        <w:t>Educational attendance</w:t>
      </w:r>
      <w:bookmarkEnd w:id="15"/>
    </w:p>
    <w:p w14:paraId="1B0F3A48" w14:textId="7FEB42F3" w:rsidR="00410AE1" w:rsidRDefault="0022412D">
      <w:r w:rsidRPr="00F267A8">
        <w:t>The estimated effect of educational attendance on participation varies by sex and age</w:t>
      </w:r>
      <w:r w:rsidR="001724AE">
        <w:t>.</w:t>
      </w:r>
      <w:r w:rsidR="009777C3" w:rsidRPr="00F267A8">
        <w:t xml:space="preserve"> Evaluated at the most recently observed values</w:t>
      </w:r>
      <w:r w:rsidR="004A1E22">
        <w:t xml:space="preserve"> </w:t>
      </w:r>
      <w:r w:rsidRPr="00F267A8">
        <w:t>a 1 percentage point increase</w:t>
      </w:r>
      <w:r w:rsidR="009777C3" w:rsidRPr="00F267A8">
        <w:t xml:space="preserve"> in the educational attendance rate at ages 15 </w:t>
      </w:r>
      <w:r w:rsidR="001A4275">
        <w:t xml:space="preserve">to </w:t>
      </w:r>
      <w:r w:rsidR="009777C3" w:rsidRPr="00F267A8">
        <w:t xml:space="preserve">19 </w:t>
      </w:r>
      <w:r w:rsidR="00542D33">
        <w:t>suggests</w:t>
      </w:r>
      <w:r w:rsidR="009777C3" w:rsidRPr="00F267A8">
        <w:t xml:space="preserve"> a 0.3 percentage point decline in </w:t>
      </w:r>
      <w:r w:rsidR="00CE3AC6">
        <w:t xml:space="preserve">male </w:t>
      </w:r>
      <w:r w:rsidR="009777C3" w:rsidRPr="00F267A8">
        <w:t>full-time participation and a smaller increase in p</w:t>
      </w:r>
      <w:r w:rsidR="00BE0591">
        <w:t>art-time participation (Chart 13</w:t>
      </w:r>
      <w:r w:rsidR="009777C3" w:rsidRPr="00F267A8">
        <w:t>).</w:t>
      </w:r>
      <w:r w:rsidR="00410AE1">
        <w:t xml:space="preserve"> </w:t>
      </w:r>
      <w:r w:rsidR="009777C3" w:rsidRPr="00F267A8">
        <w:t xml:space="preserve">At ages 20 </w:t>
      </w:r>
      <w:r w:rsidR="001A4275">
        <w:t>to</w:t>
      </w:r>
      <w:r w:rsidR="001A4275" w:rsidRPr="00F267A8">
        <w:t xml:space="preserve"> </w:t>
      </w:r>
      <w:r w:rsidR="009777C3" w:rsidRPr="00F267A8">
        <w:t>24, a 1 percentage point increase in the educational attendan</w:t>
      </w:r>
      <w:r w:rsidR="001724AE" w:rsidRPr="00F267A8">
        <w:t>ce rate is associated with a 0.2</w:t>
      </w:r>
      <w:r w:rsidR="009777C3" w:rsidRPr="00F267A8">
        <w:t xml:space="preserve"> percentage point decrease in </w:t>
      </w:r>
      <w:r w:rsidR="00CE3AC6">
        <w:t xml:space="preserve">male </w:t>
      </w:r>
      <w:r w:rsidR="009777C3" w:rsidRPr="00F267A8">
        <w:t>full-time participation an</w:t>
      </w:r>
      <w:r w:rsidR="001724AE" w:rsidRPr="00F267A8">
        <w:t>d a 0.3 percentage point</w:t>
      </w:r>
      <w:r w:rsidR="009777C3" w:rsidRPr="00F267A8">
        <w:t xml:space="preserve"> increase in part-time participation</w:t>
      </w:r>
      <w:r w:rsidR="001724AE" w:rsidRPr="00F267A8">
        <w:t xml:space="preserve">. </w:t>
      </w:r>
      <w:r w:rsidR="001724AE">
        <w:t>For females, a 1</w:t>
      </w:r>
      <w:r w:rsidR="00A21287">
        <w:t> </w:t>
      </w:r>
      <w:r w:rsidR="001724AE">
        <w:t xml:space="preserve">percentage point increase in educational attendance at ages 15 </w:t>
      </w:r>
      <w:r w:rsidR="001A4275">
        <w:t xml:space="preserve">to </w:t>
      </w:r>
      <w:r w:rsidR="001724AE">
        <w:t>19 has been associated with a shift from full-time</w:t>
      </w:r>
      <w:r w:rsidR="00410AE1">
        <w:t xml:space="preserve"> (down 0.2 percentage points)</w:t>
      </w:r>
      <w:r w:rsidR="001724AE">
        <w:t xml:space="preserve"> to part-time </w:t>
      </w:r>
      <w:r w:rsidR="00410AE1">
        <w:t xml:space="preserve">(up 0.3 percentage points) </w:t>
      </w:r>
      <w:r w:rsidR="001724AE">
        <w:t>participation</w:t>
      </w:r>
      <w:r w:rsidR="00BE0591">
        <w:t xml:space="preserve"> (Chart 14</w:t>
      </w:r>
      <w:r w:rsidR="001B3844">
        <w:t xml:space="preserve">). </w:t>
      </w:r>
      <w:r w:rsidR="002307E8">
        <w:t xml:space="preserve">For </w:t>
      </w:r>
      <w:r w:rsidR="001B3844">
        <w:t xml:space="preserve">ages 20 </w:t>
      </w:r>
      <w:r w:rsidR="001A4275">
        <w:t xml:space="preserve">to </w:t>
      </w:r>
      <w:r w:rsidR="001B3844">
        <w:t xml:space="preserve">24, increasing educational attendance rates have been associated with </w:t>
      </w:r>
      <w:r w:rsidR="00410AE1">
        <w:t xml:space="preserve">declines of about 0.2 percentage points in both </w:t>
      </w:r>
      <w:r w:rsidR="00CE3AC6">
        <w:t xml:space="preserve">female </w:t>
      </w:r>
      <w:r w:rsidR="00410AE1">
        <w:t>full-time and part-time participation.</w:t>
      </w:r>
    </w:p>
    <w:tbl>
      <w:tblPr>
        <w:tblStyle w:val="TableGrid"/>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5"/>
      </w:tblGrid>
      <w:tr w:rsidR="001373EF" w14:paraId="65CCD259" w14:textId="77777777" w:rsidTr="00600BB1">
        <w:trPr>
          <w:trHeight w:val="2909"/>
        </w:trPr>
        <w:tc>
          <w:tcPr>
            <w:tcW w:w="4710" w:type="dxa"/>
          </w:tcPr>
          <w:p w14:paraId="41C63444" w14:textId="767F19AC" w:rsidR="00881F69" w:rsidRDefault="0022412D" w:rsidP="00DD1E1B">
            <w:pPr>
              <w:pStyle w:val="ChartMainHeading"/>
            </w:pPr>
            <w:r>
              <w:lastRenderedPageBreak/>
              <w:t>Chart 1</w:t>
            </w:r>
            <w:r w:rsidR="00BE0591">
              <w:t>3</w:t>
            </w:r>
            <w:r w:rsidR="001373EF" w:rsidRPr="00F267A8">
              <w:t>: Effect of increase in male educational attendance by</w:t>
            </w:r>
            <w:r w:rsidR="00A21287">
              <w:br/>
            </w:r>
            <w:r w:rsidR="001373EF" w:rsidRPr="00F267A8">
              <w:t>1</w:t>
            </w:r>
            <w:r w:rsidR="000F4782">
              <w:t> </w:t>
            </w:r>
            <w:r w:rsidR="001373EF" w:rsidRPr="00F267A8">
              <w:t>percentage point</w:t>
            </w:r>
          </w:p>
          <w:p w14:paraId="6F11BE6E" w14:textId="3469CCB6" w:rsidR="001373EF" w:rsidRPr="001373EF" w:rsidRDefault="0010105F" w:rsidP="00DD1E1B">
            <w:pPr>
              <w:spacing w:after="120"/>
            </w:pPr>
            <w:r w:rsidRPr="0010105F">
              <w:rPr>
                <w:noProof/>
              </w:rPr>
              <w:drawing>
                <wp:inline distT="0" distB="0" distL="0" distR="0" wp14:anchorId="3981376F" wp14:editId="22BB3EF0">
                  <wp:extent cx="2772000" cy="2757016"/>
                  <wp:effectExtent l="0" t="0" r="0" b="571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72000" cy="2757016"/>
                          </a:xfrm>
                          <a:prstGeom prst="rect">
                            <a:avLst/>
                          </a:prstGeom>
                          <a:noFill/>
                          <a:ln>
                            <a:noFill/>
                          </a:ln>
                        </pic:spPr>
                      </pic:pic>
                    </a:graphicData>
                  </a:graphic>
                </wp:inline>
              </w:drawing>
            </w:r>
          </w:p>
        </w:tc>
        <w:tc>
          <w:tcPr>
            <w:tcW w:w="4715" w:type="dxa"/>
          </w:tcPr>
          <w:p w14:paraId="21A2EFD5" w14:textId="39D7FB6F" w:rsidR="001373EF" w:rsidRPr="00F267A8" w:rsidRDefault="0022412D" w:rsidP="009A2C3A">
            <w:pPr>
              <w:pStyle w:val="ChartMainHeading"/>
            </w:pPr>
            <w:r>
              <w:t>Chart 1</w:t>
            </w:r>
            <w:r w:rsidR="00BE0591">
              <w:t>4</w:t>
            </w:r>
            <w:r w:rsidR="001373EF" w:rsidRPr="00F267A8">
              <w:t>: Effect of increase in female educational attendance by</w:t>
            </w:r>
            <w:r w:rsidR="00A21287">
              <w:br/>
            </w:r>
            <w:r w:rsidR="001373EF" w:rsidRPr="00F267A8">
              <w:t>1</w:t>
            </w:r>
            <w:r w:rsidR="000F4782">
              <w:t> </w:t>
            </w:r>
            <w:r w:rsidR="001373EF" w:rsidRPr="00F267A8">
              <w:t>percentage point</w:t>
            </w:r>
          </w:p>
          <w:p w14:paraId="16C384DD" w14:textId="196CC35F" w:rsidR="001373EF" w:rsidRPr="001373EF" w:rsidRDefault="00DC160B" w:rsidP="00DD1E1B">
            <w:pPr>
              <w:spacing w:after="120"/>
            </w:pPr>
            <w:r w:rsidRPr="00DC160B">
              <w:rPr>
                <w:noProof/>
              </w:rPr>
              <w:drawing>
                <wp:inline distT="0" distB="0" distL="0" distR="0" wp14:anchorId="6AA5889E" wp14:editId="006F0809">
                  <wp:extent cx="2772000" cy="2757016"/>
                  <wp:effectExtent l="0" t="0" r="0" b="571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72000" cy="2757016"/>
                          </a:xfrm>
                          <a:prstGeom prst="rect">
                            <a:avLst/>
                          </a:prstGeom>
                          <a:noFill/>
                          <a:ln>
                            <a:noFill/>
                          </a:ln>
                        </pic:spPr>
                      </pic:pic>
                    </a:graphicData>
                  </a:graphic>
                </wp:inline>
              </w:drawing>
            </w:r>
          </w:p>
        </w:tc>
      </w:tr>
      <w:tr w:rsidR="00600BB1" w14:paraId="364A61A9" w14:textId="77777777" w:rsidTr="00600BB1">
        <w:trPr>
          <w:trHeight w:val="251"/>
        </w:trPr>
        <w:tc>
          <w:tcPr>
            <w:tcW w:w="9425" w:type="dxa"/>
            <w:gridSpan w:val="2"/>
          </w:tcPr>
          <w:p w14:paraId="62176353" w14:textId="46AF7F24" w:rsidR="00600BB1" w:rsidRDefault="00600BB1" w:rsidP="00600BB1">
            <w:pPr>
              <w:pStyle w:val="Source"/>
            </w:pPr>
            <w:r w:rsidRPr="004F1454">
              <w:t>Source:</w:t>
            </w:r>
            <w:r>
              <w:tab/>
              <w:t>Authors’ estimates</w:t>
            </w:r>
          </w:p>
        </w:tc>
      </w:tr>
    </w:tbl>
    <w:p w14:paraId="719BAA19" w14:textId="77777777" w:rsidR="00DD1E1B" w:rsidRPr="00DD1E1B" w:rsidRDefault="00DD1E1B" w:rsidP="00DD1E1B"/>
    <w:p w14:paraId="170E4474" w14:textId="617571CD" w:rsidR="001373EF" w:rsidRDefault="0022412D" w:rsidP="00422BA9">
      <w:pPr>
        <w:pStyle w:val="Heading2-Numbered"/>
      </w:pPr>
      <w:bookmarkStart w:id="16" w:name="_Toc70507624"/>
      <w:r>
        <w:t>Number of c</w:t>
      </w:r>
      <w:r w:rsidR="001373EF">
        <w:t>hildren born</w:t>
      </w:r>
      <w:bookmarkEnd w:id="16"/>
    </w:p>
    <w:p w14:paraId="4DA4B676" w14:textId="6F9E5105" w:rsidR="00CA02FC" w:rsidRDefault="00CA02FC">
      <w:r w:rsidRPr="00F267A8">
        <w:t>Increases in the number of children born have generally been associated with a decline in participation rates for females</w:t>
      </w:r>
      <w:r w:rsidR="00BE0591">
        <w:t xml:space="preserve"> (Chart 15)</w:t>
      </w:r>
      <w:r w:rsidRPr="00F267A8">
        <w:t xml:space="preserve">. </w:t>
      </w:r>
      <w:r w:rsidR="00542D33">
        <w:t>Evaluated at the most recently observed values, o</w:t>
      </w:r>
      <w:r w:rsidRPr="00F267A8">
        <w:t xml:space="preserve">ne additional child per 100 women </w:t>
      </w:r>
      <w:r w:rsidR="00542D33">
        <w:t xml:space="preserve">suggests </w:t>
      </w:r>
      <w:r w:rsidRPr="00F267A8">
        <w:t>decreases of 0.7 and 1.</w:t>
      </w:r>
      <w:r w:rsidR="00DE2290">
        <w:t>8</w:t>
      </w:r>
      <w:r w:rsidRPr="00F267A8">
        <w:t xml:space="preserve"> percentage points respectively for full-time and part-time participation </w:t>
      </w:r>
      <w:r w:rsidR="002307E8">
        <w:t>aged</w:t>
      </w:r>
      <w:r w:rsidRPr="00F267A8">
        <w:t xml:space="preserve"> 20</w:t>
      </w:r>
      <w:r w:rsidR="001A4275">
        <w:t xml:space="preserve"> to </w:t>
      </w:r>
      <w:r w:rsidRPr="00F267A8">
        <w:t xml:space="preserve">24. </w:t>
      </w:r>
      <w:r w:rsidR="002E5092">
        <w:t xml:space="preserve">This effect, while in the expected direction, </w:t>
      </w:r>
      <w:r w:rsidR="001D1097">
        <w:t xml:space="preserve">is </w:t>
      </w:r>
      <w:r w:rsidR="002E5092">
        <w:t xml:space="preserve">large as it implies that more than one female drops out of the labour force for each child that is born. </w:t>
      </w:r>
      <w:r w:rsidR="002307E8">
        <w:t>For</w:t>
      </w:r>
      <w:r w:rsidR="002307E8" w:rsidRPr="00F267A8">
        <w:t xml:space="preserve"> </w:t>
      </w:r>
      <w:r w:rsidRPr="00F267A8">
        <w:t>ages 25</w:t>
      </w:r>
      <w:r w:rsidR="001A4275">
        <w:t xml:space="preserve"> to </w:t>
      </w:r>
      <w:r w:rsidRPr="00F267A8">
        <w:t>29, 35</w:t>
      </w:r>
      <w:r w:rsidR="00B56A47">
        <w:t xml:space="preserve"> </w:t>
      </w:r>
      <w:r w:rsidR="001A4275">
        <w:t xml:space="preserve">to </w:t>
      </w:r>
      <w:r w:rsidRPr="00F267A8">
        <w:t>39 and 40</w:t>
      </w:r>
      <w:r w:rsidR="001A4275">
        <w:t xml:space="preserve"> to </w:t>
      </w:r>
      <w:r w:rsidRPr="00F267A8">
        <w:t xml:space="preserve">44 there </w:t>
      </w:r>
      <w:r w:rsidR="00542D33">
        <w:t>also negative effects overall, mainly driven by lower full-time participation</w:t>
      </w:r>
      <w:r w:rsidRPr="00F267A8">
        <w:t>.</w:t>
      </w:r>
      <w:r w:rsidR="00B56A47" w:rsidRPr="00F267A8" w:rsidDel="00B56A47">
        <w:t xml:space="preserve"> </w:t>
      </w:r>
    </w:p>
    <w:p w14:paraId="6F15A13B" w14:textId="7BAE954B" w:rsidR="00534724" w:rsidRDefault="00BE0591" w:rsidP="00DD1E1B">
      <w:pPr>
        <w:pStyle w:val="ChartMainHeading"/>
      </w:pPr>
      <w:r>
        <w:lastRenderedPageBreak/>
        <w:t>Chart 15</w:t>
      </w:r>
      <w:r w:rsidR="00534724" w:rsidRPr="00BE0591">
        <w:t xml:space="preserve">: </w:t>
      </w:r>
      <w:r w:rsidR="002E61FC">
        <w:t>Change in participation rate from</w:t>
      </w:r>
      <w:r w:rsidR="00984A0C" w:rsidRPr="00F267A8">
        <w:t xml:space="preserve"> one more child per 100 women</w:t>
      </w:r>
    </w:p>
    <w:p w14:paraId="0019D7FE" w14:textId="49701374" w:rsidR="000D0C00" w:rsidRDefault="00504514" w:rsidP="00B53138">
      <w:pPr>
        <w:pStyle w:val="ChartGraphic"/>
        <w:jc w:val="center"/>
      </w:pPr>
      <w:r w:rsidRPr="00504514">
        <w:rPr>
          <w:noProof/>
        </w:rPr>
        <w:drawing>
          <wp:inline distT="0" distB="0" distL="0" distR="0" wp14:anchorId="3AD458A7" wp14:editId="7E439938">
            <wp:extent cx="5400000" cy="449393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00000" cy="4493932"/>
                    </a:xfrm>
                    <a:prstGeom prst="rect">
                      <a:avLst/>
                    </a:prstGeom>
                    <a:noFill/>
                    <a:ln>
                      <a:noFill/>
                    </a:ln>
                  </pic:spPr>
                </pic:pic>
              </a:graphicData>
            </a:graphic>
          </wp:inline>
        </w:drawing>
      </w:r>
    </w:p>
    <w:p w14:paraId="03A8835F" w14:textId="77777777" w:rsidR="002867F4" w:rsidRPr="001F04C2" w:rsidRDefault="002867F4" w:rsidP="002867F4">
      <w:pPr>
        <w:pStyle w:val="Source"/>
      </w:pPr>
      <w:r w:rsidRPr="004F1454">
        <w:t>Source:</w:t>
      </w:r>
      <w:r>
        <w:tab/>
        <w:t>Authors’ estimates</w:t>
      </w:r>
    </w:p>
    <w:p w14:paraId="6BA7139E" w14:textId="77777777" w:rsidR="002867F4" w:rsidRPr="002867F4" w:rsidRDefault="002867F4" w:rsidP="002867F4">
      <w:pPr>
        <w:rPr>
          <w:lang w:eastAsia="en-AU"/>
        </w:rPr>
      </w:pPr>
    </w:p>
    <w:p w14:paraId="67D29F52" w14:textId="77777777" w:rsidR="00DD1E1B" w:rsidRPr="00A21287" w:rsidRDefault="00DD1E1B" w:rsidP="00A21287"/>
    <w:p w14:paraId="3E2054DC" w14:textId="77777777" w:rsidR="00A21287" w:rsidRPr="00A21287" w:rsidRDefault="00A21287" w:rsidP="00A21287">
      <w:pPr>
        <w:rPr>
          <w:highlight w:val="lightGray"/>
        </w:rPr>
      </w:pPr>
      <w:r w:rsidRPr="00A21287">
        <w:rPr>
          <w:highlight w:val="lightGray"/>
        </w:rPr>
        <w:br w:type="page"/>
      </w:r>
    </w:p>
    <w:p w14:paraId="3FB96354" w14:textId="0508D000" w:rsidR="00981C8A" w:rsidRDefault="00203F81" w:rsidP="00A21287">
      <w:pPr>
        <w:pStyle w:val="Heading1-Numbered"/>
        <w:rPr>
          <w:lang w:eastAsia="en-AU"/>
        </w:rPr>
      </w:pPr>
      <w:bookmarkStart w:id="17" w:name="_Toc70507625"/>
      <w:r>
        <w:rPr>
          <w:lang w:eastAsia="en-AU"/>
        </w:rPr>
        <w:lastRenderedPageBreak/>
        <w:t>P</w:t>
      </w:r>
      <w:r w:rsidR="0035653B">
        <w:rPr>
          <w:lang w:eastAsia="en-AU"/>
        </w:rPr>
        <w:t>rojections</w:t>
      </w:r>
      <w:bookmarkEnd w:id="17"/>
    </w:p>
    <w:p w14:paraId="19DDE532" w14:textId="3A60AE31" w:rsidR="007109B7" w:rsidRPr="00F267A8" w:rsidRDefault="007109B7" w:rsidP="007109B7">
      <w:pPr>
        <w:rPr>
          <w:lang w:eastAsia="en-AU"/>
        </w:rPr>
      </w:pPr>
      <w:r>
        <w:t>In this section we report model</w:t>
      </w:r>
      <w:r w:rsidR="00DB45E1">
        <w:t>-</w:t>
      </w:r>
      <w:r>
        <w:t xml:space="preserve">based projections of labour force participation rate trends </w:t>
      </w:r>
      <w:r w:rsidR="002307E8">
        <w:t xml:space="preserve">for </w:t>
      </w:r>
      <w:r>
        <w:t>the next 40 years.</w:t>
      </w:r>
      <w:r w:rsidR="000E23B0">
        <w:t xml:space="preserve"> It is important to note that the projections presented here do not account for future changes to government policies that affect labour force participation rates, such as the legislated increases to the age pension eligibility age over coming years. </w:t>
      </w:r>
      <w:r w:rsidR="00324A1D">
        <w:t>P</w:t>
      </w:r>
      <w:r w:rsidR="000E23B0">
        <w:t xml:space="preserve">roducing </w:t>
      </w:r>
      <w:r w:rsidR="00D321FA">
        <w:t xml:space="preserve">fully </w:t>
      </w:r>
      <w:r w:rsidR="000E23B0">
        <w:t xml:space="preserve">policy-consistent projections </w:t>
      </w:r>
      <w:r w:rsidR="00B464CB">
        <w:t xml:space="preserve">would </w:t>
      </w:r>
      <w:r w:rsidR="000E23B0">
        <w:t>require adjustment</w:t>
      </w:r>
      <w:r w:rsidR="001C4141">
        <w:t>s</w:t>
      </w:r>
      <w:r w:rsidR="000E23B0">
        <w:t xml:space="preserve"> to be made </w:t>
      </w:r>
      <w:r w:rsidR="001C4141">
        <w:t xml:space="preserve">to the projections </w:t>
      </w:r>
      <w:r w:rsidR="000E23B0">
        <w:t>presented here</w:t>
      </w:r>
      <w:r w:rsidR="00310129">
        <w:t xml:space="preserve"> (for example</w:t>
      </w:r>
      <w:r w:rsidR="00A21287">
        <w:t>,</w:t>
      </w:r>
      <w:r w:rsidR="00310129">
        <w:t xml:space="preserve"> by making different assumptions about future cohort effects)</w:t>
      </w:r>
      <w:r w:rsidR="000E23B0">
        <w:t xml:space="preserve">. </w:t>
      </w:r>
    </w:p>
    <w:p w14:paraId="315CF3F9" w14:textId="3943E647" w:rsidR="009267EB" w:rsidRDefault="005D3BA7" w:rsidP="00422BA9">
      <w:pPr>
        <w:pStyle w:val="Heading2-Numbered"/>
      </w:pPr>
      <w:bookmarkStart w:id="18" w:name="_Toc70507626"/>
      <w:r>
        <w:t>Assumptions</w:t>
      </w:r>
      <w:bookmarkEnd w:id="18"/>
    </w:p>
    <w:p w14:paraId="789F6904" w14:textId="305C5BBE" w:rsidR="009267EB" w:rsidRDefault="002307E8" w:rsidP="00F267A8">
      <w:pPr>
        <w:rPr>
          <w:lang w:val="en-US" w:eastAsia="en-AU"/>
        </w:rPr>
      </w:pPr>
      <w:r>
        <w:rPr>
          <w:lang w:val="en-US" w:eastAsia="en-AU"/>
        </w:rPr>
        <w:t>P</w:t>
      </w:r>
      <w:r w:rsidR="009267EB">
        <w:rPr>
          <w:lang w:val="en-US" w:eastAsia="en-AU"/>
        </w:rPr>
        <w:t xml:space="preserve">rojections of future </w:t>
      </w:r>
      <w:proofErr w:type="spellStart"/>
      <w:r w:rsidR="009267EB">
        <w:rPr>
          <w:lang w:val="en-US" w:eastAsia="en-AU"/>
        </w:rPr>
        <w:t>labour</w:t>
      </w:r>
      <w:proofErr w:type="spellEnd"/>
      <w:r w:rsidR="009267EB">
        <w:rPr>
          <w:lang w:val="en-US" w:eastAsia="en-AU"/>
        </w:rPr>
        <w:t xml:space="preserve"> force participation rates </w:t>
      </w:r>
      <w:r>
        <w:rPr>
          <w:lang w:val="en-US" w:eastAsia="en-AU"/>
        </w:rPr>
        <w:t>require</w:t>
      </w:r>
      <w:r w:rsidR="009267EB">
        <w:rPr>
          <w:lang w:val="en-US" w:eastAsia="en-AU"/>
        </w:rPr>
        <w:t xml:space="preserve"> assumptions about the future path of </w:t>
      </w:r>
      <w:r>
        <w:rPr>
          <w:lang w:val="en-US" w:eastAsia="en-AU"/>
        </w:rPr>
        <w:t xml:space="preserve">all </w:t>
      </w:r>
      <w:r w:rsidR="009267EB">
        <w:rPr>
          <w:lang w:val="en-US" w:eastAsia="en-AU"/>
        </w:rPr>
        <w:t>covariates a</w:t>
      </w:r>
      <w:r w:rsidR="000A461E">
        <w:rPr>
          <w:lang w:val="en-US" w:eastAsia="en-AU"/>
        </w:rPr>
        <w:t>nd</w:t>
      </w:r>
      <w:r w:rsidR="000E298C">
        <w:rPr>
          <w:lang w:val="en-US" w:eastAsia="en-AU"/>
        </w:rPr>
        <w:t xml:space="preserve"> the</w:t>
      </w:r>
      <w:r w:rsidR="000A461E">
        <w:rPr>
          <w:lang w:val="en-US" w:eastAsia="en-AU"/>
        </w:rPr>
        <w:t xml:space="preserve"> cohort effects.</w:t>
      </w:r>
      <w:r w:rsidR="00ED58F9">
        <w:rPr>
          <w:lang w:val="en-US" w:eastAsia="en-AU"/>
        </w:rPr>
        <w:t xml:space="preserve"> While the assumptions presented below are </w:t>
      </w:r>
      <w:r w:rsidR="00852452">
        <w:rPr>
          <w:lang w:val="en-US" w:eastAsia="en-AU"/>
        </w:rPr>
        <w:t>plausible,</w:t>
      </w:r>
      <w:r w:rsidR="00ED58F9">
        <w:rPr>
          <w:lang w:val="en-US" w:eastAsia="en-AU"/>
        </w:rPr>
        <w:t xml:space="preserve"> they are not meant to represent our best</w:t>
      </w:r>
      <w:r w:rsidR="00852452">
        <w:rPr>
          <w:lang w:val="en-US" w:eastAsia="en-AU"/>
        </w:rPr>
        <w:t xml:space="preserve"> </w:t>
      </w:r>
      <w:r w:rsidR="00ED58F9">
        <w:rPr>
          <w:lang w:val="en-US" w:eastAsia="en-AU"/>
        </w:rPr>
        <w:t xml:space="preserve">guess at what the future will look like. Instead, they show what the </w:t>
      </w:r>
      <w:r w:rsidR="00852452">
        <w:rPr>
          <w:lang w:val="en-US" w:eastAsia="en-AU"/>
        </w:rPr>
        <w:t xml:space="preserve">observed </w:t>
      </w:r>
      <w:r w:rsidR="00ED58F9">
        <w:rPr>
          <w:lang w:val="en-US" w:eastAsia="en-AU"/>
        </w:rPr>
        <w:t>trends in participation rates between different birth cohorts imply for the future</w:t>
      </w:r>
      <w:r w:rsidR="00324A1D">
        <w:rPr>
          <w:lang w:val="en-US" w:eastAsia="en-AU"/>
        </w:rPr>
        <w:t xml:space="preserve"> under those plausible assumptions</w:t>
      </w:r>
      <w:r w:rsidR="00ED58F9">
        <w:rPr>
          <w:lang w:val="en-US" w:eastAsia="en-AU"/>
        </w:rPr>
        <w:t xml:space="preserve">. </w:t>
      </w:r>
      <w:r w:rsidR="00852452">
        <w:rPr>
          <w:lang w:val="en-US" w:eastAsia="en-AU"/>
        </w:rPr>
        <w:t>These are then combined with projections of the demographic structure to show what future aggregate participation rates would look like under these assumptions.</w:t>
      </w:r>
    </w:p>
    <w:p w14:paraId="0641BCCD" w14:textId="77777777" w:rsidR="00023970" w:rsidRDefault="00023970" w:rsidP="00422BA9">
      <w:pPr>
        <w:pStyle w:val="Heading3NotNumbered"/>
      </w:pPr>
      <w:r>
        <w:t>Cohort effects</w:t>
      </w:r>
    </w:p>
    <w:p w14:paraId="15B6BC2E" w14:textId="1F54A00A" w:rsidR="00023970" w:rsidRDefault="00023970" w:rsidP="00AE2CD2">
      <w:pPr>
        <w:rPr>
          <w:lang w:val="en-US" w:eastAsia="en-AU"/>
        </w:rPr>
      </w:pPr>
      <w:r>
        <w:rPr>
          <w:lang w:val="en-US" w:eastAsia="en-AU"/>
        </w:rPr>
        <w:t xml:space="preserve">For each stage of life, it is assumed that the cohort effects </w:t>
      </w:r>
      <w:r w:rsidR="0027632B">
        <w:rPr>
          <w:lang w:val="en-US" w:eastAsia="en-AU"/>
        </w:rPr>
        <w:t>of</w:t>
      </w:r>
      <w:r>
        <w:rPr>
          <w:lang w:val="en-US" w:eastAsia="en-AU"/>
        </w:rPr>
        <w:t xml:space="preserve"> a cohort that enters the working-age population </w:t>
      </w:r>
      <w:r w:rsidR="0027632B">
        <w:rPr>
          <w:lang w:val="en-US" w:eastAsia="en-AU"/>
        </w:rPr>
        <w:t>during</w:t>
      </w:r>
      <w:r>
        <w:rPr>
          <w:lang w:val="en-US" w:eastAsia="en-AU"/>
        </w:rPr>
        <w:t xml:space="preserve"> the projections period are unchanged from the one for the youngest cohort in the estimation period. This means that </w:t>
      </w:r>
      <w:r w:rsidR="0027632B">
        <w:rPr>
          <w:lang w:val="en-US" w:eastAsia="en-AU"/>
        </w:rPr>
        <w:t xml:space="preserve">in the absence of changes to other covariates </w:t>
      </w:r>
      <w:r>
        <w:rPr>
          <w:lang w:val="en-US" w:eastAsia="en-AU"/>
        </w:rPr>
        <w:t>the participation rates for future cohorts will be identical to the most recently observed cohorts</w:t>
      </w:r>
      <w:r w:rsidR="0027632B">
        <w:rPr>
          <w:lang w:val="en-US" w:eastAsia="en-AU"/>
        </w:rPr>
        <w:t>.</w:t>
      </w:r>
    </w:p>
    <w:p w14:paraId="7FCE36E6" w14:textId="2B4BCAFB" w:rsidR="000A461E" w:rsidRDefault="000A461E" w:rsidP="00422BA9">
      <w:pPr>
        <w:pStyle w:val="Heading3NotNumbered"/>
      </w:pPr>
      <w:r>
        <w:t>Educational attendance rates</w:t>
      </w:r>
    </w:p>
    <w:p w14:paraId="4EA2F979" w14:textId="08006CC5" w:rsidR="00C14D69" w:rsidRDefault="001A7F00" w:rsidP="00F267A8">
      <w:pPr>
        <w:rPr>
          <w:lang w:val="en-US" w:eastAsia="en-AU"/>
        </w:rPr>
      </w:pPr>
      <w:r>
        <w:rPr>
          <w:lang w:val="en-US" w:eastAsia="en-AU"/>
        </w:rPr>
        <w:t xml:space="preserve">Educational attendance rates for those aged 15 </w:t>
      </w:r>
      <w:r w:rsidR="001A4275">
        <w:rPr>
          <w:lang w:val="en-US" w:eastAsia="en-AU"/>
        </w:rPr>
        <w:t xml:space="preserve">to </w:t>
      </w:r>
      <w:r>
        <w:rPr>
          <w:lang w:val="en-US" w:eastAsia="en-AU"/>
        </w:rPr>
        <w:t xml:space="preserve">24 are assumed to be unchanged from the most recently observed levels. </w:t>
      </w:r>
    </w:p>
    <w:p w14:paraId="18CF0792" w14:textId="0FA110FE" w:rsidR="000A461E" w:rsidRDefault="000A461E" w:rsidP="00422BA9">
      <w:pPr>
        <w:pStyle w:val="Heading3NotNumbered"/>
      </w:pPr>
      <w:r>
        <w:t>Number of children born</w:t>
      </w:r>
    </w:p>
    <w:p w14:paraId="1BEC7417" w14:textId="2A076671" w:rsidR="000A461E" w:rsidRDefault="00306062" w:rsidP="00F267A8">
      <w:pPr>
        <w:rPr>
          <w:lang w:val="en-US" w:eastAsia="en-AU"/>
        </w:rPr>
      </w:pPr>
      <w:r>
        <w:rPr>
          <w:lang w:val="en-US" w:eastAsia="en-AU"/>
        </w:rPr>
        <w:t xml:space="preserve">The number of children born </w:t>
      </w:r>
      <w:r w:rsidR="0027632B">
        <w:rPr>
          <w:lang w:val="en-US" w:eastAsia="en-AU"/>
        </w:rPr>
        <w:t xml:space="preserve">to </w:t>
      </w:r>
      <w:r>
        <w:rPr>
          <w:lang w:val="en-US" w:eastAsia="en-AU"/>
        </w:rPr>
        <w:t>a given cohort of females have been calculated using projections of fertility rates</w:t>
      </w:r>
      <w:r w:rsidR="0035000C">
        <w:rPr>
          <w:lang w:val="en-US" w:eastAsia="en-AU"/>
        </w:rPr>
        <w:t xml:space="preserve"> (McDonald 2020)</w:t>
      </w:r>
      <w:r>
        <w:rPr>
          <w:lang w:val="en-US" w:eastAsia="en-AU"/>
        </w:rPr>
        <w:t xml:space="preserve"> and the female population at different ages</w:t>
      </w:r>
      <w:r w:rsidR="00DB45E1">
        <w:rPr>
          <w:lang w:val="en-US" w:eastAsia="en-AU"/>
        </w:rPr>
        <w:t xml:space="preserve"> (Centre for Population</w:t>
      </w:r>
      <w:r w:rsidR="00A21287">
        <w:rPr>
          <w:lang w:val="en-US" w:eastAsia="en-AU"/>
        </w:rPr>
        <w:t>,</w:t>
      </w:r>
      <w:r w:rsidR="00DB45E1">
        <w:rPr>
          <w:lang w:val="en-US" w:eastAsia="en-AU"/>
        </w:rPr>
        <w:t xml:space="preserve"> 2020)</w:t>
      </w:r>
      <w:r w:rsidR="0075782E">
        <w:rPr>
          <w:lang w:val="en-US" w:eastAsia="en-AU"/>
        </w:rPr>
        <w:t>.</w:t>
      </w:r>
    </w:p>
    <w:p w14:paraId="15412885" w14:textId="0D6B343B" w:rsidR="009F40BA" w:rsidRDefault="009F40BA" w:rsidP="00422BA9">
      <w:pPr>
        <w:pStyle w:val="Heading3NotNumbered"/>
      </w:pPr>
      <w:r>
        <w:t xml:space="preserve">Full-time male participation at ages 55 </w:t>
      </w:r>
      <w:r w:rsidR="001A4275">
        <w:t xml:space="preserve">to </w:t>
      </w:r>
      <w:r>
        <w:t>64</w:t>
      </w:r>
    </w:p>
    <w:p w14:paraId="5C262A3F" w14:textId="7EC63C7A" w:rsidR="009F40BA" w:rsidRDefault="009F40BA" w:rsidP="00F267A8">
      <w:pPr>
        <w:rPr>
          <w:lang w:val="en-US" w:eastAsia="en-AU"/>
        </w:rPr>
      </w:pPr>
      <w:r>
        <w:rPr>
          <w:lang w:val="en-US" w:eastAsia="en-AU"/>
        </w:rPr>
        <w:t xml:space="preserve">As discussed above, full-time participation rates for males aged 55 </w:t>
      </w:r>
      <w:r w:rsidR="001A4275">
        <w:rPr>
          <w:lang w:val="en-US" w:eastAsia="en-AU"/>
        </w:rPr>
        <w:t xml:space="preserve">to </w:t>
      </w:r>
      <w:r>
        <w:rPr>
          <w:lang w:val="en-US" w:eastAsia="en-AU"/>
        </w:rPr>
        <w:t>64 have not been modelled using</w:t>
      </w:r>
      <w:r w:rsidR="00DE6BA2">
        <w:rPr>
          <w:lang w:val="en-US" w:eastAsia="en-AU"/>
        </w:rPr>
        <w:t xml:space="preserve"> the </w:t>
      </w:r>
      <w:r w:rsidR="00B06B05">
        <w:rPr>
          <w:lang w:val="en-US" w:eastAsia="en-AU"/>
        </w:rPr>
        <w:t xml:space="preserve">econometric based </w:t>
      </w:r>
      <w:r w:rsidR="00DE6BA2">
        <w:rPr>
          <w:lang w:val="en-US" w:eastAsia="en-AU"/>
        </w:rPr>
        <w:t xml:space="preserve">age-cohort framework. Instead, historical trends have been estimated using an HP filter. For the projections, the trend </w:t>
      </w:r>
      <w:r w:rsidR="00AE23F8">
        <w:rPr>
          <w:lang w:val="en-US" w:eastAsia="en-AU"/>
        </w:rPr>
        <w:t>participation rate</w:t>
      </w:r>
      <w:r w:rsidR="005C3E34">
        <w:rPr>
          <w:lang w:val="en-US" w:eastAsia="en-AU"/>
        </w:rPr>
        <w:t>s</w:t>
      </w:r>
      <w:r w:rsidR="00DE6BA2">
        <w:rPr>
          <w:lang w:val="en-US" w:eastAsia="en-AU"/>
        </w:rPr>
        <w:t xml:space="preserve"> </w:t>
      </w:r>
      <w:r w:rsidR="00B06B05">
        <w:rPr>
          <w:lang w:val="en-US" w:eastAsia="en-AU"/>
        </w:rPr>
        <w:t>for</w:t>
      </w:r>
      <w:r w:rsidR="00AE23F8">
        <w:rPr>
          <w:lang w:val="en-US" w:eastAsia="en-AU"/>
        </w:rPr>
        <w:t xml:space="preserve"> </w:t>
      </w:r>
      <w:r w:rsidR="00DE6BA2">
        <w:rPr>
          <w:lang w:val="en-US" w:eastAsia="en-AU"/>
        </w:rPr>
        <w:t>these ages are held constant over the projections period.</w:t>
      </w:r>
      <w:r w:rsidR="00712430">
        <w:rPr>
          <w:lang w:val="en-US" w:eastAsia="en-AU"/>
        </w:rPr>
        <w:t xml:space="preserve"> </w:t>
      </w:r>
    </w:p>
    <w:p w14:paraId="6580E098" w14:textId="492A2074" w:rsidR="00F311EB" w:rsidRDefault="009F041B" w:rsidP="00422BA9">
      <w:pPr>
        <w:pStyle w:val="Heading3NotNumbered"/>
      </w:pPr>
      <w:r>
        <w:lastRenderedPageBreak/>
        <w:t>Smoothing</w:t>
      </w:r>
    </w:p>
    <w:p w14:paraId="13C05DFA" w14:textId="67C762AE" w:rsidR="009F041B" w:rsidRDefault="009F041B" w:rsidP="005F03C9">
      <w:pPr>
        <w:rPr>
          <w:lang w:val="en-US" w:eastAsia="en-AU"/>
        </w:rPr>
      </w:pPr>
      <w:r>
        <w:rPr>
          <w:lang w:val="en-US" w:eastAsia="en-AU"/>
        </w:rPr>
        <w:t xml:space="preserve">As can be seen in the results section above, the estimated cohort effects can change quite sharply from one cohort to the next. </w:t>
      </w:r>
      <w:r w:rsidR="006F6238">
        <w:rPr>
          <w:lang w:val="en-US" w:eastAsia="en-AU"/>
        </w:rPr>
        <w:t xml:space="preserve">This directly flows through to </w:t>
      </w:r>
      <w:r>
        <w:rPr>
          <w:lang w:val="en-US" w:eastAsia="en-AU"/>
        </w:rPr>
        <w:t>the estimated hi</w:t>
      </w:r>
      <w:r w:rsidR="006F6238">
        <w:rPr>
          <w:lang w:val="en-US" w:eastAsia="en-AU"/>
        </w:rPr>
        <w:t xml:space="preserve">storical trends and projections, </w:t>
      </w:r>
      <w:proofErr w:type="gramStart"/>
      <w:r w:rsidR="006F6238">
        <w:rPr>
          <w:lang w:val="en-US" w:eastAsia="en-AU"/>
        </w:rPr>
        <w:t>in particular at</w:t>
      </w:r>
      <w:proofErr w:type="gramEnd"/>
      <w:r w:rsidR="006F6238">
        <w:rPr>
          <w:lang w:val="en-US" w:eastAsia="en-AU"/>
        </w:rPr>
        <w:t xml:space="preserve"> the disaggregated level. </w:t>
      </w:r>
      <w:proofErr w:type="gramStart"/>
      <w:r w:rsidR="006F6238">
        <w:rPr>
          <w:lang w:val="en-US" w:eastAsia="en-AU"/>
        </w:rPr>
        <w:t>In order to</w:t>
      </w:r>
      <w:proofErr w:type="gramEnd"/>
      <w:r w:rsidR="006F6238">
        <w:rPr>
          <w:lang w:val="en-US" w:eastAsia="en-AU"/>
        </w:rPr>
        <w:t xml:space="preserve"> avoid</w:t>
      </w:r>
      <w:r w:rsidR="003B3015">
        <w:rPr>
          <w:lang w:val="en-US" w:eastAsia="en-AU"/>
        </w:rPr>
        <w:t xml:space="preserve"> these</w:t>
      </w:r>
      <w:r w:rsidR="006F6238">
        <w:rPr>
          <w:lang w:val="en-US" w:eastAsia="en-AU"/>
        </w:rPr>
        <w:t xml:space="preserve"> sharp changes, we follow the CBO in smoothing the resulting trend and projections series for each subgroup</w:t>
      </w:r>
      <w:r w:rsidR="00FD3E43">
        <w:rPr>
          <w:lang w:val="en-US" w:eastAsia="en-AU"/>
        </w:rPr>
        <w:t xml:space="preserve"> (sex, age and full-time/part-time combination)</w:t>
      </w:r>
      <w:r w:rsidR="006F6238">
        <w:rPr>
          <w:lang w:val="en-US" w:eastAsia="en-AU"/>
        </w:rPr>
        <w:t xml:space="preserve"> using an HP filter (with smoothing parameter of 1,600).</w:t>
      </w:r>
    </w:p>
    <w:p w14:paraId="46E8E269" w14:textId="00964F61" w:rsidR="005D3BA7" w:rsidRDefault="001F08B5" w:rsidP="00422BA9">
      <w:pPr>
        <w:pStyle w:val="Heading2-Numbered"/>
      </w:pPr>
      <w:bookmarkStart w:id="19" w:name="_Toc70507627"/>
      <w:r>
        <w:t>P</w:t>
      </w:r>
      <w:r w:rsidR="005D3BA7">
        <w:t>rojections</w:t>
      </w:r>
      <w:bookmarkEnd w:id="19"/>
    </w:p>
    <w:p w14:paraId="2761A1C3" w14:textId="701E6263" w:rsidR="009C0EA5" w:rsidRDefault="005D3BA7" w:rsidP="005D3BA7">
      <w:r w:rsidRPr="00BE759E">
        <w:t xml:space="preserve">We combine the estimated </w:t>
      </w:r>
      <w:r>
        <w:t xml:space="preserve">model </w:t>
      </w:r>
      <w:r w:rsidRPr="00BE759E">
        <w:t>coefficients, with projections</w:t>
      </w:r>
      <w:r w:rsidR="00896966">
        <w:t xml:space="preserve"> and </w:t>
      </w:r>
      <w:r w:rsidRPr="00BE759E">
        <w:t>assumptions for the covariates and future cohort effects to produce projections of the participation rates for each age group</w:t>
      </w:r>
      <w:r w:rsidR="00410454">
        <w:t xml:space="preserve"> (see</w:t>
      </w:r>
      <w:r w:rsidR="00A21287">
        <w:t> </w:t>
      </w:r>
      <w:r w:rsidR="00410454">
        <w:t xml:space="preserve">Appendix </w:t>
      </w:r>
      <w:r w:rsidR="00AD0890">
        <w:t xml:space="preserve">A </w:t>
      </w:r>
      <w:r w:rsidR="00410454">
        <w:t>for projections by sex and age)</w:t>
      </w:r>
      <w:r w:rsidRPr="00BE759E">
        <w:t xml:space="preserve">. </w:t>
      </w:r>
      <w:r>
        <w:t>These</w:t>
      </w:r>
      <w:r w:rsidRPr="00BE759E">
        <w:t xml:space="preserve"> age- and sex-specific rates </w:t>
      </w:r>
      <w:r>
        <w:t xml:space="preserve">can then be aggregated </w:t>
      </w:r>
      <w:r w:rsidRPr="00BE759E">
        <w:t xml:space="preserve">using </w:t>
      </w:r>
      <w:r w:rsidR="00EE7D66">
        <w:t xml:space="preserve">projected </w:t>
      </w:r>
      <w:r w:rsidRPr="00BE759E">
        <w:t xml:space="preserve">population </w:t>
      </w:r>
      <w:r>
        <w:t>weights</w:t>
      </w:r>
      <w:r w:rsidR="00EE7D66">
        <w:t xml:space="preserve"> (Centre for Population 2020)</w:t>
      </w:r>
      <w:r>
        <w:t xml:space="preserve">. </w:t>
      </w:r>
      <w:r w:rsidR="00FF66FE">
        <w:t xml:space="preserve">These data are presented in both cross-sections of different ages at a point in time and aggregate and </w:t>
      </w:r>
      <w:r w:rsidR="00824A2F">
        <w:t>age-</w:t>
      </w:r>
      <w:r w:rsidR="00FF66FE">
        <w:t xml:space="preserve">specific time series. </w:t>
      </w:r>
    </w:p>
    <w:p w14:paraId="728A2360" w14:textId="133C1EE3" w:rsidR="00F17392" w:rsidRDefault="00F17392" w:rsidP="005D3BA7">
      <w:r>
        <w:t>Rather than present the project</w:t>
      </w:r>
      <w:r w:rsidR="00E3179A">
        <w:t>ed life-cycle profiles</w:t>
      </w:r>
      <w:r>
        <w:t xml:space="preserve"> for given birth cohorts, we look at the</w:t>
      </w:r>
      <w:r w:rsidR="00A21287">
        <w:br/>
      </w:r>
      <w:r>
        <w:t>cross-sectional participation rate projections at different points in time</w:t>
      </w:r>
      <w:r w:rsidR="00A7074A">
        <w:t xml:space="preserve">. </w:t>
      </w:r>
      <w:r>
        <w:t>For males, total participation rates in 2060 are projected to look relatively similar to those observed in</w:t>
      </w:r>
      <w:r w:rsidR="00CA7BDB">
        <w:t xml:space="preserve"> early 2020 (before the COVID pandemic significantly affected participation rates)</w:t>
      </w:r>
      <w:r>
        <w:t>, with the main difference being that participation rates are slightly higher</w:t>
      </w:r>
      <w:r w:rsidR="004E5770">
        <w:t xml:space="preserve"> at older ages (Chart 16</w:t>
      </w:r>
      <w:r w:rsidR="00C901CF">
        <w:t>). For females, increases in participation</w:t>
      </w:r>
      <w:r w:rsidR="00DE7428">
        <w:t xml:space="preserve"> observed </w:t>
      </w:r>
      <w:r w:rsidR="00C669E0">
        <w:t xml:space="preserve">in </w:t>
      </w:r>
      <w:r w:rsidR="00DE7428">
        <w:t xml:space="preserve">recent decades </w:t>
      </w:r>
      <w:r w:rsidR="00C669E0">
        <w:t>for</w:t>
      </w:r>
      <w:r w:rsidR="00DE7428">
        <w:t xml:space="preserve"> </w:t>
      </w:r>
      <w:r w:rsidR="00C669E0">
        <w:t>middle age workers</w:t>
      </w:r>
      <w:r w:rsidR="00DE7428">
        <w:t xml:space="preserve"> are projected to continue</w:t>
      </w:r>
      <w:r w:rsidR="004E5770">
        <w:t xml:space="preserve"> (Chart</w:t>
      </w:r>
      <w:r w:rsidR="00A21287">
        <w:t> </w:t>
      </w:r>
      <w:r w:rsidR="004E5770">
        <w:t>17)</w:t>
      </w:r>
      <w:r w:rsidR="00DE7428">
        <w:t xml:space="preserve">. In particular, the projections suggest that female participation rates at ages 45 </w:t>
      </w:r>
      <w:r w:rsidR="001A4275">
        <w:t xml:space="preserve">to </w:t>
      </w:r>
      <w:r w:rsidR="00DE7428">
        <w:t>54 will increase strongly to be around the same level as for males by 2060. While this would be a very significant development</w:t>
      </w:r>
      <w:r w:rsidR="00A7074A">
        <w:t xml:space="preserve"> there are a number of important factors that can be expected to drive this,</w:t>
      </w:r>
      <w:r w:rsidR="00DE7428">
        <w:t xml:space="preserve"> including the continued strong increase in </w:t>
      </w:r>
      <w:r w:rsidR="00C669E0">
        <w:t xml:space="preserve">levels of female </w:t>
      </w:r>
      <w:r w:rsidR="00BB5896">
        <w:t xml:space="preserve">educational attainment and the reduction in time away from the labour force </w:t>
      </w:r>
      <w:r w:rsidR="00C669E0">
        <w:t>due to</w:t>
      </w:r>
      <w:r w:rsidR="00BB5896">
        <w:t xml:space="preserve"> child rearing.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72"/>
      </w:tblGrid>
      <w:tr w:rsidR="00637BE6" w:rsidRPr="00892936" w14:paraId="07F5CE3F" w14:textId="77777777" w:rsidTr="00892936">
        <w:tc>
          <w:tcPr>
            <w:tcW w:w="4649" w:type="dxa"/>
            <w:shd w:val="clear" w:color="auto" w:fill="auto"/>
          </w:tcPr>
          <w:p w14:paraId="6433EF17" w14:textId="77777777" w:rsidR="00DD1E1B" w:rsidRDefault="0022412D" w:rsidP="00DD1E1B">
            <w:pPr>
              <w:pStyle w:val="ChartMainHeading"/>
            </w:pPr>
            <w:r w:rsidRPr="00892936">
              <w:t>C</w:t>
            </w:r>
            <w:r w:rsidR="00534724" w:rsidRPr="00892936">
              <w:t>hart 1</w:t>
            </w:r>
            <w:r w:rsidR="00BE0591" w:rsidRPr="00892936">
              <w:t>6</w:t>
            </w:r>
            <w:r w:rsidRPr="00892936">
              <w:t xml:space="preserve">: </w:t>
            </w:r>
            <w:r w:rsidR="00534724" w:rsidRPr="00892936">
              <w:t>Male age profiles</w:t>
            </w:r>
          </w:p>
          <w:p w14:paraId="46867FBE" w14:textId="358F062E" w:rsidR="005D4782" w:rsidRPr="00DD1E1B" w:rsidRDefault="00301179" w:rsidP="00DD1E1B">
            <w:pPr>
              <w:pStyle w:val="ChartGraphic"/>
              <w:spacing w:after="120"/>
            </w:pPr>
            <w:r w:rsidRPr="00301179">
              <w:rPr>
                <w:noProof/>
              </w:rPr>
              <w:drawing>
                <wp:inline distT="0" distB="0" distL="0" distR="0" wp14:anchorId="19345DF0" wp14:editId="06E5B64B">
                  <wp:extent cx="2781300" cy="2771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81300" cy="2771775"/>
                          </a:xfrm>
                          <a:prstGeom prst="rect">
                            <a:avLst/>
                          </a:prstGeom>
                          <a:noFill/>
                          <a:ln>
                            <a:noFill/>
                          </a:ln>
                        </pic:spPr>
                      </pic:pic>
                    </a:graphicData>
                  </a:graphic>
                </wp:inline>
              </w:drawing>
            </w:r>
          </w:p>
        </w:tc>
        <w:tc>
          <w:tcPr>
            <w:tcW w:w="4649" w:type="dxa"/>
            <w:shd w:val="clear" w:color="auto" w:fill="auto"/>
          </w:tcPr>
          <w:p w14:paraId="38F29C5A" w14:textId="77777777" w:rsidR="00DD1E1B" w:rsidRDefault="0022412D" w:rsidP="00DD1E1B">
            <w:pPr>
              <w:pStyle w:val="ChartMainHeading"/>
            </w:pPr>
            <w:r w:rsidRPr="00892936">
              <w:t>C</w:t>
            </w:r>
            <w:r w:rsidR="00534724" w:rsidRPr="00892936">
              <w:t>hart 1</w:t>
            </w:r>
            <w:r w:rsidR="00BE0591" w:rsidRPr="00892936">
              <w:t>7</w:t>
            </w:r>
            <w:r w:rsidRPr="00892936">
              <w:t xml:space="preserve">: </w:t>
            </w:r>
            <w:r w:rsidR="00637BE6" w:rsidRPr="00892936">
              <w:t>Female</w:t>
            </w:r>
            <w:r w:rsidR="00534724" w:rsidRPr="00892936">
              <w:t xml:space="preserve"> age profiles</w:t>
            </w:r>
          </w:p>
          <w:p w14:paraId="30DF7770" w14:textId="550373AA" w:rsidR="00497CD0" w:rsidRPr="00892936" w:rsidRDefault="00F32A74" w:rsidP="00DD1E1B">
            <w:pPr>
              <w:pStyle w:val="ChartGraphic"/>
              <w:spacing w:after="120"/>
            </w:pPr>
            <w:r w:rsidRPr="00F32A74">
              <w:rPr>
                <w:noProof/>
              </w:rPr>
              <w:drawing>
                <wp:inline distT="0" distB="0" distL="0" distR="0" wp14:anchorId="670FB1D4" wp14:editId="1A3A98C5">
                  <wp:extent cx="2771775" cy="27717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tc>
      </w:tr>
      <w:tr w:rsidR="00C56BD8" w:rsidRPr="00892936" w14:paraId="0A5004E1" w14:textId="77777777" w:rsidTr="009A6DFD">
        <w:tc>
          <w:tcPr>
            <w:tcW w:w="9298" w:type="dxa"/>
            <w:gridSpan w:val="2"/>
            <w:shd w:val="clear" w:color="auto" w:fill="auto"/>
          </w:tcPr>
          <w:p w14:paraId="44870177" w14:textId="2962D351" w:rsidR="00C56BD8" w:rsidRPr="00892936" w:rsidRDefault="00C56BD8" w:rsidP="00321D08">
            <w:pPr>
              <w:pStyle w:val="Source"/>
              <w:spacing w:before="120"/>
            </w:pPr>
            <w:r w:rsidRPr="004F1454">
              <w:t>Source:</w:t>
            </w:r>
            <w:r w:rsidR="00DD1E1B">
              <w:tab/>
            </w:r>
            <w:r>
              <w:t>ABS Cat. No. 6291; Unpublished ABS data for age 65-69 and 70+; Authors’ estimates.</w:t>
            </w:r>
          </w:p>
        </w:tc>
      </w:tr>
    </w:tbl>
    <w:p w14:paraId="13D9F38A" w14:textId="77777777" w:rsidR="00C1020E" w:rsidRDefault="00C1020E" w:rsidP="005D3BA7"/>
    <w:p w14:paraId="6E321386" w14:textId="49621013" w:rsidR="005D3BA7" w:rsidRPr="00BE759E" w:rsidRDefault="009C0EA5" w:rsidP="005D3BA7">
      <w:r>
        <w:t xml:space="preserve">The aggregate </w:t>
      </w:r>
      <w:r w:rsidR="005D3BA7">
        <w:t xml:space="preserve">trend participation rate </w:t>
      </w:r>
      <w:r>
        <w:t>is projected to fall</w:t>
      </w:r>
      <w:r w:rsidR="005D3BA7">
        <w:t xml:space="preserve"> by over 3 percentage points </w:t>
      </w:r>
      <w:r w:rsidR="00D7585C">
        <w:t xml:space="preserve">from </w:t>
      </w:r>
      <w:r w:rsidR="008A47AC">
        <w:t xml:space="preserve">2020 </w:t>
      </w:r>
      <w:r w:rsidR="00D7585C">
        <w:t xml:space="preserve">to </w:t>
      </w:r>
      <w:r w:rsidR="005D3BA7">
        <w:t>206</w:t>
      </w:r>
      <w:r w:rsidR="00892936">
        <w:t>0</w:t>
      </w:r>
      <w:r w:rsidR="00D7585C">
        <w:t xml:space="preserve"> </w:t>
      </w:r>
      <w:r w:rsidR="008612D5">
        <w:t xml:space="preserve">(Chart </w:t>
      </w:r>
      <w:r w:rsidR="004E5770">
        <w:t>18</w:t>
      </w:r>
      <w:r w:rsidR="005D3BA7">
        <w:t xml:space="preserve">). </w:t>
      </w:r>
      <w:r w:rsidR="00896966">
        <w:t xml:space="preserve">The fall in participation is </w:t>
      </w:r>
      <w:r w:rsidR="00D7585C">
        <w:t xml:space="preserve">largely </w:t>
      </w:r>
      <w:r w:rsidR="00896966">
        <w:t xml:space="preserve">driven by the ageing of the population, with older </w:t>
      </w:r>
      <w:r w:rsidR="00C669E0">
        <w:t xml:space="preserve">workers </w:t>
      </w:r>
      <w:r w:rsidR="00896966">
        <w:t xml:space="preserve">participating at lower levels overall </w:t>
      </w:r>
      <w:proofErr w:type="gramStart"/>
      <w:r w:rsidR="00896966">
        <w:t>and also</w:t>
      </w:r>
      <w:proofErr w:type="gramEnd"/>
      <w:r w:rsidR="00896966">
        <w:t xml:space="preserve"> more likely to participate part-time. The </w:t>
      </w:r>
      <w:r w:rsidR="00D7585C">
        <w:t xml:space="preserve">aggregate </w:t>
      </w:r>
      <w:r w:rsidR="00896966">
        <w:t xml:space="preserve">full-time </w:t>
      </w:r>
      <w:r w:rsidR="007237FC">
        <w:t xml:space="preserve">and part-time </w:t>
      </w:r>
      <w:r w:rsidR="00896966">
        <w:t>participation rate</w:t>
      </w:r>
      <w:r w:rsidR="007237FC">
        <w:t>s</w:t>
      </w:r>
      <w:r w:rsidR="00896966">
        <w:t xml:space="preserve"> </w:t>
      </w:r>
      <w:r w:rsidR="007237FC">
        <w:t xml:space="preserve">are </w:t>
      </w:r>
      <w:r w:rsidR="00896966">
        <w:t xml:space="preserve">projected to </w:t>
      </w:r>
      <w:r w:rsidR="007237FC">
        <w:t>decline by 2.</w:t>
      </w:r>
      <w:r w:rsidR="00373FC9">
        <w:t>7</w:t>
      </w:r>
      <w:r w:rsidR="007237FC">
        <w:t xml:space="preserve"> and 0.</w:t>
      </w:r>
      <w:r w:rsidR="00373FC9">
        <w:t>6</w:t>
      </w:r>
      <w:r w:rsidR="00A21287">
        <w:t> </w:t>
      </w:r>
      <w:r w:rsidR="007237FC">
        <w:t>percentage points, respectively,</w:t>
      </w:r>
      <w:r w:rsidR="00D7585C">
        <w:t xml:space="preserve"> from 2019 to 2060</w:t>
      </w:r>
      <w:r w:rsidR="007237FC">
        <w:t>.</w:t>
      </w:r>
    </w:p>
    <w:p w14:paraId="14B0DD2D" w14:textId="77777777" w:rsidR="00DD1E1B" w:rsidRDefault="006E240D" w:rsidP="00DD1E1B">
      <w:pPr>
        <w:pStyle w:val="ChartMainHeading"/>
      </w:pPr>
      <w:r w:rsidRPr="00861FB6">
        <w:rPr>
          <w:rStyle w:val="Caption1Char"/>
        </w:rPr>
        <w:t xml:space="preserve">Chart </w:t>
      </w:r>
      <w:r w:rsidR="0022412D">
        <w:rPr>
          <w:rStyle w:val="Caption1Char"/>
        </w:rPr>
        <w:t>1</w:t>
      </w:r>
      <w:r w:rsidR="00BE0591">
        <w:rPr>
          <w:rStyle w:val="Caption1Char"/>
        </w:rPr>
        <w:t>8</w:t>
      </w:r>
      <w:r w:rsidRPr="00861FB6">
        <w:rPr>
          <w:rStyle w:val="Caption1Char"/>
        </w:rPr>
        <w:t>: Total labour force participation rate projections</w:t>
      </w:r>
    </w:p>
    <w:p w14:paraId="08636BC9" w14:textId="285DEC71" w:rsidR="005D3BA7" w:rsidRDefault="00680648" w:rsidP="00A62AF7">
      <w:pPr>
        <w:pStyle w:val="ChartGraphic"/>
        <w:jc w:val="center"/>
      </w:pPr>
      <w:r w:rsidRPr="00680648">
        <w:rPr>
          <w:noProof/>
        </w:rPr>
        <w:drawing>
          <wp:inline distT="0" distB="0" distL="0" distR="0" wp14:anchorId="4B091F64" wp14:editId="1F33FC2C">
            <wp:extent cx="5614035" cy="3966210"/>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14035" cy="3966210"/>
                    </a:xfrm>
                    <a:prstGeom prst="rect">
                      <a:avLst/>
                    </a:prstGeom>
                    <a:noFill/>
                    <a:ln>
                      <a:noFill/>
                    </a:ln>
                  </pic:spPr>
                </pic:pic>
              </a:graphicData>
            </a:graphic>
          </wp:inline>
        </w:drawing>
      </w:r>
    </w:p>
    <w:p w14:paraId="0ECDC5DE" w14:textId="22AD1E67" w:rsidR="006D4ADA" w:rsidRPr="006D4ADA" w:rsidRDefault="006D4ADA" w:rsidP="00321D08">
      <w:pPr>
        <w:pStyle w:val="Source"/>
        <w:spacing w:before="120"/>
        <w:rPr>
          <w:lang w:val="en-US"/>
        </w:rPr>
      </w:pPr>
      <w:r>
        <w:rPr>
          <w:lang w:val="en-US"/>
        </w:rPr>
        <w:t>Source:</w:t>
      </w:r>
      <w:r w:rsidR="00DD1E1B">
        <w:rPr>
          <w:lang w:val="en-US"/>
        </w:rPr>
        <w:tab/>
      </w:r>
      <w:r>
        <w:rPr>
          <w:lang w:val="en-US"/>
        </w:rPr>
        <w:t>ABS Cat. No. 6202; Authors’ estimates.</w:t>
      </w:r>
    </w:p>
    <w:p w14:paraId="6CA0A123" w14:textId="77777777" w:rsidR="00DD1E1B" w:rsidRDefault="00DD1E1B" w:rsidP="005D3BA7"/>
    <w:p w14:paraId="267A5E57" w14:textId="395C5615" w:rsidR="00087F69" w:rsidRDefault="00087F69" w:rsidP="005D3BA7">
      <w:r>
        <w:t xml:space="preserve">The </w:t>
      </w:r>
      <w:r w:rsidR="00173C48">
        <w:t xml:space="preserve">total </w:t>
      </w:r>
      <w:r>
        <w:t xml:space="preserve">male trend participation rate is projected to continue to </w:t>
      </w:r>
      <w:r w:rsidR="00D7585C">
        <w:t>decline</w:t>
      </w:r>
      <w:r>
        <w:t xml:space="preserve"> over coming decades</w:t>
      </w:r>
      <w:r w:rsidR="004E5770">
        <w:t xml:space="preserve"> (Chart 19</w:t>
      </w:r>
      <w:r w:rsidR="00E15E2F">
        <w:t>)</w:t>
      </w:r>
      <w:r>
        <w:t xml:space="preserve">. The ageing of the population is </w:t>
      </w:r>
      <w:r w:rsidR="00E15E2F">
        <w:t>resulting in a</w:t>
      </w:r>
      <w:r w:rsidR="00D7585C">
        <w:t>n</w:t>
      </w:r>
      <w:r w:rsidR="00E15E2F">
        <w:t xml:space="preserve"> </w:t>
      </w:r>
      <w:r w:rsidR="00D7585C">
        <w:t>ongoing decline</w:t>
      </w:r>
      <w:r w:rsidR="00E15E2F">
        <w:t xml:space="preserve"> in</w:t>
      </w:r>
      <w:r>
        <w:t xml:space="preserve"> </w:t>
      </w:r>
      <w:r w:rsidR="00D7585C">
        <w:t xml:space="preserve">male </w:t>
      </w:r>
      <w:r>
        <w:t>full-time participation</w:t>
      </w:r>
      <w:r w:rsidR="00E15E2F">
        <w:t xml:space="preserve">, while </w:t>
      </w:r>
      <w:r w:rsidR="00D7585C">
        <w:t xml:space="preserve">male </w:t>
      </w:r>
      <w:r w:rsidR="00E15E2F">
        <w:t>part-time participation is projected to be</w:t>
      </w:r>
      <w:r w:rsidR="008612D5">
        <w:t xml:space="preserve"> broadly</w:t>
      </w:r>
      <w:r w:rsidR="00E15E2F">
        <w:t xml:space="preserve"> unchanged </w:t>
      </w:r>
      <w:r w:rsidR="00D7585C">
        <w:t>from</w:t>
      </w:r>
      <w:r w:rsidR="00A21287">
        <w:br/>
      </w:r>
      <w:r w:rsidR="00D7585C">
        <w:t>2019 to</w:t>
      </w:r>
      <w:r w:rsidR="00E15E2F">
        <w:t xml:space="preserve"> 2060.</w:t>
      </w:r>
      <w:r>
        <w:t xml:space="preserve"> </w:t>
      </w:r>
    </w:p>
    <w:p w14:paraId="5550D186" w14:textId="2DE8A03A" w:rsidR="00896966" w:rsidRDefault="005D3BA7" w:rsidP="005D3BA7">
      <w:r w:rsidRPr="00BE759E">
        <w:t>For females</w:t>
      </w:r>
      <w:r>
        <w:t>,</w:t>
      </w:r>
      <w:r w:rsidRPr="00BE759E">
        <w:t xml:space="preserve"> the </w:t>
      </w:r>
      <w:r>
        <w:t xml:space="preserve">framework </w:t>
      </w:r>
      <w:r w:rsidRPr="00BE759E">
        <w:t>suggests that</w:t>
      </w:r>
      <w:r>
        <w:t xml:space="preserve"> trend </w:t>
      </w:r>
      <w:r w:rsidRPr="00BE759E">
        <w:t xml:space="preserve">participation rates will </w:t>
      </w:r>
      <w:r>
        <w:t>increase marginally</w:t>
      </w:r>
      <w:r w:rsidRPr="00BE759E">
        <w:t xml:space="preserve"> </w:t>
      </w:r>
      <w:r w:rsidR="00173C48">
        <w:t>in the short run</w:t>
      </w:r>
      <w:r w:rsidR="00B10AD4">
        <w:t>. This reflects pass through</w:t>
      </w:r>
      <w:r w:rsidR="00B10AD4" w:rsidRPr="00BE759E">
        <w:t xml:space="preserve"> </w:t>
      </w:r>
      <w:r w:rsidR="00B10AD4">
        <w:t xml:space="preserve">of </w:t>
      </w:r>
      <w:r w:rsidRPr="00BE759E">
        <w:t>past cohort eff</w:t>
      </w:r>
      <w:r w:rsidR="00A82FE6">
        <w:t>ects</w:t>
      </w:r>
      <w:r w:rsidR="00173C48">
        <w:t>. In the medium to long run female participation rates are expected to</w:t>
      </w:r>
      <w:r w:rsidR="00A82FE6">
        <w:t xml:space="preserve"> decline due to the ageing of the population (Chart </w:t>
      </w:r>
      <w:r w:rsidR="004E5770">
        <w:t>20</w:t>
      </w:r>
      <w:r>
        <w:t xml:space="preserve">). </w:t>
      </w:r>
      <w:r w:rsidR="00173C48">
        <w:t>From 2019 to 2060</w:t>
      </w:r>
      <w:r>
        <w:t xml:space="preserve"> </w:t>
      </w:r>
      <w:r w:rsidR="00A82FE6">
        <w:t xml:space="preserve">the </w:t>
      </w:r>
      <w:r>
        <w:t xml:space="preserve">female trend participation </w:t>
      </w:r>
      <w:r w:rsidR="00A82FE6">
        <w:t xml:space="preserve">rate </w:t>
      </w:r>
      <w:r>
        <w:t xml:space="preserve">is projected </w:t>
      </w:r>
      <w:r w:rsidR="00EA47A1">
        <w:t xml:space="preserve">to </w:t>
      </w:r>
      <w:r w:rsidR="00173C48">
        <w:t>decrease</w:t>
      </w:r>
      <w:r>
        <w:t xml:space="preserve"> by around</w:t>
      </w:r>
      <w:r w:rsidR="00A21287">
        <w:br/>
      </w:r>
      <w:r>
        <w:t>2.</w:t>
      </w:r>
      <w:r w:rsidR="0023519F">
        <w:t>5</w:t>
      </w:r>
      <w:r w:rsidR="0033596F">
        <w:t xml:space="preserve"> percentage points</w:t>
      </w:r>
      <w:r w:rsidR="00A82FE6">
        <w:t>.</w:t>
      </w:r>
      <w:r w:rsidR="00BC2268">
        <w:t xml:space="preserve"> </w:t>
      </w:r>
      <w:r w:rsidR="00173C48">
        <w:t>T</w:t>
      </w:r>
      <w:r w:rsidR="00667CD0">
        <w:t xml:space="preserve">he ageing of the population is projected to result </w:t>
      </w:r>
      <w:r w:rsidR="00453712">
        <w:t xml:space="preserve">in </w:t>
      </w:r>
      <w:r w:rsidR="00173C48">
        <w:t xml:space="preserve">female </w:t>
      </w:r>
      <w:r w:rsidR="00667CD0">
        <w:t>full-time and part-time participation decreasing by 1 and 1.</w:t>
      </w:r>
      <w:r w:rsidR="00664C06">
        <w:t>5</w:t>
      </w:r>
      <w:r w:rsidR="00667CD0">
        <w:t xml:space="preserve"> percentage points respectively</w:t>
      </w:r>
      <w:r w:rsidR="00173C48">
        <w:t xml:space="preserve"> from 2019 to 2060</w:t>
      </w:r>
      <w:r w:rsidR="00667CD0">
        <w:t xml:space="preserve">. </w:t>
      </w:r>
      <w:r w:rsidR="00ED3B38">
        <w:t>Because female full-time and part-time participation are both relatively low at older ages, they are both projected to fall as the population 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C75161" w14:paraId="34764F37" w14:textId="77777777" w:rsidTr="00C56BD8">
        <w:tc>
          <w:tcPr>
            <w:tcW w:w="4649" w:type="dxa"/>
          </w:tcPr>
          <w:p w14:paraId="6B88EF94" w14:textId="3F25C9E0" w:rsidR="00BD75D2" w:rsidRPr="00084A21" w:rsidRDefault="00BD75D2" w:rsidP="00783AEE">
            <w:pPr>
              <w:pStyle w:val="ChartMainHeading"/>
            </w:pPr>
            <w:r w:rsidRPr="0064573B">
              <w:lastRenderedPageBreak/>
              <w:t>C</w:t>
            </w:r>
            <w:r w:rsidR="00087F69">
              <w:t xml:space="preserve">hart </w:t>
            </w:r>
            <w:r w:rsidR="00BE0591">
              <w:t>19</w:t>
            </w:r>
            <w:r w:rsidRPr="0064573B">
              <w:t xml:space="preserve">: </w:t>
            </w:r>
            <w:r w:rsidR="00896966">
              <w:t>Male</w:t>
            </w:r>
            <w:r w:rsidRPr="0064573B">
              <w:t xml:space="preserve"> labour force participation rate projections</w:t>
            </w:r>
          </w:p>
          <w:p w14:paraId="5BCB1E4F" w14:textId="7E82D23C" w:rsidR="00BD75D2" w:rsidRDefault="00BB52F0" w:rsidP="00783AEE">
            <w:pPr>
              <w:pStyle w:val="ChartGraphic"/>
            </w:pPr>
            <w:r w:rsidRPr="00BB52F0">
              <w:rPr>
                <w:noProof/>
              </w:rPr>
              <w:drawing>
                <wp:inline distT="0" distB="0" distL="0" distR="0" wp14:anchorId="59CC377C" wp14:editId="65621314">
                  <wp:extent cx="2785745" cy="2774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85745" cy="2774950"/>
                          </a:xfrm>
                          <a:prstGeom prst="rect">
                            <a:avLst/>
                          </a:prstGeom>
                          <a:noFill/>
                          <a:ln>
                            <a:noFill/>
                          </a:ln>
                        </pic:spPr>
                      </pic:pic>
                    </a:graphicData>
                  </a:graphic>
                </wp:inline>
              </w:drawing>
            </w:r>
          </w:p>
        </w:tc>
        <w:tc>
          <w:tcPr>
            <w:tcW w:w="4649" w:type="dxa"/>
          </w:tcPr>
          <w:p w14:paraId="7B2446AA" w14:textId="77777777" w:rsidR="00783AEE" w:rsidRDefault="00BD75D2" w:rsidP="00783AEE">
            <w:pPr>
              <w:pStyle w:val="ChartMainHeading"/>
            </w:pPr>
            <w:r w:rsidRPr="00D81EA7">
              <w:t xml:space="preserve">Chart </w:t>
            </w:r>
            <w:r w:rsidR="00BE0591" w:rsidRPr="00D81EA7">
              <w:t>20</w:t>
            </w:r>
            <w:r w:rsidRPr="00D81EA7">
              <w:t>: Female labour force participation rate projections</w:t>
            </w:r>
          </w:p>
          <w:p w14:paraId="1A56B124" w14:textId="789534E7" w:rsidR="00BD75D2" w:rsidRDefault="00BB52F0" w:rsidP="00783AEE">
            <w:pPr>
              <w:pStyle w:val="ChartGraphic"/>
            </w:pPr>
            <w:r w:rsidRPr="00BB52F0">
              <w:rPr>
                <w:noProof/>
              </w:rPr>
              <w:drawing>
                <wp:inline distT="0" distB="0" distL="0" distR="0" wp14:anchorId="3CFF28E2" wp14:editId="728878F5">
                  <wp:extent cx="2785745" cy="27749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85745" cy="2774950"/>
                          </a:xfrm>
                          <a:prstGeom prst="rect">
                            <a:avLst/>
                          </a:prstGeom>
                          <a:noFill/>
                          <a:ln>
                            <a:noFill/>
                          </a:ln>
                        </pic:spPr>
                      </pic:pic>
                    </a:graphicData>
                  </a:graphic>
                </wp:inline>
              </w:drawing>
            </w:r>
          </w:p>
        </w:tc>
      </w:tr>
      <w:tr w:rsidR="00C56BD8" w14:paraId="6B5C58CA" w14:textId="77777777" w:rsidTr="009A6DFD">
        <w:tc>
          <w:tcPr>
            <w:tcW w:w="9298" w:type="dxa"/>
            <w:gridSpan w:val="2"/>
          </w:tcPr>
          <w:p w14:paraId="0B698D3F" w14:textId="192965AE" w:rsidR="00C56BD8" w:rsidRPr="00D81EA7" w:rsidRDefault="00C56BD8" w:rsidP="00321D08">
            <w:pPr>
              <w:pStyle w:val="Source"/>
              <w:spacing w:before="120"/>
              <w:rPr>
                <w:color w:val="003157"/>
                <w:sz w:val="24"/>
                <w:szCs w:val="24"/>
              </w:rPr>
            </w:pPr>
            <w:r>
              <w:rPr>
                <w:lang w:val="en-US"/>
              </w:rPr>
              <w:t>Source:</w:t>
            </w:r>
            <w:r w:rsidR="00783AEE">
              <w:rPr>
                <w:lang w:val="en-US"/>
              </w:rPr>
              <w:tab/>
            </w:r>
            <w:r>
              <w:rPr>
                <w:lang w:val="en-US"/>
              </w:rPr>
              <w:t>ABS Cat. No. 6202; Authors’ estimates.</w:t>
            </w:r>
          </w:p>
        </w:tc>
      </w:tr>
    </w:tbl>
    <w:p w14:paraId="536CE675" w14:textId="77777777" w:rsidR="00467172" w:rsidRPr="00467172" w:rsidRDefault="00467172" w:rsidP="00467172"/>
    <w:p w14:paraId="7BB886B3" w14:textId="77777777" w:rsidR="00467172" w:rsidRPr="00467172" w:rsidRDefault="00467172" w:rsidP="00467172">
      <w:r w:rsidRPr="00467172">
        <w:br w:type="page"/>
      </w:r>
    </w:p>
    <w:p w14:paraId="6CB40AAE" w14:textId="13D20939" w:rsidR="00F012EA" w:rsidRPr="00003E26" w:rsidRDefault="006D177D" w:rsidP="00422BA9">
      <w:pPr>
        <w:pStyle w:val="Heading1-Numbered"/>
      </w:pPr>
      <w:bookmarkStart w:id="20" w:name="_Toc70507628"/>
      <w:r w:rsidRPr="00003E26">
        <w:lastRenderedPageBreak/>
        <w:t>C</w:t>
      </w:r>
      <w:r w:rsidR="008E23FA" w:rsidRPr="004503CE">
        <w:t>o</w:t>
      </w:r>
      <w:r w:rsidRPr="00003E26">
        <w:t>nclusion</w:t>
      </w:r>
      <w:bookmarkEnd w:id="20"/>
    </w:p>
    <w:p w14:paraId="65275F67" w14:textId="3A478B45" w:rsidR="0050627F" w:rsidRDefault="00D02A9E" w:rsidP="008627B1">
      <w:r>
        <w:t xml:space="preserve">In this paper we have shown that trends in participation rates over recent decades can be explained by a model with </w:t>
      </w:r>
      <w:r w:rsidR="00B10AD4">
        <w:t xml:space="preserve">identified </w:t>
      </w:r>
      <w:r>
        <w:t xml:space="preserve">age and cohort effects, and a limited number of other covariates. </w:t>
      </w:r>
      <w:r w:rsidR="002D3F24">
        <w:t xml:space="preserve">The estimated cohort effects suggest </w:t>
      </w:r>
      <w:r w:rsidR="004414E1">
        <w:t>that differences in the propensity</w:t>
      </w:r>
      <w:r w:rsidR="002D3F24">
        <w:t xml:space="preserve"> to participate between generations are </w:t>
      </w:r>
      <w:r w:rsidR="00C56BD8">
        <w:t xml:space="preserve">useful for </w:t>
      </w:r>
      <w:r w:rsidR="002D3F24">
        <w:t xml:space="preserve">understanding long-term trends in labour force participation rates. </w:t>
      </w:r>
    </w:p>
    <w:p w14:paraId="687D5D47" w14:textId="44F7150E" w:rsidR="000A4A0D" w:rsidRDefault="00C42DE6" w:rsidP="008627B1">
      <w:r>
        <w:t xml:space="preserve">The estimated age and cohort effects point to </w:t>
      </w:r>
      <w:r w:rsidR="00C1020E">
        <w:t>several</w:t>
      </w:r>
      <w:r>
        <w:t xml:space="preserve"> important observations. For both young females and males there has been a significant shift from </w:t>
      </w:r>
      <w:r w:rsidR="00FD0347">
        <w:t xml:space="preserve">full-time to part-time participation over several decades. However, the most recent cohort effects suggest that full-time and part-time participation rates at younger ages might be stabilising. </w:t>
      </w:r>
      <w:r>
        <w:t>For males of prime working-age there has been a shift from full-time to part-time participation</w:t>
      </w:r>
      <w:r w:rsidR="00FD0347">
        <w:t xml:space="preserve"> and this has continued for the most recent cohorts. This can be expected to flow through to younger cohorts’ participation at later stages of their prime working-age. For prime-working</w:t>
      </w:r>
      <w:r w:rsidR="00F83D04">
        <w:t xml:space="preserve"> females, there has been an increase in both part-time and full-time participation, but the estimated cohort effects suggest that part-time participation has stabilised while full-time participation has continued to increase for recent cohorts.</w:t>
      </w:r>
      <w:r w:rsidR="004229FE">
        <w:t xml:space="preserve"> The cohort effects also capture the increase in full-time and part-time participation rates at ages 65 and over for males and females. While this has continued for the most recent cohorts, there is an open question to what extent this is due to changes to age pension and superannuation policy or whether it is reflecting a broader set of developments such as increased life expectancy and structural changes in the economy.</w:t>
      </w:r>
    </w:p>
    <w:p w14:paraId="700903D3" w14:textId="2D8288B0" w:rsidR="0050627F" w:rsidRDefault="0050627F" w:rsidP="008627B1">
      <w:r>
        <w:t>The</w:t>
      </w:r>
      <w:r w:rsidR="00C65A46">
        <w:t>se</w:t>
      </w:r>
      <w:r>
        <w:t xml:space="preserve"> estimated differences between birth</w:t>
      </w:r>
      <w:r w:rsidR="008B3A54">
        <w:t xml:space="preserve"> cohort</w:t>
      </w:r>
      <w:r>
        <w:t>s</w:t>
      </w:r>
      <w:r w:rsidR="008B3A54">
        <w:t xml:space="preserve"> </w:t>
      </w:r>
      <w:r w:rsidR="00F82F58">
        <w:t>are</w:t>
      </w:r>
      <w:r w:rsidR="008B3A54">
        <w:t xml:space="preserve"> </w:t>
      </w:r>
      <w:r w:rsidR="00F82F58">
        <w:t xml:space="preserve">expected </w:t>
      </w:r>
      <w:r w:rsidR="008B3A54">
        <w:t>to flow through the age structure for many decades to come</w:t>
      </w:r>
      <w:r>
        <w:t xml:space="preserve"> and</w:t>
      </w:r>
      <w:r w:rsidR="008B3A54">
        <w:t xml:space="preserve"> result in </w:t>
      </w:r>
      <w:r w:rsidR="00364A79">
        <w:t>a continuation of</w:t>
      </w:r>
      <w:r>
        <w:t xml:space="preserve"> many of</w:t>
      </w:r>
      <w:r w:rsidR="00364A79">
        <w:t xml:space="preserve"> the trends observed over the past 40 </w:t>
      </w:r>
      <w:r w:rsidR="00364A79" w:rsidRPr="00E40C82">
        <w:t>years.</w:t>
      </w:r>
      <w:r>
        <w:t xml:space="preserve"> However, the positive effect of these trends on aggregate participation rates are more than offset by the ageing of the population.</w:t>
      </w:r>
    </w:p>
    <w:p w14:paraId="4C817EB9" w14:textId="75801CC9" w:rsidR="00EA47A1" w:rsidRDefault="00E40C82" w:rsidP="008627B1">
      <w:r w:rsidRPr="007E1D64">
        <w:t>This paper represents a first attempt at using this type of</w:t>
      </w:r>
      <w:r w:rsidR="000F75FF">
        <w:t xml:space="preserve"> empirical</w:t>
      </w:r>
      <w:r w:rsidRPr="007E1D64">
        <w:t xml:space="preserve"> </w:t>
      </w:r>
      <w:r w:rsidR="000F75FF">
        <w:t>life</w:t>
      </w:r>
      <w:r w:rsidR="00BE195B">
        <w:t>-</w:t>
      </w:r>
      <w:r w:rsidR="000F75FF">
        <w:t xml:space="preserve">cycle </w:t>
      </w:r>
      <w:r w:rsidRPr="007E1D64">
        <w:t>framework for producing longer-term projections of participation rates in Australia.</w:t>
      </w:r>
      <w:r>
        <w:t xml:space="preserve"> As such, we expect the framework to continue to be developed and improved. </w:t>
      </w:r>
      <w:r w:rsidR="00217510">
        <w:t xml:space="preserve">Adding </w:t>
      </w:r>
      <w:r w:rsidR="00E92028">
        <w:t>additional covariates in the model (subject to available data)</w:t>
      </w:r>
      <w:r w:rsidR="00C56BD8">
        <w:t xml:space="preserve"> c</w:t>
      </w:r>
      <w:r w:rsidR="005D4B2E">
        <w:t>ould be a particularly useful extension</w:t>
      </w:r>
      <w:r w:rsidR="00C1020E">
        <w:t>, with p</w:t>
      </w:r>
      <w:r w:rsidR="002C1C73">
        <w:t xml:space="preserve">ossible </w:t>
      </w:r>
      <w:r w:rsidR="00C1020E">
        <w:t>additions</w:t>
      </w:r>
      <w:r w:rsidR="002C1C73">
        <w:t xml:space="preserve"> includ</w:t>
      </w:r>
      <w:r w:rsidR="00C1020E">
        <w:t>ing</w:t>
      </w:r>
      <w:r w:rsidR="002C1C73">
        <w:t xml:space="preserve"> a richer set of </w:t>
      </w:r>
      <w:r w:rsidR="00E92028">
        <w:t>variables related to educational attainment, retirement incomes</w:t>
      </w:r>
      <w:r w:rsidR="002C1C73">
        <w:t>,</w:t>
      </w:r>
      <w:r w:rsidR="00E92028">
        <w:t xml:space="preserve"> and the cost and availability of </w:t>
      </w:r>
      <w:r w:rsidR="005E3FC5">
        <w:t>childcare</w:t>
      </w:r>
      <w:r w:rsidR="00E92028">
        <w:t xml:space="preserve"> services. </w:t>
      </w:r>
    </w:p>
    <w:p w14:paraId="7AF3CAB7" w14:textId="77777777" w:rsidR="001A4275" w:rsidRPr="00124A74" w:rsidRDefault="001A4275" w:rsidP="00124A74"/>
    <w:p w14:paraId="41A1383E" w14:textId="77777777" w:rsidR="00124A74" w:rsidRPr="00124A74" w:rsidRDefault="00124A74" w:rsidP="00124A74">
      <w:r w:rsidRPr="00124A74">
        <w:br w:type="page"/>
      </w:r>
    </w:p>
    <w:p w14:paraId="0C913301" w14:textId="3EBF07F6" w:rsidR="00F012EA" w:rsidRPr="00783AEE" w:rsidRDefault="00783AEE" w:rsidP="00783AEE">
      <w:pPr>
        <w:pStyle w:val="Heading2NotNumbered"/>
      </w:pPr>
      <w:bookmarkStart w:id="21" w:name="_Toc70507629"/>
      <w:r w:rsidRPr="00783AEE">
        <w:lastRenderedPageBreak/>
        <w:t>References</w:t>
      </w:r>
      <w:bookmarkEnd w:id="21"/>
    </w:p>
    <w:p w14:paraId="2E9C72E7" w14:textId="77777777" w:rsidR="001524C8" w:rsidRPr="0051258B" w:rsidRDefault="001524C8" w:rsidP="001524C8">
      <w:r w:rsidRPr="0051258B">
        <w:t>Aaronson</w:t>
      </w:r>
      <w:r>
        <w:t xml:space="preserve">, S. </w:t>
      </w:r>
      <w:r w:rsidRPr="0051258B">
        <w:t>Bruce</w:t>
      </w:r>
      <w:r>
        <w:t>, F.</w:t>
      </w:r>
      <w:r w:rsidRPr="0051258B">
        <w:t xml:space="preserve"> </w:t>
      </w:r>
      <w:proofErr w:type="spellStart"/>
      <w:r w:rsidRPr="0051258B">
        <w:t>Figura</w:t>
      </w:r>
      <w:proofErr w:type="spellEnd"/>
      <w:r>
        <w:t>, A.</w:t>
      </w:r>
      <w:r w:rsidRPr="0051258B">
        <w:t xml:space="preserve"> </w:t>
      </w:r>
      <w:proofErr w:type="spellStart"/>
      <w:r w:rsidRPr="0051258B">
        <w:t>Pingle</w:t>
      </w:r>
      <w:proofErr w:type="spellEnd"/>
      <w:r>
        <w:t xml:space="preserve">, J. F. </w:t>
      </w:r>
      <w:r w:rsidRPr="0051258B">
        <w:t xml:space="preserve">and </w:t>
      </w:r>
      <w:proofErr w:type="spellStart"/>
      <w:r w:rsidRPr="0051258B">
        <w:t>Wascher</w:t>
      </w:r>
      <w:proofErr w:type="spellEnd"/>
      <w:r>
        <w:t>, W. L.</w:t>
      </w:r>
      <w:r w:rsidRPr="0051258B">
        <w:t xml:space="preserve"> 2006</w:t>
      </w:r>
      <w:r>
        <w:t>.</w:t>
      </w:r>
      <w:r w:rsidRPr="0051258B">
        <w:t xml:space="preserve"> </w:t>
      </w:r>
      <w:r w:rsidRPr="009A1AF2">
        <w:rPr>
          <w:i/>
        </w:rPr>
        <w:t xml:space="preserve">The recent decline in the </w:t>
      </w:r>
      <w:proofErr w:type="spellStart"/>
      <w:r w:rsidRPr="009A1AF2">
        <w:rPr>
          <w:i/>
        </w:rPr>
        <w:t>labor</w:t>
      </w:r>
      <w:proofErr w:type="spellEnd"/>
      <w:r w:rsidRPr="009A1AF2">
        <w:rPr>
          <w:i/>
        </w:rPr>
        <w:t xml:space="preserve"> force participation rate and its implications for potential </w:t>
      </w:r>
      <w:proofErr w:type="spellStart"/>
      <w:r w:rsidRPr="009A1AF2">
        <w:rPr>
          <w:i/>
        </w:rPr>
        <w:t>labor</w:t>
      </w:r>
      <w:proofErr w:type="spellEnd"/>
      <w:r w:rsidRPr="009A1AF2">
        <w:rPr>
          <w:i/>
        </w:rPr>
        <w:t xml:space="preserve"> supply</w:t>
      </w:r>
      <w:r>
        <w:t>,</w:t>
      </w:r>
      <w:r w:rsidRPr="0051258B">
        <w:t xml:space="preserve"> Brookings Papers on Eco</w:t>
      </w:r>
      <w:r>
        <w:t>nomic Activity 2006 (1): 69-154, Brookings Institution.</w:t>
      </w:r>
    </w:p>
    <w:p w14:paraId="3A9DB6C8" w14:textId="27B965F8" w:rsidR="001524C8" w:rsidRDefault="001524C8" w:rsidP="001524C8">
      <w:proofErr w:type="spellStart"/>
      <w:r w:rsidRPr="0046653F">
        <w:t>Atalay</w:t>
      </w:r>
      <w:proofErr w:type="spellEnd"/>
      <w:r w:rsidR="0046653F" w:rsidRPr="0046653F">
        <w:t xml:space="preserve">, K. and Barret, G. </w:t>
      </w:r>
      <w:r w:rsidRPr="0046653F">
        <w:t>2015</w:t>
      </w:r>
      <w:r w:rsidR="0046653F" w:rsidRPr="0046653F">
        <w:t xml:space="preserve">, </w:t>
      </w:r>
      <w:r w:rsidR="0046653F" w:rsidRPr="0046653F">
        <w:rPr>
          <w:i/>
          <w:iCs/>
        </w:rPr>
        <w:t>The impact of age pension eligibility age on retirement and program dependence: evidence from an Australian experiment</w:t>
      </w:r>
      <w:r w:rsidR="0046653F" w:rsidRPr="0046653F">
        <w:t>, The Review of Economics and Statistics, 97, pp. 71-87</w:t>
      </w:r>
      <w:r w:rsidR="00783AEE">
        <w:t>.</w:t>
      </w:r>
    </w:p>
    <w:p w14:paraId="28478E06" w14:textId="22335E67" w:rsidR="0031172A" w:rsidRPr="005B32A3" w:rsidRDefault="0031172A" w:rsidP="009A1AF2">
      <w:r w:rsidRPr="005B32A3">
        <w:t>Australian Bureau of Statistics 20</w:t>
      </w:r>
      <w:r w:rsidR="00556149" w:rsidRPr="002E7328">
        <w:t>20a</w:t>
      </w:r>
      <w:r w:rsidRPr="005B32A3">
        <w:t xml:space="preserve">, </w:t>
      </w:r>
      <w:r w:rsidRPr="002E7328">
        <w:rPr>
          <w:i/>
          <w:iCs/>
        </w:rPr>
        <w:t>Births, Australia, 201</w:t>
      </w:r>
      <w:r w:rsidR="00556149" w:rsidRPr="002E7328">
        <w:rPr>
          <w:i/>
          <w:iCs/>
        </w:rPr>
        <w:t>9</w:t>
      </w:r>
      <w:r w:rsidRPr="005B32A3">
        <w:t xml:space="preserve">, Cat. No. 3301.0, </w:t>
      </w:r>
      <w:proofErr w:type="spellStart"/>
      <w:r w:rsidRPr="005B32A3">
        <w:t>AusInfo</w:t>
      </w:r>
      <w:proofErr w:type="spellEnd"/>
      <w:r w:rsidRPr="005B32A3">
        <w:t>, Canberra.</w:t>
      </w:r>
    </w:p>
    <w:p w14:paraId="157CF1B5" w14:textId="3B680FCF" w:rsidR="00556149" w:rsidRPr="005B32A3" w:rsidRDefault="00556149" w:rsidP="00556149">
      <w:r w:rsidRPr="002E7328">
        <w:t xml:space="preserve">Australian Bureau of Statistics 2020b, </w:t>
      </w:r>
      <w:r w:rsidRPr="005B32A3">
        <w:rPr>
          <w:i/>
          <w:iCs/>
        </w:rPr>
        <w:t>Labour Force, Australia, Detailed</w:t>
      </w:r>
      <w:r w:rsidRPr="002E7328">
        <w:t xml:space="preserve">, Cat. No. </w:t>
      </w:r>
      <w:r w:rsidRPr="005B32A3">
        <w:t>6291.0.55.001</w:t>
      </w:r>
      <w:r w:rsidRPr="002E7328">
        <w:t xml:space="preserve">, </w:t>
      </w:r>
      <w:proofErr w:type="spellStart"/>
      <w:r w:rsidRPr="002E7328">
        <w:t>AusInfo</w:t>
      </w:r>
      <w:proofErr w:type="spellEnd"/>
      <w:r w:rsidRPr="002E7328">
        <w:t>, Canberra.</w:t>
      </w:r>
    </w:p>
    <w:p w14:paraId="25A2A529" w14:textId="542F1189" w:rsidR="00556149" w:rsidRPr="005B32A3" w:rsidRDefault="00556149" w:rsidP="00556149">
      <w:r w:rsidRPr="002E7328">
        <w:t xml:space="preserve">Australian Bureau of Statistics 2020c, </w:t>
      </w:r>
      <w:r w:rsidRPr="005B32A3">
        <w:rPr>
          <w:i/>
          <w:iCs/>
        </w:rPr>
        <w:t>Labour Force, Australia</w:t>
      </w:r>
      <w:r w:rsidRPr="002E7328">
        <w:t xml:space="preserve">, Cat. No. </w:t>
      </w:r>
      <w:r w:rsidRPr="005B32A3">
        <w:t>6202.0</w:t>
      </w:r>
      <w:r w:rsidRPr="002E7328">
        <w:t xml:space="preserve">, </w:t>
      </w:r>
      <w:proofErr w:type="spellStart"/>
      <w:r w:rsidRPr="002E7328">
        <w:t>AusInfo</w:t>
      </w:r>
      <w:proofErr w:type="spellEnd"/>
      <w:r w:rsidRPr="002E7328">
        <w:t>, Canberra.</w:t>
      </w:r>
      <w:r w:rsidRPr="005B32A3">
        <w:t> </w:t>
      </w:r>
    </w:p>
    <w:p w14:paraId="19DF545F" w14:textId="6DF491E0" w:rsidR="00B10273" w:rsidRDefault="00B10273" w:rsidP="00B10273">
      <w:r w:rsidRPr="002E7328">
        <w:t xml:space="preserve">Australian Bureau of Statistics 1986, </w:t>
      </w:r>
      <w:r w:rsidRPr="005B32A3">
        <w:rPr>
          <w:i/>
          <w:iCs/>
        </w:rPr>
        <w:t>Transition from Education to Work, Australia, May 1985</w:t>
      </w:r>
      <w:r w:rsidRPr="002E7328">
        <w:t>, Cat.</w:t>
      </w:r>
      <w:r w:rsidR="00AE534A">
        <w:t> </w:t>
      </w:r>
      <w:r w:rsidRPr="002E7328">
        <w:t xml:space="preserve">No. </w:t>
      </w:r>
      <w:r w:rsidRPr="005B32A3">
        <w:t>6227.0</w:t>
      </w:r>
      <w:r w:rsidRPr="002E7328">
        <w:t xml:space="preserve">, </w:t>
      </w:r>
      <w:proofErr w:type="spellStart"/>
      <w:r w:rsidRPr="002E7328">
        <w:t>AusInfo</w:t>
      </w:r>
      <w:proofErr w:type="spellEnd"/>
      <w:r w:rsidRPr="002E7328">
        <w:t>, Canberra.</w:t>
      </w:r>
      <w:r>
        <w:t> </w:t>
      </w:r>
    </w:p>
    <w:p w14:paraId="77CC6636" w14:textId="05AE5125" w:rsidR="00F012EA" w:rsidRDefault="00B07131" w:rsidP="008627B1">
      <w:r>
        <w:t>Australian Curriculum, Assessment and Reporting Authority.</w:t>
      </w:r>
      <w:r w:rsidR="00273555">
        <w:t xml:space="preserve"> </w:t>
      </w:r>
      <w:r w:rsidR="00AB57B9">
        <w:t>2011</w:t>
      </w:r>
      <w:r>
        <w:t>.</w:t>
      </w:r>
      <w:r w:rsidR="00AB57B9">
        <w:t xml:space="preserve"> </w:t>
      </w:r>
      <w:r w:rsidR="00273555" w:rsidRPr="009A1AF2">
        <w:rPr>
          <w:i/>
        </w:rPr>
        <w:t>National Report on Schooling in Australia 2011</w:t>
      </w:r>
      <w:r w:rsidR="00273555">
        <w:t xml:space="preserve">, </w:t>
      </w:r>
      <w:r>
        <w:t>ACARA, Sydney 2013</w:t>
      </w:r>
    </w:p>
    <w:p w14:paraId="0A092F3D" w14:textId="77777777" w:rsidR="00E82492" w:rsidRPr="002E26F9" w:rsidRDefault="00E82492" w:rsidP="00E82492">
      <w:r>
        <w:t xml:space="preserve">Borland, J. and </w:t>
      </w:r>
      <w:proofErr w:type="spellStart"/>
      <w:r>
        <w:t>Coelli</w:t>
      </w:r>
      <w:proofErr w:type="spellEnd"/>
      <w:r>
        <w:t xml:space="preserve">, M. 2020. </w:t>
      </w:r>
      <w:r w:rsidRPr="00487245">
        <w:rPr>
          <w:i/>
        </w:rPr>
        <w:t>Is it ‘dog days’ for the young in the Australian labour market?</w:t>
      </w:r>
    </w:p>
    <w:p w14:paraId="0B6B99F0" w14:textId="4BAE7538" w:rsidR="00EE7D66" w:rsidRDefault="00EE7D66" w:rsidP="008627B1">
      <w:r>
        <w:t>Centre for Population 2020.</w:t>
      </w:r>
      <w:r w:rsidRPr="005B32A3">
        <w:rPr>
          <w:i/>
          <w:iCs/>
        </w:rPr>
        <w:t xml:space="preserve"> Population Statement</w:t>
      </w:r>
      <w:r>
        <w:t>, The Australian Government, Canberra.</w:t>
      </w:r>
    </w:p>
    <w:p w14:paraId="52EE29A7" w14:textId="4C3E2BD4" w:rsidR="002E26F9" w:rsidRDefault="00487245" w:rsidP="008627B1">
      <w:r>
        <w:t xml:space="preserve">Commonwealth of Australia </w:t>
      </w:r>
      <w:r w:rsidR="002E26F9">
        <w:t>2015</w:t>
      </w:r>
      <w:r>
        <w:t>,</w:t>
      </w:r>
      <w:r w:rsidR="002E26F9" w:rsidRPr="009A1AF2">
        <w:rPr>
          <w:i/>
        </w:rPr>
        <w:t xml:space="preserve"> </w:t>
      </w:r>
      <w:r w:rsidRPr="002E7328">
        <w:rPr>
          <w:i/>
        </w:rPr>
        <w:t xml:space="preserve">2015 </w:t>
      </w:r>
      <w:r w:rsidR="002E26F9" w:rsidRPr="002E7328">
        <w:rPr>
          <w:i/>
        </w:rPr>
        <w:t>Intergenerational Report</w:t>
      </w:r>
      <w:r w:rsidR="002E26F9">
        <w:t>,</w:t>
      </w:r>
      <w:r>
        <w:t xml:space="preserve"> 5 March 2015 Canberra, </w:t>
      </w:r>
      <w:hyperlink r:id="rId54" w:history="1">
        <w:r>
          <w:rPr>
            <w:rStyle w:val="Hyperlink"/>
          </w:rPr>
          <w:t>https://treasury.gov.au/publication/2015-igr</w:t>
        </w:r>
      </w:hyperlink>
    </w:p>
    <w:p w14:paraId="37F770FA" w14:textId="6B513BA0" w:rsidR="00847E5B" w:rsidRPr="00D57FFA" w:rsidRDefault="00847E5B" w:rsidP="008627B1">
      <w:r w:rsidRPr="009A1AF2">
        <w:t>D</w:t>
      </w:r>
      <w:r w:rsidR="00D57FFA" w:rsidRPr="009A1AF2">
        <w:t>e</w:t>
      </w:r>
      <w:r w:rsidR="00D57FFA">
        <w:t>partment of Social Services</w:t>
      </w:r>
      <w:r w:rsidR="00D57FFA" w:rsidRPr="009A1AF2">
        <w:t xml:space="preserve"> </w:t>
      </w:r>
      <w:r w:rsidRPr="009A1AF2">
        <w:t>2018</w:t>
      </w:r>
      <w:r w:rsidR="00487245">
        <w:t xml:space="preserve">. </w:t>
      </w:r>
      <w:r w:rsidR="00487245">
        <w:rPr>
          <w:i/>
          <w:iCs/>
        </w:rPr>
        <w:t xml:space="preserve">Social Security Guide, </w:t>
      </w:r>
      <w:r w:rsidR="00433617" w:rsidRPr="00433617">
        <w:t>Accessed</w:t>
      </w:r>
      <w:r w:rsidR="00433617">
        <w:t xml:space="preserve"> on 11 March 2021,</w:t>
      </w:r>
      <w:r w:rsidRPr="009A1AF2">
        <w:t xml:space="preserve"> </w:t>
      </w:r>
      <w:hyperlink r:id="rId55" w:history="1">
        <w:r w:rsidRPr="009A1AF2">
          <w:rPr>
            <w:rStyle w:val="Hyperlink"/>
          </w:rPr>
          <w:t>http://guides.dss.gov.au/guide-social-security-law/3/4/1/10</w:t>
        </w:r>
      </w:hyperlink>
    </w:p>
    <w:p w14:paraId="02746539" w14:textId="402E7C44" w:rsidR="00847E5B" w:rsidRDefault="00847E5B" w:rsidP="008627B1">
      <w:proofErr w:type="spellStart"/>
      <w:r w:rsidRPr="00273555">
        <w:t>Grigoli</w:t>
      </w:r>
      <w:proofErr w:type="spellEnd"/>
      <w:r w:rsidR="00B07131">
        <w:t>,</w:t>
      </w:r>
      <w:r w:rsidR="00273555" w:rsidRPr="00273555">
        <w:t xml:space="preserve"> F. Koczan</w:t>
      </w:r>
      <w:r w:rsidR="00B07131">
        <w:t>,</w:t>
      </w:r>
      <w:r w:rsidR="00273555" w:rsidRPr="00273555">
        <w:t xml:space="preserve"> Z. </w:t>
      </w:r>
      <w:r w:rsidR="00B07131">
        <w:t>a</w:t>
      </w:r>
      <w:r w:rsidR="00273555" w:rsidRPr="00273555">
        <w:t xml:space="preserve">nd </w:t>
      </w:r>
      <w:proofErr w:type="spellStart"/>
      <w:r w:rsidR="00273555" w:rsidRPr="00273555">
        <w:t>Topalova</w:t>
      </w:r>
      <w:proofErr w:type="spellEnd"/>
      <w:r w:rsidR="00B07131">
        <w:t>,</w:t>
      </w:r>
      <w:r w:rsidR="00273555" w:rsidRPr="00273555">
        <w:t xml:space="preserve"> P.</w:t>
      </w:r>
      <w:r w:rsidRPr="00273555">
        <w:t xml:space="preserve"> </w:t>
      </w:r>
      <w:r>
        <w:t>2018</w:t>
      </w:r>
      <w:r w:rsidR="00B07131">
        <w:t>.</w:t>
      </w:r>
      <w:r w:rsidR="00273555">
        <w:t xml:space="preserve"> </w:t>
      </w:r>
      <w:r w:rsidR="00273555" w:rsidRPr="009A1AF2">
        <w:rPr>
          <w:i/>
        </w:rPr>
        <w:t xml:space="preserve">A Cohort-Based Analysis of </w:t>
      </w:r>
      <w:proofErr w:type="spellStart"/>
      <w:r w:rsidR="00273555" w:rsidRPr="009A1AF2">
        <w:rPr>
          <w:i/>
        </w:rPr>
        <w:t>Labor</w:t>
      </w:r>
      <w:proofErr w:type="spellEnd"/>
      <w:r w:rsidR="00273555" w:rsidRPr="009A1AF2">
        <w:rPr>
          <w:i/>
        </w:rPr>
        <w:t xml:space="preserve"> Force Participation for Advanced Economies</w:t>
      </w:r>
      <w:r w:rsidR="00273555">
        <w:rPr>
          <w:i/>
        </w:rPr>
        <w:t xml:space="preserve">, </w:t>
      </w:r>
      <w:r w:rsidR="00273555" w:rsidRPr="009A1AF2">
        <w:t>Working Paper No. 18/120</w:t>
      </w:r>
      <w:r w:rsidR="00273555">
        <w:t>, International Monetary Fund</w:t>
      </w:r>
    </w:p>
    <w:p w14:paraId="75C07A26" w14:textId="185A6738" w:rsidR="009B7076" w:rsidRPr="009B7076" w:rsidRDefault="009B7076" w:rsidP="008627B1">
      <w:proofErr w:type="spellStart"/>
      <w:r>
        <w:t>Kudrna</w:t>
      </w:r>
      <w:proofErr w:type="spellEnd"/>
      <w:r>
        <w:t xml:space="preserve">, J. and Woodland, A. 2013. </w:t>
      </w:r>
      <w:r w:rsidRPr="005B32A3">
        <w:rPr>
          <w:i/>
          <w:iCs/>
        </w:rPr>
        <w:t>Macroeconomic and Welfare Effects of the 2010 Changes to Mandatory Superannuation</w:t>
      </w:r>
      <w:r>
        <w:rPr>
          <w:i/>
          <w:iCs/>
        </w:rPr>
        <w:t xml:space="preserve">, </w:t>
      </w:r>
      <w:r w:rsidRPr="005B32A3">
        <w:t>Economic Record</w:t>
      </w:r>
      <w:r>
        <w:rPr>
          <w:i/>
          <w:iCs/>
        </w:rPr>
        <w:t xml:space="preserve">, 89, pp. </w:t>
      </w:r>
      <w:r w:rsidRPr="009B7076">
        <w:rPr>
          <w:i/>
          <w:iCs/>
        </w:rPr>
        <w:t>445-468</w:t>
      </w:r>
      <w:r>
        <w:rPr>
          <w:i/>
          <w:iCs/>
        </w:rPr>
        <w:t>.</w:t>
      </w:r>
    </w:p>
    <w:p w14:paraId="71252792" w14:textId="18B6FC48" w:rsidR="0035000C" w:rsidRDefault="0035000C" w:rsidP="008627B1">
      <w:r>
        <w:t>McDonald</w:t>
      </w:r>
      <w:r w:rsidR="00B07131">
        <w:t>,</w:t>
      </w:r>
      <w:r>
        <w:t xml:space="preserve"> P. 2020, </w:t>
      </w:r>
      <w:r w:rsidRPr="005B32A3">
        <w:rPr>
          <w:i/>
          <w:iCs/>
        </w:rPr>
        <w:t>A Projection of Australia’s Future Fertility Rates</w:t>
      </w:r>
      <w:r>
        <w:t>, Centre for Population Research Paper, The Australian Government, Canberra.  </w:t>
      </w:r>
    </w:p>
    <w:p w14:paraId="1CDE339D" w14:textId="2CB43610" w:rsidR="005E7E07" w:rsidRDefault="00010C96" w:rsidP="0012589F">
      <w:r>
        <w:t>Montes</w:t>
      </w:r>
      <w:r w:rsidR="00133393">
        <w:t>,</w:t>
      </w:r>
      <w:r>
        <w:t xml:space="preserve"> J. 2018</w:t>
      </w:r>
      <w:r w:rsidR="00133393">
        <w:t>.</w:t>
      </w:r>
      <w:r>
        <w:t xml:space="preserve"> </w:t>
      </w:r>
      <w:r w:rsidRPr="00AC0A81">
        <w:rPr>
          <w:i/>
        </w:rPr>
        <w:t xml:space="preserve">CBO’s Projection of </w:t>
      </w:r>
      <w:proofErr w:type="spellStart"/>
      <w:r w:rsidRPr="00AC0A81">
        <w:rPr>
          <w:i/>
        </w:rPr>
        <w:t>Labor</w:t>
      </w:r>
      <w:proofErr w:type="spellEnd"/>
      <w:r w:rsidRPr="00AC0A81">
        <w:rPr>
          <w:i/>
        </w:rPr>
        <w:t xml:space="preserve"> Force Participation Rates</w:t>
      </w:r>
      <w:r>
        <w:t>, Working Paper 2018-0</w:t>
      </w:r>
      <w:r w:rsidR="0012589F">
        <w:t>4, Congressional Budget Office.</w:t>
      </w:r>
    </w:p>
    <w:p w14:paraId="188AD8DC" w14:textId="34DC84FD" w:rsidR="00A21BE8" w:rsidRPr="00437291" w:rsidRDefault="00A21BE8" w:rsidP="0012589F">
      <w:r>
        <w:t>Morri</w:t>
      </w:r>
      <w:r w:rsidR="00437291">
        <w:t xml:space="preserve">s, T. 2019. </w:t>
      </w:r>
      <w:r w:rsidR="00437291" w:rsidRPr="00437291">
        <w:rPr>
          <w:i/>
          <w:iCs/>
        </w:rPr>
        <w:t>Large Response to Delayed Eligibility or a Pre-Existing Trend in Female Participation? Re-Examining an Australian Pension Reform</w:t>
      </w:r>
      <w:r w:rsidR="00437291">
        <w:rPr>
          <w:i/>
          <w:iCs/>
        </w:rPr>
        <w:t xml:space="preserve">, </w:t>
      </w:r>
      <w:r w:rsidR="00D31192" w:rsidRPr="00D31192">
        <w:t>SSRN Working Paper No. 3382046.</w:t>
      </w:r>
    </w:p>
    <w:p w14:paraId="4FA45826" w14:textId="0AB0CCB5" w:rsidR="005430A0" w:rsidRDefault="005430A0" w:rsidP="0012589F">
      <w:r>
        <w:t>Productivity Commission 2019</w:t>
      </w:r>
      <w:r w:rsidR="00B07131">
        <w:t>.</w:t>
      </w:r>
      <w:r>
        <w:t xml:space="preserve"> </w:t>
      </w:r>
      <w:r w:rsidRPr="005E3FC5">
        <w:rPr>
          <w:i/>
        </w:rPr>
        <w:t>The Demand Driven University System: A Mixed Report Card</w:t>
      </w:r>
      <w:r>
        <w:t>, Commission Research Paper, Canberra.</w:t>
      </w:r>
    </w:p>
    <w:p w14:paraId="51D198A9" w14:textId="0481971F" w:rsidR="00291C0C" w:rsidRDefault="00291C0C" w:rsidP="00291C0C">
      <w:r>
        <w:lastRenderedPageBreak/>
        <w:t>Productivity Commission 2020</w:t>
      </w:r>
      <w:r w:rsidR="00B07131">
        <w:t>.</w:t>
      </w:r>
      <w:r>
        <w:t xml:space="preserve"> </w:t>
      </w:r>
      <w:r w:rsidRPr="005E3FC5">
        <w:rPr>
          <w:i/>
        </w:rPr>
        <w:t xml:space="preserve">Why did young people’s incomes </w:t>
      </w:r>
      <w:proofErr w:type="gramStart"/>
      <w:r w:rsidRPr="005E3FC5">
        <w:rPr>
          <w:i/>
        </w:rPr>
        <w:t>decline?</w:t>
      </w:r>
      <w:r>
        <w:t>,</w:t>
      </w:r>
      <w:proofErr w:type="gramEnd"/>
      <w:r>
        <w:t xml:space="preserve"> Commission Research Paper, Canberra.</w:t>
      </w:r>
    </w:p>
    <w:p w14:paraId="007A6652" w14:textId="690A8AC9" w:rsidR="001524C8" w:rsidRDefault="0046653F" w:rsidP="00291C0C">
      <w:r w:rsidRPr="00545C3A">
        <w:t xml:space="preserve">Rodgers, D. 2019, </w:t>
      </w:r>
      <w:r w:rsidRPr="00545C3A">
        <w:rPr>
          <w:i/>
          <w:iCs/>
        </w:rPr>
        <w:t>Pension and Participation: Evidence from WWII Veterans in Australia</w:t>
      </w:r>
      <w:r w:rsidR="00545C3A" w:rsidRPr="00545C3A">
        <w:rPr>
          <w:i/>
          <w:iCs/>
        </w:rPr>
        <w:t xml:space="preserve">, </w:t>
      </w:r>
      <w:r w:rsidR="00545C3A" w:rsidRPr="00545C3A">
        <w:t>Unpublished manuscript</w:t>
      </w:r>
      <w:r w:rsidRPr="00545C3A">
        <w:t xml:space="preserve">, </w:t>
      </w:r>
      <w:r w:rsidR="00545C3A" w:rsidRPr="00545C3A">
        <w:t>School of Economics, University of New South Wales.</w:t>
      </w:r>
    </w:p>
    <w:p w14:paraId="44743933" w14:textId="77777777" w:rsidR="005E7E07" w:rsidRDefault="005E7E07">
      <w:pPr>
        <w:spacing w:after="200" w:line="276" w:lineRule="auto"/>
      </w:pPr>
      <w:r>
        <w:br w:type="page"/>
      </w:r>
    </w:p>
    <w:p w14:paraId="7E364BA8" w14:textId="42002FE7" w:rsidR="00AF72C1" w:rsidRPr="00783AEE" w:rsidRDefault="005E7E07" w:rsidP="00783AEE">
      <w:pPr>
        <w:pStyle w:val="AppendixHeading"/>
      </w:pPr>
      <w:bookmarkStart w:id="22" w:name="_Toc70507630"/>
      <w:r w:rsidRPr="00783AEE">
        <w:lastRenderedPageBreak/>
        <w:t xml:space="preserve">Appendix </w:t>
      </w:r>
      <w:r w:rsidR="00DF3213" w:rsidRPr="00783AEE">
        <w:t>A</w:t>
      </w:r>
      <w:r w:rsidRPr="00783AEE">
        <w:t>: Age-specific participation rate</w:t>
      </w:r>
      <w:r w:rsidR="00DF3213" w:rsidRPr="00783AEE">
        <w:t xml:space="preserve"> </w:t>
      </w:r>
      <w:r w:rsidR="005E3FC5" w:rsidRPr="00783AEE">
        <w:t>projections</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B43EF4" w14:paraId="7FBF91CB" w14:textId="77777777" w:rsidTr="00552034">
        <w:tc>
          <w:tcPr>
            <w:tcW w:w="4479" w:type="dxa"/>
          </w:tcPr>
          <w:p w14:paraId="1F304BDC" w14:textId="77777777" w:rsidR="00B41B02" w:rsidRDefault="00B43EF4" w:rsidP="00B41B02">
            <w:pPr>
              <w:spacing w:after="120"/>
              <w:jc w:val="center"/>
              <w:rPr>
                <w:b/>
                <w:bCs/>
                <w:color w:val="003157"/>
              </w:rPr>
            </w:pPr>
            <w:r w:rsidRPr="00783AEE">
              <w:rPr>
                <w:b/>
                <w:bCs/>
                <w:color w:val="003157"/>
              </w:rPr>
              <w:t>Age 15 – 19</w:t>
            </w:r>
          </w:p>
          <w:p w14:paraId="1F32A429" w14:textId="72E700DE" w:rsidR="00B43EF4" w:rsidRPr="001B03DF" w:rsidRDefault="00E5601E" w:rsidP="00B41B02">
            <w:pPr>
              <w:pStyle w:val="ChartGraphic"/>
              <w:spacing w:after="120"/>
              <w:rPr>
                <w:lang w:val="en-US"/>
              </w:rPr>
            </w:pPr>
            <w:r w:rsidRPr="00E5601E">
              <w:rPr>
                <w:noProof/>
                <w:lang w:val="en-US"/>
              </w:rPr>
              <w:drawing>
                <wp:inline distT="0" distB="0" distL="0" distR="0" wp14:anchorId="13F7576D" wp14:editId="39B514AD">
                  <wp:extent cx="2771775" cy="27717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tc>
        <w:tc>
          <w:tcPr>
            <w:tcW w:w="4479" w:type="dxa"/>
          </w:tcPr>
          <w:p w14:paraId="5EF41378" w14:textId="77777777" w:rsidR="00B41B02" w:rsidRDefault="00630B7B" w:rsidP="00B41B02">
            <w:pPr>
              <w:spacing w:after="120"/>
              <w:jc w:val="center"/>
              <w:rPr>
                <w:b/>
                <w:bCs/>
                <w:color w:val="003157"/>
              </w:rPr>
            </w:pPr>
            <w:r w:rsidRPr="00783AEE">
              <w:rPr>
                <w:b/>
                <w:bCs/>
                <w:color w:val="003157"/>
              </w:rPr>
              <w:t>Age 20 – 24</w:t>
            </w:r>
          </w:p>
          <w:p w14:paraId="74D08D09" w14:textId="5DE80E66" w:rsidR="00702661" w:rsidRPr="001B03DF" w:rsidRDefault="00E72AE1" w:rsidP="00B41B02">
            <w:pPr>
              <w:pStyle w:val="ChartGraphic"/>
              <w:spacing w:after="120"/>
              <w:rPr>
                <w:lang w:val="en-US"/>
              </w:rPr>
            </w:pPr>
            <w:r w:rsidRPr="00E72AE1">
              <w:rPr>
                <w:noProof/>
                <w:lang w:val="en-US"/>
              </w:rPr>
              <w:drawing>
                <wp:inline distT="0" distB="0" distL="0" distR="0" wp14:anchorId="7FC3A811" wp14:editId="644FA133">
                  <wp:extent cx="2771775" cy="277177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tc>
      </w:tr>
      <w:tr w:rsidR="00783AEE" w14:paraId="21B36694" w14:textId="77777777" w:rsidTr="00552034">
        <w:tc>
          <w:tcPr>
            <w:tcW w:w="4479" w:type="dxa"/>
          </w:tcPr>
          <w:p w14:paraId="6CB403A9" w14:textId="77777777" w:rsidR="00783AEE" w:rsidRPr="00783AEE" w:rsidRDefault="00783AEE" w:rsidP="001B03DF">
            <w:pPr>
              <w:spacing w:after="0"/>
              <w:jc w:val="center"/>
              <w:rPr>
                <w:b/>
                <w:bCs/>
                <w:color w:val="003157"/>
              </w:rPr>
            </w:pPr>
          </w:p>
        </w:tc>
        <w:tc>
          <w:tcPr>
            <w:tcW w:w="4479" w:type="dxa"/>
          </w:tcPr>
          <w:p w14:paraId="50FD5504" w14:textId="77777777" w:rsidR="00783AEE" w:rsidRPr="00783AEE" w:rsidRDefault="00783AEE" w:rsidP="001B03DF">
            <w:pPr>
              <w:spacing w:after="0"/>
              <w:jc w:val="center"/>
              <w:rPr>
                <w:b/>
                <w:bCs/>
                <w:color w:val="003157"/>
              </w:rPr>
            </w:pPr>
          </w:p>
        </w:tc>
      </w:tr>
      <w:tr w:rsidR="00B43EF4" w14:paraId="23F581DE" w14:textId="77777777" w:rsidTr="00552034">
        <w:tc>
          <w:tcPr>
            <w:tcW w:w="4479" w:type="dxa"/>
          </w:tcPr>
          <w:p w14:paraId="79BD7046" w14:textId="77777777" w:rsidR="00B41B02" w:rsidRDefault="00B43EF4" w:rsidP="00B41B02">
            <w:pPr>
              <w:spacing w:after="120"/>
              <w:jc w:val="center"/>
              <w:rPr>
                <w:b/>
                <w:bCs/>
                <w:color w:val="003157"/>
              </w:rPr>
            </w:pPr>
            <w:r w:rsidRPr="00783AEE">
              <w:rPr>
                <w:b/>
                <w:bCs/>
                <w:color w:val="003157"/>
              </w:rPr>
              <w:t xml:space="preserve">Age 25 </w:t>
            </w:r>
            <w:r w:rsidR="000F75FF" w:rsidRPr="00783AEE">
              <w:rPr>
                <w:b/>
                <w:bCs/>
                <w:color w:val="003157"/>
              </w:rPr>
              <w:t xml:space="preserve">to </w:t>
            </w:r>
            <w:r w:rsidRPr="00783AEE">
              <w:rPr>
                <w:b/>
                <w:bCs/>
                <w:color w:val="003157"/>
              </w:rPr>
              <w:t>29</w:t>
            </w:r>
          </w:p>
          <w:p w14:paraId="73491EF1" w14:textId="7AD5AE23" w:rsidR="00B43EF4" w:rsidRPr="001B03DF" w:rsidRDefault="00E72AE1" w:rsidP="00B41B02">
            <w:pPr>
              <w:pStyle w:val="ChartGraphic"/>
              <w:spacing w:after="120"/>
              <w:rPr>
                <w:lang w:val="en-US"/>
              </w:rPr>
            </w:pPr>
            <w:r w:rsidRPr="00E72AE1">
              <w:rPr>
                <w:noProof/>
                <w:lang w:val="en-US"/>
              </w:rPr>
              <w:drawing>
                <wp:inline distT="0" distB="0" distL="0" distR="0" wp14:anchorId="47B2C1BB" wp14:editId="75B6A49A">
                  <wp:extent cx="2771775" cy="27717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tc>
        <w:tc>
          <w:tcPr>
            <w:tcW w:w="4479" w:type="dxa"/>
          </w:tcPr>
          <w:p w14:paraId="6CEB3CBD" w14:textId="77777777" w:rsidR="00B41B02" w:rsidRDefault="00B43EF4" w:rsidP="00B41B02">
            <w:pPr>
              <w:spacing w:after="120"/>
              <w:jc w:val="center"/>
              <w:rPr>
                <w:b/>
                <w:bCs/>
                <w:color w:val="003157"/>
              </w:rPr>
            </w:pPr>
            <w:r w:rsidRPr="00783AEE">
              <w:rPr>
                <w:b/>
                <w:bCs/>
                <w:color w:val="003157"/>
              </w:rPr>
              <w:t xml:space="preserve">Age 30 </w:t>
            </w:r>
            <w:r w:rsidR="000F75FF" w:rsidRPr="00783AEE">
              <w:rPr>
                <w:b/>
                <w:bCs/>
                <w:color w:val="003157"/>
              </w:rPr>
              <w:t xml:space="preserve">to </w:t>
            </w:r>
            <w:r w:rsidRPr="00783AEE">
              <w:rPr>
                <w:b/>
                <w:bCs/>
                <w:color w:val="003157"/>
              </w:rPr>
              <w:t>34</w:t>
            </w:r>
          </w:p>
          <w:p w14:paraId="5734E9AD" w14:textId="354A60C4" w:rsidR="00B43EF4" w:rsidRPr="001B03DF" w:rsidRDefault="00E72AE1" w:rsidP="00B41B02">
            <w:pPr>
              <w:pStyle w:val="ChartGraphic"/>
              <w:spacing w:after="120"/>
              <w:rPr>
                <w:lang w:val="en-US"/>
              </w:rPr>
            </w:pPr>
            <w:r w:rsidRPr="00E72AE1">
              <w:rPr>
                <w:noProof/>
                <w:lang w:val="en-US"/>
              </w:rPr>
              <w:drawing>
                <wp:inline distT="0" distB="0" distL="0" distR="0" wp14:anchorId="659209EC" wp14:editId="113EE7AC">
                  <wp:extent cx="2771775" cy="277177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tc>
      </w:tr>
      <w:tr w:rsidR="00B41B02" w14:paraId="700B96E1" w14:textId="77777777" w:rsidTr="00552034">
        <w:tc>
          <w:tcPr>
            <w:tcW w:w="4479" w:type="dxa"/>
          </w:tcPr>
          <w:p w14:paraId="408DAC85" w14:textId="77777777" w:rsidR="00B41B02" w:rsidRPr="001B03DF" w:rsidRDefault="00B41B02" w:rsidP="001B03DF">
            <w:pPr>
              <w:spacing w:after="0"/>
              <w:jc w:val="center"/>
            </w:pPr>
          </w:p>
        </w:tc>
        <w:tc>
          <w:tcPr>
            <w:tcW w:w="4479" w:type="dxa"/>
          </w:tcPr>
          <w:p w14:paraId="16204BE0" w14:textId="77777777" w:rsidR="00B41B02" w:rsidRPr="001B03DF" w:rsidRDefault="00B41B02" w:rsidP="001B03DF">
            <w:pPr>
              <w:spacing w:after="0"/>
              <w:jc w:val="center"/>
            </w:pPr>
          </w:p>
        </w:tc>
      </w:tr>
    </w:tbl>
    <w:p w14:paraId="226AB450" w14:textId="77777777" w:rsidR="00552034" w:rsidRPr="00552034" w:rsidRDefault="00552034" w:rsidP="00552034">
      <w:r w:rsidRPr="00552034">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B43EF4" w14:paraId="1866920F" w14:textId="77777777" w:rsidTr="00552034">
        <w:tc>
          <w:tcPr>
            <w:tcW w:w="4479" w:type="dxa"/>
          </w:tcPr>
          <w:p w14:paraId="6D6BABE6" w14:textId="1830C7B9" w:rsidR="00B41B02" w:rsidRPr="00552034" w:rsidRDefault="00B43EF4" w:rsidP="001B03DF">
            <w:pPr>
              <w:spacing w:after="0"/>
              <w:jc w:val="center"/>
              <w:rPr>
                <w:b/>
                <w:bCs/>
                <w:color w:val="003157"/>
              </w:rPr>
            </w:pPr>
            <w:r w:rsidRPr="00552034">
              <w:rPr>
                <w:b/>
                <w:bCs/>
                <w:color w:val="003157"/>
              </w:rPr>
              <w:lastRenderedPageBreak/>
              <w:t xml:space="preserve">Age 35 </w:t>
            </w:r>
            <w:r w:rsidR="000F75FF" w:rsidRPr="00552034">
              <w:rPr>
                <w:b/>
                <w:bCs/>
                <w:color w:val="003157"/>
              </w:rPr>
              <w:t xml:space="preserve">to </w:t>
            </w:r>
            <w:r w:rsidRPr="00552034">
              <w:rPr>
                <w:b/>
                <w:bCs/>
                <w:color w:val="003157"/>
              </w:rPr>
              <w:t>39</w:t>
            </w:r>
          </w:p>
          <w:p w14:paraId="1C83EA55" w14:textId="781588CA" w:rsidR="00B43EF4" w:rsidRPr="001B03DF" w:rsidRDefault="00A61913" w:rsidP="00552034">
            <w:pPr>
              <w:pStyle w:val="ChartGraphic"/>
            </w:pPr>
            <w:r w:rsidRPr="00A61913">
              <w:rPr>
                <w:noProof/>
              </w:rPr>
              <w:drawing>
                <wp:inline distT="0" distB="0" distL="0" distR="0" wp14:anchorId="06911DD5" wp14:editId="4F7C8C0C">
                  <wp:extent cx="2771775" cy="2771775"/>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tc>
        <w:tc>
          <w:tcPr>
            <w:tcW w:w="4479" w:type="dxa"/>
          </w:tcPr>
          <w:p w14:paraId="0C2AFF7F" w14:textId="77777777" w:rsidR="00B41B02" w:rsidRPr="00552034" w:rsidRDefault="00B43EF4" w:rsidP="001B03DF">
            <w:pPr>
              <w:spacing w:after="0"/>
              <w:jc w:val="center"/>
              <w:rPr>
                <w:b/>
                <w:bCs/>
                <w:color w:val="003157"/>
              </w:rPr>
            </w:pPr>
            <w:r w:rsidRPr="00552034">
              <w:rPr>
                <w:b/>
                <w:bCs/>
                <w:color w:val="003157"/>
              </w:rPr>
              <w:t xml:space="preserve">Age 40 </w:t>
            </w:r>
            <w:r w:rsidR="000F75FF" w:rsidRPr="00552034">
              <w:rPr>
                <w:b/>
                <w:bCs/>
                <w:color w:val="003157"/>
              </w:rPr>
              <w:t xml:space="preserve">to </w:t>
            </w:r>
            <w:r w:rsidRPr="00552034">
              <w:rPr>
                <w:b/>
                <w:bCs/>
                <w:color w:val="003157"/>
              </w:rPr>
              <w:t>44</w:t>
            </w:r>
          </w:p>
          <w:p w14:paraId="0BC179B3" w14:textId="36EF24F0" w:rsidR="00B43EF4" w:rsidRPr="001B03DF" w:rsidRDefault="00A61913" w:rsidP="00552034">
            <w:pPr>
              <w:pStyle w:val="ChartGraphic"/>
            </w:pPr>
            <w:r w:rsidRPr="00A61913">
              <w:rPr>
                <w:noProof/>
              </w:rPr>
              <w:drawing>
                <wp:inline distT="0" distB="0" distL="0" distR="0" wp14:anchorId="40C43A33" wp14:editId="3E3CA0BC">
                  <wp:extent cx="2771775" cy="2771775"/>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tc>
      </w:tr>
      <w:tr w:rsidR="00B41B02" w14:paraId="748B5370" w14:textId="77777777" w:rsidTr="00552034">
        <w:tc>
          <w:tcPr>
            <w:tcW w:w="4479" w:type="dxa"/>
          </w:tcPr>
          <w:p w14:paraId="1D007E58" w14:textId="77777777" w:rsidR="00B41B02" w:rsidRPr="001B03DF" w:rsidRDefault="00B41B02" w:rsidP="00166986">
            <w:pPr>
              <w:spacing w:after="0"/>
              <w:jc w:val="center"/>
            </w:pPr>
          </w:p>
        </w:tc>
        <w:tc>
          <w:tcPr>
            <w:tcW w:w="4479" w:type="dxa"/>
          </w:tcPr>
          <w:p w14:paraId="36FBCA44" w14:textId="77777777" w:rsidR="00B41B02" w:rsidRPr="001B03DF" w:rsidRDefault="00B41B02" w:rsidP="001B03DF">
            <w:pPr>
              <w:spacing w:after="0"/>
              <w:jc w:val="center"/>
            </w:pPr>
          </w:p>
        </w:tc>
      </w:tr>
      <w:tr w:rsidR="00702661" w14:paraId="0F29C495" w14:textId="77777777" w:rsidTr="00552034">
        <w:tc>
          <w:tcPr>
            <w:tcW w:w="4479" w:type="dxa"/>
          </w:tcPr>
          <w:p w14:paraId="73A9E0F9" w14:textId="77777777" w:rsidR="00B41B02" w:rsidRPr="00552034" w:rsidRDefault="00702661" w:rsidP="00166986">
            <w:pPr>
              <w:spacing w:after="0"/>
              <w:jc w:val="center"/>
              <w:rPr>
                <w:b/>
                <w:bCs/>
                <w:color w:val="003157"/>
              </w:rPr>
            </w:pPr>
            <w:r w:rsidRPr="00552034">
              <w:rPr>
                <w:b/>
                <w:bCs/>
                <w:color w:val="003157"/>
              </w:rPr>
              <w:t xml:space="preserve">Age 45 </w:t>
            </w:r>
            <w:r w:rsidR="000F75FF" w:rsidRPr="00552034">
              <w:rPr>
                <w:b/>
                <w:bCs/>
                <w:color w:val="003157"/>
              </w:rPr>
              <w:t xml:space="preserve">to </w:t>
            </w:r>
            <w:r w:rsidRPr="00552034">
              <w:rPr>
                <w:b/>
                <w:bCs/>
                <w:color w:val="003157"/>
              </w:rPr>
              <w:t>49</w:t>
            </w:r>
          </w:p>
          <w:p w14:paraId="56B306A6" w14:textId="32A940D7" w:rsidR="00702661" w:rsidRPr="001B03DF" w:rsidRDefault="00B468D2" w:rsidP="00552034">
            <w:pPr>
              <w:pStyle w:val="ChartGraphic"/>
              <w:rPr>
                <w:lang w:val="en-US"/>
              </w:rPr>
            </w:pPr>
            <w:r w:rsidRPr="00B468D2">
              <w:rPr>
                <w:noProof/>
                <w:lang w:val="en-US"/>
              </w:rPr>
              <w:drawing>
                <wp:inline distT="0" distB="0" distL="0" distR="0" wp14:anchorId="1E9F7229" wp14:editId="68201A99">
                  <wp:extent cx="2771775" cy="2771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tc>
        <w:tc>
          <w:tcPr>
            <w:tcW w:w="4479" w:type="dxa"/>
          </w:tcPr>
          <w:p w14:paraId="05365689" w14:textId="77777777" w:rsidR="00B41B02" w:rsidRPr="00552034" w:rsidRDefault="00702661" w:rsidP="001B03DF">
            <w:pPr>
              <w:spacing w:after="0"/>
              <w:jc w:val="center"/>
              <w:rPr>
                <w:b/>
                <w:bCs/>
                <w:color w:val="003157"/>
              </w:rPr>
            </w:pPr>
            <w:r w:rsidRPr="00552034">
              <w:rPr>
                <w:b/>
                <w:bCs/>
                <w:color w:val="003157"/>
              </w:rPr>
              <w:t xml:space="preserve">Age 50 </w:t>
            </w:r>
            <w:r w:rsidR="000F75FF" w:rsidRPr="00552034">
              <w:rPr>
                <w:b/>
                <w:bCs/>
                <w:color w:val="003157"/>
              </w:rPr>
              <w:t xml:space="preserve">to </w:t>
            </w:r>
            <w:r w:rsidRPr="00552034">
              <w:rPr>
                <w:b/>
                <w:bCs/>
                <w:color w:val="003157"/>
              </w:rPr>
              <w:t>54</w:t>
            </w:r>
          </w:p>
          <w:p w14:paraId="4D855564" w14:textId="3EC743F5" w:rsidR="00702661" w:rsidRPr="001B03DF" w:rsidRDefault="00B468D2" w:rsidP="00552034">
            <w:pPr>
              <w:pStyle w:val="ChartGraphic"/>
              <w:rPr>
                <w:lang w:val="en-US"/>
              </w:rPr>
            </w:pPr>
            <w:r w:rsidRPr="00B468D2">
              <w:rPr>
                <w:noProof/>
                <w:lang w:val="en-US"/>
              </w:rPr>
              <w:drawing>
                <wp:inline distT="0" distB="0" distL="0" distR="0" wp14:anchorId="3A88C7BE" wp14:editId="3D77FA39">
                  <wp:extent cx="2771775" cy="27717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a:ln>
                            <a:noFill/>
                          </a:ln>
                        </pic:spPr>
                      </pic:pic>
                    </a:graphicData>
                  </a:graphic>
                </wp:inline>
              </w:drawing>
            </w:r>
          </w:p>
        </w:tc>
      </w:tr>
      <w:tr w:rsidR="00B41B02" w14:paraId="7D1A483B" w14:textId="77777777" w:rsidTr="00552034">
        <w:tc>
          <w:tcPr>
            <w:tcW w:w="4479" w:type="dxa"/>
          </w:tcPr>
          <w:p w14:paraId="3369DE43" w14:textId="77777777" w:rsidR="00B41B02" w:rsidRPr="001B03DF" w:rsidRDefault="00B41B02" w:rsidP="007771C4">
            <w:pPr>
              <w:spacing w:after="0"/>
              <w:jc w:val="center"/>
            </w:pPr>
          </w:p>
        </w:tc>
        <w:tc>
          <w:tcPr>
            <w:tcW w:w="4479" w:type="dxa"/>
          </w:tcPr>
          <w:p w14:paraId="7F806E74" w14:textId="77777777" w:rsidR="00B41B02" w:rsidRPr="001B03DF" w:rsidRDefault="00B41B02" w:rsidP="007771C4">
            <w:pPr>
              <w:spacing w:after="0"/>
              <w:jc w:val="center"/>
            </w:pPr>
          </w:p>
        </w:tc>
      </w:tr>
    </w:tbl>
    <w:p w14:paraId="396B5B32" w14:textId="77777777" w:rsidR="00552034" w:rsidRDefault="0055203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79"/>
      </w:tblGrid>
      <w:tr w:rsidR="008E7D6E" w14:paraId="16F19056" w14:textId="77777777" w:rsidTr="00552034">
        <w:tc>
          <w:tcPr>
            <w:tcW w:w="4479" w:type="dxa"/>
          </w:tcPr>
          <w:p w14:paraId="5E0F509B" w14:textId="77777777" w:rsidR="008E7D6E" w:rsidRPr="00552034" w:rsidRDefault="008E7D6E" w:rsidP="008E7D6E">
            <w:pPr>
              <w:spacing w:after="0"/>
              <w:jc w:val="center"/>
              <w:rPr>
                <w:b/>
                <w:bCs/>
                <w:color w:val="003157"/>
              </w:rPr>
            </w:pPr>
            <w:r w:rsidRPr="00552034">
              <w:rPr>
                <w:b/>
                <w:bCs/>
                <w:color w:val="003157"/>
              </w:rPr>
              <w:lastRenderedPageBreak/>
              <w:t>Age 55 to 59</w:t>
            </w:r>
          </w:p>
          <w:p w14:paraId="1E479C7A" w14:textId="7EDA76C2" w:rsidR="008E7D6E" w:rsidRPr="00552034" w:rsidRDefault="001C46EF" w:rsidP="008E7D6E">
            <w:pPr>
              <w:spacing w:after="0"/>
              <w:jc w:val="center"/>
              <w:rPr>
                <w:b/>
                <w:bCs/>
                <w:color w:val="003157"/>
              </w:rPr>
            </w:pPr>
            <w:r w:rsidRPr="001C46EF">
              <w:rPr>
                <w:b/>
                <w:bCs/>
                <w:noProof/>
                <w:color w:val="003157"/>
              </w:rPr>
              <w:drawing>
                <wp:inline distT="0" distB="0" distL="0" distR="0" wp14:anchorId="1963DC2B" wp14:editId="47D2D8F8">
                  <wp:extent cx="2781300" cy="2781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tc>
        <w:tc>
          <w:tcPr>
            <w:tcW w:w="4479" w:type="dxa"/>
          </w:tcPr>
          <w:p w14:paraId="3328ED4D" w14:textId="77777777" w:rsidR="008E7D6E" w:rsidRPr="00552034" w:rsidRDefault="008E7D6E" w:rsidP="008E7D6E">
            <w:pPr>
              <w:spacing w:after="0"/>
              <w:jc w:val="center"/>
              <w:rPr>
                <w:b/>
                <w:bCs/>
                <w:color w:val="003157"/>
              </w:rPr>
            </w:pPr>
            <w:r w:rsidRPr="00552034">
              <w:rPr>
                <w:b/>
                <w:bCs/>
                <w:color w:val="003157"/>
              </w:rPr>
              <w:t>Age 60 to 64</w:t>
            </w:r>
          </w:p>
          <w:p w14:paraId="3C4AA6E6" w14:textId="016F3FE8" w:rsidR="008E7D6E" w:rsidRPr="00552034" w:rsidRDefault="001C46EF" w:rsidP="008E7D6E">
            <w:pPr>
              <w:spacing w:after="0"/>
              <w:jc w:val="center"/>
              <w:rPr>
                <w:b/>
                <w:bCs/>
                <w:color w:val="003157"/>
              </w:rPr>
            </w:pPr>
            <w:r w:rsidRPr="001C46EF">
              <w:rPr>
                <w:b/>
                <w:bCs/>
                <w:noProof/>
                <w:color w:val="003157"/>
              </w:rPr>
              <w:drawing>
                <wp:inline distT="0" distB="0" distL="0" distR="0" wp14:anchorId="06B82827" wp14:editId="3BA69A03">
                  <wp:extent cx="2781300" cy="2781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tc>
      </w:tr>
      <w:tr w:rsidR="0087287A" w14:paraId="27E55A1C" w14:textId="77777777" w:rsidTr="00DB774B">
        <w:tc>
          <w:tcPr>
            <w:tcW w:w="4479" w:type="dxa"/>
          </w:tcPr>
          <w:p w14:paraId="0A1283F6" w14:textId="77777777" w:rsidR="0087287A" w:rsidRPr="001B03DF" w:rsidRDefault="0087287A" w:rsidP="00DB774B">
            <w:pPr>
              <w:spacing w:after="0"/>
              <w:jc w:val="center"/>
            </w:pPr>
          </w:p>
        </w:tc>
        <w:tc>
          <w:tcPr>
            <w:tcW w:w="4479" w:type="dxa"/>
          </w:tcPr>
          <w:p w14:paraId="035D2872" w14:textId="77777777" w:rsidR="0087287A" w:rsidRPr="001B03DF" w:rsidRDefault="0087287A" w:rsidP="00DB774B">
            <w:pPr>
              <w:spacing w:after="0"/>
              <w:jc w:val="center"/>
            </w:pPr>
          </w:p>
        </w:tc>
      </w:tr>
      <w:tr w:rsidR="008E7D6E" w14:paraId="1BB02FD1" w14:textId="77777777" w:rsidTr="00552034">
        <w:tc>
          <w:tcPr>
            <w:tcW w:w="4479" w:type="dxa"/>
          </w:tcPr>
          <w:p w14:paraId="4B08B989" w14:textId="72942C10" w:rsidR="008E7D6E" w:rsidRPr="00552034" w:rsidRDefault="008E7D6E" w:rsidP="008E7D6E">
            <w:pPr>
              <w:spacing w:after="0"/>
              <w:jc w:val="center"/>
              <w:rPr>
                <w:b/>
                <w:bCs/>
                <w:color w:val="003157"/>
              </w:rPr>
            </w:pPr>
            <w:r w:rsidRPr="00552034">
              <w:rPr>
                <w:b/>
                <w:bCs/>
                <w:color w:val="003157"/>
              </w:rPr>
              <w:t>Age 65 to 69</w:t>
            </w:r>
          </w:p>
          <w:p w14:paraId="6C5B4209" w14:textId="0311858B" w:rsidR="008E7D6E" w:rsidRPr="001B03DF" w:rsidRDefault="001C46EF" w:rsidP="008E7D6E">
            <w:pPr>
              <w:pStyle w:val="ChartGraphic"/>
            </w:pPr>
            <w:r w:rsidRPr="001C46EF">
              <w:rPr>
                <w:noProof/>
              </w:rPr>
              <w:drawing>
                <wp:inline distT="0" distB="0" distL="0" distR="0" wp14:anchorId="085C1950" wp14:editId="67034240">
                  <wp:extent cx="2781300" cy="2781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tc>
        <w:tc>
          <w:tcPr>
            <w:tcW w:w="4479" w:type="dxa"/>
          </w:tcPr>
          <w:p w14:paraId="0401562C" w14:textId="16103DC6" w:rsidR="008E7D6E" w:rsidRPr="00552034" w:rsidRDefault="008E7D6E" w:rsidP="008E7D6E">
            <w:pPr>
              <w:spacing w:after="0"/>
              <w:jc w:val="center"/>
              <w:rPr>
                <w:b/>
                <w:bCs/>
                <w:color w:val="003157"/>
              </w:rPr>
            </w:pPr>
            <w:r w:rsidRPr="00552034">
              <w:rPr>
                <w:b/>
                <w:bCs/>
                <w:color w:val="003157"/>
              </w:rPr>
              <w:t>Age 70 and over</w:t>
            </w:r>
          </w:p>
          <w:p w14:paraId="4253960C" w14:textId="5C5662C5" w:rsidR="008E7D6E" w:rsidRPr="001B03DF" w:rsidRDefault="000A2593" w:rsidP="008E7D6E">
            <w:pPr>
              <w:pStyle w:val="ChartGraphic"/>
            </w:pPr>
            <w:r w:rsidRPr="000A2593">
              <w:rPr>
                <w:noProof/>
              </w:rPr>
              <w:drawing>
                <wp:inline distT="0" distB="0" distL="0" distR="0" wp14:anchorId="003B534B" wp14:editId="54E12507">
                  <wp:extent cx="2781300" cy="2781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tc>
      </w:tr>
    </w:tbl>
    <w:p w14:paraId="68FF810E" w14:textId="7C3BBE6E" w:rsidR="002E5EC8" w:rsidRDefault="002E5EC8"/>
    <w:p w14:paraId="1B05847D" w14:textId="77777777" w:rsidR="002E5EC8" w:rsidRDefault="002E5EC8">
      <w:pPr>
        <w:spacing w:after="200" w:line="276" w:lineRule="auto"/>
      </w:pPr>
      <w:r>
        <w:br w:type="page"/>
      </w:r>
    </w:p>
    <w:p w14:paraId="149AEC5E" w14:textId="5EC4C5FD" w:rsidR="002E5EC8" w:rsidRDefault="002E5EC8" w:rsidP="00552034">
      <w:pPr>
        <w:pStyle w:val="AppendixHeading"/>
      </w:pPr>
      <w:bookmarkStart w:id="23" w:name="_Toc70507631"/>
      <w:r>
        <w:lastRenderedPageBreak/>
        <w:t>Appendix B: Data</w:t>
      </w:r>
      <w:bookmarkEnd w:id="23"/>
    </w:p>
    <w:p w14:paraId="3DB87312" w14:textId="013580C0" w:rsidR="002E5EC8" w:rsidRPr="00552034" w:rsidRDefault="002E5EC8" w:rsidP="00B1440B">
      <w:pPr>
        <w:pStyle w:val="Heading2NotNumbered"/>
      </w:pPr>
      <w:bookmarkStart w:id="24" w:name="_Toc70507632"/>
      <w:r w:rsidRPr="00552034">
        <w:t>Participation rates</w:t>
      </w:r>
      <w:bookmarkEnd w:id="24"/>
    </w:p>
    <w:p w14:paraId="68235433" w14:textId="75DD9113" w:rsidR="002E5EC8" w:rsidRDefault="002E5EC8" w:rsidP="002E5EC8">
      <w:pPr>
        <w:rPr>
          <w:lang w:val="en-US" w:eastAsia="en-AU"/>
        </w:rPr>
      </w:pPr>
      <w:r>
        <w:rPr>
          <w:lang w:val="en-US" w:eastAsia="en-AU"/>
        </w:rPr>
        <w:t xml:space="preserve">The participation rate is defined as the per cent of the working-age (15 and over) population that is participating in the </w:t>
      </w:r>
      <w:proofErr w:type="spellStart"/>
      <w:r>
        <w:rPr>
          <w:lang w:val="en-US" w:eastAsia="en-AU"/>
        </w:rPr>
        <w:t>labour</w:t>
      </w:r>
      <w:proofErr w:type="spellEnd"/>
      <w:r>
        <w:rPr>
          <w:lang w:val="en-US" w:eastAsia="en-AU"/>
        </w:rPr>
        <w:t xml:space="preserve"> force. Individuals </w:t>
      </w:r>
      <w:proofErr w:type="gramStart"/>
      <w:r>
        <w:rPr>
          <w:lang w:val="en-US" w:eastAsia="en-AU"/>
        </w:rPr>
        <w:t>are considered to be</w:t>
      </w:r>
      <w:proofErr w:type="gramEnd"/>
      <w:r>
        <w:rPr>
          <w:lang w:val="en-US" w:eastAsia="en-AU"/>
        </w:rPr>
        <w:t xml:space="preserve"> participating if they are either working or actively looking for work. The Australian Bureau of Statistics (ABS) publishes </w:t>
      </w:r>
      <w:proofErr w:type="spellStart"/>
      <w:r>
        <w:rPr>
          <w:lang w:val="en-US" w:eastAsia="en-AU"/>
        </w:rPr>
        <w:t>labour</w:t>
      </w:r>
      <w:proofErr w:type="spellEnd"/>
      <w:r>
        <w:rPr>
          <w:lang w:val="en-US" w:eastAsia="en-AU"/>
        </w:rPr>
        <w:t xml:space="preserve"> force data at a monthly frequency in the </w:t>
      </w:r>
      <w:proofErr w:type="spellStart"/>
      <w:r>
        <w:rPr>
          <w:lang w:val="en-US" w:eastAsia="en-AU"/>
        </w:rPr>
        <w:t>Labour</w:t>
      </w:r>
      <w:proofErr w:type="spellEnd"/>
      <w:r>
        <w:rPr>
          <w:lang w:val="en-US" w:eastAsia="en-AU"/>
        </w:rPr>
        <w:t xml:space="preserve"> Force Survey (ABS Cat. No. 6202 and ABS Cat. No. 6291). Data in original terms are available by sex and by five-year age groups between 15-19 and 60-64 and for those aged 65 and over. In addition, this paper uses unpublished ABS data that splits the 65</w:t>
      </w:r>
      <w:r w:rsidR="00AE534A">
        <w:rPr>
          <w:lang w:val="en-US" w:eastAsia="en-AU"/>
        </w:rPr>
        <w:t> </w:t>
      </w:r>
      <w:r>
        <w:rPr>
          <w:lang w:val="en-US" w:eastAsia="en-AU"/>
        </w:rPr>
        <w:t>and over category into those aged 65-69 and 70 and over. The monthly data has been converted to quarterly frequency by averaging the monthly data.</w:t>
      </w:r>
    </w:p>
    <w:p w14:paraId="2E62207D" w14:textId="77777777" w:rsidR="002E5EC8" w:rsidRDefault="002E5EC8" w:rsidP="000D0A0A">
      <w:pPr>
        <w:pStyle w:val="Heading3NotNumbered"/>
      </w:pPr>
      <w:r>
        <w:t>Full-time and part-time participation rates</w:t>
      </w:r>
    </w:p>
    <w:p w14:paraId="5940A8F2" w14:textId="0AAE6AAD" w:rsidR="002E5EC8" w:rsidRDefault="002E5EC8" w:rsidP="002E5EC8">
      <w:r>
        <w:t xml:space="preserve">The ABS </w:t>
      </w:r>
      <w:proofErr w:type="gramStart"/>
      <w:r>
        <w:t>defines</w:t>
      </w:r>
      <w:proofErr w:type="gramEnd"/>
      <w:r>
        <w:t xml:space="preserve"> a full-time employee as somebody who usually works 35 hours or more per</w:t>
      </w:r>
      <w:r w:rsidR="00AE534A">
        <w:t> </w:t>
      </w:r>
      <w:r>
        <w:t>week, or did so in the survey week, and a part-time employee as someone who worked between one and 34 hours per week. Consistent with this definition, we adopt the following participation rate definitions:</w:t>
      </w:r>
      <w:r w:rsidR="00DD2736">
        <w:t xml:space="preserve"> </w:t>
      </w:r>
      <w:proofErr w:type="spellStart"/>
      <w:r w:rsidR="00DD2736">
        <w:t>i</w:t>
      </w:r>
      <w:proofErr w:type="spellEnd"/>
      <w:r w:rsidR="00DD2736">
        <w:t xml:space="preserve">) full-time participation rate is </w:t>
      </w:r>
      <w:r w:rsidR="00034A9C">
        <w:t xml:space="preserve">defined as the share of the civilian working-age population that is either </w:t>
      </w:r>
      <w:r w:rsidR="00CA2CAB">
        <w:t>working</w:t>
      </w:r>
      <w:r w:rsidR="004231D8">
        <w:t xml:space="preserve"> </w:t>
      </w:r>
      <w:r w:rsidR="00034A9C">
        <w:t>full-time</w:t>
      </w:r>
      <w:r w:rsidR="00CA2CAB">
        <w:t>,</w:t>
      </w:r>
      <w:r w:rsidR="00034A9C">
        <w:t xml:space="preserve"> </w:t>
      </w:r>
      <w:r w:rsidR="00FA4A15">
        <w:t>or</w:t>
      </w:r>
      <w:r w:rsidR="00286F4B">
        <w:t xml:space="preserve"> </w:t>
      </w:r>
      <w:r w:rsidR="00FA4A15">
        <w:t>u</w:t>
      </w:r>
      <w:r w:rsidR="004231D8">
        <w:t xml:space="preserve">nemployed </w:t>
      </w:r>
      <w:r w:rsidR="00FA4A15">
        <w:t xml:space="preserve">and </w:t>
      </w:r>
      <w:r w:rsidR="004231D8">
        <w:t>looking for full-time or part-time work</w:t>
      </w:r>
      <w:r w:rsidR="00FA4A15">
        <w:t>;</w:t>
      </w:r>
      <w:r w:rsidR="00034A9C">
        <w:t xml:space="preserve"> ii) part-time participation rate is </w:t>
      </w:r>
      <w:r w:rsidR="00FA4A15">
        <w:t>defined as the share of the civilian working-age population that is either working part-t</w:t>
      </w:r>
      <w:r w:rsidR="00CA2CAB">
        <w:t>ime, or unemployed and only looking for part-time work.</w:t>
      </w:r>
    </w:p>
    <w:p w14:paraId="3EBD6184" w14:textId="77777777" w:rsidR="002E5EC8" w:rsidRDefault="002E5EC8" w:rsidP="000D0A0A">
      <w:pPr>
        <w:pStyle w:val="Heading2NotNumbered"/>
      </w:pPr>
      <w:bookmarkStart w:id="25" w:name="_Toc70507633"/>
      <w:r>
        <w:t>Educational attendance rates</w:t>
      </w:r>
      <w:bookmarkEnd w:id="25"/>
    </w:p>
    <w:p w14:paraId="0252EC49" w14:textId="6737F753" w:rsidR="002E5EC8" w:rsidDel="005F4F65" w:rsidRDefault="002E5EC8" w:rsidP="002E5EC8">
      <w:r>
        <w:t xml:space="preserve">The educational attendance rate is defined as the proportion of a group that attends an educational institution full-time. The ABS </w:t>
      </w:r>
      <w:proofErr w:type="gramStart"/>
      <w:r>
        <w:t>publishes</w:t>
      </w:r>
      <w:proofErr w:type="gramEnd"/>
      <w:r>
        <w:t xml:space="preserve"> monthly data on the number of individuals in age groups</w:t>
      </w:r>
      <w:r w:rsidR="00AE534A">
        <w:br/>
      </w:r>
      <w:r>
        <w:t xml:space="preserve">15-19 and 20-24, by sex, that attends an educational institution full-time. This data is available </w:t>
      </w:r>
      <w:r w:rsidR="00625080">
        <w:t xml:space="preserve">for </w:t>
      </w:r>
      <w:r>
        <w:t xml:space="preserve">the period since </w:t>
      </w:r>
      <w:r w:rsidR="0065212A">
        <w:t>April 1986</w:t>
      </w:r>
      <w:r>
        <w:t xml:space="preserve"> (Cat. No</w:t>
      </w:r>
      <w:r w:rsidRPr="00625080">
        <w:t>. 6202).</w:t>
      </w:r>
      <w:r>
        <w:t xml:space="preserve">  </w:t>
      </w:r>
      <w:r w:rsidR="009A3AC6">
        <w:t xml:space="preserve">We then construct a series for the 1981 to 1985 period from </w:t>
      </w:r>
      <w:r>
        <w:t xml:space="preserve">the ABS </w:t>
      </w:r>
      <w:r w:rsidRPr="000A3BD3">
        <w:rPr>
          <w:i/>
        </w:rPr>
        <w:t>‘Transition from education to work Australia’</w:t>
      </w:r>
      <w:r>
        <w:t xml:space="preserve"> publication (</w:t>
      </w:r>
      <w:r w:rsidR="00246D58">
        <w:t>Cat. No. 6227</w:t>
      </w:r>
      <w:r>
        <w:t>)</w:t>
      </w:r>
      <w:r w:rsidR="009A3AC6">
        <w:t>, which</w:t>
      </w:r>
      <w:r>
        <w:t xml:space="preserve"> </w:t>
      </w:r>
      <w:r w:rsidR="009A3AC6">
        <w:t>provides</w:t>
      </w:r>
      <w:r>
        <w:t xml:space="preserve"> observations for the May month of 1981 to 1985. For the missing months in this period we interpolate the values. The educational attendance rate is then calculated using the population data by age group and sex from the labour force survey.</w:t>
      </w:r>
    </w:p>
    <w:p w14:paraId="423F4C24" w14:textId="276BEF89" w:rsidR="002E5EC8" w:rsidRDefault="002E5EC8" w:rsidP="002E5EC8">
      <w:r>
        <w:t>The data were converted from monthly to quarterly frequency by averaging the monthly observations</w:t>
      </w:r>
      <w:r w:rsidR="00625080">
        <w:t>.</w:t>
      </w:r>
      <w:r>
        <w:t xml:space="preserve"> In order to be able to utilise the full sample of participation rate data (the quarterly series starts in </w:t>
      </w:r>
      <w:r w:rsidR="00625080">
        <w:t xml:space="preserve">the second quarter of </w:t>
      </w:r>
      <w:r>
        <w:t>1978), we extrapolate the educational attendance rate data backwards using a linear trend fitted through the earliest 10 years of data available.</w:t>
      </w:r>
    </w:p>
    <w:p w14:paraId="1158CD96" w14:textId="2C4C7B16" w:rsidR="002E5EC8" w:rsidRPr="00422BA9" w:rsidRDefault="002E5EC8" w:rsidP="000D0A0A">
      <w:pPr>
        <w:pStyle w:val="Heading2NotNumbered"/>
      </w:pPr>
      <w:bookmarkStart w:id="26" w:name="_Toc70507634"/>
      <w:r w:rsidRPr="00422BA9">
        <w:t>Fertility rates</w:t>
      </w:r>
      <w:bookmarkEnd w:id="26"/>
    </w:p>
    <w:p w14:paraId="69BFC028" w14:textId="5F527315" w:rsidR="008766BF" w:rsidRPr="008627B1" w:rsidRDefault="002E5EC8" w:rsidP="002E5EC8">
      <w:r>
        <w:t xml:space="preserve">The ABS </w:t>
      </w:r>
      <w:proofErr w:type="gramStart"/>
      <w:r>
        <w:t>publishes</w:t>
      </w:r>
      <w:proofErr w:type="gramEnd"/>
      <w:r>
        <w:t xml:space="preserve"> data on fertility rates by single year of age at an annual frequency (ABS Cat. No.</w:t>
      </w:r>
      <w:r w:rsidR="00AE534A">
        <w:t> </w:t>
      </w:r>
      <w:r>
        <w:t>3301).</w:t>
      </w:r>
      <w:r w:rsidR="00487A0C">
        <w:t xml:space="preserve"> We aggregate the </w:t>
      </w:r>
      <w:proofErr w:type="gramStart"/>
      <w:r w:rsidR="00487A0C">
        <w:t>single-year</w:t>
      </w:r>
      <w:proofErr w:type="gramEnd"/>
      <w:r w:rsidR="00487A0C">
        <w:t xml:space="preserve"> of age data into age groups consistent with the labour force data.</w:t>
      </w:r>
    </w:p>
    <w:sectPr w:rsidR="008766BF" w:rsidRPr="008627B1" w:rsidSect="00124A74">
      <w:headerReference w:type="first" r:id="rId68"/>
      <w:footerReference w:type="first" r:id="rId69"/>
      <w:pgSz w:w="11906" w:h="16838" w:code="9"/>
      <w:pgMar w:top="1701" w:right="1474" w:bottom="1701" w:left="1474"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588E3" w14:textId="77777777" w:rsidR="00923B6D" w:rsidRDefault="00923B6D" w:rsidP="005F100C">
      <w:pPr>
        <w:spacing w:after="0"/>
      </w:pPr>
      <w:r>
        <w:separator/>
      </w:r>
    </w:p>
  </w:endnote>
  <w:endnote w:type="continuationSeparator" w:id="0">
    <w:p w14:paraId="6D102B17" w14:textId="77777777" w:rsidR="00923B6D" w:rsidRDefault="00923B6D" w:rsidP="005F100C">
      <w:pPr>
        <w:spacing w:after="0"/>
      </w:pPr>
      <w:r>
        <w:continuationSeparator/>
      </w:r>
    </w:p>
  </w:endnote>
  <w:endnote w:type="continuationNotice" w:id="1">
    <w:p w14:paraId="06EE72E8" w14:textId="77777777" w:rsidR="00923B6D" w:rsidRDefault="00923B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3BC1C" w14:textId="20E15339" w:rsidR="008B77EE" w:rsidRPr="00082BD3" w:rsidRDefault="008B77EE" w:rsidP="00082BD3">
    <w:pPr>
      <w:pStyle w:val="FooterEven"/>
    </w:pPr>
    <w:r w:rsidRPr="00082BD3">
      <w:fldChar w:fldCharType="begin"/>
    </w:r>
    <w:r w:rsidRPr="00082BD3">
      <w:instrText xml:space="preserve"> PAGE   \* MERGEFORMAT </w:instrText>
    </w:r>
    <w:r w:rsidRPr="00082BD3">
      <w:fldChar w:fldCharType="separate"/>
    </w:r>
    <w:r w:rsidRPr="00082BD3">
      <w:t>2</w:t>
    </w:r>
    <w:r w:rsidRPr="00082B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9A53D" w14:textId="337DD33C" w:rsidR="008B77EE" w:rsidRPr="00082BD3" w:rsidRDefault="008B77EE" w:rsidP="00082BD3">
    <w:pPr>
      <w:pStyle w:val="FooterOdd"/>
      <w:rPr>
        <w:rStyle w:val="PageNumber"/>
        <w:rFonts w:ascii="Arial" w:hAnsi="Arial"/>
        <w:color w:val="003157"/>
        <w:sz w:val="18"/>
      </w:rPr>
    </w:pPr>
    <w:r w:rsidRPr="00082BD3">
      <w:rPr>
        <w:rStyle w:val="PageNumber"/>
        <w:rFonts w:ascii="Arial" w:hAnsi="Arial"/>
        <w:color w:val="003157"/>
        <w:sz w:val="18"/>
      </w:rPr>
      <w:fldChar w:fldCharType="begin"/>
    </w:r>
    <w:r w:rsidRPr="00082BD3">
      <w:rPr>
        <w:rStyle w:val="PageNumber"/>
        <w:rFonts w:ascii="Arial" w:hAnsi="Arial"/>
        <w:color w:val="003157"/>
        <w:sz w:val="18"/>
      </w:rPr>
      <w:instrText xml:space="preserve"> PAGE   \* MERGEFORMAT </w:instrText>
    </w:r>
    <w:r w:rsidRPr="00082BD3">
      <w:rPr>
        <w:rStyle w:val="PageNumber"/>
        <w:rFonts w:ascii="Arial" w:hAnsi="Arial"/>
        <w:color w:val="003157"/>
        <w:sz w:val="18"/>
      </w:rPr>
      <w:fldChar w:fldCharType="separate"/>
    </w:r>
    <w:r w:rsidRPr="00082BD3">
      <w:rPr>
        <w:rStyle w:val="PageNumber"/>
        <w:rFonts w:ascii="Arial" w:hAnsi="Arial"/>
        <w:color w:val="003157"/>
        <w:sz w:val="18"/>
      </w:rPr>
      <w:t>35</w:t>
    </w:r>
    <w:r w:rsidRPr="00082BD3">
      <w:rPr>
        <w:rStyle w:val="PageNumber"/>
        <w:rFonts w:ascii="Arial" w:hAnsi="Arial"/>
        <w:color w:val="003157"/>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C613B" w14:textId="14993A04" w:rsidR="008B77EE" w:rsidRPr="00124A74" w:rsidRDefault="008B77EE" w:rsidP="00124A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9BE6" w14:textId="55535B08" w:rsidR="008B77EE" w:rsidRPr="00124A74" w:rsidRDefault="008B77EE" w:rsidP="00124A74">
    <w:pPr>
      <w:pStyle w:val="FooterOdd"/>
    </w:pPr>
    <w:r>
      <w:fldChar w:fldCharType="begin"/>
    </w:r>
    <w:r>
      <w:instrText xml:space="preserve"> PAGE  \* roman  \* MERGEFORMAT </w:instrText>
    </w:r>
    <w:r>
      <w:fldChar w:fldCharType="separate"/>
    </w:r>
    <w:r>
      <w:rPr>
        <w:noProof/>
      </w:rPr>
      <w:t>iii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B3DD9" w14:textId="428951F8" w:rsidR="008B77EE" w:rsidRPr="00124A74" w:rsidRDefault="008B77EE" w:rsidP="00124A74">
    <w:pPr>
      <w:pStyle w:val="FooterEven"/>
    </w:pPr>
    <w:r>
      <w:fldChar w:fldCharType="begin"/>
    </w:r>
    <w:r>
      <w:instrText xml:space="preserve"> PAGE  \* roman  \* MERGEFORMAT </w:instrText>
    </w:r>
    <w:r>
      <w:fldChar w:fldCharType="separate"/>
    </w:r>
    <w:r>
      <w:rPr>
        <w:noProof/>
      </w:rPr>
      <w:t>iii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A29D4" w14:textId="18D1CDDE" w:rsidR="008B77EE" w:rsidRPr="00C3513E" w:rsidRDefault="008B77EE" w:rsidP="00082BD3">
    <w:pPr>
      <w:pStyle w:val="FooterOdd"/>
    </w:pPr>
    <w:r w:rsidRPr="00C3513E">
      <w:fldChar w:fldCharType="begin"/>
    </w:r>
    <w:r w:rsidRPr="00C3513E">
      <w:instrText xml:space="preserve"> PAGE   \* MERGEFORMAT </w:instrText>
    </w:r>
    <w:r w:rsidRPr="00C3513E">
      <w:fldChar w:fldCharType="separate"/>
    </w:r>
    <w:r w:rsidRPr="00C3513E">
      <w:t>31</w:t>
    </w:r>
    <w:r w:rsidRPr="00C351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C8D51" w14:textId="77777777" w:rsidR="00923B6D" w:rsidRDefault="00923B6D" w:rsidP="005F100C">
      <w:pPr>
        <w:spacing w:after="0"/>
      </w:pPr>
      <w:r>
        <w:separator/>
      </w:r>
    </w:p>
  </w:footnote>
  <w:footnote w:type="continuationSeparator" w:id="0">
    <w:p w14:paraId="2226450D" w14:textId="77777777" w:rsidR="00923B6D" w:rsidRDefault="00923B6D" w:rsidP="005F100C">
      <w:pPr>
        <w:spacing w:after="0"/>
      </w:pPr>
      <w:r>
        <w:continuationSeparator/>
      </w:r>
    </w:p>
  </w:footnote>
  <w:footnote w:type="continuationNotice" w:id="1">
    <w:p w14:paraId="2BA5878F" w14:textId="77777777" w:rsidR="00923B6D" w:rsidRDefault="00923B6D">
      <w:pPr>
        <w:spacing w:after="0"/>
      </w:pPr>
    </w:p>
  </w:footnote>
  <w:footnote w:id="2">
    <w:p w14:paraId="407F98D8" w14:textId="6A26C9AE" w:rsidR="008B77EE" w:rsidRPr="00614F35" w:rsidRDefault="008B77EE" w:rsidP="007A4382">
      <w:pPr>
        <w:pStyle w:val="FootnoteText"/>
      </w:pPr>
      <w:r w:rsidRPr="000464B6">
        <w:rPr>
          <w:rStyle w:val="FootnoteReference"/>
          <w:vertAlign w:val="baseline"/>
        </w:rPr>
        <w:footnoteRef/>
      </w:r>
      <w:r w:rsidRPr="000464B6">
        <w:t xml:space="preserve"> </w:t>
      </w:r>
      <w:r>
        <w:tab/>
        <w:t xml:space="preserve">Macroeconomic Analysis and Policy Division, The Treasury, Langton Crescent, Parkes ACT 2600, </w:t>
      </w:r>
      <w:r w:rsidRPr="006B4A87">
        <w:t xml:space="preserve">Australia. Correspondence: </w:t>
      </w:r>
      <w:r>
        <w:t xml:space="preserve">Linus Gustafsson, </w:t>
      </w:r>
      <w:hyperlink r:id="rId1" w:history="1">
        <w:r>
          <w:rPr>
            <w:rStyle w:val="Hyperlink"/>
          </w:rPr>
          <w:t>linus.gustafsson@treasury.gov.au</w:t>
        </w:r>
      </w:hyperlink>
      <w:r w:rsidRPr="00A62D23">
        <w:t xml:space="preserve">. I </w:t>
      </w:r>
      <w:r>
        <w:t xml:space="preserve">thank Michael Kouparitsas for his ongoing support and guidance throughout the work on this paper. </w:t>
      </w:r>
      <w:r w:rsidRPr="00A62D23">
        <w:t xml:space="preserve">I </w:t>
      </w:r>
      <w:r>
        <w:t xml:space="preserve">also </w:t>
      </w:r>
      <w:r w:rsidRPr="00A62D23">
        <w:t>thank Jeff Borland for his comments on drafts of this paper and for sharing his knowledge of the existing literature and developments in the Australian labour market over recent decades.</w:t>
      </w:r>
      <w:r>
        <w:t xml:space="preserve"> Finally, I thank John Breusch, Louise Lilley and participants at various seminars and conferences, including Treasury’s Macroeconomic Group Seminar, </w:t>
      </w:r>
      <w:r w:rsidRPr="003F5297">
        <w:t>Treasury’s Expert Panel on Macroeconomic Modelling</w:t>
      </w:r>
      <w:r>
        <w:t xml:space="preserve">, and the 2018 Australian Conference of Economists for comments and suggestions. </w:t>
      </w:r>
    </w:p>
  </w:footnote>
  <w:footnote w:id="3">
    <w:p w14:paraId="718129C1" w14:textId="5533A27F" w:rsidR="008B77EE" w:rsidRPr="007A4382" w:rsidRDefault="008B77EE" w:rsidP="007A4382">
      <w:pPr>
        <w:pStyle w:val="FootnoteText"/>
        <w:rPr>
          <w:rStyle w:val="FootnoteReference"/>
          <w:vertAlign w:val="baseline"/>
        </w:rPr>
      </w:pPr>
      <w:r w:rsidRPr="007A4382">
        <w:rPr>
          <w:rStyle w:val="FootnoteReference"/>
          <w:vertAlign w:val="baseline"/>
        </w:rPr>
        <w:footnoteRef/>
      </w:r>
      <w:r w:rsidRPr="007A4382">
        <w:rPr>
          <w:rStyle w:val="FootnoteReference"/>
          <w:vertAlign w:val="baseline"/>
        </w:rPr>
        <w:t xml:space="preserve"> </w:t>
      </w:r>
      <w:r w:rsidRPr="007A4382">
        <w:rPr>
          <w:rStyle w:val="FootnoteReference"/>
          <w:vertAlign w:val="baseline"/>
        </w:rPr>
        <w:tab/>
        <w:t>The views expressed in this paper are those of the author and do not necessarily reflect those of The Australian Treasury or the Australian Government.</w:t>
      </w:r>
    </w:p>
  </w:footnote>
  <w:footnote w:id="4">
    <w:p w14:paraId="17E3B4BA" w14:textId="38EDC02C" w:rsidR="008B77EE" w:rsidRDefault="008B77EE" w:rsidP="007A4382">
      <w:pPr>
        <w:pStyle w:val="FootnoteText"/>
      </w:pPr>
      <w:r w:rsidRPr="007A4382">
        <w:rPr>
          <w:rStyle w:val="FootnoteReference"/>
          <w:vertAlign w:val="baseline"/>
        </w:rPr>
        <w:footnoteRef/>
      </w:r>
      <w:r w:rsidRPr="007A4382">
        <w:rPr>
          <w:rStyle w:val="FootnoteReference"/>
          <w:vertAlign w:val="baseline"/>
        </w:rPr>
        <w:t xml:space="preserve"> </w:t>
      </w:r>
      <w:r>
        <w:tab/>
      </w:r>
      <w:r w:rsidRPr="007A4382">
        <w:rPr>
          <w:rStyle w:val="FootnoteReference"/>
          <w:vertAlign w:val="baseline"/>
        </w:rPr>
        <w:t>The univariate filter is a HP filter with smoothing parameter of 1600 which is appropriate for quarterly data. In order to reduce the endpoint problems associated with this filter, we ignore the last 12 observations from the estimated trend and assume that the trend is unchanged over that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BE47" w14:textId="0A626C31" w:rsidR="008B77EE" w:rsidRPr="00C3513E" w:rsidRDefault="008B77EE" w:rsidP="00C3513E">
    <w:pPr>
      <w:pStyle w:val="HeaderEven"/>
    </w:pPr>
    <w:r>
      <w:fldChar w:fldCharType="begin"/>
    </w:r>
    <w:r>
      <w:instrText xml:space="preserve"> TITLE   \* MERGEFORMAT </w:instrText>
    </w:r>
    <w:r>
      <w:fldChar w:fldCharType="separate"/>
    </w:r>
    <w:r w:rsidR="00BE3EEE">
      <w:t xml:space="preserve">Australian labour force participation: Historical trends and </w:t>
    </w:r>
    <w:proofErr w:type="gramStart"/>
    <w:r w:rsidR="00BE3EEE">
      <w:t>future prospects</w:t>
    </w:r>
    <w:proofErr w:type="gramEnd"/>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087FD" w14:textId="526E44A9" w:rsidR="008B77EE" w:rsidRPr="00082BD3" w:rsidRDefault="008B77EE" w:rsidP="00082BD3">
    <w:pPr>
      <w:pStyle w:val="HeaderOdd"/>
    </w:pPr>
    <w:r>
      <w:fldChar w:fldCharType="begin"/>
    </w:r>
    <w:r>
      <w:instrText xml:space="preserve"> TITLE   \* MERGEFORMAT </w:instrText>
    </w:r>
    <w:r>
      <w:fldChar w:fldCharType="separate"/>
    </w:r>
    <w:r w:rsidR="00BE3EEE">
      <w:t xml:space="preserve">Australian labour force participation: Historical trends and </w:t>
    </w:r>
    <w:proofErr w:type="gramStart"/>
    <w:r w:rsidR="00BE3EEE">
      <w:t>future prospects</w:t>
    </w:r>
    <w:proofErr w:type="gramEnd"/>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2280C" w14:textId="774695B0" w:rsidR="008B77EE" w:rsidRPr="00406D60" w:rsidRDefault="00406D60" w:rsidP="00406D60">
    <w:pPr>
      <w:pStyle w:val="Header"/>
    </w:pPr>
    <w:r>
      <w:rPr>
        <w:noProof/>
      </w:rPr>
      <w:drawing>
        <wp:anchor distT="0" distB="0" distL="114300" distR="114300" simplePos="0" relativeHeight="251682816" behindDoc="1" locked="0" layoutInCell="1" allowOverlap="1" wp14:anchorId="69E97C1E" wp14:editId="0AD4F213">
          <wp:simplePos x="0" y="0"/>
          <wp:positionH relativeFrom="page">
            <wp:posOffset>-10160</wp:posOffset>
          </wp:positionH>
          <wp:positionV relativeFrom="topMargin">
            <wp:posOffset>-1905</wp:posOffset>
          </wp:positionV>
          <wp:extent cx="7560000" cy="104912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4912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AB4F5" w14:textId="7E36BA62" w:rsidR="008B77EE" w:rsidRPr="00124A74" w:rsidRDefault="008B77EE" w:rsidP="00124A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61FE" w14:textId="4DFA5D15" w:rsidR="008B77EE" w:rsidRPr="00F60530" w:rsidRDefault="008B77EE" w:rsidP="00C3513E">
    <w:pPr>
      <w:pStyle w:val="SecurityClassificationHeader"/>
      <w:jc w:val="left"/>
    </w:pPr>
    <w:r w:rsidRPr="00F605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015440DC"/>
    <w:lvl w:ilvl="0">
      <w:start w:val="1"/>
      <w:numFmt w:val="decimal"/>
      <w:pStyle w:val="Heading1-Numbered"/>
      <w:lvlText w:val="%1."/>
      <w:lvlJc w:val="left"/>
      <w:pPr>
        <w:tabs>
          <w:tab w:val="num" w:pos="567"/>
        </w:tabs>
        <w:ind w:left="567" w:hanging="567"/>
      </w:pPr>
      <w:rPr>
        <w:rFonts w:hint="default"/>
      </w:rPr>
    </w:lvl>
    <w:lvl w:ilvl="1">
      <w:start w:val="1"/>
      <w:numFmt w:val="decimal"/>
      <w:pStyle w:val="Heading2-Numbered"/>
      <w:lvlText w:val="%1.%2"/>
      <w:lvlJc w:val="left"/>
      <w:pPr>
        <w:tabs>
          <w:tab w:val="num" w:pos="709"/>
        </w:tabs>
        <w:ind w:left="709"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774A47"/>
    <w:multiLevelType w:val="multilevel"/>
    <w:tmpl w:val="99AC09E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5"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8"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A928FF"/>
    <w:multiLevelType w:val="hybridMultilevel"/>
    <w:tmpl w:val="129C3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2"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45B0A7E"/>
    <w:multiLevelType w:val="multilevel"/>
    <w:tmpl w:val="EDEE4FB6"/>
    <w:numStyleLink w:val="RecommendationBulletList"/>
  </w:abstractNum>
  <w:abstractNum w:abstractNumId="24"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6" w15:restartNumberingAfterBreak="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10D2021"/>
    <w:multiLevelType w:val="multilevel"/>
    <w:tmpl w:val="72F8140E"/>
    <w:numStyleLink w:val="OutlineList"/>
  </w:abstractNum>
  <w:abstractNum w:abstractNumId="28"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5F73129"/>
    <w:multiLevelType w:val="multilevel"/>
    <w:tmpl w:val="D9A8A212"/>
    <w:numStyleLink w:val="RomanNumeralList"/>
  </w:abstractNum>
  <w:abstractNum w:abstractNumId="30" w15:restartNumberingAfterBreak="0">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2" w15:restartNumberingAfterBreak="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4" w15:restartNumberingAfterBreak="0">
    <w:nsid w:val="6A5F7B24"/>
    <w:multiLevelType w:val="multilevel"/>
    <w:tmpl w:val="EF5E7CDA"/>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5"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9"/>
  </w:num>
  <w:num w:numId="2">
    <w:abstractNumId w:val="26"/>
  </w:num>
  <w:num w:numId="3">
    <w:abstractNumId w:val="14"/>
  </w:num>
  <w:num w:numId="4">
    <w:abstractNumId w:val="30"/>
  </w:num>
  <w:num w:numId="5">
    <w:abstractNumId w:val="25"/>
  </w:num>
  <w:num w:numId="6">
    <w:abstractNumId w:val="11"/>
  </w:num>
  <w:num w:numId="7">
    <w:abstractNumId w:val="36"/>
  </w:num>
  <w:num w:numId="8">
    <w:abstractNumId w:val="8"/>
  </w:num>
  <w:num w:numId="9">
    <w:abstractNumId w:val="17"/>
  </w:num>
  <w:num w:numId="10">
    <w:abstractNumId w:val="31"/>
  </w:num>
  <w:num w:numId="11">
    <w:abstractNumId w:val="13"/>
  </w:num>
  <w:num w:numId="12">
    <w:abstractNumId w:val="38"/>
  </w:num>
  <w:num w:numId="13">
    <w:abstractNumId w:val="32"/>
  </w:num>
  <w:num w:numId="14">
    <w:abstractNumId w:val="16"/>
  </w:num>
  <w:num w:numId="15">
    <w:abstractNumId w:val="3"/>
  </w:num>
  <w:num w:numId="16">
    <w:abstractNumId w:val="7"/>
  </w:num>
  <w:num w:numId="17">
    <w:abstractNumId w:val="24"/>
  </w:num>
  <w:num w:numId="18">
    <w:abstractNumId w:val="2"/>
  </w:num>
  <w:num w:numId="19">
    <w:abstractNumId w:val="19"/>
  </w:num>
  <w:num w:numId="20">
    <w:abstractNumId w:val="5"/>
  </w:num>
  <w:num w:numId="21">
    <w:abstractNumId w:val="9"/>
  </w:num>
  <w:num w:numId="22">
    <w:abstractNumId w:val="4"/>
  </w:num>
  <w:num w:numId="23">
    <w:abstractNumId w:val="6"/>
  </w:num>
  <w:num w:numId="24">
    <w:abstractNumId w:val="27"/>
  </w:num>
  <w:num w:numId="25">
    <w:abstractNumId w:val="23"/>
  </w:num>
  <w:num w:numId="26">
    <w:abstractNumId w:val="29"/>
  </w:num>
  <w:num w:numId="27">
    <w:abstractNumId w:val="18"/>
  </w:num>
  <w:num w:numId="28">
    <w:abstractNumId w:val="28"/>
  </w:num>
  <w:num w:numId="29">
    <w:abstractNumId w:val="10"/>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4"/>
  </w:num>
  <w:num w:numId="33">
    <w:abstractNumId w:val="22"/>
  </w:num>
  <w:num w:numId="34">
    <w:abstractNumId w:val="1"/>
  </w:num>
  <w:num w:numId="35">
    <w:abstractNumId w:val="1"/>
  </w:num>
  <w:num w:numId="36">
    <w:abstractNumId w:val="37"/>
  </w:num>
  <w:num w:numId="37">
    <w:abstractNumId w:val="1"/>
  </w:num>
  <w:num w:numId="38">
    <w:abstractNumId w:val="34"/>
  </w:num>
  <w:num w:numId="39">
    <w:abstractNumId w:val="1"/>
  </w:num>
  <w:num w:numId="40">
    <w:abstractNumId w:val="15"/>
  </w:num>
  <w:num w:numId="41">
    <w:abstractNumId w:val="33"/>
  </w:num>
  <w:num w:numId="42">
    <w:abstractNumId w:val="15"/>
  </w:num>
  <w:num w:numId="43">
    <w:abstractNumId w:val="15"/>
  </w:num>
  <w:num w:numId="44">
    <w:abstractNumId w:val="21"/>
  </w:num>
  <w:num w:numId="45">
    <w:abstractNumId w:val="34"/>
  </w:num>
  <w:num w:numId="46">
    <w:abstractNumId w:val="34"/>
  </w:num>
  <w:num w:numId="47">
    <w:abstractNumId w:val="35"/>
  </w:num>
  <w:num w:numId="48">
    <w:abstractNumId w:val="0"/>
  </w:num>
  <w:num w:numId="49">
    <w:abstractNumId w:val="20"/>
  </w:num>
  <w:num w:numId="50">
    <w:abstractNumId w:val="15"/>
  </w:num>
  <w:num w:numId="51">
    <w:abstractNumId w:val="12"/>
  </w:num>
  <w:num w:numId="52">
    <w:abstractNumId w:val="34"/>
  </w:num>
  <w:num w:numId="53">
    <w:abstractNumId w:val="7"/>
  </w:num>
  <w:num w:numId="54">
    <w:abstractNumId w:val="34"/>
    <w:lvlOverride w:ilvl="0">
      <w:lvl w:ilvl="0">
        <w:start w:val="1"/>
        <w:numFmt w:val="decimal"/>
        <w:lvlRestart w:val="0"/>
        <w:pStyle w:val="Heading2"/>
        <w:lvlText w:val="%1."/>
        <w:lvlJc w:val="left"/>
        <w:pPr>
          <w:tabs>
            <w:tab w:val="num" w:pos="567"/>
          </w:tabs>
          <w:ind w:left="567" w:hanging="567"/>
        </w:pPr>
        <w:rPr>
          <w:rFonts w:ascii="Arial Bold" w:hAnsi="Arial Bold" w:cs="Arial" w:hint="default"/>
          <w:b/>
          <w:i w:val="0"/>
          <w:color w:val="003157"/>
        </w:rPr>
      </w:lvl>
    </w:lvlOverride>
    <w:lvlOverride w:ilvl="1">
      <w:lvl w:ilvl="1">
        <w:start w:val="1"/>
        <w:numFmt w:val="decimal"/>
        <w:lvlText w:val="%1.%2"/>
        <w:lvlJc w:val="left"/>
        <w:pPr>
          <w:tabs>
            <w:tab w:val="num" w:pos="850"/>
          </w:tabs>
          <w:ind w:left="0" w:firstLine="0"/>
        </w:pPr>
        <w:rPr>
          <w:rFonts w:ascii="Arial Bold" w:hAnsi="Arial Bold" w:cs="Arial" w:hint="default"/>
          <w:b/>
          <w:i w:val="0"/>
          <w:color w:val="003157"/>
        </w:rPr>
      </w:lvl>
    </w:lvlOverride>
    <w:lvlOverride w:ilvl="2">
      <w:lvl w:ilvl="2">
        <w:start w:val="1"/>
        <w:numFmt w:val="none"/>
        <w:lvlText w:val=""/>
        <w:lvlJc w:val="left"/>
        <w:pPr>
          <w:tabs>
            <w:tab w:val="num" w:pos="0"/>
          </w:tabs>
          <w:ind w:left="0" w:firstLine="0"/>
        </w:pPr>
        <w:rPr>
          <w:rFonts w:ascii="Arial" w:hAnsi="Arial" w:cs="Arial" w:hint="default"/>
          <w:b w:val="0"/>
          <w:i w:val="0"/>
          <w:color w:val="003157"/>
        </w:rPr>
      </w:lvl>
    </w:lvlOverride>
    <w:lvlOverride w:ilvl="3">
      <w:lvl w:ilvl="3">
        <w:start w:val="1"/>
        <w:numFmt w:val="decimal"/>
        <w:lvlText w:val="%4"/>
        <w:lvlJc w:val="left"/>
        <w:pPr>
          <w:tabs>
            <w:tab w:val="num" w:pos="2268"/>
          </w:tabs>
          <w:ind w:left="2268" w:hanging="567"/>
        </w:pPr>
        <w:rPr>
          <w:rFonts w:hint="default"/>
          <w:b w:val="0"/>
          <w:i w:val="0"/>
          <w:color w:val="000000"/>
        </w:rPr>
      </w:lvl>
    </w:lvlOverride>
    <w:lvlOverride w:ilvl="4">
      <w:lvl w:ilvl="4">
        <w:start w:val="1"/>
        <w:numFmt w:val="decimal"/>
        <w:lvlText w:val="%5"/>
        <w:lvlJc w:val="left"/>
        <w:pPr>
          <w:tabs>
            <w:tab w:val="num" w:pos="2835"/>
          </w:tabs>
          <w:ind w:left="2835" w:hanging="567"/>
        </w:pPr>
        <w:rPr>
          <w:rFonts w:hint="default"/>
          <w:b w:val="0"/>
          <w:i w:val="0"/>
          <w:color w:val="000000"/>
        </w:rPr>
      </w:lvl>
    </w:lvlOverride>
    <w:lvlOverride w:ilvl="5">
      <w:lvl w:ilvl="5">
        <w:start w:val="1"/>
        <w:numFmt w:val="decimal"/>
        <w:lvlText w:val="%6"/>
        <w:lvlJc w:val="left"/>
        <w:pPr>
          <w:tabs>
            <w:tab w:val="num" w:pos="3402"/>
          </w:tabs>
          <w:ind w:left="3402" w:hanging="567"/>
        </w:pPr>
        <w:rPr>
          <w:rFonts w:hint="default"/>
          <w:b w:val="0"/>
          <w:i w:val="0"/>
          <w:color w:val="000000"/>
        </w:rPr>
      </w:lvl>
    </w:lvlOverride>
    <w:lvlOverride w:ilvl="6">
      <w:lvl w:ilvl="6">
        <w:start w:val="1"/>
        <w:numFmt w:val="decimal"/>
        <w:lvlText w:val="%7"/>
        <w:lvlJc w:val="left"/>
        <w:pPr>
          <w:tabs>
            <w:tab w:val="num" w:pos="3969"/>
          </w:tabs>
          <w:ind w:left="3969" w:hanging="567"/>
        </w:pPr>
        <w:rPr>
          <w:rFonts w:hint="default"/>
          <w:b w:val="0"/>
          <w:i w:val="0"/>
          <w:color w:val="000000"/>
        </w:rPr>
      </w:lvl>
    </w:lvlOverride>
    <w:lvlOverride w:ilvl="7">
      <w:lvl w:ilvl="7">
        <w:start w:val="1"/>
        <w:numFmt w:val="decimal"/>
        <w:lvlText w:val="%8"/>
        <w:lvlJc w:val="left"/>
        <w:pPr>
          <w:tabs>
            <w:tab w:val="num" w:pos="4536"/>
          </w:tabs>
          <w:ind w:left="4536" w:hanging="567"/>
        </w:pPr>
        <w:rPr>
          <w:rFonts w:hint="default"/>
          <w:b w:val="0"/>
          <w:i w:val="0"/>
          <w:color w:val="000000"/>
        </w:rPr>
      </w:lvl>
    </w:lvlOverride>
    <w:lvlOverride w:ilvl="8">
      <w:lvl w:ilvl="8">
        <w:start w:val="1"/>
        <w:numFmt w:val="decimal"/>
        <w:lvlText w:val="%9"/>
        <w:lvlJc w:val="left"/>
        <w:pPr>
          <w:tabs>
            <w:tab w:val="num" w:pos="5103"/>
          </w:tabs>
          <w:ind w:left="5103" w:hanging="567"/>
        </w:pPr>
        <w:rPr>
          <w:rFonts w:hint="default"/>
          <w:b w:val="0"/>
          <w:i w:val="0"/>
          <w:color w:val="000000"/>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False"/>
    <w:docVar w:name="SecurityClassificationInHeader" w:val="False"/>
    <w:docVar w:name="SecurityDLMInHeader" w:val="False"/>
  </w:docVars>
  <w:rsids>
    <w:rsidRoot w:val="0033056E"/>
    <w:rsid w:val="00002ECF"/>
    <w:rsid w:val="0000380E"/>
    <w:rsid w:val="00003ACD"/>
    <w:rsid w:val="00003E26"/>
    <w:rsid w:val="0000456D"/>
    <w:rsid w:val="00004A57"/>
    <w:rsid w:val="00006E2D"/>
    <w:rsid w:val="00007CDE"/>
    <w:rsid w:val="00010A19"/>
    <w:rsid w:val="00010C96"/>
    <w:rsid w:val="0001277D"/>
    <w:rsid w:val="0001345B"/>
    <w:rsid w:val="00013F01"/>
    <w:rsid w:val="00015DE4"/>
    <w:rsid w:val="000167A9"/>
    <w:rsid w:val="000176B8"/>
    <w:rsid w:val="000205F1"/>
    <w:rsid w:val="0002176E"/>
    <w:rsid w:val="000219CC"/>
    <w:rsid w:val="000223EF"/>
    <w:rsid w:val="00023970"/>
    <w:rsid w:val="00025432"/>
    <w:rsid w:val="00025F49"/>
    <w:rsid w:val="00026600"/>
    <w:rsid w:val="00026EBE"/>
    <w:rsid w:val="000273C6"/>
    <w:rsid w:val="00030A40"/>
    <w:rsid w:val="000316E4"/>
    <w:rsid w:val="00031D47"/>
    <w:rsid w:val="000338ED"/>
    <w:rsid w:val="0003418E"/>
    <w:rsid w:val="00034A53"/>
    <w:rsid w:val="00034A9C"/>
    <w:rsid w:val="00035338"/>
    <w:rsid w:val="000355DD"/>
    <w:rsid w:val="0003564D"/>
    <w:rsid w:val="00036B40"/>
    <w:rsid w:val="00037520"/>
    <w:rsid w:val="000376A0"/>
    <w:rsid w:val="000379D3"/>
    <w:rsid w:val="000401BA"/>
    <w:rsid w:val="000401EC"/>
    <w:rsid w:val="0004031C"/>
    <w:rsid w:val="0004064D"/>
    <w:rsid w:val="0004175B"/>
    <w:rsid w:val="00041FA1"/>
    <w:rsid w:val="00042C8F"/>
    <w:rsid w:val="00042FC5"/>
    <w:rsid w:val="000446EA"/>
    <w:rsid w:val="000464B6"/>
    <w:rsid w:val="0004652D"/>
    <w:rsid w:val="00047723"/>
    <w:rsid w:val="00051668"/>
    <w:rsid w:val="00051C46"/>
    <w:rsid w:val="00051F18"/>
    <w:rsid w:val="000524A6"/>
    <w:rsid w:val="0005266F"/>
    <w:rsid w:val="000612B9"/>
    <w:rsid w:val="000622B2"/>
    <w:rsid w:val="00064E79"/>
    <w:rsid w:val="00065417"/>
    <w:rsid w:val="00065A58"/>
    <w:rsid w:val="000730BB"/>
    <w:rsid w:val="000744C8"/>
    <w:rsid w:val="000746FA"/>
    <w:rsid w:val="000749E8"/>
    <w:rsid w:val="00074DA5"/>
    <w:rsid w:val="00074F9E"/>
    <w:rsid w:val="000751DA"/>
    <w:rsid w:val="0007594F"/>
    <w:rsid w:val="00075960"/>
    <w:rsid w:val="0007674B"/>
    <w:rsid w:val="00077D52"/>
    <w:rsid w:val="00077E69"/>
    <w:rsid w:val="00080D77"/>
    <w:rsid w:val="00082B96"/>
    <w:rsid w:val="00082BD3"/>
    <w:rsid w:val="00083690"/>
    <w:rsid w:val="00084A21"/>
    <w:rsid w:val="00087F69"/>
    <w:rsid w:val="00091054"/>
    <w:rsid w:val="0009177F"/>
    <w:rsid w:val="000931BD"/>
    <w:rsid w:val="000931C2"/>
    <w:rsid w:val="000951C9"/>
    <w:rsid w:val="00095C3F"/>
    <w:rsid w:val="000964C8"/>
    <w:rsid w:val="000A252E"/>
    <w:rsid w:val="000A2593"/>
    <w:rsid w:val="000A303A"/>
    <w:rsid w:val="000A3F09"/>
    <w:rsid w:val="000A441D"/>
    <w:rsid w:val="000A461E"/>
    <w:rsid w:val="000A4A0D"/>
    <w:rsid w:val="000A65A5"/>
    <w:rsid w:val="000A6E28"/>
    <w:rsid w:val="000A7441"/>
    <w:rsid w:val="000A7F35"/>
    <w:rsid w:val="000B3489"/>
    <w:rsid w:val="000B5128"/>
    <w:rsid w:val="000B65AE"/>
    <w:rsid w:val="000B789B"/>
    <w:rsid w:val="000C1DC3"/>
    <w:rsid w:val="000C2067"/>
    <w:rsid w:val="000C2B34"/>
    <w:rsid w:val="000C2F69"/>
    <w:rsid w:val="000C4A6E"/>
    <w:rsid w:val="000C4FF6"/>
    <w:rsid w:val="000C53B2"/>
    <w:rsid w:val="000C5D74"/>
    <w:rsid w:val="000C61E9"/>
    <w:rsid w:val="000C6501"/>
    <w:rsid w:val="000C7F0D"/>
    <w:rsid w:val="000D017F"/>
    <w:rsid w:val="000D01AD"/>
    <w:rsid w:val="000D0742"/>
    <w:rsid w:val="000D0A0A"/>
    <w:rsid w:val="000D0C00"/>
    <w:rsid w:val="000D14B6"/>
    <w:rsid w:val="000D3B43"/>
    <w:rsid w:val="000D5802"/>
    <w:rsid w:val="000D5829"/>
    <w:rsid w:val="000D5D4E"/>
    <w:rsid w:val="000E0951"/>
    <w:rsid w:val="000E16CE"/>
    <w:rsid w:val="000E1EB3"/>
    <w:rsid w:val="000E23B0"/>
    <w:rsid w:val="000E27C1"/>
    <w:rsid w:val="000E298C"/>
    <w:rsid w:val="000E3ABB"/>
    <w:rsid w:val="000E4688"/>
    <w:rsid w:val="000E48F5"/>
    <w:rsid w:val="000E4A65"/>
    <w:rsid w:val="000E6147"/>
    <w:rsid w:val="000E6227"/>
    <w:rsid w:val="000E6B51"/>
    <w:rsid w:val="000F1892"/>
    <w:rsid w:val="000F2368"/>
    <w:rsid w:val="000F4782"/>
    <w:rsid w:val="000F54E3"/>
    <w:rsid w:val="000F55F3"/>
    <w:rsid w:val="000F5DFD"/>
    <w:rsid w:val="000F6777"/>
    <w:rsid w:val="000F6CD5"/>
    <w:rsid w:val="000F75FF"/>
    <w:rsid w:val="0010021B"/>
    <w:rsid w:val="0010105F"/>
    <w:rsid w:val="001020BF"/>
    <w:rsid w:val="0010309A"/>
    <w:rsid w:val="0010452A"/>
    <w:rsid w:val="0010526A"/>
    <w:rsid w:val="0010650B"/>
    <w:rsid w:val="00106974"/>
    <w:rsid w:val="00107849"/>
    <w:rsid w:val="00107FAD"/>
    <w:rsid w:val="00112FFC"/>
    <w:rsid w:val="00113033"/>
    <w:rsid w:val="00113224"/>
    <w:rsid w:val="00113D74"/>
    <w:rsid w:val="00113E33"/>
    <w:rsid w:val="00114B4C"/>
    <w:rsid w:val="001157A9"/>
    <w:rsid w:val="00116C55"/>
    <w:rsid w:val="00117BBB"/>
    <w:rsid w:val="001208D9"/>
    <w:rsid w:val="00122DC6"/>
    <w:rsid w:val="00124A74"/>
    <w:rsid w:val="0012589F"/>
    <w:rsid w:val="00126E0A"/>
    <w:rsid w:val="001317AE"/>
    <w:rsid w:val="00133393"/>
    <w:rsid w:val="0013371A"/>
    <w:rsid w:val="0013695B"/>
    <w:rsid w:val="001373EF"/>
    <w:rsid w:val="00137A95"/>
    <w:rsid w:val="00137C65"/>
    <w:rsid w:val="00140139"/>
    <w:rsid w:val="0014060D"/>
    <w:rsid w:val="00142A05"/>
    <w:rsid w:val="00142DD4"/>
    <w:rsid w:val="0014423C"/>
    <w:rsid w:val="001442EC"/>
    <w:rsid w:val="00144396"/>
    <w:rsid w:val="00147046"/>
    <w:rsid w:val="00147D94"/>
    <w:rsid w:val="00151139"/>
    <w:rsid w:val="001524C8"/>
    <w:rsid w:val="00152597"/>
    <w:rsid w:val="00152E31"/>
    <w:rsid w:val="00156029"/>
    <w:rsid w:val="00156AAD"/>
    <w:rsid w:val="001576B1"/>
    <w:rsid w:val="0016024A"/>
    <w:rsid w:val="00160F82"/>
    <w:rsid w:val="0016160F"/>
    <w:rsid w:val="00161E8C"/>
    <w:rsid w:val="0016451B"/>
    <w:rsid w:val="001653AF"/>
    <w:rsid w:val="001657C4"/>
    <w:rsid w:val="00165BEB"/>
    <w:rsid w:val="00166096"/>
    <w:rsid w:val="00166986"/>
    <w:rsid w:val="00167F41"/>
    <w:rsid w:val="001701FB"/>
    <w:rsid w:val="0017044C"/>
    <w:rsid w:val="001710F9"/>
    <w:rsid w:val="001724AE"/>
    <w:rsid w:val="001734B3"/>
    <w:rsid w:val="00173C48"/>
    <w:rsid w:val="001740D4"/>
    <w:rsid w:val="00174D00"/>
    <w:rsid w:val="001759E9"/>
    <w:rsid w:val="00176995"/>
    <w:rsid w:val="00180123"/>
    <w:rsid w:val="001812C4"/>
    <w:rsid w:val="00182BFD"/>
    <w:rsid w:val="00182FC8"/>
    <w:rsid w:val="00183503"/>
    <w:rsid w:val="001840AD"/>
    <w:rsid w:val="0018428D"/>
    <w:rsid w:val="00185526"/>
    <w:rsid w:val="00185BFE"/>
    <w:rsid w:val="00185C00"/>
    <w:rsid w:val="00190D47"/>
    <w:rsid w:val="00192654"/>
    <w:rsid w:val="0019299B"/>
    <w:rsid w:val="00192AEC"/>
    <w:rsid w:val="00193550"/>
    <w:rsid w:val="00193A7C"/>
    <w:rsid w:val="00193D92"/>
    <w:rsid w:val="00195498"/>
    <w:rsid w:val="00195D11"/>
    <w:rsid w:val="00197B3A"/>
    <w:rsid w:val="001A0BB1"/>
    <w:rsid w:val="001A420D"/>
    <w:rsid w:val="001A4275"/>
    <w:rsid w:val="001A48C6"/>
    <w:rsid w:val="001A49A3"/>
    <w:rsid w:val="001A58C1"/>
    <w:rsid w:val="001A5CF6"/>
    <w:rsid w:val="001A63C4"/>
    <w:rsid w:val="001A7F00"/>
    <w:rsid w:val="001A7FD5"/>
    <w:rsid w:val="001B03DF"/>
    <w:rsid w:val="001B0BA2"/>
    <w:rsid w:val="001B3844"/>
    <w:rsid w:val="001B4FA6"/>
    <w:rsid w:val="001B7911"/>
    <w:rsid w:val="001C027E"/>
    <w:rsid w:val="001C2B94"/>
    <w:rsid w:val="001C2C4A"/>
    <w:rsid w:val="001C4141"/>
    <w:rsid w:val="001C465E"/>
    <w:rsid w:val="001C46EF"/>
    <w:rsid w:val="001C5B24"/>
    <w:rsid w:val="001C5BEA"/>
    <w:rsid w:val="001C676C"/>
    <w:rsid w:val="001D07E8"/>
    <w:rsid w:val="001D0EAA"/>
    <w:rsid w:val="001D1097"/>
    <w:rsid w:val="001D14ED"/>
    <w:rsid w:val="001D1F01"/>
    <w:rsid w:val="001D2693"/>
    <w:rsid w:val="001D46F3"/>
    <w:rsid w:val="001D4756"/>
    <w:rsid w:val="001D5719"/>
    <w:rsid w:val="001D6579"/>
    <w:rsid w:val="001E0D32"/>
    <w:rsid w:val="001E1D66"/>
    <w:rsid w:val="001E205A"/>
    <w:rsid w:val="001E368F"/>
    <w:rsid w:val="001E3A16"/>
    <w:rsid w:val="001E664D"/>
    <w:rsid w:val="001F04C2"/>
    <w:rsid w:val="001F08B5"/>
    <w:rsid w:val="001F0DB5"/>
    <w:rsid w:val="001F2A2B"/>
    <w:rsid w:val="001F4822"/>
    <w:rsid w:val="001F5102"/>
    <w:rsid w:val="001F7074"/>
    <w:rsid w:val="00200659"/>
    <w:rsid w:val="002015AB"/>
    <w:rsid w:val="00201798"/>
    <w:rsid w:val="002039EF"/>
    <w:rsid w:val="00203F81"/>
    <w:rsid w:val="00205A42"/>
    <w:rsid w:val="00211545"/>
    <w:rsid w:val="00213312"/>
    <w:rsid w:val="00213AF9"/>
    <w:rsid w:val="00214743"/>
    <w:rsid w:val="002153B9"/>
    <w:rsid w:val="00215AF9"/>
    <w:rsid w:val="00217510"/>
    <w:rsid w:val="00217656"/>
    <w:rsid w:val="00221ABC"/>
    <w:rsid w:val="002235A4"/>
    <w:rsid w:val="0022412D"/>
    <w:rsid w:val="002247AA"/>
    <w:rsid w:val="002249D2"/>
    <w:rsid w:val="0022634A"/>
    <w:rsid w:val="002271BB"/>
    <w:rsid w:val="0023049D"/>
    <w:rsid w:val="002307E8"/>
    <w:rsid w:val="00230897"/>
    <w:rsid w:val="00231703"/>
    <w:rsid w:val="00232329"/>
    <w:rsid w:val="002324CE"/>
    <w:rsid w:val="002330AC"/>
    <w:rsid w:val="0023519F"/>
    <w:rsid w:val="00235926"/>
    <w:rsid w:val="00236BF0"/>
    <w:rsid w:val="00243849"/>
    <w:rsid w:val="00245126"/>
    <w:rsid w:val="0024670B"/>
    <w:rsid w:val="00246C4B"/>
    <w:rsid w:val="00246D58"/>
    <w:rsid w:val="0025087B"/>
    <w:rsid w:val="00253247"/>
    <w:rsid w:val="00253E0A"/>
    <w:rsid w:val="00255625"/>
    <w:rsid w:val="0025587C"/>
    <w:rsid w:val="00257A2D"/>
    <w:rsid w:val="002611FF"/>
    <w:rsid w:val="00262FBC"/>
    <w:rsid w:val="0026428F"/>
    <w:rsid w:val="00265021"/>
    <w:rsid w:val="0026562F"/>
    <w:rsid w:val="0026755A"/>
    <w:rsid w:val="00270B5A"/>
    <w:rsid w:val="00271774"/>
    <w:rsid w:val="00273027"/>
    <w:rsid w:val="00273555"/>
    <w:rsid w:val="00273559"/>
    <w:rsid w:val="00274BA1"/>
    <w:rsid w:val="00274DF7"/>
    <w:rsid w:val="0027632B"/>
    <w:rsid w:val="0027668A"/>
    <w:rsid w:val="002768B3"/>
    <w:rsid w:val="00276CC4"/>
    <w:rsid w:val="00277D27"/>
    <w:rsid w:val="0028004D"/>
    <w:rsid w:val="002803C3"/>
    <w:rsid w:val="00280D28"/>
    <w:rsid w:val="0028547D"/>
    <w:rsid w:val="002867F4"/>
    <w:rsid w:val="00286E7D"/>
    <w:rsid w:val="00286F4B"/>
    <w:rsid w:val="00287C68"/>
    <w:rsid w:val="00290E24"/>
    <w:rsid w:val="00291882"/>
    <w:rsid w:val="00291937"/>
    <w:rsid w:val="00291C0C"/>
    <w:rsid w:val="00291E92"/>
    <w:rsid w:val="00293D8B"/>
    <w:rsid w:val="00293E6B"/>
    <w:rsid w:val="0029485F"/>
    <w:rsid w:val="002959C5"/>
    <w:rsid w:val="0029639C"/>
    <w:rsid w:val="00296E8F"/>
    <w:rsid w:val="00297C46"/>
    <w:rsid w:val="00297EF9"/>
    <w:rsid w:val="002A0F93"/>
    <w:rsid w:val="002A2149"/>
    <w:rsid w:val="002A485C"/>
    <w:rsid w:val="002A5206"/>
    <w:rsid w:val="002A5B5D"/>
    <w:rsid w:val="002A62A7"/>
    <w:rsid w:val="002A76FD"/>
    <w:rsid w:val="002B01BC"/>
    <w:rsid w:val="002B253D"/>
    <w:rsid w:val="002B3A2B"/>
    <w:rsid w:val="002B53E2"/>
    <w:rsid w:val="002B5BC0"/>
    <w:rsid w:val="002B7F98"/>
    <w:rsid w:val="002C0EDB"/>
    <w:rsid w:val="002C1098"/>
    <w:rsid w:val="002C1C73"/>
    <w:rsid w:val="002C2332"/>
    <w:rsid w:val="002C3075"/>
    <w:rsid w:val="002C3379"/>
    <w:rsid w:val="002C4B1A"/>
    <w:rsid w:val="002C5398"/>
    <w:rsid w:val="002C571F"/>
    <w:rsid w:val="002C5E53"/>
    <w:rsid w:val="002C6916"/>
    <w:rsid w:val="002C77D8"/>
    <w:rsid w:val="002D14D5"/>
    <w:rsid w:val="002D14F8"/>
    <w:rsid w:val="002D1E67"/>
    <w:rsid w:val="002D2BFD"/>
    <w:rsid w:val="002D316D"/>
    <w:rsid w:val="002D3F24"/>
    <w:rsid w:val="002D3F43"/>
    <w:rsid w:val="002D5245"/>
    <w:rsid w:val="002D525E"/>
    <w:rsid w:val="002D5FE4"/>
    <w:rsid w:val="002D74C2"/>
    <w:rsid w:val="002E10A3"/>
    <w:rsid w:val="002E1B9E"/>
    <w:rsid w:val="002E1CF3"/>
    <w:rsid w:val="002E2136"/>
    <w:rsid w:val="002E26F9"/>
    <w:rsid w:val="002E5092"/>
    <w:rsid w:val="002E54C8"/>
    <w:rsid w:val="002E55AE"/>
    <w:rsid w:val="002E5EC8"/>
    <w:rsid w:val="002E5F5C"/>
    <w:rsid w:val="002E61FC"/>
    <w:rsid w:val="002E7328"/>
    <w:rsid w:val="002E7527"/>
    <w:rsid w:val="002E7BDD"/>
    <w:rsid w:val="002F1235"/>
    <w:rsid w:val="002F2E41"/>
    <w:rsid w:val="002F3DFC"/>
    <w:rsid w:val="002F48D0"/>
    <w:rsid w:val="002F51BA"/>
    <w:rsid w:val="002F73DF"/>
    <w:rsid w:val="002F7C86"/>
    <w:rsid w:val="00300171"/>
    <w:rsid w:val="00300180"/>
    <w:rsid w:val="00301179"/>
    <w:rsid w:val="003015E9"/>
    <w:rsid w:val="003019F2"/>
    <w:rsid w:val="00301A52"/>
    <w:rsid w:val="00301DC3"/>
    <w:rsid w:val="00302858"/>
    <w:rsid w:val="00302AE3"/>
    <w:rsid w:val="003031E3"/>
    <w:rsid w:val="0030339F"/>
    <w:rsid w:val="003038A5"/>
    <w:rsid w:val="00304DF4"/>
    <w:rsid w:val="0030534D"/>
    <w:rsid w:val="003054AC"/>
    <w:rsid w:val="0030586B"/>
    <w:rsid w:val="00306062"/>
    <w:rsid w:val="00306FB5"/>
    <w:rsid w:val="00310129"/>
    <w:rsid w:val="0031172A"/>
    <w:rsid w:val="00311820"/>
    <w:rsid w:val="00313D87"/>
    <w:rsid w:val="00314A72"/>
    <w:rsid w:val="00314D9B"/>
    <w:rsid w:val="00315382"/>
    <w:rsid w:val="0031549B"/>
    <w:rsid w:val="00315C62"/>
    <w:rsid w:val="00316A63"/>
    <w:rsid w:val="003170E1"/>
    <w:rsid w:val="003171CA"/>
    <w:rsid w:val="00317C71"/>
    <w:rsid w:val="00317DDC"/>
    <w:rsid w:val="00320214"/>
    <w:rsid w:val="00320907"/>
    <w:rsid w:val="003213BC"/>
    <w:rsid w:val="00321434"/>
    <w:rsid w:val="00321D08"/>
    <w:rsid w:val="003223F9"/>
    <w:rsid w:val="00323552"/>
    <w:rsid w:val="00324A1D"/>
    <w:rsid w:val="00324F89"/>
    <w:rsid w:val="0032613F"/>
    <w:rsid w:val="00326860"/>
    <w:rsid w:val="00327E5B"/>
    <w:rsid w:val="0033056E"/>
    <w:rsid w:val="00330749"/>
    <w:rsid w:val="003326C6"/>
    <w:rsid w:val="00334335"/>
    <w:rsid w:val="0033537D"/>
    <w:rsid w:val="0033578C"/>
    <w:rsid w:val="0033596F"/>
    <w:rsid w:val="0033663B"/>
    <w:rsid w:val="00337D43"/>
    <w:rsid w:val="00337DF3"/>
    <w:rsid w:val="003406DF"/>
    <w:rsid w:val="00342D3A"/>
    <w:rsid w:val="00342E2E"/>
    <w:rsid w:val="00342F5F"/>
    <w:rsid w:val="003431D3"/>
    <w:rsid w:val="00345071"/>
    <w:rsid w:val="003456D4"/>
    <w:rsid w:val="00346A1C"/>
    <w:rsid w:val="003474D8"/>
    <w:rsid w:val="003474EE"/>
    <w:rsid w:val="0035000C"/>
    <w:rsid w:val="0035170C"/>
    <w:rsid w:val="00352AE6"/>
    <w:rsid w:val="00353F58"/>
    <w:rsid w:val="00354F3A"/>
    <w:rsid w:val="0035503A"/>
    <w:rsid w:val="0035653B"/>
    <w:rsid w:val="003569FD"/>
    <w:rsid w:val="00356A18"/>
    <w:rsid w:val="003570F5"/>
    <w:rsid w:val="0035792C"/>
    <w:rsid w:val="00360C35"/>
    <w:rsid w:val="00361337"/>
    <w:rsid w:val="003641BA"/>
    <w:rsid w:val="00364A79"/>
    <w:rsid w:val="00365C6D"/>
    <w:rsid w:val="00365C9B"/>
    <w:rsid w:val="00366E1D"/>
    <w:rsid w:val="00370E0E"/>
    <w:rsid w:val="00372A2E"/>
    <w:rsid w:val="00373E99"/>
    <w:rsid w:val="00373FC9"/>
    <w:rsid w:val="00374146"/>
    <w:rsid w:val="00375A4E"/>
    <w:rsid w:val="00375F24"/>
    <w:rsid w:val="003809EA"/>
    <w:rsid w:val="00380A9B"/>
    <w:rsid w:val="00381357"/>
    <w:rsid w:val="00382665"/>
    <w:rsid w:val="003832EB"/>
    <w:rsid w:val="00383E2F"/>
    <w:rsid w:val="00384FCD"/>
    <w:rsid w:val="0038556B"/>
    <w:rsid w:val="00390529"/>
    <w:rsid w:val="003927FE"/>
    <w:rsid w:val="00392D26"/>
    <w:rsid w:val="00392D90"/>
    <w:rsid w:val="00392DAD"/>
    <w:rsid w:val="00392FB2"/>
    <w:rsid w:val="0039404A"/>
    <w:rsid w:val="0039447A"/>
    <w:rsid w:val="00394BE8"/>
    <w:rsid w:val="00395116"/>
    <w:rsid w:val="00395285"/>
    <w:rsid w:val="003957CD"/>
    <w:rsid w:val="003A0237"/>
    <w:rsid w:val="003A062E"/>
    <w:rsid w:val="003A1A88"/>
    <w:rsid w:val="003A3041"/>
    <w:rsid w:val="003A373D"/>
    <w:rsid w:val="003A4314"/>
    <w:rsid w:val="003A4AD2"/>
    <w:rsid w:val="003A4B4A"/>
    <w:rsid w:val="003A575C"/>
    <w:rsid w:val="003A63F4"/>
    <w:rsid w:val="003A6F21"/>
    <w:rsid w:val="003A7450"/>
    <w:rsid w:val="003B023E"/>
    <w:rsid w:val="003B02A3"/>
    <w:rsid w:val="003B0501"/>
    <w:rsid w:val="003B0721"/>
    <w:rsid w:val="003B07CA"/>
    <w:rsid w:val="003B3015"/>
    <w:rsid w:val="003C0D9A"/>
    <w:rsid w:val="003C21D2"/>
    <w:rsid w:val="003C28AF"/>
    <w:rsid w:val="003C2EBA"/>
    <w:rsid w:val="003C36A2"/>
    <w:rsid w:val="003C3851"/>
    <w:rsid w:val="003C3D60"/>
    <w:rsid w:val="003C53CF"/>
    <w:rsid w:val="003C5490"/>
    <w:rsid w:val="003C5523"/>
    <w:rsid w:val="003C55EA"/>
    <w:rsid w:val="003C720F"/>
    <w:rsid w:val="003D247C"/>
    <w:rsid w:val="003D27B3"/>
    <w:rsid w:val="003D296C"/>
    <w:rsid w:val="003D3DC9"/>
    <w:rsid w:val="003D4979"/>
    <w:rsid w:val="003D4E74"/>
    <w:rsid w:val="003D4E7F"/>
    <w:rsid w:val="003D735A"/>
    <w:rsid w:val="003D7523"/>
    <w:rsid w:val="003E0679"/>
    <w:rsid w:val="003E0E7B"/>
    <w:rsid w:val="003E1603"/>
    <w:rsid w:val="003E2C81"/>
    <w:rsid w:val="003E2D1D"/>
    <w:rsid w:val="003E30E3"/>
    <w:rsid w:val="003E3374"/>
    <w:rsid w:val="003E35E7"/>
    <w:rsid w:val="003E3818"/>
    <w:rsid w:val="003E3A9C"/>
    <w:rsid w:val="003E5DD3"/>
    <w:rsid w:val="003E6B90"/>
    <w:rsid w:val="003E7FAF"/>
    <w:rsid w:val="003F0241"/>
    <w:rsid w:val="003F0C34"/>
    <w:rsid w:val="003F18BD"/>
    <w:rsid w:val="003F2147"/>
    <w:rsid w:val="003F36B2"/>
    <w:rsid w:val="003F41EE"/>
    <w:rsid w:val="003F4D66"/>
    <w:rsid w:val="003F5297"/>
    <w:rsid w:val="00401870"/>
    <w:rsid w:val="00401B5C"/>
    <w:rsid w:val="00401CE1"/>
    <w:rsid w:val="00402084"/>
    <w:rsid w:val="0040235A"/>
    <w:rsid w:val="00404686"/>
    <w:rsid w:val="00406016"/>
    <w:rsid w:val="00406D60"/>
    <w:rsid w:val="00407F5F"/>
    <w:rsid w:val="00410454"/>
    <w:rsid w:val="00410686"/>
    <w:rsid w:val="00410AE1"/>
    <w:rsid w:val="0041229E"/>
    <w:rsid w:val="00412598"/>
    <w:rsid w:val="00414336"/>
    <w:rsid w:val="00414B39"/>
    <w:rsid w:val="00414F62"/>
    <w:rsid w:val="00416937"/>
    <w:rsid w:val="00416E7C"/>
    <w:rsid w:val="0041756D"/>
    <w:rsid w:val="00420104"/>
    <w:rsid w:val="00420250"/>
    <w:rsid w:val="00421974"/>
    <w:rsid w:val="004223E9"/>
    <w:rsid w:val="004229FE"/>
    <w:rsid w:val="00422BA9"/>
    <w:rsid w:val="004231D8"/>
    <w:rsid w:val="004253C8"/>
    <w:rsid w:val="00426CC1"/>
    <w:rsid w:val="004273B5"/>
    <w:rsid w:val="004326E0"/>
    <w:rsid w:val="00433617"/>
    <w:rsid w:val="00434FF3"/>
    <w:rsid w:val="004352AE"/>
    <w:rsid w:val="00435A77"/>
    <w:rsid w:val="00435EB5"/>
    <w:rsid w:val="004370F4"/>
    <w:rsid w:val="00437291"/>
    <w:rsid w:val="004414E1"/>
    <w:rsid w:val="0044353C"/>
    <w:rsid w:val="00443CBF"/>
    <w:rsid w:val="00444056"/>
    <w:rsid w:val="00444637"/>
    <w:rsid w:val="00445114"/>
    <w:rsid w:val="00445E08"/>
    <w:rsid w:val="00445ED5"/>
    <w:rsid w:val="004503CE"/>
    <w:rsid w:val="0045108D"/>
    <w:rsid w:val="00452315"/>
    <w:rsid w:val="0045365C"/>
    <w:rsid w:val="00453712"/>
    <w:rsid w:val="00454141"/>
    <w:rsid w:val="00454684"/>
    <w:rsid w:val="0045548A"/>
    <w:rsid w:val="00457AC1"/>
    <w:rsid w:val="00460338"/>
    <w:rsid w:val="00460A29"/>
    <w:rsid w:val="00460C65"/>
    <w:rsid w:val="00461CFA"/>
    <w:rsid w:val="00462CA1"/>
    <w:rsid w:val="004638E3"/>
    <w:rsid w:val="004644F0"/>
    <w:rsid w:val="00464DA4"/>
    <w:rsid w:val="004659D4"/>
    <w:rsid w:val="0046653F"/>
    <w:rsid w:val="00467172"/>
    <w:rsid w:val="0046746C"/>
    <w:rsid w:val="004706FC"/>
    <w:rsid w:val="00471BB0"/>
    <w:rsid w:val="0047208E"/>
    <w:rsid w:val="00473A15"/>
    <w:rsid w:val="00473E03"/>
    <w:rsid w:val="00476330"/>
    <w:rsid w:val="0047687D"/>
    <w:rsid w:val="0048016E"/>
    <w:rsid w:val="00480257"/>
    <w:rsid w:val="004829F4"/>
    <w:rsid w:val="00484DD5"/>
    <w:rsid w:val="00487245"/>
    <w:rsid w:val="00487A0C"/>
    <w:rsid w:val="00487B80"/>
    <w:rsid w:val="00487EC9"/>
    <w:rsid w:val="0049028F"/>
    <w:rsid w:val="00490503"/>
    <w:rsid w:val="00490827"/>
    <w:rsid w:val="00491DD7"/>
    <w:rsid w:val="00491E95"/>
    <w:rsid w:val="0049275D"/>
    <w:rsid w:val="00492E2C"/>
    <w:rsid w:val="0049350F"/>
    <w:rsid w:val="00494029"/>
    <w:rsid w:val="004942A1"/>
    <w:rsid w:val="00494DE6"/>
    <w:rsid w:val="00495925"/>
    <w:rsid w:val="00495D07"/>
    <w:rsid w:val="00496988"/>
    <w:rsid w:val="004976CD"/>
    <w:rsid w:val="00497CD0"/>
    <w:rsid w:val="004A09EB"/>
    <w:rsid w:val="004A1E22"/>
    <w:rsid w:val="004A2D6A"/>
    <w:rsid w:val="004A2FD9"/>
    <w:rsid w:val="004A700E"/>
    <w:rsid w:val="004B07A5"/>
    <w:rsid w:val="004B0E9A"/>
    <w:rsid w:val="004B2277"/>
    <w:rsid w:val="004B2E6E"/>
    <w:rsid w:val="004B4713"/>
    <w:rsid w:val="004B4B23"/>
    <w:rsid w:val="004B6061"/>
    <w:rsid w:val="004B6925"/>
    <w:rsid w:val="004B7750"/>
    <w:rsid w:val="004C010B"/>
    <w:rsid w:val="004C167F"/>
    <w:rsid w:val="004C256D"/>
    <w:rsid w:val="004C40A8"/>
    <w:rsid w:val="004C4894"/>
    <w:rsid w:val="004D0062"/>
    <w:rsid w:val="004D1213"/>
    <w:rsid w:val="004D22E6"/>
    <w:rsid w:val="004D3313"/>
    <w:rsid w:val="004D3D99"/>
    <w:rsid w:val="004D4EF3"/>
    <w:rsid w:val="004D686A"/>
    <w:rsid w:val="004D739B"/>
    <w:rsid w:val="004D7802"/>
    <w:rsid w:val="004D79B2"/>
    <w:rsid w:val="004E1BD7"/>
    <w:rsid w:val="004E2C0F"/>
    <w:rsid w:val="004E3CD8"/>
    <w:rsid w:val="004E533A"/>
    <w:rsid w:val="004E5770"/>
    <w:rsid w:val="004E6A87"/>
    <w:rsid w:val="004F1454"/>
    <w:rsid w:val="004F1722"/>
    <w:rsid w:val="004F194C"/>
    <w:rsid w:val="004F20F3"/>
    <w:rsid w:val="004F2709"/>
    <w:rsid w:val="004F28FC"/>
    <w:rsid w:val="004F4EE7"/>
    <w:rsid w:val="004F512F"/>
    <w:rsid w:val="004F5491"/>
    <w:rsid w:val="004F5F05"/>
    <w:rsid w:val="004F627E"/>
    <w:rsid w:val="004F6449"/>
    <w:rsid w:val="00500704"/>
    <w:rsid w:val="005020D8"/>
    <w:rsid w:val="00504514"/>
    <w:rsid w:val="00504F03"/>
    <w:rsid w:val="0050572A"/>
    <w:rsid w:val="0050627F"/>
    <w:rsid w:val="0051251F"/>
    <w:rsid w:val="0051258B"/>
    <w:rsid w:val="00513BFF"/>
    <w:rsid w:val="00516416"/>
    <w:rsid w:val="00521372"/>
    <w:rsid w:val="00522DEA"/>
    <w:rsid w:val="00525008"/>
    <w:rsid w:val="00525709"/>
    <w:rsid w:val="0052573D"/>
    <w:rsid w:val="00525E83"/>
    <w:rsid w:val="00527310"/>
    <w:rsid w:val="00527E93"/>
    <w:rsid w:val="005321AA"/>
    <w:rsid w:val="00534724"/>
    <w:rsid w:val="0053497E"/>
    <w:rsid w:val="00535D20"/>
    <w:rsid w:val="005364CA"/>
    <w:rsid w:val="005424B9"/>
    <w:rsid w:val="0054286D"/>
    <w:rsid w:val="00542D33"/>
    <w:rsid w:val="005430A0"/>
    <w:rsid w:val="00544042"/>
    <w:rsid w:val="00545C3A"/>
    <w:rsid w:val="005477AD"/>
    <w:rsid w:val="00547B4B"/>
    <w:rsid w:val="00551768"/>
    <w:rsid w:val="00552034"/>
    <w:rsid w:val="005534E4"/>
    <w:rsid w:val="00554391"/>
    <w:rsid w:val="005546B5"/>
    <w:rsid w:val="00554BBB"/>
    <w:rsid w:val="00555B0A"/>
    <w:rsid w:val="00555E66"/>
    <w:rsid w:val="00555F8A"/>
    <w:rsid w:val="00556149"/>
    <w:rsid w:val="00557BE9"/>
    <w:rsid w:val="00557E70"/>
    <w:rsid w:val="00560069"/>
    <w:rsid w:val="0056101A"/>
    <w:rsid w:val="00562539"/>
    <w:rsid w:val="00562EFB"/>
    <w:rsid w:val="00563E74"/>
    <w:rsid w:val="00564957"/>
    <w:rsid w:val="0056551D"/>
    <w:rsid w:val="00566EC7"/>
    <w:rsid w:val="0057070D"/>
    <w:rsid w:val="0057074A"/>
    <w:rsid w:val="00571080"/>
    <w:rsid w:val="00571751"/>
    <w:rsid w:val="00571A3A"/>
    <w:rsid w:val="00572865"/>
    <w:rsid w:val="00572A32"/>
    <w:rsid w:val="005731A1"/>
    <w:rsid w:val="00573543"/>
    <w:rsid w:val="00573A83"/>
    <w:rsid w:val="005743F6"/>
    <w:rsid w:val="0057543D"/>
    <w:rsid w:val="00576BE5"/>
    <w:rsid w:val="00576E82"/>
    <w:rsid w:val="00580FC7"/>
    <w:rsid w:val="00581A16"/>
    <w:rsid w:val="00583A23"/>
    <w:rsid w:val="00584390"/>
    <w:rsid w:val="00584ACE"/>
    <w:rsid w:val="00585483"/>
    <w:rsid w:val="005904CD"/>
    <w:rsid w:val="00592F20"/>
    <w:rsid w:val="00593C42"/>
    <w:rsid w:val="0059470C"/>
    <w:rsid w:val="00595A4A"/>
    <w:rsid w:val="0059784A"/>
    <w:rsid w:val="005A02CA"/>
    <w:rsid w:val="005A09DA"/>
    <w:rsid w:val="005A1CC1"/>
    <w:rsid w:val="005A1EA8"/>
    <w:rsid w:val="005A3EA2"/>
    <w:rsid w:val="005A43D3"/>
    <w:rsid w:val="005A4A28"/>
    <w:rsid w:val="005A5234"/>
    <w:rsid w:val="005A60A0"/>
    <w:rsid w:val="005A610A"/>
    <w:rsid w:val="005B2767"/>
    <w:rsid w:val="005B2E65"/>
    <w:rsid w:val="005B32A3"/>
    <w:rsid w:val="005B407D"/>
    <w:rsid w:val="005B52C6"/>
    <w:rsid w:val="005B54CA"/>
    <w:rsid w:val="005B5996"/>
    <w:rsid w:val="005B7E8A"/>
    <w:rsid w:val="005C1625"/>
    <w:rsid w:val="005C1A00"/>
    <w:rsid w:val="005C23A0"/>
    <w:rsid w:val="005C2ACC"/>
    <w:rsid w:val="005C315C"/>
    <w:rsid w:val="005C33C2"/>
    <w:rsid w:val="005C33E9"/>
    <w:rsid w:val="005C3E34"/>
    <w:rsid w:val="005C42DE"/>
    <w:rsid w:val="005C4B01"/>
    <w:rsid w:val="005C65ED"/>
    <w:rsid w:val="005C67D7"/>
    <w:rsid w:val="005C69AC"/>
    <w:rsid w:val="005C6A30"/>
    <w:rsid w:val="005C7957"/>
    <w:rsid w:val="005C7AA6"/>
    <w:rsid w:val="005C7CED"/>
    <w:rsid w:val="005D1182"/>
    <w:rsid w:val="005D1F16"/>
    <w:rsid w:val="005D34C6"/>
    <w:rsid w:val="005D3BA7"/>
    <w:rsid w:val="005D4782"/>
    <w:rsid w:val="005D4B2E"/>
    <w:rsid w:val="005D6846"/>
    <w:rsid w:val="005D70A0"/>
    <w:rsid w:val="005D70D6"/>
    <w:rsid w:val="005E05E2"/>
    <w:rsid w:val="005E1BF6"/>
    <w:rsid w:val="005E3527"/>
    <w:rsid w:val="005E3750"/>
    <w:rsid w:val="005E3FC5"/>
    <w:rsid w:val="005E4444"/>
    <w:rsid w:val="005E4549"/>
    <w:rsid w:val="005E52F0"/>
    <w:rsid w:val="005E56AB"/>
    <w:rsid w:val="005E5863"/>
    <w:rsid w:val="005E7A0F"/>
    <w:rsid w:val="005E7ABA"/>
    <w:rsid w:val="005E7ADC"/>
    <w:rsid w:val="005E7C5F"/>
    <w:rsid w:val="005E7D7F"/>
    <w:rsid w:val="005E7E07"/>
    <w:rsid w:val="005F03C9"/>
    <w:rsid w:val="005F100C"/>
    <w:rsid w:val="005F2342"/>
    <w:rsid w:val="005F2CAB"/>
    <w:rsid w:val="005F3390"/>
    <w:rsid w:val="005F5653"/>
    <w:rsid w:val="005F66EC"/>
    <w:rsid w:val="005F6A29"/>
    <w:rsid w:val="005F6EA2"/>
    <w:rsid w:val="005F71A6"/>
    <w:rsid w:val="00600BB1"/>
    <w:rsid w:val="00602EDD"/>
    <w:rsid w:val="0060362F"/>
    <w:rsid w:val="00605311"/>
    <w:rsid w:val="0060553B"/>
    <w:rsid w:val="006129CE"/>
    <w:rsid w:val="0061335C"/>
    <w:rsid w:val="00613F5F"/>
    <w:rsid w:val="00614BAC"/>
    <w:rsid w:val="00614FB0"/>
    <w:rsid w:val="00615136"/>
    <w:rsid w:val="006151B2"/>
    <w:rsid w:val="00617725"/>
    <w:rsid w:val="00617CA3"/>
    <w:rsid w:val="00617E72"/>
    <w:rsid w:val="006221CE"/>
    <w:rsid w:val="00622B82"/>
    <w:rsid w:val="00624532"/>
    <w:rsid w:val="00625080"/>
    <w:rsid w:val="00630B7B"/>
    <w:rsid w:val="0063199C"/>
    <w:rsid w:val="00632E9C"/>
    <w:rsid w:val="0063565B"/>
    <w:rsid w:val="006363A9"/>
    <w:rsid w:val="00636D3F"/>
    <w:rsid w:val="00637462"/>
    <w:rsid w:val="00637AFB"/>
    <w:rsid w:val="00637BE6"/>
    <w:rsid w:val="00637CC6"/>
    <w:rsid w:val="0064015E"/>
    <w:rsid w:val="00641851"/>
    <w:rsid w:val="006457CC"/>
    <w:rsid w:val="00645BF2"/>
    <w:rsid w:val="00645DA0"/>
    <w:rsid w:val="00646A25"/>
    <w:rsid w:val="00651141"/>
    <w:rsid w:val="00651578"/>
    <w:rsid w:val="0065212A"/>
    <w:rsid w:val="006529A4"/>
    <w:rsid w:val="0065386A"/>
    <w:rsid w:val="006551FC"/>
    <w:rsid w:val="00655868"/>
    <w:rsid w:val="00657D93"/>
    <w:rsid w:val="00657F56"/>
    <w:rsid w:val="00657FE2"/>
    <w:rsid w:val="0066208F"/>
    <w:rsid w:val="00664AAA"/>
    <w:rsid w:val="00664C06"/>
    <w:rsid w:val="00664FF9"/>
    <w:rsid w:val="00665B9C"/>
    <w:rsid w:val="00666520"/>
    <w:rsid w:val="00667CD0"/>
    <w:rsid w:val="00667FC3"/>
    <w:rsid w:val="00670AE7"/>
    <w:rsid w:val="00672387"/>
    <w:rsid w:val="0067282B"/>
    <w:rsid w:val="00672954"/>
    <w:rsid w:val="00674E97"/>
    <w:rsid w:val="00676B7F"/>
    <w:rsid w:val="006804C0"/>
    <w:rsid w:val="00680648"/>
    <w:rsid w:val="00680A6C"/>
    <w:rsid w:val="00680DFF"/>
    <w:rsid w:val="00681AC9"/>
    <w:rsid w:val="00682008"/>
    <w:rsid w:val="00683333"/>
    <w:rsid w:val="00686428"/>
    <w:rsid w:val="006871E0"/>
    <w:rsid w:val="006923F9"/>
    <w:rsid w:val="0069385D"/>
    <w:rsid w:val="00694B0F"/>
    <w:rsid w:val="0069762C"/>
    <w:rsid w:val="006A007D"/>
    <w:rsid w:val="006A1009"/>
    <w:rsid w:val="006A14E2"/>
    <w:rsid w:val="006A1DFF"/>
    <w:rsid w:val="006A30A5"/>
    <w:rsid w:val="006A33CF"/>
    <w:rsid w:val="006A527A"/>
    <w:rsid w:val="006A65E7"/>
    <w:rsid w:val="006A7C43"/>
    <w:rsid w:val="006B15A5"/>
    <w:rsid w:val="006B4673"/>
    <w:rsid w:val="006B46C2"/>
    <w:rsid w:val="006B5832"/>
    <w:rsid w:val="006B5F7E"/>
    <w:rsid w:val="006B6FA8"/>
    <w:rsid w:val="006B75C7"/>
    <w:rsid w:val="006C013C"/>
    <w:rsid w:val="006C132C"/>
    <w:rsid w:val="006C64FC"/>
    <w:rsid w:val="006D06DD"/>
    <w:rsid w:val="006D0C0D"/>
    <w:rsid w:val="006D177D"/>
    <w:rsid w:val="006D2070"/>
    <w:rsid w:val="006D2CC6"/>
    <w:rsid w:val="006D4ADA"/>
    <w:rsid w:val="006D5A43"/>
    <w:rsid w:val="006D6023"/>
    <w:rsid w:val="006D643A"/>
    <w:rsid w:val="006D6CDC"/>
    <w:rsid w:val="006E15E7"/>
    <w:rsid w:val="006E1912"/>
    <w:rsid w:val="006E240D"/>
    <w:rsid w:val="006E3F51"/>
    <w:rsid w:val="006E4318"/>
    <w:rsid w:val="006E497F"/>
    <w:rsid w:val="006E49B2"/>
    <w:rsid w:val="006E4ED7"/>
    <w:rsid w:val="006E550D"/>
    <w:rsid w:val="006E5615"/>
    <w:rsid w:val="006E7D84"/>
    <w:rsid w:val="006F0942"/>
    <w:rsid w:val="006F2AF0"/>
    <w:rsid w:val="006F34ED"/>
    <w:rsid w:val="006F3E0E"/>
    <w:rsid w:val="006F48CE"/>
    <w:rsid w:val="006F527A"/>
    <w:rsid w:val="006F6238"/>
    <w:rsid w:val="00702661"/>
    <w:rsid w:val="00702F9F"/>
    <w:rsid w:val="00704B6A"/>
    <w:rsid w:val="007057CB"/>
    <w:rsid w:val="00705FE8"/>
    <w:rsid w:val="007070D1"/>
    <w:rsid w:val="007073B4"/>
    <w:rsid w:val="0071004A"/>
    <w:rsid w:val="007101AB"/>
    <w:rsid w:val="007109B7"/>
    <w:rsid w:val="00712430"/>
    <w:rsid w:val="0071378D"/>
    <w:rsid w:val="00714153"/>
    <w:rsid w:val="007142BF"/>
    <w:rsid w:val="00715B67"/>
    <w:rsid w:val="0071686E"/>
    <w:rsid w:val="00717E84"/>
    <w:rsid w:val="00717FE4"/>
    <w:rsid w:val="007237FC"/>
    <w:rsid w:val="00723DAC"/>
    <w:rsid w:val="00723F75"/>
    <w:rsid w:val="00724513"/>
    <w:rsid w:val="00725F81"/>
    <w:rsid w:val="007263BA"/>
    <w:rsid w:val="00726923"/>
    <w:rsid w:val="00726C46"/>
    <w:rsid w:val="007277CA"/>
    <w:rsid w:val="00730C41"/>
    <w:rsid w:val="007327AE"/>
    <w:rsid w:val="007346C3"/>
    <w:rsid w:val="00734A82"/>
    <w:rsid w:val="00735A20"/>
    <w:rsid w:val="00737FE1"/>
    <w:rsid w:val="00740290"/>
    <w:rsid w:val="007403B0"/>
    <w:rsid w:val="00746765"/>
    <w:rsid w:val="00746C05"/>
    <w:rsid w:val="0075104D"/>
    <w:rsid w:val="00751E2C"/>
    <w:rsid w:val="007524A3"/>
    <w:rsid w:val="00753600"/>
    <w:rsid w:val="00754075"/>
    <w:rsid w:val="00754879"/>
    <w:rsid w:val="00754D65"/>
    <w:rsid w:val="00755EAB"/>
    <w:rsid w:val="007560E6"/>
    <w:rsid w:val="007564D3"/>
    <w:rsid w:val="00756778"/>
    <w:rsid w:val="00756942"/>
    <w:rsid w:val="0075744B"/>
    <w:rsid w:val="0075782E"/>
    <w:rsid w:val="00762D1B"/>
    <w:rsid w:val="00762E1C"/>
    <w:rsid w:val="00763F3A"/>
    <w:rsid w:val="00764290"/>
    <w:rsid w:val="0076555A"/>
    <w:rsid w:val="00765943"/>
    <w:rsid w:val="00766B4C"/>
    <w:rsid w:val="00766B72"/>
    <w:rsid w:val="00767F36"/>
    <w:rsid w:val="00770A63"/>
    <w:rsid w:val="00772ACF"/>
    <w:rsid w:val="00772E93"/>
    <w:rsid w:val="00773EFB"/>
    <w:rsid w:val="00775593"/>
    <w:rsid w:val="007760AD"/>
    <w:rsid w:val="00776E53"/>
    <w:rsid w:val="007771C4"/>
    <w:rsid w:val="00780138"/>
    <w:rsid w:val="007812E0"/>
    <w:rsid w:val="0078304B"/>
    <w:rsid w:val="00783AEE"/>
    <w:rsid w:val="00783B7D"/>
    <w:rsid w:val="00785576"/>
    <w:rsid w:val="0078654E"/>
    <w:rsid w:val="007875B2"/>
    <w:rsid w:val="00787843"/>
    <w:rsid w:val="00787F8E"/>
    <w:rsid w:val="007919F0"/>
    <w:rsid w:val="00791B86"/>
    <w:rsid w:val="007921BC"/>
    <w:rsid w:val="007938E3"/>
    <w:rsid w:val="00794E6C"/>
    <w:rsid w:val="00797647"/>
    <w:rsid w:val="007A15E5"/>
    <w:rsid w:val="007A1A3D"/>
    <w:rsid w:val="007A2ACB"/>
    <w:rsid w:val="007A2C7A"/>
    <w:rsid w:val="007A3902"/>
    <w:rsid w:val="007A4382"/>
    <w:rsid w:val="007A5ACD"/>
    <w:rsid w:val="007A7499"/>
    <w:rsid w:val="007B017C"/>
    <w:rsid w:val="007B0C23"/>
    <w:rsid w:val="007B0E7D"/>
    <w:rsid w:val="007B279A"/>
    <w:rsid w:val="007B36E2"/>
    <w:rsid w:val="007B5AE7"/>
    <w:rsid w:val="007B68AF"/>
    <w:rsid w:val="007B75A9"/>
    <w:rsid w:val="007C0FC6"/>
    <w:rsid w:val="007C1C5B"/>
    <w:rsid w:val="007C26B7"/>
    <w:rsid w:val="007C2E27"/>
    <w:rsid w:val="007C48C1"/>
    <w:rsid w:val="007C48F0"/>
    <w:rsid w:val="007C5C92"/>
    <w:rsid w:val="007D2406"/>
    <w:rsid w:val="007D50CB"/>
    <w:rsid w:val="007D5DB9"/>
    <w:rsid w:val="007D6313"/>
    <w:rsid w:val="007D6885"/>
    <w:rsid w:val="007E1D64"/>
    <w:rsid w:val="007E1DE9"/>
    <w:rsid w:val="007E247E"/>
    <w:rsid w:val="007E2F4F"/>
    <w:rsid w:val="007E35C7"/>
    <w:rsid w:val="007E3BF4"/>
    <w:rsid w:val="007E41C0"/>
    <w:rsid w:val="007E4B0A"/>
    <w:rsid w:val="007E4FB7"/>
    <w:rsid w:val="007E5AE3"/>
    <w:rsid w:val="007E6F19"/>
    <w:rsid w:val="007F0AD5"/>
    <w:rsid w:val="007F37BE"/>
    <w:rsid w:val="007F40E4"/>
    <w:rsid w:val="007F4D2B"/>
    <w:rsid w:val="007F5210"/>
    <w:rsid w:val="007F5896"/>
    <w:rsid w:val="007F5B46"/>
    <w:rsid w:val="007F5E0E"/>
    <w:rsid w:val="0080036F"/>
    <w:rsid w:val="0080080B"/>
    <w:rsid w:val="008025AE"/>
    <w:rsid w:val="00803B2A"/>
    <w:rsid w:val="008110D8"/>
    <w:rsid w:val="008116A2"/>
    <w:rsid w:val="00811A3F"/>
    <w:rsid w:val="00812433"/>
    <w:rsid w:val="0081460D"/>
    <w:rsid w:val="0082097D"/>
    <w:rsid w:val="00820C7D"/>
    <w:rsid w:val="00820FFC"/>
    <w:rsid w:val="00823198"/>
    <w:rsid w:val="00824426"/>
    <w:rsid w:val="00824638"/>
    <w:rsid w:val="00824A2F"/>
    <w:rsid w:val="00825558"/>
    <w:rsid w:val="0083230C"/>
    <w:rsid w:val="0083299E"/>
    <w:rsid w:val="00833759"/>
    <w:rsid w:val="00833945"/>
    <w:rsid w:val="00835623"/>
    <w:rsid w:val="00837E77"/>
    <w:rsid w:val="00840AE3"/>
    <w:rsid w:val="00842B61"/>
    <w:rsid w:val="00842D55"/>
    <w:rsid w:val="00843215"/>
    <w:rsid w:val="008439D1"/>
    <w:rsid w:val="008447DA"/>
    <w:rsid w:val="00847361"/>
    <w:rsid w:val="00847E5B"/>
    <w:rsid w:val="00850902"/>
    <w:rsid w:val="00850D5D"/>
    <w:rsid w:val="00851699"/>
    <w:rsid w:val="0085238D"/>
    <w:rsid w:val="0085243B"/>
    <w:rsid w:val="00852452"/>
    <w:rsid w:val="008526F1"/>
    <w:rsid w:val="00852B20"/>
    <w:rsid w:val="00853C19"/>
    <w:rsid w:val="00856042"/>
    <w:rsid w:val="00857171"/>
    <w:rsid w:val="00857CF7"/>
    <w:rsid w:val="00857DD1"/>
    <w:rsid w:val="008612D5"/>
    <w:rsid w:val="008615C8"/>
    <w:rsid w:val="008627B1"/>
    <w:rsid w:val="008628C5"/>
    <w:rsid w:val="008628D8"/>
    <w:rsid w:val="00863329"/>
    <w:rsid w:val="00863BFC"/>
    <w:rsid w:val="00864D1D"/>
    <w:rsid w:val="00865EA1"/>
    <w:rsid w:val="00866020"/>
    <w:rsid w:val="00866B2D"/>
    <w:rsid w:val="00866E04"/>
    <w:rsid w:val="008679D5"/>
    <w:rsid w:val="00867E0A"/>
    <w:rsid w:val="0087144F"/>
    <w:rsid w:val="00871ED6"/>
    <w:rsid w:val="0087287A"/>
    <w:rsid w:val="0087436A"/>
    <w:rsid w:val="0087473B"/>
    <w:rsid w:val="00875399"/>
    <w:rsid w:val="008753D7"/>
    <w:rsid w:val="0087627A"/>
    <w:rsid w:val="008766BF"/>
    <w:rsid w:val="00877177"/>
    <w:rsid w:val="00880ADB"/>
    <w:rsid w:val="00881F69"/>
    <w:rsid w:val="008847CC"/>
    <w:rsid w:val="00885082"/>
    <w:rsid w:val="00887B4D"/>
    <w:rsid w:val="0089049A"/>
    <w:rsid w:val="008904E2"/>
    <w:rsid w:val="0089058C"/>
    <w:rsid w:val="0089071F"/>
    <w:rsid w:val="0089113B"/>
    <w:rsid w:val="00892936"/>
    <w:rsid w:val="008955E9"/>
    <w:rsid w:val="00895CC2"/>
    <w:rsid w:val="008966E8"/>
    <w:rsid w:val="00896966"/>
    <w:rsid w:val="00897C3D"/>
    <w:rsid w:val="008A0604"/>
    <w:rsid w:val="008A0A4F"/>
    <w:rsid w:val="008A107C"/>
    <w:rsid w:val="008A14F9"/>
    <w:rsid w:val="008A2D3A"/>
    <w:rsid w:val="008A3EA5"/>
    <w:rsid w:val="008A4008"/>
    <w:rsid w:val="008A4597"/>
    <w:rsid w:val="008A47AC"/>
    <w:rsid w:val="008A4952"/>
    <w:rsid w:val="008A4C54"/>
    <w:rsid w:val="008A5105"/>
    <w:rsid w:val="008A5466"/>
    <w:rsid w:val="008A7EDB"/>
    <w:rsid w:val="008B013B"/>
    <w:rsid w:val="008B0578"/>
    <w:rsid w:val="008B1562"/>
    <w:rsid w:val="008B211E"/>
    <w:rsid w:val="008B2845"/>
    <w:rsid w:val="008B3870"/>
    <w:rsid w:val="008B3A54"/>
    <w:rsid w:val="008B53A8"/>
    <w:rsid w:val="008B59E7"/>
    <w:rsid w:val="008B5B55"/>
    <w:rsid w:val="008B7593"/>
    <w:rsid w:val="008B7757"/>
    <w:rsid w:val="008B77EE"/>
    <w:rsid w:val="008C0793"/>
    <w:rsid w:val="008C0D49"/>
    <w:rsid w:val="008C1101"/>
    <w:rsid w:val="008C182A"/>
    <w:rsid w:val="008C1C76"/>
    <w:rsid w:val="008C272C"/>
    <w:rsid w:val="008C45F5"/>
    <w:rsid w:val="008C46DD"/>
    <w:rsid w:val="008C686F"/>
    <w:rsid w:val="008C73ED"/>
    <w:rsid w:val="008D08BE"/>
    <w:rsid w:val="008D20A2"/>
    <w:rsid w:val="008D43B9"/>
    <w:rsid w:val="008D6AC9"/>
    <w:rsid w:val="008D6E53"/>
    <w:rsid w:val="008E0076"/>
    <w:rsid w:val="008E02EA"/>
    <w:rsid w:val="008E1343"/>
    <w:rsid w:val="008E23FA"/>
    <w:rsid w:val="008E25E7"/>
    <w:rsid w:val="008E4204"/>
    <w:rsid w:val="008E4E54"/>
    <w:rsid w:val="008E5C53"/>
    <w:rsid w:val="008E749A"/>
    <w:rsid w:val="008E7855"/>
    <w:rsid w:val="008E7D6E"/>
    <w:rsid w:val="008F12C2"/>
    <w:rsid w:val="008F1ACC"/>
    <w:rsid w:val="008F1C50"/>
    <w:rsid w:val="008F34A3"/>
    <w:rsid w:val="008F373B"/>
    <w:rsid w:val="008F3D74"/>
    <w:rsid w:val="008F40FF"/>
    <w:rsid w:val="008F4362"/>
    <w:rsid w:val="008F5328"/>
    <w:rsid w:val="008F6E34"/>
    <w:rsid w:val="008F7F47"/>
    <w:rsid w:val="0090173A"/>
    <w:rsid w:val="00902424"/>
    <w:rsid w:val="0090339D"/>
    <w:rsid w:val="00903C3D"/>
    <w:rsid w:val="00904C14"/>
    <w:rsid w:val="00905351"/>
    <w:rsid w:val="009053D8"/>
    <w:rsid w:val="00905A6A"/>
    <w:rsid w:val="00905C83"/>
    <w:rsid w:val="00910C1B"/>
    <w:rsid w:val="0091399D"/>
    <w:rsid w:val="00913C1C"/>
    <w:rsid w:val="00913DE6"/>
    <w:rsid w:val="00916739"/>
    <w:rsid w:val="0092354D"/>
    <w:rsid w:val="00923B6D"/>
    <w:rsid w:val="00924301"/>
    <w:rsid w:val="0092563A"/>
    <w:rsid w:val="009267EB"/>
    <w:rsid w:val="00926C1B"/>
    <w:rsid w:val="009301EF"/>
    <w:rsid w:val="009306CB"/>
    <w:rsid w:val="0093111E"/>
    <w:rsid w:val="009325CF"/>
    <w:rsid w:val="009336BE"/>
    <w:rsid w:val="00936238"/>
    <w:rsid w:val="0093624F"/>
    <w:rsid w:val="00941287"/>
    <w:rsid w:val="009415F1"/>
    <w:rsid w:val="009422C1"/>
    <w:rsid w:val="00942844"/>
    <w:rsid w:val="00944121"/>
    <w:rsid w:val="00944530"/>
    <w:rsid w:val="00945C93"/>
    <w:rsid w:val="00946477"/>
    <w:rsid w:val="00946658"/>
    <w:rsid w:val="00947B5D"/>
    <w:rsid w:val="00951C4F"/>
    <w:rsid w:val="00953846"/>
    <w:rsid w:val="00954A9E"/>
    <w:rsid w:val="0095562B"/>
    <w:rsid w:val="00955961"/>
    <w:rsid w:val="009559EA"/>
    <w:rsid w:val="00955F84"/>
    <w:rsid w:val="00956B54"/>
    <w:rsid w:val="00957149"/>
    <w:rsid w:val="00957DFA"/>
    <w:rsid w:val="00961623"/>
    <w:rsid w:val="00963B4A"/>
    <w:rsid w:val="009648C9"/>
    <w:rsid w:val="00966265"/>
    <w:rsid w:val="00967DD6"/>
    <w:rsid w:val="00970F26"/>
    <w:rsid w:val="009719F8"/>
    <w:rsid w:val="0097280B"/>
    <w:rsid w:val="0097462A"/>
    <w:rsid w:val="009748A7"/>
    <w:rsid w:val="00975150"/>
    <w:rsid w:val="00975A09"/>
    <w:rsid w:val="00976DFC"/>
    <w:rsid w:val="00976E71"/>
    <w:rsid w:val="00977691"/>
    <w:rsid w:val="009777C3"/>
    <w:rsid w:val="00981C8A"/>
    <w:rsid w:val="00983867"/>
    <w:rsid w:val="00983E39"/>
    <w:rsid w:val="00984221"/>
    <w:rsid w:val="0098447E"/>
    <w:rsid w:val="00984A0C"/>
    <w:rsid w:val="00984CF9"/>
    <w:rsid w:val="009862D1"/>
    <w:rsid w:val="00986C3E"/>
    <w:rsid w:val="00991A69"/>
    <w:rsid w:val="00992086"/>
    <w:rsid w:val="00992855"/>
    <w:rsid w:val="00993CDD"/>
    <w:rsid w:val="0099402B"/>
    <w:rsid w:val="00995B74"/>
    <w:rsid w:val="00996AFE"/>
    <w:rsid w:val="00997C0C"/>
    <w:rsid w:val="009A1AF2"/>
    <w:rsid w:val="009A2C3A"/>
    <w:rsid w:val="009A33F2"/>
    <w:rsid w:val="009A3531"/>
    <w:rsid w:val="009A35C4"/>
    <w:rsid w:val="009A3AC6"/>
    <w:rsid w:val="009A3B20"/>
    <w:rsid w:val="009A4DB2"/>
    <w:rsid w:val="009A645C"/>
    <w:rsid w:val="009A6D3A"/>
    <w:rsid w:val="009A6DFD"/>
    <w:rsid w:val="009B0236"/>
    <w:rsid w:val="009B1A21"/>
    <w:rsid w:val="009B4BFE"/>
    <w:rsid w:val="009B4F53"/>
    <w:rsid w:val="009B4FD7"/>
    <w:rsid w:val="009B54E3"/>
    <w:rsid w:val="009B5714"/>
    <w:rsid w:val="009B601D"/>
    <w:rsid w:val="009B6F44"/>
    <w:rsid w:val="009B7076"/>
    <w:rsid w:val="009B7B9B"/>
    <w:rsid w:val="009C002F"/>
    <w:rsid w:val="009C0EA5"/>
    <w:rsid w:val="009C1116"/>
    <w:rsid w:val="009C1735"/>
    <w:rsid w:val="009C21AA"/>
    <w:rsid w:val="009C2592"/>
    <w:rsid w:val="009C2E6B"/>
    <w:rsid w:val="009C4781"/>
    <w:rsid w:val="009C4C87"/>
    <w:rsid w:val="009C57C2"/>
    <w:rsid w:val="009C7E17"/>
    <w:rsid w:val="009D0790"/>
    <w:rsid w:val="009D1307"/>
    <w:rsid w:val="009D145B"/>
    <w:rsid w:val="009D1652"/>
    <w:rsid w:val="009D405D"/>
    <w:rsid w:val="009D56FD"/>
    <w:rsid w:val="009D5E8C"/>
    <w:rsid w:val="009D78EC"/>
    <w:rsid w:val="009E2A60"/>
    <w:rsid w:val="009E3E01"/>
    <w:rsid w:val="009F041B"/>
    <w:rsid w:val="009F0474"/>
    <w:rsid w:val="009F132C"/>
    <w:rsid w:val="009F3FAB"/>
    <w:rsid w:val="009F3FB3"/>
    <w:rsid w:val="009F40BA"/>
    <w:rsid w:val="009F47F8"/>
    <w:rsid w:val="009F511F"/>
    <w:rsid w:val="009F5787"/>
    <w:rsid w:val="00A00C78"/>
    <w:rsid w:val="00A00CC7"/>
    <w:rsid w:val="00A0389A"/>
    <w:rsid w:val="00A04885"/>
    <w:rsid w:val="00A048F8"/>
    <w:rsid w:val="00A06E4B"/>
    <w:rsid w:val="00A1373A"/>
    <w:rsid w:val="00A14C1D"/>
    <w:rsid w:val="00A14CD9"/>
    <w:rsid w:val="00A15EF9"/>
    <w:rsid w:val="00A1658C"/>
    <w:rsid w:val="00A16DCF"/>
    <w:rsid w:val="00A17F40"/>
    <w:rsid w:val="00A20404"/>
    <w:rsid w:val="00A2087D"/>
    <w:rsid w:val="00A21287"/>
    <w:rsid w:val="00A21BE8"/>
    <w:rsid w:val="00A22882"/>
    <w:rsid w:val="00A24F25"/>
    <w:rsid w:val="00A2599E"/>
    <w:rsid w:val="00A25DEF"/>
    <w:rsid w:val="00A265FA"/>
    <w:rsid w:val="00A27247"/>
    <w:rsid w:val="00A31252"/>
    <w:rsid w:val="00A31B46"/>
    <w:rsid w:val="00A31BC5"/>
    <w:rsid w:val="00A33924"/>
    <w:rsid w:val="00A33C4B"/>
    <w:rsid w:val="00A33E47"/>
    <w:rsid w:val="00A3513E"/>
    <w:rsid w:val="00A3749A"/>
    <w:rsid w:val="00A37759"/>
    <w:rsid w:val="00A37E4A"/>
    <w:rsid w:val="00A40D78"/>
    <w:rsid w:val="00A412FB"/>
    <w:rsid w:val="00A42F49"/>
    <w:rsid w:val="00A43556"/>
    <w:rsid w:val="00A43ABF"/>
    <w:rsid w:val="00A43BC6"/>
    <w:rsid w:val="00A44201"/>
    <w:rsid w:val="00A46D36"/>
    <w:rsid w:val="00A505AA"/>
    <w:rsid w:val="00A517B8"/>
    <w:rsid w:val="00A51A1B"/>
    <w:rsid w:val="00A52281"/>
    <w:rsid w:val="00A534EA"/>
    <w:rsid w:val="00A537E0"/>
    <w:rsid w:val="00A54383"/>
    <w:rsid w:val="00A5469C"/>
    <w:rsid w:val="00A54718"/>
    <w:rsid w:val="00A54935"/>
    <w:rsid w:val="00A54DE7"/>
    <w:rsid w:val="00A54F57"/>
    <w:rsid w:val="00A5774E"/>
    <w:rsid w:val="00A57848"/>
    <w:rsid w:val="00A57CE6"/>
    <w:rsid w:val="00A61913"/>
    <w:rsid w:val="00A61A33"/>
    <w:rsid w:val="00A62AF7"/>
    <w:rsid w:val="00A62C1D"/>
    <w:rsid w:val="00A62D23"/>
    <w:rsid w:val="00A63675"/>
    <w:rsid w:val="00A6517B"/>
    <w:rsid w:val="00A65DC0"/>
    <w:rsid w:val="00A660C3"/>
    <w:rsid w:val="00A6773C"/>
    <w:rsid w:val="00A679A6"/>
    <w:rsid w:val="00A7058E"/>
    <w:rsid w:val="00A7074A"/>
    <w:rsid w:val="00A70904"/>
    <w:rsid w:val="00A72A94"/>
    <w:rsid w:val="00A73D7C"/>
    <w:rsid w:val="00A75DA4"/>
    <w:rsid w:val="00A75F04"/>
    <w:rsid w:val="00A76ED6"/>
    <w:rsid w:val="00A80248"/>
    <w:rsid w:val="00A823C3"/>
    <w:rsid w:val="00A82FE6"/>
    <w:rsid w:val="00A84DAF"/>
    <w:rsid w:val="00A86009"/>
    <w:rsid w:val="00A869A1"/>
    <w:rsid w:val="00A873C2"/>
    <w:rsid w:val="00A875E2"/>
    <w:rsid w:val="00A926ED"/>
    <w:rsid w:val="00A929BA"/>
    <w:rsid w:val="00A9357F"/>
    <w:rsid w:val="00A9572D"/>
    <w:rsid w:val="00AA10EA"/>
    <w:rsid w:val="00AA19D0"/>
    <w:rsid w:val="00AA2A43"/>
    <w:rsid w:val="00AA2CDB"/>
    <w:rsid w:val="00AA3E15"/>
    <w:rsid w:val="00AA4528"/>
    <w:rsid w:val="00AA47AF"/>
    <w:rsid w:val="00AA66C7"/>
    <w:rsid w:val="00AA76BD"/>
    <w:rsid w:val="00AA788B"/>
    <w:rsid w:val="00AA7EB3"/>
    <w:rsid w:val="00AB14D6"/>
    <w:rsid w:val="00AB24C0"/>
    <w:rsid w:val="00AB3E97"/>
    <w:rsid w:val="00AB525B"/>
    <w:rsid w:val="00AB5582"/>
    <w:rsid w:val="00AB5710"/>
    <w:rsid w:val="00AB57B9"/>
    <w:rsid w:val="00AB5E6C"/>
    <w:rsid w:val="00AB6753"/>
    <w:rsid w:val="00AB7E4F"/>
    <w:rsid w:val="00AC07FD"/>
    <w:rsid w:val="00AC364E"/>
    <w:rsid w:val="00AC3771"/>
    <w:rsid w:val="00AC4799"/>
    <w:rsid w:val="00AC4E41"/>
    <w:rsid w:val="00AC4F4F"/>
    <w:rsid w:val="00AC688F"/>
    <w:rsid w:val="00AD0890"/>
    <w:rsid w:val="00AD0DC9"/>
    <w:rsid w:val="00AD27DF"/>
    <w:rsid w:val="00AD2A9A"/>
    <w:rsid w:val="00AD34A4"/>
    <w:rsid w:val="00AD37E4"/>
    <w:rsid w:val="00AD38D4"/>
    <w:rsid w:val="00AD3A9B"/>
    <w:rsid w:val="00AD3E2C"/>
    <w:rsid w:val="00AD3FDB"/>
    <w:rsid w:val="00AD4C26"/>
    <w:rsid w:val="00AD5904"/>
    <w:rsid w:val="00AD77F7"/>
    <w:rsid w:val="00AD7906"/>
    <w:rsid w:val="00AE1B9B"/>
    <w:rsid w:val="00AE23F8"/>
    <w:rsid w:val="00AE2BD2"/>
    <w:rsid w:val="00AE2CD2"/>
    <w:rsid w:val="00AE4893"/>
    <w:rsid w:val="00AE534A"/>
    <w:rsid w:val="00AE54AA"/>
    <w:rsid w:val="00AE602A"/>
    <w:rsid w:val="00AF1DB5"/>
    <w:rsid w:val="00AF3996"/>
    <w:rsid w:val="00AF5985"/>
    <w:rsid w:val="00AF5ABD"/>
    <w:rsid w:val="00AF6E4F"/>
    <w:rsid w:val="00AF72C1"/>
    <w:rsid w:val="00AF7A62"/>
    <w:rsid w:val="00B00DAA"/>
    <w:rsid w:val="00B01BCE"/>
    <w:rsid w:val="00B01FBA"/>
    <w:rsid w:val="00B04B89"/>
    <w:rsid w:val="00B06B05"/>
    <w:rsid w:val="00B06DB6"/>
    <w:rsid w:val="00B07131"/>
    <w:rsid w:val="00B07576"/>
    <w:rsid w:val="00B07F81"/>
    <w:rsid w:val="00B07F9F"/>
    <w:rsid w:val="00B10273"/>
    <w:rsid w:val="00B10A61"/>
    <w:rsid w:val="00B10AD4"/>
    <w:rsid w:val="00B11AFB"/>
    <w:rsid w:val="00B12249"/>
    <w:rsid w:val="00B1440B"/>
    <w:rsid w:val="00B15980"/>
    <w:rsid w:val="00B164C7"/>
    <w:rsid w:val="00B16945"/>
    <w:rsid w:val="00B17C86"/>
    <w:rsid w:val="00B17ECA"/>
    <w:rsid w:val="00B2498F"/>
    <w:rsid w:val="00B265C0"/>
    <w:rsid w:val="00B27122"/>
    <w:rsid w:val="00B317E8"/>
    <w:rsid w:val="00B31BEA"/>
    <w:rsid w:val="00B32B9F"/>
    <w:rsid w:val="00B3406B"/>
    <w:rsid w:val="00B40481"/>
    <w:rsid w:val="00B41B02"/>
    <w:rsid w:val="00B42574"/>
    <w:rsid w:val="00B43490"/>
    <w:rsid w:val="00B43DDB"/>
    <w:rsid w:val="00B43EF4"/>
    <w:rsid w:val="00B4430E"/>
    <w:rsid w:val="00B464CB"/>
    <w:rsid w:val="00B468D2"/>
    <w:rsid w:val="00B468E4"/>
    <w:rsid w:val="00B47B5F"/>
    <w:rsid w:val="00B52FE8"/>
    <w:rsid w:val="00B53138"/>
    <w:rsid w:val="00B53265"/>
    <w:rsid w:val="00B5352A"/>
    <w:rsid w:val="00B53835"/>
    <w:rsid w:val="00B55137"/>
    <w:rsid w:val="00B556B9"/>
    <w:rsid w:val="00B56370"/>
    <w:rsid w:val="00B56A47"/>
    <w:rsid w:val="00B57491"/>
    <w:rsid w:val="00B608B0"/>
    <w:rsid w:val="00B63675"/>
    <w:rsid w:val="00B6391C"/>
    <w:rsid w:val="00B655C6"/>
    <w:rsid w:val="00B65745"/>
    <w:rsid w:val="00B65C80"/>
    <w:rsid w:val="00B719A2"/>
    <w:rsid w:val="00B71C7D"/>
    <w:rsid w:val="00B71E7A"/>
    <w:rsid w:val="00B723B7"/>
    <w:rsid w:val="00B75C90"/>
    <w:rsid w:val="00B77A5C"/>
    <w:rsid w:val="00B804EF"/>
    <w:rsid w:val="00B81DDA"/>
    <w:rsid w:val="00B82C73"/>
    <w:rsid w:val="00B8340F"/>
    <w:rsid w:val="00B83674"/>
    <w:rsid w:val="00B83D87"/>
    <w:rsid w:val="00B8452B"/>
    <w:rsid w:val="00B84962"/>
    <w:rsid w:val="00B86E38"/>
    <w:rsid w:val="00B86ECF"/>
    <w:rsid w:val="00B90FC5"/>
    <w:rsid w:val="00B91C1D"/>
    <w:rsid w:val="00B924A5"/>
    <w:rsid w:val="00B925B8"/>
    <w:rsid w:val="00B930DD"/>
    <w:rsid w:val="00B932A1"/>
    <w:rsid w:val="00B94CBB"/>
    <w:rsid w:val="00B97529"/>
    <w:rsid w:val="00B97890"/>
    <w:rsid w:val="00B97BE6"/>
    <w:rsid w:val="00B97CA6"/>
    <w:rsid w:val="00B97CEA"/>
    <w:rsid w:val="00BA160F"/>
    <w:rsid w:val="00BA2BCC"/>
    <w:rsid w:val="00BA5E9E"/>
    <w:rsid w:val="00BA6BF3"/>
    <w:rsid w:val="00BA705F"/>
    <w:rsid w:val="00BA70AC"/>
    <w:rsid w:val="00BA7978"/>
    <w:rsid w:val="00BB0CD2"/>
    <w:rsid w:val="00BB1C75"/>
    <w:rsid w:val="00BB1DB1"/>
    <w:rsid w:val="00BB2174"/>
    <w:rsid w:val="00BB3278"/>
    <w:rsid w:val="00BB37B1"/>
    <w:rsid w:val="00BB3DC0"/>
    <w:rsid w:val="00BB4B19"/>
    <w:rsid w:val="00BB52F0"/>
    <w:rsid w:val="00BB5896"/>
    <w:rsid w:val="00BB7C33"/>
    <w:rsid w:val="00BC2268"/>
    <w:rsid w:val="00BC3983"/>
    <w:rsid w:val="00BC4ADF"/>
    <w:rsid w:val="00BC5A10"/>
    <w:rsid w:val="00BC5C73"/>
    <w:rsid w:val="00BC6190"/>
    <w:rsid w:val="00BC6363"/>
    <w:rsid w:val="00BC6527"/>
    <w:rsid w:val="00BC65AE"/>
    <w:rsid w:val="00BC6943"/>
    <w:rsid w:val="00BC7BF4"/>
    <w:rsid w:val="00BD19B7"/>
    <w:rsid w:val="00BD2011"/>
    <w:rsid w:val="00BD3025"/>
    <w:rsid w:val="00BD36DB"/>
    <w:rsid w:val="00BD3CB9"/>
    <w:rsid w:val="00BD452E"/>
    <w:rsid w:val="00BD4660"/>
    <w:rsid w:val="00BD491D"/>
    <w:rsid w:val="00BD5CB6"/>
    <w:rsid w:val="00BD675A"/>
    <w:rsid w:val="00BD75D2"/>
    <w:rsid w:val="00BD78A3"/>
    <w:rsid w:val="00BD7CD4"/>
    <w:rsid w:val="00BE023E"/>
    <w:rsid w:val="00BE0591"/>
    <w:rsid w:val="00BE13A9"/>
    <w:rsid w:val="00BE195B"/>
    <w:rsid w:val="00BE22F6"/>
    <w:rsid w:val="00BE2FAC"/>
    <w:rsid w:val="00BE3EEE"/>
    <w:rsid w:val="00BE5803"/>
    <w:rsid w:val="00BE59DB"/>
    <w:rsid w:val="00BE5AE7"/>
    <w:rsid w:val="00BE7F8F"/>
    <w:rsid w:val="00BF018A"/>
    <w:rsid w:val="00BF1006"/>
    <w:rsid w:val="00BF16B0"/>
    <w:rsid w:val="00BF2976"/>
    <w:rsid w:val="00BF3ADE"/>
    <w:rsid w:val="00BF6803"/>
    <w:rsid w:val="00BF69BE"/>
    <w:rsid w:val="00BF6D97"/>
    <w:rsid w:val="00BF6DAD"/>
    <w:rsid w:val="00BF70A4"/>
    <w:rsid w:val="00BF70D7"/>
    <w:rsid w:val="00C01BDE"/>
    <w:rsid w:val="00C03432"/>
    <w:rsid w:val="00C03AC2"/>
    <w:rsid w:val="00C03ED5"/>
    <w:rsid w:val="00C05AD6"/>
    <w:rsid w:val="00C05FF8"/>
    <w:rsid w:val="00C0697E"/>
    <w:rsid w:val="00C07F94"/>
    <w:rsid w:val="00C1020E"/>
    <w:rsid w:val="00C13789"/>
    <w:rsid w:val="00C14D69"/>
    <w:rsid w:val="00C150DF"/>
    <w:rsid w:val="00C15BDE"/>
    <w:rsid w:val="00C17F69"/>
    <w:rsid w:val="00C20D8F"/>
    <w:rsid w:val="00C22015"/>
    <w:rsid w:val="00C2429D"/>
    <w:rsid w:val="00C24A16"/>
    <w:rsid w:val="00C26351"/>
    <w:rsid w:val="00C27111"/>
    <w:rsid w:val="00C27DD1"/>
    <w:rsid w:val="00C33F76"/>
    <w:rsid w:val="00C3513E"/>
    <w:rsid w:val="00C35FC3"/>
    <w:rsid w:val="00C37B54"/>
    <w:rsid w:val="00C37E9D"/>
    <w:rsid w:val="00C428C9"/>
    <w:rsid w:val="00C42DE6"/>
    <w:rsid w:val="00C434BE"/>
    <w:rsid w:val="00C43FF7"/>
    <w:rsid w:val="00C440F9"/>
    <w:rsid w:val="00C4413C"/>
    <w:rsid w:val="00C441A8"/>
    <w:rsid w:val="00C44297"/>
    <w:rsid w:val="00C449A0"/>
    <w:rsid w:val="00C45196"/>
    <w:rsid w:val="00C46D49"/>
    <w:rsid w:val="00C47FA5"/>
    <w:rsid w:val="00C52254"/>
    <w:rsid w:val="00C52272"/>
    <w:rsid w:val="00C53DA6"/>
    <w:rsid w:val="00C53E62"/>
    <w:rsid w:val="00C546C7"/>
    <w:rsid w:val="00C54F6A"/>
    <w:rsid w:val="00C56A15"/>
    <w:rsid w:val="00C56BD8"/>
    <w:rsid w:val="00C5731B"/>
    <w:rsid w:val="00C60C60"/>
    <w:rsid w:val="00C61834"/>
    <w:rsid w:val="00C63763"/>
    <w:rsid w:val="00C6564F"/>
    <w:rsid w:val="00C65A46"/>
    <w:rsid w:val="00C668C5"/>
    <w:rsid w:val="00C669E0"/>
    <w:rsid w:val="00C70F4A"/>
    <w:rsid w:val="00C73185"/>
    <w:rsid w:val="00C750EC"/>
    <w:rsid w:val="00C75161"/>
    <w:rsid w:val="00C75ACC"/>
    <w:rsid w:val="00C80178"/>
    <w:rsid w:val="00C80874"/>
    <w:rsid w:val="00C80AB1"/>
    <w:rsid w:val="00C8141A"/>
    <w:rsid w:val="00C820E7"/>
    <w:rsid w:val="00C82E99"/>
    <w:rsid w:val="00C833A9"/>
    <w:rsid w:val="00C83B29"/>
    <w:rsid w:val="00C8419C"/>
    <w:rsid w:val="00C84C75"/>
    <w:rsid w:val="00C86465"/>
    <w:rsid w:val="00C8692E"/>
    <w:rsid w:val="00C86B72"/>
    <w:rsid w:val="00C8767F"/>
    <w:rsid w:val="00C901CF"/>
    <w:rsid w:val="00C90BD9"/>
    <w:rsid w:val="00C911C1"/>
    <w:rsid w:val="00C925FB"/>
    <w:rsid w:val="00C927D6"/>
    <w:rsid w:val="00C92ABA"/>
    <w:rsid w:val="00C93249"/>
    <w:rsid w:val="00C9688D"/>
    <w:rsid w:val="00C97F74"/>
    <w:rsid w:val="00CA02FC"/>
    <w:rsid w:val="00CA1AF1"/>
    <w:rsid w:val="00CA1B42"/>
    <w:rsid w:val="00CA2CAB"/>
    <w:rsid w:val="00CA3A43"/>
    <w:rsid w:val="00CA41E0"/>
    <w:rsid w:val="00CA598D"/>
    <w:rsid w:val="00CA62E4"/>
    <w:rsid w:val="00CA651F"/>
    <w:rsid w:val="00CA7BDB"/>
    <w:rsid w:val="00CB0EB2"/>
    <w:rsid w:val="00CB1A92"/>
    <w:rsid w:val="00CB1E5D"/>
    <w:rsid w:val="00CB2127"/>
    <w:rsid w:val="00CB224A"/>
    <w:rsid w:val="00CB2D7A"/>
    <w:rsid w:val="00CB3A96"/>
    <w:rsid w:val="00CB4CA1"/>
    <w:rsid w:val="00CB6301"/>
    <w:rsid w:val="00CB6663"/>
    <w:rsid w:val="00CB6675"/>
    <w:rsid w:val="00CB6AA7"/>
    <w:rsid w:val="00CB7EAE"/>
    <w:rsid w:val="00CC05B0"/>
    <w:rsid w:val="00CC086B"/>
    <w:rsid w:val="00CC1A8A"/>
    <w:rsid w:val="00CC2619"/>
    <w:rsid w:val="00CC5989"/>
    <w:rsid w:val="00CC67EF"/>
    <w:rsid w:val="00CC755F"/>
    <w:rsid w:val="00CD030C"/>
    <w:rsid w:val="00CD1420"/>
    <w:rsid w:val="00CD2842"/>
    <w:rsid w:val="00CD3690"/>
    <w:rsid w:val="00CD4161"/>
    <w:rsid w:val="00CD4384"/>
    <w:rsid w:val="00CD5164"/>
    <w:rsid w:val="00CD5250"/>
    <w:rsid w:val="00CD5754"/>
    <w:rsid w:val="00CD5CEE"/>
    <w:rsid w:val="00CD61AD"/>
    <w:rsid w:val="00CE094B"/>
    <w:rsid w:val="00CE0BAF"/>
    <w:rsid w:val="00CE2E27"/>
    <w:rsid w:val="00CE2F91"/>
    <w:rsid w:val="00CE3400"/>
    <w:rsid w:val="00CE3AC6"/>
    <w:rsid w:val="00CE3FDB"/>
    <w:rsid w:val="00CE5E9B"/>
    <w:rsid w:val="00CE5ED8"/>
    <w:rsid w:val="00CE66D6"/>
    <w:rsid w:val="00CE77AA"/>
    <w:rsid w:val="00CF0660"/>
    <w:rsid w:val="00CF110F"/>
    <w:rsid w:val="00CF631E"/>
    <w:rsid w:val="00CF65BF"/>
    <w:rsid w:val="00CF7C15"/>
    <w:rsid w:val="00D00F44"/>
    <w:rsid w:val="00D014C5"/>
    <w:rsid w:val="00D01574"/>
    <w:rsid w:val="00D02A9E"/>
    <w:rsid w:val="00D03D2C"/>
    <w:rsid w:val="00D04209"/>
    <w:rsid w:val="00D04EB0"/>
    <w:rsid w:val="00D06A32"/>
    <w:rsid w:val="00D1148E"/>
    <w:rsid w:val="00D11517"/>
    <w:rsid w:val="00D13DDE"/>
    <w:rsid w:val="00D14440"/>
    <w:rsid w:val="00D14A35"/>
    <w:rsid w:val="00D172B8"/>
    <w:rsid w:val="00D17C44"/>
    <w:rsid w:val="00D17F73"/>
    <w:rsid w:val="00D218B2"/>
    <w:rsid w:val="00D2258C"/>
    <w:rsid w:val="00D22B41"/>
    <w:rsid w:val="00D246CC"/>
    <w:rsid w:val="00D257D2"/>
    <w:rsid w:val="00D25FBD"/>
    <w:rsid w:val="00D266C1"/>
    <w:rsid w:val="00D26EF1"/>
    <w:rsid w:val="00D27031"/>
    <w:rsid w:val="00D30812"/>
    <w:rsid w:val="00D31192"/>
    <w:rsid w:val="00D321FA"/>
    <w:rsid w:val="00D32F0C"/>
    <w:rsid w:val="00D33D58"/>
    <w:rsid w:val="00D34E3A"/>
    <w:rsid w:val="00D36134"/>
    <w:rsid w:val="00D37681"/>
    <w:rsid w:val="00D4005D"/>
    <w:rsid w:val="00D425CC"/>
    <w:rsid w:val="00D443D1"/>
    <w:rsid w:val="00D46334"/>
    <w:rsid w:val="00D46F33"/>
    <w:rsid w:val="00D47664"/>
    <w:rsid w:val="00D501B3"/>
    <w:rsid w:val="00D50CB9"/>
    <w:rsid w:val="00D515F1"/>
    <w:rsid w:val="00D51A2C"/>
    <w:rsid w:val="00D5359D"/>
    <w:rsid w:val="00D575C3"/>
    <w:rsid w:val="00D5777D"/>
    <w:rsid w:val="00D57FFA"/>
    <w:rsid w:val="00D60FD5"/>
    <w:rsid w:val="00D6257B"/>
    <w:rsid w:val="00D6314B"/>
    <w:rsid w:val="00D63664"/>
    <w:rsid w:val="00D67B74"/>
    <w:rsid w:val="00D70526"/>
    <w:rsid w:val="00D7120C"/>
    <w:rsid w:val="00D72CF6"/>
    <w:rsid w:val="00D73A84"/>
    <w:rsid w:val="00D7585C"/>
    <w:rsid w:val="00D76A36"/>
    <w:rsid w:val="00D80B2E"/>
    <w:rsid w:val="00D818A4"/>
    <w:rsid w:val="00D81CE8"/>
    <w:rsid w:val="00D81EA7"/>
    <w:rsid w:val="00D83627"/>
    <w:rsid w:val="00D8454A"/>
    <w:rsid w:val="00D850A3"/>
    <w:rsid w:val="00D85224"/>
    <w:rsid w:val="00D86600"/>
    <w:rsid w:val="00D9144D"/>
    <w:rsid w:val="00D93FA2"/>
    <w:rsid w:val="00D94A7B"/>
    <w:rsid w:val="00D95429"/>
    <w:rsid w:val="00D964FB"/>
    <w:rsid w:val="00DA4783"/>
    <w:rsid w:val="00DA6CEE"/>
    <w:rsid w:val="00DB03A6"/>
    <w:rsid w:val="00DB1761"/>
    <w:rsid w:val="00DB1E26"/>
    <w:rsid w:val="00DB1F7A"/>
    <w:rsid w:val="00DB291C"/>
    <w:rsid w:val="00DB45E1"/>
    <w:rsid w:val="00DB4B1A"/>
    <w:rsid w:val="00DB76DF"/>
    <w:rsid w:val="00DC160B"/>
    <w:rsid w:val="00DC2286"/>
    <w:rsid w:val="00DC426C"/>
    <w:rsid w:val="00DC6201"/>
    <w:rsid w:val="00DD1E1B"/>
    <w:rsid w:val="00DD2736"/>
    <w:rsid w:val="00DD2DB9"/>
    <w:rsid w:val="00DD5BD6"/>
    <w:rsid w:val="00DD652C"/>
    <w:rsid w:val="00DD7016"/>
    <w:rsid w:val="00DD77BE"/>
    <w:rsid w:val="00DE0DD9"/>
    <w:rsid w:val="00DE2290"/>
    <w:rsid w:val="00DE26C0"/>
    <w:rsid w:val="00DE2B14"/>
    <w:rsid w:val="00DE2E81"/>
    <w:rsid w:val="00DE3DA0"/>
    <w:rsid w:val="00DE46C0"/>
    <w:rsid w:val="00DE4C22"/>
    <w:rsid w:val="00DE673B"/>
    <w:rsid w:val="00DE68B7"/>
    <w:rsid w:val="00DE6BA2"/>
    <w:rsid w:val="00DE7428"/>
    <w:rsid w:val="00DE7C5D"/>
    <w:rsid w:val="00DF07B8"/>
    <w:rsid w:val="00DF0830"/>
    <w:rsid w:val="00DF1BD5"/>
    <w:rsid w:val="00DF24F8"/>
    <w:rsid w:val="00DF3213"/>
    <w:rsid w:val="00DF4515"/>
    <w:rsid w:val="00DF4F94"/>
    <w:rsid w:val="00DF5AA2"/>
    <w:rsid w:val="00DF657B"/>
    <w:rsid w:val="00DF6FBD"/>
    <w:rsid w:val="00E0127F"/>
    <w:rsid w:val="00E0292F"/>
    <w:rsid w:val="00E055E9"/>
    <w:rsid w:val="00E05EB8"/>
    <w:rsid w:val="00E066D0"/>
    <w:rsid w:val="00E07F63"/>
    <w:rsid w:val="00E10501"/>
    <w:rsid w:val="00E10536"/>
    <w:rsid w:val="00E11158"/>
    <w:rsid w:val="00E12BFD"/>
    <w:rsid w:val="00E13B71"/>
    <w:rsid w:val="00E149F0"/>
    <w:rsid w:val="00E15075"/>
    <w:rsid w:val="00E15E2F"/>
    <w:rsid w:val="00E177C9"/>
    <w:rsid w:val="00E2076C"/>
    <w:rsid w:val="00E2123E"/>
    <w:rsid w:val="00E2196F"/>
    <w:rsid w:val="00E21D58"/>
    <w:rsid w:val="00E22EE9"/>
    <w:rsid w:val="00E233B0"/>
    <w:rsid w:val="00E24060"/>
    <w:rsid w:val="00E2425F"/>
    <w:rsid w:val="00E248A1"/>
    <w:rsid w:val="00E3179A"/>
    <w:rsid w:val="00E32486"/>
    <w:rsid w:val="00E350D1"/>
    <w:rsid w:val="00E35A9A"/>
    <w:rsid w:val="00E36CFD"/>
    <w:rsid w:val="00E3702D"/>
    <w:rsid w:val="00E371D1"/>
    <w:rsid w:val="00E37BDE"/>
    <w:rsid w:val="00E40C82"/>
    <w:rsid w:val="00E40CDE"/>
    <w:rsid w:val="00E41DAF"/>
    <w:rsid w:val="00E42C12"/>
    <w:rsid w:val="00E4351E"/>
    <w:rsid w:val="00E439A7"/>
    <w:rsid w:val="00E44260"/>
    <w:rsid w:val="00E44F68"/>
    <w:rsid w:val="00E45588"/>
    <w:rsid w:val="00E45B47"/>
    <w:rsid w:val="00E46CD1"/>
    <w:rsid w:val="00E47369"/>
    <w:rsid w:val="00E521EB"/>
    <w:rsid w:val="00E52605"/>
    <w:rsid w:val="00E52CB5"/>
    <w:rsid w:val="00E52D09"/>
    <w:rsid w:val="00E530DE"/>
    <w:rsid w:val="00E54BA2"/>
    <w:rsid w:val="00E54DB4"/>
    <w:rsid w:val="00E55250"/>
    <w:rsid w:val="00E55E12"/>
    <w:rsid w:val="00E56011"/>
    <w:rsid w:val="00E5601E"/>
    <w:rsid w:val="00E57B71"/>
    <w:rsid w:val="00E60019"/>
    <w:rsid w:val="00E615BF"/>
    <w:rsid w:val="00E61E4F"/>
    <w:rsid w:val="00E6311C"/>
    <w:rsid w:val="00E63A81"/>
    <w:rsid w:val="00E6456E"/>
    <w:rsid w:val="00E64B51"/>
    <w:rsid w:val="00E64FAF"/>
    <w:rsid w:val="00E65C9F"/>
    <w:rsid w:val="00E67247"/>
    <w:rsid w:val="00E70485"/>
    <w:rsid w:val="00E72AE1"/>
    <w:rsid w:val="00E74627"/>
    <w:rsid w:val="00E74A2B"/>
    <w:rsid w:val="00E74E0B"/>
    <w:rsid w:val="00E82296"/>
    <w:rsid w:val="00E82492"/>
    <w:rsid w:val="00E82AF9"/>
    <w:rsid w:val="00E82B58"/>
    <w:rsid w:val="00E8445E"/>
    <w:rsid w:val="00E86025"/>
    <w:rsid w:val="00E866CD"/>
    <w:rsid w:val="00E869B4"/>
    <w:rsid w:val="00E87AC0"/>
    <w:rsid w:val="00E906D1"/>
    <w:rsid w:val="00E92028"/>
    <w:rsid w:val="00E92167"/>
    <w:rsid w:val="00E92559"/>
    <w:rsid w:val="00E948BC"/>
    <w:rsid w:val="00E95917"/>
    <w:rsid w:val="00E96C21"/>
    <w:rsid w:val="00E96CCB"/>
    <w:rsid w:val="00E96DB2"/>
    <w:rsid w:val="00E9732C"/>
    <w:rsid w:val="00E97758"/>
    <w:rsid w:val="00E97FFD"/>
    <w:rsid w:val="00EA08C2"/>
    <w:rsid w:val="00EA0D4A"/>
    <w:rsid w:val="00EA13EF"/>
    <w:rsid w:val="00EA1A8C"/>
    <w:rsid w:val="00EA2314"/>
    <w:rsid w:val="00EA25E1"/>
    <w:rsid w:val="00EA3824"/>
    <w:rsid w:val="00EA3D2A"/>
    <w:rsid w:val="00EA47A1"/>
    <w:rsid w:val="00EA49B0"/>
    <w:rsid w:val="00EA577C"/>
    <w:rsid w:val="00EA57F9"/>
    <w:rsid w:val="00EA666C"/>
    <w:rsid w:val="00EA7AE4"/>
    <w:rsid w:val="00EB029E"/>
    <w:rsid w:val="00EB0C5B"/>
    <w:rsid w:val="00EB0C8D"/>
    <w:rsid w:val="00EB169C"/>
    <w:rsid w:val="00EB1DED"/>
    <w:rsid w:val="00EB2C99"/>
    <w:rsid w:val="00EB43DD"/>
    <w:rsid w:val="00EB461E"/>
    <w:rsid w:val="00EB5F98"/>
    <w:rsid w:val="00EB7758"/>
    <w:rsid w:val="00EB7FE2"/>
    <w:rsid w:val="00EC381B"/>
    <w:rsid w:val="00EC389A"/>
    <w:rsid w:val="00EC4C7F"/>
    <w:rsid w:val="00EC5175"/>
    <w:rsid w:val="00EC546E"/>
    <w:rsid w:val="00EC59F9"/>
    <w:rsid w:val="00EC5E6C"/>
    <w:rsid w:val="00EC6231"/>
    <w:rsid w:val="00EC789C"/>
    <w:rsid w:val="00EC792C"/>
    <w:rsid w:val="00EC7BFD"/>
    <w:rsid w:val="00ED1CA6"/>
    <w:rsid w:val="00ED3B38"/>
    <w:rsid w:val="00ED3FE8"/>
    <w:rsid w:val="00ED4AC0"/>
    <w:rsid w:val="00ED4DE2"/>
    <w:rsid w:val="00ED4ECD"/>
    <w:rsid w:val="00ED58F9"/>
    <w:rsid w:val="00ED6541"/>
    <w:rsid w:val="00ED6AFB"/>
    <w:rsid w:val="00ED7983"/>
    <w:rsid w:val="00EE2770"/>
    <w:rsid w:val="00EE434B"/>
    <w:rsid w:val="00EE69F6"/>
    <w:rsid w:val="00EE6F94"/>
    <w:rsid w:val="00EE7AC2"/>
    <w:rsid w:val="00EE7D66"/>
    <w:rsid w:val="00EF090C"/>
    <w:rsid w:val="00EF1D65"/>
    <w:rsid w:val="00EF27FA"/>
    <w:rsid w:val="00EF3542"/>
    <w:rsid w:val="00EF3D18"/>
    <w:rsid w:val="00EF3E90"/>
    <w:rsid w:val="00EF418D"/>
    <w:rsid w:val="00EF49D8"/>
    <w:rsid w:val="00EF4E12"/>
    <w:rsid w:val="00EF5D56"/>
    <w:rsid w:val="00EF66F0"/>
    <w:rsid w:val="00EF7C3E"/>
    <w:rsid w:val="00EF7FD6"/>
    <w:rsid w:val="00F012EA"/>
    <w:rsid w:val="00F026D5"/>
    <w:rsid w:val="00F02AA8"/>
    <w:rsid w:val="00F0320F"/>
    <w:rsid w:val="00F036EF"/>
    <w:rsid w:val="00F04A44"/>
    <w:rsid w:val="00F10822"/>
    <w:rsid w:val="00F1119D"/>
    <w:rsid w:val="00F1193F"/>
    <w:rsid w:val="00F11FF7"/>
    <w:rsid w:val="00F1373F"/>
    <w:rsid w:val="00F1384F"/>
    <w:rsid w:val="00F13D11"/>
    <w:rsid w:val="00F15BB6"/>
    <w:rsid w:val="00F16C30"/>
    <w:rsid w:val="00F16FC5"/>
    <w:rsid w:val="00F17392"/>
    <w:rsid w:val="00F225FC"/>
    <w:rsid w:val="00F22B41"/>
    <w:rsid w:val="00F2346A"/>
    <w:rsid w:val="00F24580"/>
    <w:rsid w:val="00F26315"/>
    <w:rsid w:val="00F264DD"/>
    <w:rsid w:val="00F267A8"/>
    <w:rsid w:val="00F27B7E"/>
    <w:rsid w:val="00F311EB"/>
    <w:rsid w:val="00F31607"/>
    <w:rsid w:val="00F32A74"/>
    <w:rsid w:val="00F33A6A"/>
    <w:rsid w:val="00F33CCA"/>
    <w:rsid w:val="00F3423B"/>
    <w:rsid w:val="00F35D08"/>
    <w:rsid w:val="00F361A1"/>
    <w:rsid w:val="00F37426"/>
    <w:rsid w:val="00F374FF"/>
    <w:rsid w:val="00F406F4"/>
    <w:rsid w:val="00F41E30"/>
    <w:rsid w:val="00F41F33"/>
    <w:rsid w:val="00F44AA3"/>
    <w:rsid w:val="00F45135"/>
    <w:rsid w:val="00F4530D"/>
    <w:rsid w:val="00F45CEF"/>
    <w:rsid w:val="00F53AE1"/>
    <w:rsid w:val="00F53F18"/>
    <w:rsid w:val="00F55F4A"/>
    <w:rsid w:val="00F56191"/>
    <w:rsid w:val="00F5640D"/>
    <w:rsid w:val="00F60530"/>
    <w:rsid w:val="00F60F3C"/>
    <w:rsid w:val="00F61474"/>
    <w:rsid w:val="00F61F02"/>
    <w:rsid w:val="00F627E1"/>
    <w:rsid w:val="00F63283"/>
    <w:rsid w:val="00F64028"/>
    <w:rsid w:val="00F64319"/>
    <w:rsid w:val="00F6473D"/>
    <w:rsid w:val="00F64D78"/>
    <w:rsid w:val="00F65A55"/>
    <w:rsid w:val="00F66BCE"/>
    <w:rsid w:val="00F67A79"/>
    <w:rsid w:val="00F703DE"/>
    <w:rsid w:val="00F73064"/>
    <w:rsid w:val="00F73109"/>
    <w:rsid w:val="00F73AF8"/>
    <w:rsid w:val="00F73CA2"/>
    <w:rsid w:val="00F74714"/>
    <w:rsid w:val="00F74776"/>
    <w:rsid w:val="00F75E57"/>
    <w:rsid w:val="00F75F27"/>
    <w:rsid w:val="00F80375"/>
    <w:rsid w:val="00F805AB"/>
    <w:rsid w:val="00F80917"/>
    <w:rsid w:val="00F81046"/>
    <w:rsid w:val="00F82A1D"/>
    <w:rsid w:val="00F82F58"/>
    <w:rsid w:val="00F832A0"/>
    <w:rsid w:val="00F83BC9"/>
    <w:rsid w:val="00F83D04"/>
    <w:rsid w:val="00F83EF5"/>
    <w:rsid w:val="00F843D1"/>
    <w:rsid w:val="00F8675B"/>
    <w:rsid w:val="00F87048"/>
    <w:rsid w:val="00F874B6"/>
    <w:rsid w:val="00F90417"/>
    <w:rsid w:val="00F913A3"/>
    <w:rsid w:val="00F9254C"/>
    <w:rsid w:val="00F926B7"/>
    <w:rsid w:val="00F927D0"/>
    <w:rsid w:val="00F92F26"/>
    <w:rsid w:val="00F93C6A"/>
    <w:rsid w:val="00F960B7"/>
    <w:rsid w:val="00F96C7B"/>
    <w:rsid w:val="00F97ADE"/>
    <w:rsid w:val="00F97E0E"/>
    <w:rsid w:val="00FA0D2B"/>
    <w:rsid w:val="00FA17A1"/>
    <w:rsid w:val="00FA273B"/>
    <w:rsid w:val="00FA4A15"/>
    <w:rsid w:val="00FA4D4C"/>
    <w:rsid w:val="00FA52C4"/>
    <w:rsid w:val="00FA5596"/>
    <w:rsid w:val="00FA7AAE"/>
    <w:rsid w:val="00FB06C0"/>
    <w:rsid w:val="00FB3FCB"/>
    <w:rsid w:val="00FB3FED"/>
    <w:rsid w:val="00FB59AE"/>
    <w:rsid w:val="00FB76BD"/>
    <w:rsid w:val="00FC15D4"/>
    <w:rsid w:val="00FC228B"/>
    <w:rsid w:val="00FC261E"/>
    <w:rsid w:val="00FC426C"/>
    <w:rsid w:val="00FC5BAF"/>
    <w:rsid w:val="00FC5C4C"/>
    <w:rsid w:val="00FD01D3"/>
    <w:rsid w:val="00FD0347"/>
    <w:rsid w:val="00FD098F"/>
    <w:rsid w:val="00FD0D17"/>
    <w:rsid w:val="00FD284D"/>
    <w:rsid w:val="00FD300B"/>
    <w:rsid w:val="00FD3E43"/>
    <w:rsid w:val="00FD407C"/>
    <w:rsid w:val="00FD4119"/>
    <w:rsid w:val="00FD5BF8"/>
    <w:rsid w:val="00FD6A59"/>
    <w:rsid w:val="00FD6AC2"/>
    <w:rsid w:val="00FE00F7"/>
    <w:rsid w:val="00FE192D"/>
    <w:rsid w:val="00FE1DEF"/>
    <w:rsid w:val="00FE23ED"/>
    <w:rsid w:val="00FE23F2"/>
    <w:rsid w:val="00FE3DDA"/>
    <w:rsid w:val="00FE42B6"/>
    <w:rsid w:val="00FE5715"/>
    <w:rsid w:val="00FE5E46"/>
    <w:rsid w:val="00FE6E97"/>
    <w:rsid w:val="00FE75A4"/>
    <w:rsid w:val="00FF1B13"/>
    <w:rsid w:val="00FF26ED"/>
    <w:rsid w:val="00FF31B4"/>
    <w:rsid w:val="00FF4AA5"/>
    <w:rsid w:val="00FF4FD6"/>
    <w:rsid w:val="00FF5F7F"/>
    <w:rsid w:val="00FF66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A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CB7EAE"/>
    <w:pPr>
      <w:spacing w:before="480" w:after="240"/>
      <w:jc w:val="center"/>
      <w:outlineLvl w:val="0"/>
    </w:pPr>
    <w:rPr>
      <w:rFonts w:ascii="Arial Bold" w:hAnsi="Arial Bold"/>
      <w:b/>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6E5615"/>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780138"/>
    <w:pPr>
      <w:keepNext w:val="0"/>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CB7EAE"/>
    <w:rPr>
      <w:rFonts w:ascii="Arial Bold" w:hAnsi="Arial Bold"/>
      <w:b/>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6E5615"/>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780138"/>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C03432"/>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B1440B"/>
    <w:pPr>
      <w:spacing w:after="600"/>
      <w:outlineLvl w:val="0"/>
    </w:pPr>
    <w:rPr>
      <w:b/>
      <w:bCs/>
      <w:sz w:val="38"/>
      <w:szCs w:val="34"/>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rsid w:val="004D3313"/>
    <w:pPr>
      <w:keepNext/>
      <w:numPr>
        <w:numId w:val="43"/>
      </w:numPr>
      <w:tabs>
        <w:tab w:val="clear" w:pos="614"/>
        <w:tab w:val="num" w:pos="284"/>
      </w:tabs>
      <w:ind w:left="284" w:hanging="284"/>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A21287"/>
    <w:pPr>
      <w:spacing w:after="120"/>
      <w:jc w:val="center"/>
    </w:pPr>
    <w:rPr>
      <w:b/>
      <w:sz w:val="22"/>
    </w:rPr>
  </w:style>
  <w:style w:type="paragraph" w:customStyle="1" w:styleId="ChartorTableNote">
    <w:name w:val="Chart or Table Note"/>
    <w:next w:val="Normal"/>
    <w:rsid w:val="009A2C3A"/>
    <w:pPr>
      <w:tabs>
        <w:tab w:val="left" w:pos="482"/>
      </w:tabs>
      <w:spacing w:before="120" w:after="0" w:line="240" w:lineRule="auto"/>
      <w:ind w:left="482" w:hanging="482"/>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CB7EAE"/>
    <w:pPr>
      <w:spacing w:after="360"/>
      <w:jc w:val="center"/>
    </w:pPr>
    <w:rPr>
      <w:rFonts w:ascii="Arial Bold" w:hAnsi="Arial Bold"/>
      <w:b/>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link w:val="DashChar"/>
    <w:rsid w:val="00F73064"/>
    <w:pPr>
      <w:numPr>
        <w:ilvl w:val="1"/>
        <w:numId w:val="43"/>
      </w:numPr>
    </w:pPr>
  </w:style>
  <w:style w:type="paragraph" w:customStyle="1" w:styleId="DoubleDot">
    <w:name w:val="Double Dot"/>
    <w:basedOn w:val="Dash"/>
    <w:link w:val="DoubleDotChar"/>
    <w:rsid w:val="00F73064"/>
    <w:pPr>
      <w:numPr>
        <w:ilvl w:val="2"/>
      </w:numPr>
    </w:pPr>
  </w:style>
  <w:style w:type="paragraph" w:customStyle="1" w:styleId="Figuregraphic">
    <w:name w:val="Figure graphic"/>
    <w:basedOn w:val="Normal"/>
    <w:rsid w:val="004D3313"/>
  </w:style>
  <w:style w:type="paragraph" w:customStyle="1" w:styleId="FigureHeading">
    <w:name w:val="Figure Heading"/>
    <w:basedOn w:val="ChartMainHeading"/>
    <w:next w:val="Figuregraphic"/>
    <w:rsid w:val="004D3313"/>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082BD3"/>
    <w:pPr>
      <w:jc w:val="left"/>
    </w:pPr>
  </w:style>
  <w:style w:type="paragraph" w:customStyle="1" w:styleId="FooterOdd">
    <w:name w:val="Footer Odd"/>
    <w:basedOn w:val="FooterEven"/>
    <w:rsid w:val="00082BD3"/>
    <w:pPr>
      <w:jc w:val="right"/>
    </w:pPr>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7A4382"/>
    <w:pPr>
      <w:tabs>
        <w:tab w:val="left" w:pos="284"/>
      </w:tabs>
      <w:spacing w:after="40"/>
      <w:ind w:left="284" w:hanging="284"/>
    </w:pPr>
    <w:rPr>
      <w:sz w:val="18"/>
    </w:rPr>
  </w:style>
  <w:style w:type="character" w:customStyle="1" w:styleId="FootnoteTextChar">
    <w:name w:val="Footnote Text Char"/>
    <w:basedOn w:val="DefaultParagraphFont"/>
    <w:link w:val="FootnoteText"/>
    <w:uiPriority w:val="99"/>
    <w:rsid w:val="007A4382"/>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C3513E"/>
    <w:pPr>
      <w:jc w:val="left"/>
    </w:pPr>
  </w:style>
  <w:style w:type="paragraph" w:customStyle="1" w:styleId="HeaderOdd">
    <w:name w:val="Header Odd"/>
    <w:basedOn w:val="Header"/>
    <w:rsid w:val="00082BD3"/>
    <w:pPr>
      <w:keepNext w:val="0"/>
      <w:tabs>
        <w:tab w:val="right" w:pos="5670"/>
      </w:tabs>
      <w:jc w:val="right"/>
    </w:pPr>
    <w:rPr>
      <w:lang w:eastAsia="en-AU"/>
    </w:rPr>
  </w:style>
  <w:style w:type="character" w:styleId="Hyperlink">
    <w:name w:val="Hyperlink"/>
    <w:basedOn w:val="DefaultParagraphFont"/>
    <w:uiPriority w:val="99"/>
    <w:rsid w:val="00F73064"/>
    <w:rPr>
      <w:color w:val="3A6FA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uiPriority w:val="59"/>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2E55AE"/>
    <w:pPr>
      <w:jc w:val="center"/>
    </w:pPr>
    <w:rPr>
      <w:sz w:val="16"/>
    </w:r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2E55AE"/>
    <w:rPr>
      <w:sz w:val="16"/>
    </w:rPr>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467172"/>
    <w:pPr>
      <w:widowControl w:val="0"/>
      <w:tabs>
        <w:tab w:val="left" w:pos="340"/>
        <w:tab w:val="right" w:leader="dot" w:pos="8930"/>
      </w:tabs>
      <w:adjustRightInd w:val="0"/>
      <w:spacing w:before="100" w:after="60"/>
      <w:ind w:left="340" w:right="567" w:hanging="340"/>
      <w:jc w:val="both"/>
      <w:textAlignment w:val="baseline"/>
    </w:pPr>
    <w:rPr>
      <w:rFonts w:ascii="Arial Bold" w:hAnsi="Arial Bold" w:cs="Arial"/>
      <w:b/>
      <w:caps/>
      <w:noProof/>
      <w:color w:val="003157"/>
      <w:sz w:val="21"/>
      <w:lang w:val="en-US" w:eastAsia="en-AU"/>
    </w:rPr>
  </w:style>
  <w:style w:type="paragraph" w:styleId="TOC2">
    <w:name w:val="toc 2"/>
    <w:basedOn w:val="Normal"/>
    <w:next w:val="Normal"/>
    <w:uiPriority w:val="39"/>
    <w:rsid w:val="00467172"/>
    <w:pPr>
      <w:tabs>
        <w:tab w:val="left" w:pos="851"/>
        <w:tab w:val="right" w:leader="dot" w:pos="8931"/>
      </w:tabs>
      <w:spacing w:before="40" w:after="40"/>
      <w:ind w:left="340"/>
    </w:pPr>
    <w:rPr>
      <w:rFonts w:ascii="Arial" w:hAnsi="Arial" w:cstheme="minorHAnsi"/>
      <w:noProof/>
      <w:color w:val="003157"/>
      <w:sz w:val="20"/>
      <w:szCs w:val="20"/>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C47"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C47"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C47"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C47"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C47"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C47"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C47"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C47"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C03432"/>
    <w:pPr>
      <w:spacing w:before="3000" w:after="480"/>
      <w:jc w:val="center"/>
      <w:outlineLvl w:val="0"/>
    </w:pPr>
    <w:rPr>
      <w:rFonts w:ascii="Arial Bold" w:hAnsi="Arial Bold"/>
      <w:b/>
      <w:kern w:val="28"/>
      <w:sz w:val="56"/>
    </w:rPr>
  </w:style>
  <w:style w:type="character" w:customStyle="1" w:styleId="TitleChar">
    <w:name w:val="Title Char"/>
    <w:basedOn w:val="DefaultParagraphFont"/>
    <w:link w:val="Title"/>
    <w:rsid w:val="00C03432"/>
    <w:rPr>
      <w:rFonts w:ascii="Arial Bold" w:hAnsi="Arial Bold"/>
      <w:b/>
      <w:color w:val="003157"/>
      <w:kern w:val="28"/>
      <w:sz w:val="56"/>
    </w:rPr>
  </w:style>
  <w:style w:type="paragraph" w:styleId="Subtitle">
    <w:name w:val="Subtitle"/>
    <w:basedOn w:val="HeadingBaseStyle"/>
    <w:link w:val="SubtitleChar"/>
    <w:qFormat/>
    <w:rsid w:val="00467172"/>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467172"/>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C03432"/>
    <w:pPr>
      <w:jc w:val="both"/>
    </w:pPr>
  </w:style>
  <w:style w:type="character" w:customStyle="1" w:styleId="AbstractChar">
    <w:name w:val="Abstract Char"/>
    <w:basedOn w:val="DefaultParagraphFont"/>
    <w:link w:val="Abstract"/>
    <w:rsid w:val="00C03432"/>
    <w:rPr>
      <w:rFonts w:ascii="Calibri" w:hAnsi="Calibri"/>
      <w:color w:val="000000" w:themeColor="text1"/>
    </w:rPr>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B1440B"/>
    <w:pPr>
      <w:numPr>
        <w:numId w:val="0"/>
      </w:numPr>
      <w:spacing w:before="0" w:after="360"/>
    </w:pPr>
    <w:rPr>
      <w:smallCaps w:val="0"/>
    </w:rPr>
  </w:style>
  <w:style w:type="paragraph" w:customStyle="1" w:styleId="Heading3NotNumbered">
    <w:name w:val="Heading 3 Not Numbered"/>
    <w:basedOn w:val="Heading4"/>
    <w:rsid w:val="00422BA9"/>
    <w:pPr>
      <w:keepNext/>
      <w:spacing w:before="120" w:after="180"/>
      <w:outlineLvl w:val="2"/>
    </w:pPr>
    <w:rPr>
      <w:b w:val="0"/>
      <w:sz w:val="28"/>
      <w:lang w:val="en-US" w:eastAsia="en-AU"/>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C47" w:themeColor="accent1"/>
      </w:pBdr>
      <w:spacing w:before="200" w:after="280"/>
      <w:ind w:left="936" w:right="936"/>
    </w:pPr>
    <w:rPr>
      <w:b/>
      <w:bCs/>
      <w:i/>
      <w:iCs/>
      <w:color w:val="002C47" w:themeColor="accent1"/>
    </w:rPr>
  </w:style>
  <w:style w:type="character" w:customStyle="1" w:styleId="IntenseQuoteChar">
    <w:name w:val="Intense Quote Char"/>
    <w:basedOn w:val="DefaultParagraphFont"/>
    <w:link w:val="IntenseQuote"/>
    <w:uiPriority w:val="30"/>
    <w:rsid w:val="00F73064"/>
    <w:rPr>
      <w:b/>
      <w:bCs/>
      <w:i/>
      <w:iCs/>
      <w:color w:val="002C47"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table" w:styleId="LightShading">
    <w:name w:val="Light Shading"/>
    <w:basedOn w:val="TableNormal"/>
    <w:uiPriority w:val="60"/>
    <w:rsid w:val="00BB3D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2">
    <w:name w:val="Medium List 1 Accent 2"/>
    <w:basedOn w:val="TableNormal"/>
    <w:uiPriority w:val="65"/>
    <w:rsid w:val="00BB3DC0"/>
    <w:pPr>
      <w:spacing w:after="0" w:line="240" w:lineRule="auto"/>
    </w:pPr>
    <w:rPr>
      <w:color w:val="000000" w:themeColor="text1"/>
    </w:rPr>
    <w:tblPr>
      <w:tblStyleRowBandSize w:val="1"/>
      <w:tblStyleColBandSize w:val="1"/>
      <w:tblBorders>
        <w:top w:val="single" w:sz="8" w:space="0" w:color="3A6FAF" w:themeColor="accent2"/>
        <w:bottom w:val="single" w:sz="8" w:space="0" w:color="3A6FAF" w:themeColor="accent2"/>
      </w:tblBorders>
    </w:tblPr>
    <w:tblStylePr w:type="firstRow">
      <w:rPr>
        <w:rFonts w:asciiTheme="majorHAnsi" w:eastAsiaTheme="majorEastAsia" w:hAnsiTheme="majorHAnsi" w:cstheme="majorBidi"/>
      </w:rPr>
      <w:tblPr/>
      <w:tcPr>
        <w:tcBorders>
          <w:top w:val="nil"/>
          <w:bottom w:val="single" w:sz="8" w:space="0" w:color="3A6FAF" w:themeColor="accent2"/>
        </w:tcBorders>
      </w:tcPr>
    </w:tblStylePr>
    <w:tblStylePr w:type="lastRow">
      <w:rPr>
        <w:b/>
        <w:bCs/>
        <w:color w:val="5F5F5F" w:themeColor="text2"/>
      </w:rPr>
      <w:tblPr/>
      <w:tcPr>
        <w:tcBorders>
          <w:top w:val="single" w:sz="8" w:space="0" w:color="3A6FAF" w:themeColor="accent2"/>
          <w:bottom w:val="single" w:sz="8" w:space="0" w:color="3A6FAF" w:themeColor="accent2"/>
        </w:tcBorders>
      </w:tcPr>
    </w:tblStylePr>
    <w:tblStylePr w:type="firstCol">
      <w:rPr>
        <w:b/>
        <w:bCs/>
      </w:rPr>
    </w:tblStylePr>
    <w:tblStylePr w:type="lastCol">
      <w:rPr>
        <w:b/>
        <w:bCs/>
      </w:rPr>
      <w:tblPr/>
      <w:tcPr>
        <w:tcBorders>
          <w:top w:val="single" w:sz="8" w:space="0" w:color="3A6FAF" w:themeColor="accent2"/>
          <w:bottom w:val="single" w:sz="8" w:space="0" w:color="3A6FAF" w:themeColor="accent2"/>
        </w:tcBorders>
      </w:tcPr>
    </w:tblStylePr>
    <w:tblStylePr w:type="band1Vert">
      <w:tblPr/>
      <w:tcPr>
        <w:shd w:val="clear" w:color="auto" w:fill="CBDAEE" w:themeFill="accent2" w:themeFillTint="3F"/>
      </w:tcPr>
    </w:tblStylePr>
    <w:tblStylePr w:type="band1Horz">
      <w:tblPr/>
      <w:tcPr>
        <w:shd w:val="clear" w:color="auto" w:fill="CBDAEE" w:themeFill="accent2" w:themeFillTint="3F"/>
      </w:tcPr>
    </w:tblStylePr>
  </w:style>
  <w:style w:type="table" w:styleId="LightShading-Accent4">
    <w:name w:val="Light Shading Accent 4"/>
    <w:basedOn w:val="TableNormal"/>
    <w:uiPriority w:val="60"/>
    <w:rsid w:val="00142DD4"/>
    <w:pPr>
      <w:spacing w:after="0" w:line="240" w:lineRule="auto"/>
    </w:pPr>
    <w:rPr>
      <w:color w:val="9A3437" w:themeColor="accent4" w:themeShade="BF"/>
    </w:rPr>
    <w:tblPr>
      <w:tblStyleRowBandSize w:val="1"/>
      <w:tblStyleColBandSize w:val="1"/>
      <w:tblBorders>
        <w:top w:val="single" w:sz="8" w:space="0" w:color="C45154" w:themeColor="accent4"/>
        <w:bottom w:val="single" w:sz="8" w:space="0" w:color="C45154" w:themeColor="accent4"/>
      </w:tblBorders>
    </w:tblPr>
    <w:tblStylePr w:type="firstRow">
      <w:pPr>
        <w:spacing w:before="0" w:after="0" w:line="240" w:lineRule="auto"/>
      </w:pPr>
      <w:rPr>
        <w:b/>
        <w:bCs/>
      </w:rPr>
      <w:tblPr/>
      <w:tcPr>
        <w:tcBorders>
          <w:top w:val="single" w:sz="8" w:space="0" w:color="C45154" w:themeColor="accent4"/>
          <w:left w:val="nil"/>
          <w:bottom w:val="single" w:sz="8" w:space="0" w:color="C45154" w:themeColor="accent4"/>
          <w:right w:val="nil"/>
          <w:insideH w:val="nil"/>
          <w:insideV w:val="nil"/>
        </w:tcBorders>
      </w:tcPr>
    </w:tblStylePr>
    <w:tblStylePr w:type="lastRow">
      <w:pPr>
        <w:spacing w:before="0" w:after="0" w:line="240" w:lineRule="auto"/>
      </w:pPr>
      <w:rPr>
        <w:b/>
        <w:bCs/>
      </w:rPr>
      <w:tblPr/>
      <w:tcPr>
        <w:tcBorders>
          <w:top w:val="single" w:sz="8" w:space="0" w:color="C45154" w:themeColor="accent4"/>
          <w:left w:val="nil"/>
          <w:bottom w:val="single" w:sz="8" w:space="0" w:color="C451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3D4" w:themeFill="accent4" w:themeFillTint="3F"/>
      </w:tcPr>
    </w:tblStylePr>
    <w:tblStylePr w:type="band1Horz">
      <w:tblPr/>
      <w:tcPr>
        <w:tcBorders>
          <w:left w:val="nil"/>
          <w:right w:val="nil"/>
          <w:insideH w:val="nil"/>
          <w:insideV w:val="nil"/>
        </w:tcBorders>
        <w:shd w:val="clear" w:color="auto" w:fill="F0D3D4" w:themeFill="accent4" w:themeFillTint="3F"/>
      </w:tcPr>
    </w:tblStylePr>
  </w:style>
  <w:style w:type="table" w:styleId="LightShading-Accent2">
    <w:name w:val="Light Shading Accent 2"/>
    <w:basedOn w:val="TableNormal"/>
    <w:uiPriority w:val="60"/>
    <w:rsid w:val="00B07576"/>
    <w:pPr>
      <w:spacing w:after="0" w:line="240" w:lineRule="auto"/>
    </w:pPr>
    <w:rPr>
      <w:color w:val="68FFDF" w:themeColor="accent3" w:themeTint="66"/>
    </w:rPr>
    <w:tblPr>
      <w:tblStyleRowBandSize w:val="1"/>
      <w:tblStyleColBandSize w:val="1"/>
      <w:tblBorders>
        <w:top w:val="single" w:sz="8" w:space="0" w:color="3A6FAF" w:themeColor="accent2"/>
        <w:bottom w:val="single" w:sz="8" w:space="0" w:color="3A6FAF" w:themeColor="accent2"/>
      </w:tblBorders>
    </w:tblPr>
    <w:tblStylePr w:type="firstRow">
      <w:pPr>
        <w:spacing w:before="0" w:after="0" w:line="240" w:lineRule="auto"/>
      </w:pPr>
      <w:rPr>
        <w:b/>
        <w:bCs/>
      </w:rPr>
      <w:tblPr/>
      <w:tcPr>
        <w:tcBorders>
          <w:top w:val="single" w:sz="8" w:space="0" w:color="3A6FAF" w:themeColor="accent2"/>
          <w:left w:val="nil"/>
          <w:bottom w:val="single" w:sz="8" w:space="0" w:color="3A6FAF" w:themeColor="accent2"/>
          <w:right w:val="nil"/>
          <w:insideH w:val="nil"/>
          <w:insideV w:val="nil"/>
        </w:tcBorders>
      </w:tcPr>
    </w:tblStylePr>
    <w:tblStylePr w:type="lastRow">
      <w:pPr>
        <w:spacing w:before="0" w:after="0" w:line="240" w:lineRule="auto"/>
      </w:pPr>
      <w:rPr>
        <w:b/>
        <w:bCs/>
      </w:rPr>
      <w:tblPr/>
      <w:tcPr>
        <w:tcBorders>
          <w:top w:val="single" w:sz="8" w:space="0" w:color="3A6FAF" w:themeColor="accent2"/>
          <w:left w:val="nil"/>
          <w:bottom w:val="single" w:sz="8" w:space="0" w:color="3A6F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EE" w:themeFill="accent2" w:themeFillTint="3F"/>
      </w:tcPr>
    </w:tblStylePr>
    <w:tblStylePr w:type="band1Horz">
      <w:tblPr/>
      <w:tcPr>
        <w:tcBorders>
          <w:left w:val="nil"/>
          <w:right w:val="nil"/>
          <w:insideH w:val="nil"/>
          <w:insideV w:val="nil"/>
        </w:tcBorders>
        <w:shd w:val="clear" w:color="auto" w:fill="CBDAEE" w:themeFill="accent2" w:themeFillTint="3F"/>
      </w:tcPr>
    </w:tblStylePr>
    <w:tblStylePr w:type="band2Horz">
      <w:rPr>
        <w:color w:val="4FBCFF" w:themeColor="accent1" w:themeTint="66"/>
      </w:rPr>
    </w:tblStylePr>
  </w:style>
  <w:style w:type="paragraph" w:styleId="Revision">
    <w:name w:val="Revision"/>
    <w:hidden/>
    <w:uiPriority w:val="99"/>
    <w:semiHidden/>
    <w:rsid w:val="00924301"/>
    <w:pPr>
      <w:spacing w:after="0" w:line="240" w:lineRule="auto"/>
    </w:pPr>
    <w:rPr>
      <w:rFonts w:ascii="Calibri" w:hAnsi="Calibri"/>
      <w:color w:val="000000" w:themeColor="text1"/>
    </w:rPr>
  </w:style>
  <w:style w:type="table" w:styleId="LightShading-Accent5">
    <w:name w:val="Light Shading Accent 5"/>
    <w:basedOn w:val="TableNormal"/>
    <w:uiPriority w:val="60"/>
    <w:rsid w:val="006804C0"/>
    <w:pPr>
      <w:spacing w:after="0" w:line="240" w:lineRule="auto"/>
    </w:pPr>
    <w:rPr>
      <w:color w:val="00606B" w:themeColor="accent5" w:themeShade="BF"/>
    </w:rPr>
    <w:tblPr>
      <w:tblStyleRowBandSize w:val="1"/>
      <w:tblStyleColBandSize w:val="1"/>
      <w:tblBorders>
        <w:top w:val="single" w:sz="8" w:space="0" w:color="00818F" w:themeColor="accent5"/>
        <w:bottom w:val="single" w:sz="8" w:space="0" w:color="00818F" w:themeColor="accent5"/>
      </w:tblBorders>
    </w:tblPr>
    <w:tblStylePr w:type="firstRow">
      <w:pPr>
        <w:spacing w:before="0" w:after="0" w:line="240" w:lineRule="auto"/>
      </w:pPr>
      <w:rPr>
        <w:b/>
        <w:bCs/>
      </w:rPr>
      <w:tblPr/>
      <w:tcPr>
        <w:tcBorders>
          <w:top w:val="single" w:sz="8" w:space="0" w:color="00818F" w:themeColor="accent5"/>
          <w:left w:val="nil"/>
          <w:bottom w:val="single" w:sz="8" w:space="0" w:color="00818F" w:themeColor="accent5"/>
          <w:right w:val="nil"/>
          <w:insideH w:val="nil"/>
          <w:insideV w:val="nil"/>
        </w:tcBorders>
      </w:tcPr>
    </w:tblStylePr>
    <w:tblStylePr w:type="lastRow">
      <w:pPr>
        <w:spacing w:before="0" w:after="0" w:line="240" w:lineRule="auto"/>
      </w:pPr>
      <w:rPr>
        <w:b/>
        <w:bCs/>
      </w:rPr>
      <w:tblPr/>
      <w:tcPr>
        <w:tcBorders>
          <w:top w:val="single" w:sz="8" w:space="0" w:color="00818F" w:themeColor="accent5"/>
          <w:left w:val="nil"/>
          <w:bottom w:val="single" w:sz="8" w:space="0" w:color="0081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6FF" w:themeFill="accent5" w:themeFillTint="3F"/>
      </w:tcPr>
    </w:tblStylePr>
    <w:tblStylePr w:type="band1Horz">
      <w:tblPr/>
      <w:tcPr>
        <w:tcBorders>
          <w:left w:val="nil"/>
          <w:right w:val="nil"/>
          <w:insideH w:val="nil"/>
          <w:insideV w:val="nil"/>
        </w:tcBorders>
        <w:shd w:val="clear" w:color="auto" w:fill="A4F6FF" w:themeFill="accent5" w:themeFillTint="3F"/>
      </w:tcPr>
    </w:tblStylePr>
  </w:style>
  <w:style w:type="paragraph" w:styleId="ListParagraph">
    <w:name w:val="List Paragraph"/>
    <w:basedOn w:val="Normal"/>
    <w:uiPriority w:val="34"/>
    <w:qFormat/>
    <w:rsid w:val="006A65E7"/>
    <w:pPr>
      <w:ind w:left="720"/>
      <w:contextualSpacing/>
    </w:pPr>
  </w:style>
  <w:style w:type="table" w:styleId="LightShading-Accent1">
    <w:name w:val="Light Shading Accent 1"/>
    <w:basedOn w:val="TableNormal"/>
    <w:uiPriority w:val="60"/>
    <w:rsid w:val="00B07576"/>
    <w:pPr>
      <w:spacing w:after="0" w:line="240" w:lineRule="auto"/>
    </w:pPr>
    <w:rPr>
      <w:color w:val="002035" w:themeColor="accent1" w:themeShade="BF"/>
    </w:rPr>
    <w:tblPr>
      <w:tblStyleRowBandSize w:val="1"/>
      <w:tblStyleColBandSize w:val="1"/>
      <w:tblBorders>
        <w:top w:val="single" w:sz="8" w:space="0" w:color="002C47" w:themeColor="accent1"/>
        <w:bottom w:val="single" w:sz="8" w:space="0" w:color="002C47" w:themeColor="accent1"/>
      </w:tblBorders>
    </w:tblPr>
    <w:tblStylePr w:type="fir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lastRow">
      <w:pPr>
        <w:spacing w:before="0" w:after="0" w:line="240" w:lineRule="auto"/>
      </w:pPr>
      <w:rPr>
        <w:b/>
        <w:bCs/>
      </w:rPr>
      <w:tblPr/>
      <w:tcPr>
        <w:tcBorders>
          <w:top w:val="single" w:sz="8" w:space="0" w:color="002C47" w:themeColor="accent1"/>
          <w:left w:val="nil"/>
          <w:bottom w:val="single" w:sz="8" w:space="0" w:color="002C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character" w:customStyle="1" w:styleId="BulletChar">
    <w:name w:val="Bullet Char"/>
    <w:basedOn w:val="DefaultParagraphFont"/>
    <w:link w:val="Bullet"/>
    <w:rsid w:val="004D3313"/>
    <w:rPr>
      <w:rFonts w:ascii="Calibri" w:hAnsi="Calibri"/>
      <w:color w:val="000000" w:themeColor="text1"/>
    </w:rPr>
  </w:style>
  <w:style w:type="table" w:styleId="PlainTable1">
    <w:name w:val="Plain Table 1"/>
    <w:basedOn w:val="TableNormal"/>
    <w:uiPriority w:val="41"/>
    <w:rsid w:val="008955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1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DashChar">
    <w:name w:val="Dash Char"/>
    <w:basedOn w:val="DefaultParagraphFont"/>
    <w:link w:val="Dash"/>
    <w:rsid w:val="009267EB"/>
    <w:rPr>
      <w:rFonts w:ascii="Calibri" w:hAnsi="Calibri"/>
      <w:color w:val="000000" w:themeColor="text1"/>
    </w:rPr>
  </w:style>
  <w:style w:type="character" w:customStyle="1" w:styleId="DoubleDotChar">
    <w:name w:val="Double Dot Char"/>
    <w:basedOn w:val="DefaultParagraphFont"/>
    <w:link w:val="DoubleDot"/>
    <w:rsid w:val="009267EB"/>
    <w:rPr>
      <w:rFonts w:ascii="Calibri" w:hAnsi="Calibri"/>
      <w:color w:val="000000" w:themeColor="text1"/>
    </w:rPr>
  </w:style>
  <w:style w:type="character" w:styleId="UnresolvedMention">
    <w:name w:val="Unresolved Mention"/>
    <w:basedOn w:val="DefaultParagraphFont"/>
    <w:uiPriority w:val="99"/>
    <w:semiHidden/>
    <w:unhideWhenUsed/>
    <w:rsid w:val="004F5F05"/>
    <w:rPr>
      <w:color w:val="605E5C"/>
      <w:shd w:val="clear" w:color="auto" w:fill="E1DFDD"/>
    </w:rPr>
  </w:style>
  <w:style w:type="paragraph" w:customStyle="1" w:styleId="Heading1-Numbered">
    <w:name w:val="Heading 1 - Numbered"/>
    <w:basedOn w:val="Heading1"/>
    <w:rsid w:val="003C28AF"/>
    <w:pPr>
      <w:numPr>
        <w:numId w:val="53"/>
      </w:numPr>
      <w:spacing w:before="0" w:after="400"/>
      <w:jc w:val="left"/>
    </w:pPr>
    <w:rPr>
      <w:sz w:val="38"/>
    </w:rPr>
  </w:style>
  <w:style w:type="paragraph" w:customStyle="1" w:styleId="Heading2-Numbered">
    <w:name w:val="Heading 2 - Numbered"/>
    <w:basedOn w:val="Heading2"/>
    <w:rsid w:val="00CB4CA1"/>
    <w:pPr>
      <w:numPr>
        <w:ilvl w:val="1"/>
        <w:numId w:val="53"/>
      </w:numPr>
      <w:tabs>
        <w:tab w:val="clear" w:pos="426"/>
      </w:tabs>
    </w:pPr>
    <w:rPr>
      <w:smallCaps w:val="0"/>
    </w:rPr>
  </w:style>
  <w:style w:type="paragraph" w:customStyle="1" w:styleId="Source">
    <w:name w:val="Source"/>
    <w:basedOn w:val="ChartorTableNote"/>
    <w:rsid w:val="00321D08"/>
    <w:pPr>
      <w:tabs>
        <w:tab w:val="clear" w:pos="482"/>
        <w:tab w:val="left" w:pos="624"/>
      </w:tabs>
      <w:spacing w:before="60"/>
      <w:ind w:left="624" w:hanging="624"/>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835300">
      <w:bodyDiv w:val="1"/>
      <w:marLeft w:val="0"/>
      <w:marRight w:val="0"/>
      <w:marTop w:val="0"/>
      <w:marBottom w:val="0"/>
      <w:divBdr>
        <w:top w:val="none" w:sz="0" w:space="0" w:color="auto"/>
        <w:left w:val="none" w:sz="0" w:space="0" w:color="auto"/>
        <w:bottom w:val="none" w:sz="0" w:space="0" w:color="auto"/>
        <w:right w:val="none" w:sz="0" w:space="0" w:color="auto"/>
      </w:divBdr>
    </w:div>
    <w:div w:id="769814430">
      <w:bodyDiv w:val="1"/>
      <w:marLeft w:val="0"/>
      <w:marRight w:val="0"/>
      <w:marTop w:val="0"/>
      <w:marBottom w:val="0"/>
      <w:divBdr>
        <w:top w:val="none" w:sz="0" w:space="0" w:color="auto"/>
        <w:left w:val="none" w:sz="0" w:space="0" w:color="auto"/>
        <w:bottom w:val="none" w:sz="0" w:space="0" w:color="auto"/>
        <w:right w:val="none" w:sz="0" w:space="0" w:color="auto"/>
      </w:divBdr>
    </w:div>
    <w:div w:id="1102996316">
      <w:bodyDiv w:val="1"/>
      <w:marLeft w:val="0"/>
      <w:marRight w:val="0"/>
      <w:marTop w:val="0"/>
      <w:marBottom w:val="0"/>
      <w:divBdr>
        <w:top w:val="none" w:sz="0" w:space="0" w:color="auto"/>
        <w:left w:val="none" w:sz="0" w:space="0" w:color="auto"/>
        <w:bottom w:val="none" w:sz="0" w:space="0" w:color="auto"/>
        <w:right w:val="none" w:sz="0" w:space="0" w:color="auto"/>
      </w:divBdr>
    </w:div>
    <w:div w:id="1331760229">
      <w:bodyDiv w:val="1"/>
      <w:marLeft w:val="0"/>
      <w:marRight w:val="0"/>
      <w:marTop w:val="0"/>
      <w:marBottom w:val="0"/>
      <w:divBdr>
        <w:top w:val="none" w:sz="0" w:space="0" w:color="auto"/>
        <w:left w:val="none" w:sz="0" w:space="0" w:color="auto"/>
        <w:bottom w:val="none" w:sz="0" w:space="0" w:color="auto"/>
        <w:right w:val="none" w:sz="0" w:space="0" w:color="auto"/>
      </w:divBdr>
    </w:div>
    <w:div w:id="1361468655">
      <w:bodyDiv w:val="1"/>
      <w:marLeft w:val="0"/>
      <w:marRight w:val="0"/>
      <w:marTop w:val="0"/>
      <w:marBottom w:val="0"/>
      <w:divBdr>
        <w:top w:val="none" w:sz="0" w:space="0" w:color="auto"/>
        <w:left w:val="none" w:sz="0" w:space="0" w:color="auto"/>
        <w:bottom w:val="none" w:sz="0" w:space="0" w:color="auto"/>
        <w:right w:val="none" w:sz="0" w:space="0" w:color="auto"/>
      </w:divBdr>
    </w:div>
    <w:div w:id="2063363978">
      <w:bodyDiv w:val="1"/>
      <w:marLeft w:val="0"/>
      <w:marRight w:val="0"/>
      <w:marTop w:val="0"/>
      <w:marBottom w:val="0"/>
      <w:divBdr>
        <w:top w:val="none" w:sz="0" w:space="0" w:color="auto"/>
        <w:left w:val="none" w:sz="0" w:space="0" w:color="auto"/>
        <w:bottom w:val="none" w:sz="0" w:space="0" w:color="auto"/>
        <w:right w:val="none" w:sz="0" w:space="0" w:color="auto"/>
      </w:divBdr>
    </w:div>
    <w:div w:id="213066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liaison@treasury.gov.au" TargetMode="External"/><Relationship Id="rId26" Type="http://schemas.openxmlformats.org/officeDocument/2006/relationships/image" Target="media/image4.emf"/><Relationship Id="rId39" Type="http://schemas.openxmlformats.org/officeDocument/2006/relationships/image" Target="media/image17.emf"/><Relationship Id="rId21" Type="http://schemas.openxmlformats.org/officeDocument/2006/relationships/footer" Target="footer4.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image" Target="media/image25.emf"/><Relationship Id="rId50" Type="http://schemas.openxmlformats.org/officeDocument/2006/relationships/image" Target="media/image28.emf"/><Relationship Id="rId55" Type="http://schemas.openxmlformats.org/officeDocument/2006/relationships/hyperlink" Target="http://guides.dss.gov.au/guide-social-security-law/3/4/1/10" TargetMode="External"/><Relationship Id="rId63" Type="http://schemas.openxmlformats.org/officeDocument/2006/relationships/image" Target="media/image39.emf"/><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3.0/au/deed.en"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image" Target="media/image18.emf"/><Relationship Id="rId45" Type="http://schemas.openxmlformats.org/officeDocument/2006/relationships/image" Target="media/image23.emf"/><Relationship Id="rId53" Type="http://schemas.openxmlformats.org/officeDocument/2006/relationships/image" Target="media/image31.emf"/><Relationship Id="rId58" Type="http://schemas.openxmlformats.org/officeDocument/2006/relationships/image" Target="media/image34.emf"/><Relationship Id="rId66" Type="http://schemas.openxmlformats.org/officeDocument/2006/relationships/image" Target="media/image42.emf"/><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3.emf"/><Relationship Id="rId28" Type="http://schemas.openxmlformats.org/officeDocument/2006/relationships/image" Target="media/image6.emf"/><Relationship Id="rId36" Type="http://schemas.openxmlformats.org/officeDocument/2006/relationships/image" Target="media/image14.emf"/><Relationship Id="rId49" Type="http://schemas.openxmlformats.org/officeDocument/2006/relationships/image" Target="media/image27.emf"/><Relationship Id="rId57" Type="http://schemas.openxmlformats.org/officeDocument/2006/relationships/image" Target="media/image33.emf"/><Relationship Id="rId61" Type="http://schemas.openxmlformats.org/officeDocument/2006/relationships/image" Target="media/image37.emf"/><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9.emf"/><Relationship Id="rId44" Type="http://schemas.openxmlformats.org/officeDocument/2006/relationships/image" Target="media/image22.emf"/><Relationship Id="rId52" Type="http://schemas.openxmlformats.org/officeDocument/2006/relationships/image" Target="media/image30.emf"/><Relationship Id="rId60" Type="http://schemas.openxmlformats.org/officeDocument/2006/relationships/image" Target="media/image36.emf"/><Relationship Id="rId65" Type="http://schemas.openxmlformats.org/officeDocument/2006/relationships/image" Target="media/image4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legalcode" TargetMode="External"/><Relationship Id="rId22" Type="http://schemas.openxmlformats.org/officeDocument/2006/relationships/footer" Target="footer5.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3.emf"/><Relationship Id="rId43" Type="http://schemas.openxmlformats.org/officeDocument/2006/relationships/image" Target="media/image21.emf"/><Relationship Id="rId48" Type="http://schemas.openxmlformats.org/officeDocument/2006/relationships/image" Target="media/image26.emf"/><Relationship Id="rId56" Type="http://schemas.openxmlformats.org/officeDocument/2006/relationships/image" Target="media/image32.emf"/><Relationship Id="rId64" Type="http://schemas.openxmlformats.org/officeDocument/2006/relationships/image" Target="media/image40.emf"/><Relationship Id="rId69" Type="http://schemas.openxmlformats.org/officeDocument/2006/relationships/footer" Target="footer6.xml"/><Relationship Id="rId8" Type="http://schemas.openxmlformats.org/officeDocument/2006/relationships/header" Target="header1.xml"/><Relationship Id="rId51" Type="http://schemas.openxmlformats.org/officeDocument/2006/relationships/image" Target="media/image29.e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itsanhonour.gov.au" TargetMode="External"/><Relationship Id="rId25" Type="http://schemas.openxmlformats.org/officeDocument/2006/relationships/chart" Target="charts/chart2.xml"/><Relationship Id="rId33" Type="http://schemas.openxmlformats.org/officeDocument/2006/relationships/image" Target="media/image11.emf"/><Relationship Id="rId38" Type="http://schemas.openxmlformats.org/officeDocument/2006/relationships/image" Target="media/image16.emf"/><Relationship Id="rId46" Type="http://schemas.openxmlformats.org/officeDocument/2006/relationships/image" Target="media/image24.emf"/><Relationship Id="rId59" Type="http://schemas.openxmlformats.org/officeDocument/2006/relationships/image" Target="media/image35.emf"/><Relationship Id="rId67" Type="http://schemas.openxmlformats.org/officeDocument/2006/relationships/image" Target="media/image43.emf"/><Relationship Id="rId20" Type="http://schemas.openxmlformats.org/officeDocument/2006/relationships/footer" Target="footer3.xml"/><Relationship Id="rId41" Type="http://schemas.openxmlformats.org/officeDocument/2006/relationships/image" Target="media/image19.emf"/><Relationship Id="rId54" Type="http://schemas.openxmlformats.org/officeDocument/2006/relationships/hyperlink" Target="https://treasury.gov.au/publication/2015-igr" TargetMode="External"/><Relationship Id="rId62" Type="http://schemas.openxmlformats.org/officeDocument/2006/relationships/image" Target="media/image38.emf"/><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linus.gustafsson@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FS2\Indiv$\LGU\PartRate%20Project\Presentation\Understanding%20growth%20curv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S2\Indiv$\LGU\PartRate%20Project\Presentation\Understanding%20growth%20curv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861111111111E-2"/>
          <c:y val="3.9687152777777776E-2"/>
          <c:w val="0.97795138888888888"/>
          <c:h val="0.88015624999999997"/>
        </c:manualLayout>
      </c:layout>
      <c:lineChart>
        <c:grouping val="standard"/>
        <c:varyColors val="0"/>
        <c:ser>
          <c:idx val="0"/>
          <c:order val="0"/>
          <c:tx>
            <c:strRef>
              <c:f>cohorts_ts_fornote!$D$3</c:f>
              <c:strCache>
                <c:ptCount val="1"/>
                <c:pt idx="0">
                  <c:v>1940</c:v>
                </c:pt>
              </c:strCache>
            </c:strRef>
          </c:tx>
          <c:spPr>
            <a:ln w="19050">
              <a:solidFill>
                <a:schemeClr val="accent1"/>
              </a:solidFill>
            </a:ln>
          </c:spPr>
          <c:marker>
            <c:symbol val="diamond"/>
            <c:size val="8"/>
            <c:spPr>
              <a:solidFill>
                <a:schemeClr val="accent1"/>
              </a:solidFill>
              <a:ln>
                <a:noFill/>
              </a:ln>
            </c:spPr>
          </c:marker>
          <c:dPt>
            <c:idx val="1"/>
            <c:bubble3D val="0"/>
            <c:extLst>
              <c:ext xmlns:c16="http://schemas.microsoft.com/office/drawing/2014/chart" uri="{C3380CC4-5D6E-409C-BE32-E72D297353CC}">
                <c16:uniqueId val="{00000000-339A-4501-8A93-E25099B487D0}"/>
              </c:ext>
            </c:extLst>
          </c:dPt>
          <c:dPt>
            <c:idx val="2"/>
            <c:bubble3D val="0"/>
            <c:extLst>
              <c:ext xmlns:c16="http://schemas.microsoft.com/office/drawing/2014/chart" uri="{C3380CC4-5D6E-409C-BE32-E72D297353CC}">
                <c16:uniqueId val="{00000001-339A-4501-8A93-E25099B487D0}"/>
              </c:ext>
            </c:extLst>
          </c:dPt>
          <c:cat>
            <c:strRef>
              <c:f>cohorts_ts_fornote!$E$2:$I$2</c:f>
              <c:strCache>
                <c:ptCount val="5"/>
                <c:pt idx="0">
                  <c:v>Age 25</c:v>
                </c:pt>
                <c:pt idx="1">
                  <c:v>Age 35</c:v>
                </c:pt>
                <c:pt idx="2">
                  <c:v>Age 45</c:v>
                </c:pt>
                <c:pt idx="3">
                  <c:v>Age 55</c:v>
                </c:pt>
                <c:pt idx="4">
                  <c:v>Age 65</c:v>
                </c:pt>
              </c:strCache>
            </c:strRef>
          </c:cat>
          <c:val>
            <c:numRef>
              <c:f>cohorts_ts_fornote!$E$3:$I$3</c:f>
              <c:numCache>
                <c:formatCode>#,##0.0</c:formatCode>
                <c:ptCount val="5"/>
                <c:pt idx="0">
                  <c:v>55</c:v>
                </c:pt>
                <c:pt idx="1">
                  <c:v>61</c:v>
                </c:pt>
                <c:pt idx="2">
                  <c:v>62</c:v>
                </c:pt>
                <c:pt idx="3">
                  <c:v>60</c:v>
                </c:pt>
                <c:pt idx="4">
                  <c:v>51</c:v>
                </c:pt>
              </c:numCache>
            </c:numRef>
          </c:val>
          <c:smooth val="1"/>
          <c:extLst>
            <c:ext xmlns:c16="http://schemas.microsoft.com/office/drawing/2014/chart" uri="{C3380CC4-5D6E-409C-BE32-E72D297353CC}">
              <c16:uniqueId val="{00000002-339A-4501-8A93-E25099B487D0}"/>
            </c:ext>
          </c:extLst>
        </c:ser>
        <c:dLbls>
          <c:showLegendKey val="0"/>
          <c:showVal val="0"/>
          <c:showCatName val="0"/>
          <c:showSerName val="0"/>
          <c:showPercent val="0"/>
          <c:showBubbleSize val="0"/>
        </c:dLbls>
        <c:marker val="1"/>
        <c:smooth val="0"/>
        <c:axId val="97786112"/>
        <c:axId val="97788288"/>
      </c:lineChart>
      <c:lineChart>
        <c:grouping val="standard"/>
        <c:varyColors val="0"/>
        <c:ser>
          <c:idx val="2"/>
          <c:order val="1"/>
          <c:tx>
            <c:strRef>
              <c:f>cohorts_ts_fornote!$D$4</c:f>
              <c:strCache>
                <c:ptCount val="1"/>
                <c:pt idx="0">
                  <c:v>1950</c:v>
                </c:pt>
              </c:strCache>
            </c:strRef>
          </c:tx>
          <c:spPr>
            <a:ln w="19050">
              <a:solidFill>
                <a:schemeClr val="accent2"/>
              </a:solidFill>
            </a:ln>
          </c:spPr>
          <c:marker>
            <c:symbol val="diamond"/>
            <c:size val="8"/>
            <c:spPr>
              <a:solidFill>
                <a:schemeClr val="accent2"/>
              </a:solidFill>
              <a:ln>
                <a:noFill/>
              </a:ln>
            </c:spPr>
          </c:marker>
          <c:dPt>
            <c:idx val="1"/>
            <c:bubble3D val="0"/>
            <c:extLst>
              <c:ext xmlns:c16="http://schemas.microsoft.com/office/drawing/2014/chart" uri="{C3380CC4-5D6E-409C-BE32-E72D297353CC}">
                <c16:uniqueId val="{00000003-339A-4501-8A93-E25099B487D0}"/>
              </c:ext>
            </c:extLst>
          </c:dPt>
          <c:dPt>
            <c:idx val="2"/>
            <c:bubble3D val="0"/>
            <c:extLst>
              <c:ext xmlns:c16="http://schemas.microsoft.com/office/drawing/2014/chart" uri="{C3380CC4-5D6E-409C-BE32-E72D297353CC}">
                <c16:uniqueId val="{00000004-339A-4501-8A93-E25099B487D0}"/>
              </c:ext>
            </c:extLst>
          </c:dPt>
          <c:cat>
            <c:strRef>
              <c:f>cohorts_ts_fornote!$E$2:$I$2</c:f>
              <c:strCache>
                <c:ptCount val="5"/>
                <c:pt idx="0">
                  <c:v>Age 25</c:v>
                </c:pt>
                <c:pt idx="1">
                  <c:v>Age 35</c:v>
                </c:pt>
                <c:pt idx="2">
                  <c:v>Age 45</c:v>
                </c:pt>
                <c:pt idx="3">
                  <c:v>Age 55</c:v>
                </c:pt>
                <c:pt idx="4">
                  <c:v>Age 65</c:v>
                </c:pt>
              </c:strCache>
            </c:strRef>
          </c:cat>
          <c:val>
            <c:numRef>
              <c:f>cohorts_ts_fornote!$E$4:$I$4</c:f>
              <c:numCache>
                <c:formatCode>#,##0</c:formatCode>
                <c:ptCount val="5"/>
                <c:pt idx="0">
                  <c:v>58.5</c:v>
                </c:pt>
                <c:pt idx="1">
                  <c:v>64.5</c:v>
                </c:pt>
                <c:pt idx="2">
                  <c:v>65.5</c:v>
                </c:pt>
                <c:pt idx="3">
                  <c:v>63.5</c:v>
                </c:pt>
                <c:pt idx="4">
                  <c:v>54.5</c:v>
                </c:pt>
              </c:numCache>
            </c:numRef>
          </c:val>
          <c:smooth val="1"/>
          <c:extLst>
            <c:ext xmlns:c16="http://schemas.microsoft.com/office/drawing/2014/chart" uri="{C3380CC4-5D6E-409C-BE32-E72D297353CC}">
              <c16:uniqueId val="{00000005-339A-4501-8A93-E25099B487D0}"/>
            </c:ext>
          </c:extLst>
        </c:ser>
        <c:ser>
          <c:idx val="4"/>
          <c:order val="2"/>
          <c:tx>
            <c:strRef>
              <c:f>cohorts_ts_fornote!$D$5</c:f>
              <c:strCache>
                <c:ptCount val="1"/>
                <c:pt idx="0">
                  <c:v>1960</c:v>
                </c:pt>
              </c:strCache>
            </c:strRef>
          </c:tx>
          <c:spPr>
            <a:ln w="19050">
              <a:solidFill>
                <a:schemeClr val="accent3"/>
              </a:solidFill>
            </a:ln>
          </c:spPr>
          <c:marker>
            <c:symbol val="diamond"/>
            <c:size val="8"/>
            <c:spPr>
              <a:solidFill>
                <a:schemeClr val="accent3"/>
              </a:solidFill>
              <a:ln w="19050">
                <a:noFill/>
              </a:ln>
            </c:spPr>
          </c:marker>
          <c:dPt>
            <c:idx val="1"/>
            <c:bubble3D val="0"/>
            <c:extLst>
              <c:ext xmlns:c16="http://schemas.microsoft.com/office/drawing/2014/chart" uri="{C3380CC4-5D6E-409C-BE32-E72D297353CC}">
                <c16:uniqueId val="{00000006-339A-4501-8A93-E25099B487D0}"/>
              </c:ext>
            </c:extLst>
          </c:dPt>
          <c:dPt>
            <c:idx val="2"/>
            <c:bubble3D val="0"/>
            <c:extLst>
              <c:ext xmlns:c16="http://schemas.microsoft.com/office/drawing/2014/chart" uri="{C3380CC4-5D6E-409C-BE32-E72D297353CC}">
                <c16:uniqueId val="{00000007-339A-4501-8A93-E25099B487D0}"/>
              </c:ext>
            </c:extLst>
          </c:dPt>
          <c:cat>
            <c:strRef>
              <c:f>cohorts_ts_fornote!$E$2:$I$2</c:f>
              <c:strCache>
                <c:ptCount val="5"/>
                <c:pt idx="0">
                  <c:v>Age 25</c:v>
                </c:pt>
                <c:pt idx="1">
                  <c:v>Age 35</c:v>
                </c:pt>
                <c:pt idx="2">
                  <c:v>Age 45</c:v>
                </c:pt>
                <c:pt idx="3">
                  <c:v>Age 55</c:v>
                </c:pt>
                <c:pt idx="4">
                  <c:v>Age 65</c:v>
                </c:pt>
              </c:strCache>
            </c:strRef>
          </c:cat>
          <c:val>
            <c:numRef>
              <c:f>cohorts_ts_fornote!$E$5:$I$5</c:f>
              <c:numCache>
                <c:formatCode>#,##0</c:formatCode>
                <c:ptCount val="5"/>
                <c:pt idx="0">
                  <c:v>62</c:v>
                </c:pt>
                <c:pt idx="1">
                  <c:v>68</c:v>
                </c:pt>
                <c:pt idx="2">
                  <c:v>69</c:v>
                </c:pt>
                <c:pt idx="3">
                  <c:v>67</c:v>
                </c:pt>
                <c:pt idx="4">
                  <c:v>58</c:v>
                </c:pt>
              </c:numCache>
            </c:numRef>
          </c:val>
          <c:smooth val="1"/>
          <c:extLst>
            <c:ext xmlns:c16="http://schemas.microsoft.com/office/drawing/2014/chart" uri="{C3380CC4-5D6E-409C-BE32-E72D297353CC}">
              <c16:uniqueId val="{00000008-339A-4501-8A93-E25099B487D0}"/>
            </c:ext>
          </c:extLst>
        </c:ser>
        <c:ser>
          <c:idx val="1"/>
          <c:order val="3"/>
          <c:tx>
            <c:strRef>
              <c:f>cohorts_ts_fornote!$D$6</c:f>
              <c:strCache>
                <c:ptCount val="1"/>
                <c:pt idx="0">
                  <c:v>1970</c:v>
                </c:pt>
              </c:strCache>
            </c:strRef>
          </c:tx>
          <c:spPr>
            <a:ln w="19050">
              <a:solidFill>
                <a:schemeClr val="accent4"/>
              </a:solidFill>
            </a:ln>
          </c:spPr>
          <c:marker>
            <c:symbol val="diamond"/>
            <c:size val="8"/>
            <c:spPr>
              <a:solidFill>
                <a:schemeClr val="accent4"/>
              </a:solidFill>
              <a:ln w="19050">
                <a:noFill/>
              </a:ln>
            </c:spPr>
          </c:marker>
          <c:cat>
            <c:strRef>
              <c:f>cohorts_ts_fornote!$E$2:$I$2</c:f>
              <c:strCache>
                <c:ptCount val="5"/>
                <c:pt idx="0">
                  <c:v>Age 25</c:v>
                </c:pt>
                <c:pt idx="1">
                  <c:v>Age 35</c:v>
                </c:pt>
                <c:pt idx="2">
                  <c:v>Age 45</c:v>
                </c:pt>
                <c:pt idx="3">
                  <c:v>Age 55</c:v>
                </c:pt>
                <c:pt idx="4">
                  <c:v>Age 65</c:v>
                </c:pt>
              </c:strCache>
            </c:strRef>
          </c:cat>
          <c:val>
            <c:numRef>
              <c:f>cohorts_ts_fornote!$E$6:$I$6</c:f>
              <c:numCache>
                <c:formatCode>#,##0</c:formatCode>
                <c:ptCount val="5"/>
                <c:pt idx="0">
                  <c:v>63</c:v>
                </c:pt>
                <c:pt idx="1">
                  <c:v>69</c:v>
                </c:pt>
                <c:pt idx="2">
                  <c:v>70</c:v>
                </c:pt>
                <c:pt idx="3">
                  <c:v>68</c:v>
                </c:pt>
                <c:pt idx="4">
                  <c:v>59</c:v>
                </c:pt>
              </c:numCache>
            </c:numRef>
          </c:val>
          <c:smooth val="1"/>
          <c:extLst>
            <c:ext xmlns:c16="http://schemas.microsoft.com/office/drawing/2014/chart" uri="{C3380CC4-5D6E-409C-BE32-E72D297353CC}">
              <c16:uniqueId val="{00000009-339A-4501-8A93-E25099B487D0}"/>
            </c:ext>
          </c:extLst>
        </c:ser>
        <c:dLbls>
          <c:showLegendKey val="0"/>
          <c:showVal val="0"/>
          <c:showCatName val="0"/>
          <c:showSerName val="0"/>
          <c:showPercent val="0"/>
          <c:showBubbleSize val="0"/>
        </c:dLbls>
        <c:marker val="1"/>
        <c:smooth val="0"/>
        <c:axId val="97804288"/>
        <c:axId val="97790208"/>
      </c:lineChart>
      <c:catAx>
        <c:axId val="97786112"/>
        <c:scaling>
          <c:orientation val="minMax"/>
        </c:scaling>
        <c:delete val="0"/>
        <c:axPos val="b"/>
        <c:numFmt formatCode="General" sourceLinked="0"/>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97788288"/>
        <c:crosses val="autoZero"/>
        <c:auto val="1"/>
        <c:lblAlgn val="ctr"/>
        <c:lblOffset val="100"/>
        <c:noMultiLvlLbl val="0"/>
      </c:catAx>
      <c:valAx>
        <c:axId val="97788288"/>
        <c:scaling>
          <c:orientation val="minMax"/>
          <c:max val="75"/>
          <c:min val="50"/>
        </c:scaling>
        <c:delete val="0"/>
        <c:axPos val="l"/>
        <c:title>
          <c:tx>
            <c:rich>
              <a:bodyPr rot="0" vert="horz"/>
              <a:lstStyle/>
              <a:p>
                <a:pPr>
                  <a:defRPr sz="800" b="0" i="0">
                    <a:solidFill>
                      <a:srgbClr val="000000"/>
                    </a:solidFill>
                    <a:latin typeface="Arial"/>
                    <a:ea typeface="Arial"/>
                    <a:cs typeface="Arial"/>
                  </a:defRPr>
                </a:pPr>
                <a:r>
                  <a:rPr lang="en-US"/>
                  <a:t>Per cent</a:t>
                </a:r>
              </a:p>
            </c:rich>
          </c:tx>
          <c:layout>
            <c:manualLayout>
              <c:xMode val="edge"/>
              <c:yMode val="edge"/>
              <c:x val="7.9375000000000001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97786112"/>
        <c:crosses val="autoZero"/>
        <c:crossBetween val="between"/>
        <c:majorUnit val="5"/>
      </c:valAx>
      <c:valAx>
        <c:axId val="97790208"/>
        <c:scaling>
          <c:orientation val="minMax"/>
          <c:max val="75"/>
          <c:min val="50"/>
        </c:scaling>
        <c:delete val="0"/>
        <c:axPos val="r"/>
        <c:numFmt formatCode="General" sourceLinked="0"/>
        <c:majorTickMark val="in"/>
        <c:minorTickMark val="none"/>
        <c:tickLblPos val="none"/>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97804288"/>
        <c:crosses val="max"/>
        <c:crossBetween val="between"/>
        <c:majorUnit val="5"/>
        <c:minorUnit val="0.4"/>
      </c:valAx>
      <c:catAx>
        <c:axId val="97804288"/>
        <c:scaling>
          <c:orientation val="minMax"/>
        </c:scaling>
        <c:delete val="1"/>
        <c:axPos val="b"/>
        <c:numFmt formatCode="General" sourceLinked="1"/>
        <c:majorTickMark val="out"/>
        <c:minorTickMark val="none"/>
        <c:tickLblPos val="nextTo"/>
        <c:crossAx val="97790208"/>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ayout>
        <c:manualLayout>
          <c:xMode val="edge"/>
          <c:yMode val="edge"/>
          <c:x val="5.7616666666666663E-2"/>
          <c:y val="0.9213059027777778"/>
          <c:w val="0.83545591207825609"/>
          <c:h val="6.5464930555555551E-2"/>
        </c:manualLayout>
      </c:layout>
      <c:overlay val="0"/>
      <c:spPr>
        <a:noFill/>
        <a:ln w="25400">
          <a:noFill/>
        </a:ln>
      </c:spPr>
      <c:txPr>
        <a:bodyPr/>
        <a:lstStyle/>
        <a:p>
          <a:pPr>
            <a:defRPr sz="800">
              <a:latin typeface="Arial"/>
              <a:ea typeface="Arial"/>
              <a:cs typeface="Arial"/>
            </a:defRPr>
          </a:pPr>
          <a:endParaRPr lang="en-US"/>
        </a:p>
      </c:txPr>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6521874999999998E-2"/>
          <c:y val="3.9687500000000001E-2"/>
          <c:w val="0.97795138888888888"/>
          <c:h val="0.88015624999999997"/>
        </c:manualLayout>
      </c:layout>
      <c:lineChart>
        <c:grouping val="standard"/>
        <c:varyColors val="0"/>
        <c:ser>
          <c:idx val="2"/>
          <c:order val="0"/>
          <c:tx>
            <c:strRef>
              <c:f>cohorts_ts_fornote!$L$2</c:f>
              <c:strCache>
                <c:ptCount val="1"/>
                <c:pt idx="0">
                  <c:v>Age 45</c:v>
                </c:pt>
              </c:strCache>
            </c:strRef>
          </c:tx>
          <c:spPr>
            <a:ln w="19050">
              <a:solidFill>
                <a:schemeClr val="accent6"/>
              </a:solidFill>
            </a:ln>
          </c:spPr>
          <c:marker>
            <c:symbol val="none"/>
          </c:marker>
          <c:dPt>
            <c:idx val="0"/>
            <c:marker>
              <c:symbol val="diamond"/>
              <c:size val="8"/>
              <c:spPr>
                <a:solidFill>
                  <a:schemeClr val="accent2"/>
                </a:solidFill>
                <a:ln w="19050">
                  <a:noFill/>
                </a:ln>
              </c:spPr>
            </c:marker>
            <c:bubble3D val="0"/>
            <c:extLst>
              <c:ext xmlns:c16="http://schemas.microsoft.com/office/drawing/2014/chart" uri="{C3380CC4-5D6E-409C-BE32-E72D297353CC}">
                <c16:uniqueId val="{00000000-82BA-427D-B732-B9636B9A7EA5}"/>
              </c:ext>
            </c:extLst>
          </c:dPt>
          <c:dPt>
            <c:idx val="1"/>
            <c:marker>
              <c:symbol val="diamond"/>
              <c:size val="8"/>
              <c:spPr>
                <a:solidFill>
                  <a:schemeClr val="accent3"/>
                </a:solidFill>
                <a:ln w="19050">
                  <a:noFill/>
                </a:ln>
              </c:spPr>
            </c:marker>
            <c:bubble3D val="0"/>
            <c:extLst>
              <c:ext xmlns:c16="http://schemas.microsoft.com/office/drawing/2014/chart" uri="{C3380CC4-5D6E-409C-BE32-E72D297353CC}">
                <c16:uniqueId val="{00000001-82BA-427D-B732-B9636B9A7EA5}"/>
              </c:ext>
            </c:extLst>
          </c:dPt>
          <c:dPt>
            <c:idx val="2"/>
            <c:marker>
              <c:symbol val="diamond"/>
              <c:size val="8"/>
              <c:spPr>
                <a:solidFill>
                  <a:schemeClr val="accent4"/>
                </a:solidFill>
                <a:ln w="19050">
                  <a:noFill/>
                </a:ln>
              </c:spPr>
            </c:marker>
            <c:bubble3D val="0"/>
            <c:extLst>
              <c:ext xmlns:c16="http://schemas.microsoft.com/office/drawing/2014/chart" uri="{C3380CC4-5D6E-409C-BE32-E72D297353CC}">
                <c16:uniqueId val="{00000002-82BA-427D-B732-B9636B9A7EA5}"/>
              </c:ext>
            </c:extLst>
          </c:dPt>
          <c:cat>
            <c:numRef>
              <c:f>cohorts_ts_fornote!$K$3:$K$6</c:f>
              <c:numCache>
                <c:formatCode>General</c:formatCode>
                <c:ptCount val="4"/>
                <c:pt idx="0">
                  <c:v>1995</c:v>
                </c:pt>
                <c:pt idx="1">
                  <c:v>2005</c:v>
                </c:pt>
                <c:pt idx="2">
                  <c:v>2015</c:v>
                </c:pt>
                <c:pt idx="3">
                  <c:v>2025</c:v>
                </c:pt>
              </c:numCache>
            </c:numRef>
          </c:cat>
          <c:val>
            <c:numRef>
              <c:f>cohorts_ts_fornote!$L$3:$L$5</c:f>
              <c:numCache>
                <c:formatCode>#,##0</c:formatCode>
                <c:ptCount val="3"/>
                <c:pt idx="0">
                  <c:v>65.5</c:v>
                </c:pt>
                <c:pt idx="1">
                  <c:v>69</c:v>
                </c:pt>
                <c:pt idx="2">
                  <c:v>70</c:v>
                </c:pt>
              </c:numCache>
            </c:numRef>
          </c:val>
          <c:smooth val="0"/>
          <c:extLst>
            <c:ext xmlns:c16="http://schemas.microsoft.com/office/drawing/2014/chart" uri="{C3380CC4-5D6E-409C-BE32-E72D297353CC}">
              <c16:uniqueId val="{00000003-82BA-427D-B732-B9636B9A7EA5}"/>
            </c:ext>
          </c:extLst>
        </c:ser>
        <c:dLbls>
          <c:showLegendKey val="0"/>
          <c:showVal val="0"/>
          <c:showCatName val="0"/>
          <c:showSerName val="0"/>
          <c:showPercent val="0"/>
          <c:showBubbleSize val="0"/>
        </c:dLbls>
        <c:marker val="1"/>
        <c:smooth val="0"/>
        <c:axId val="97835648"/>
        <c:axId val="97837440"/>
      </c:lineChart>
      <c:lineChart>
        <c:grouping val="standard"/>
        <c:varyColors val="0"/>
        <c:ser>
          <c:idx val="7"/>
          <c:order val="1"/>
          <c:tx>
            <c:v>DUMMY</c:v>
          </c:tx>
          <c:spPr>
            <a:ln w="25400">
              <a:solidFill>
                <a:schemeClr val="tx1"/>
              </a:solidFill>
            </a:ln>
            <a:effectLst/>
          </c:spPr>
          <c:marker>
            <c:symbol val="none"/>
          </c:marker>
          <c:cat>
            <c:numRef>
              <c:f>cohorts_ts_fornote!$K$3:$K$5</c:f>
              <c:numCache>
                <c:formatCode>General</c:formatCode>
                <c:ptCount val="3"/>
                <c:pt idx="0">
                  <c:v>1995</c:v>
                </c:pt>
                <c:pt idx="1">
                  <c:v>2005</c:v>
                </c:pt>
                <c:pt idx="2">
                  <c:v>2015</c:v>
                </c:pt>
              </c:numCache>
            </c:numRef>
          </c:cat>
          <c:smooth val="0"/>
          <c:extLst>
            <c:ext xmlns:c16="http://schemas.microsoft.com/office/drawing/2014/chart" uri="{C3380CC4-5D6E-409C-BE32-E72D297353CC}">
              <c16:uniqueId val="{00000004-82BA-427D-B732-B9636B9A7EA5}"/>
            </c:ext>
          </c:extLst>
        </c:ser>
        <c:ser>
          <c:idx val="0"/>
          <c:order val="2"/>
          <c:tx>
            <c:v>DUMMY</c:v>
          </c:tx>
          <c:spPr>
            <a:ln w="25400">
              <a:solidFill>
                <a:schemeClr val="tx1"/>
              </a:solidFill>
            </a:ln>
            <a:effectLst/>
          </c:spPr>
          <c:marker>
            <c:symbol val="none"/>
          </c:marker>
          <c:cat>
            <c:numRef>
              <c:f>cohorts_ts_fornote!$K$3:$K$5</c:f>
              <c:numCache>
                <c:formatCode>General</c:formatCode>
                <c:ptCount val="3"/>
                <c:pt idx="0">
                  <c:v>1995</c:v>
                </c:pt>
                <c:pt idx="1">
                  <c:v>2005</c:v>
                </c:pt>
                <c:pt idx="2">
                  <c:v>2015</c:v>
                </c:pt>
              </c:numCache>
            </c:numRef>
          </c:cat>
          <c:smooth val="0"/>
          <c:extLst>
            <c:ext xmlns:c16="http://schemas.microsoft.com/office/drawing/2014/chart" uri="{C3380CC4-5D6E-409C-BE32-E72D297353CC}">
              <c16:uniqueId val="{00000005-82BA-427D-B732-B9636B9A7EA5}"/>
            </c:ext>
          </c:extLst>
        </c:ser>
        <c:ser>
          <c:idx val="1"/>
          <c:order val="3"/>
          <c:tx>
            <c:strRef>
              <c:f>cohorts_ts_fornote!$M$2</c:f>
              <c:strCache>
                <c:ptCount val="1"/>
                <c:pt idx="0">
                  <c:v>Age 55</c:v>
                </c:pt>
              </c:strCache>
            </c:strRef>
          </c:tx>
          <c:spPr>
            <a:ln w="19050">
              <a:solidFill>
                <a:schemeClr val="accent5"/>
              </a:solidFill>
              <a:prstDash val="solid"/>
            </a:ln>
          </c:spPr>
          <c:marker>
            <c:symbol val="none"/>
          </c:marker>
          <c:dPt>
            <c:idx val="0"/>
            <c:marker>
              <c:symbol val="diamond"/>
              <c:size val="8"/>
              <c:spPr>
                <a:solidFill>
                  <a:schemeClr val="accent1"/>
                </a:solidFill>
                <a:ln w="19050">
                  <a:noFill/>
                  <a:prstDash val="solid"/>
                </a:ln>
              </c:spPr>
            </c:marker>
            <c:bubble3D val="0"/>
            <c:extLst>
              <c:ext xmlns:c16="http://schemas.microsoft.com/office/drawing/2014/chart" uri="{C3380CC4-5D6E-409C-BE32-E72D297353CC}">
                <c16:uniqueId val="{00000007-82BA-427D-B732-B9636B9A7EA5}"/>
              </c:ext>
            </c:extLst>
          </c:dPt>
          <c:dPt>
            <c:idx val="1"/>
            <c:marker>
              <c:symbol val="diamond"/>
              <c:size val="8"/>
              <c:spPr>
                <a:solidFill>
                  <a:schemeClr val="accent2"/>
                </a:solidFill>
                <a:ln w="19050">
                  <a:noFill/>
                  <a:prstDash val="solid"/>
                </a:ln>
              </c:spPr>
            </c:marker>
            <c:bubble3D val="0"/>
            <c:extLst>
              <c:ext xmlns:c16="http://schemas.microsoft.com/office/drawing/2014/chart" uri="{C3380CC4-5D6E-409C-BE32-E72D297353CC}">
                <c16:uniqueId val="{00000008-82BA-427D-B732-B9636B9A7EA5}"/>
              </c:ext>
            </c:extLst>
          </c:dPt>
          <c:dPt>
            <c:idx val="2"/>
            <c:marker>
              <c:symbol val="diamond"/>
              <c:size val="8"/>
              <c:spPr>
                <a:solidFill>
                  <a:schemeClr val="accent3"/>
                </a:solidFill>
                <a:ln w="19050">
                  <a:noFill/>
                  <a:prstDash val="solid"/>
                </a:ln>
              </c:spPr>
            </c:marker>
            <c:bubble3D val="0"/>
            <c:extLst>
              <c:ext xmlns:c16="http://schemas.microsoft.com/office/drawing/2014/chart" uri="{C3380CC4-5D6E-409C-BE32-E72D297353CC}">
                <c16:uniqueId val="{00000009-82BA-427D-B732-B9636B9A7EA5}"/>
              </c:ext>
            </c:extLst>
          </c:dPt>
          <c:dPt>
            <c:idx val="3"/>
            <c:marker>
              <c:symbol val="diamond"/>
              <c:size val="8"/>
              <c:spPr>
                <a:solidFill>
                  <a:schemeClr val="accent4"/>
                </a:solidFill>
                <a:ln w="19050">
                  <a:noFill/>
                  <a:prstDash val="solid"/>
                </a:ln>
              </c:spPr>
            </c:marker>
            <c:bubble3D val="0"/>
            <c:extLst>
              <c:ext xmlns:c16="http://schemas.microsoft.com/office/drawing/2014/chart" uri="{C3380CC4-5D6E-409C-BE32-E72D297353CC}">
                <c16:uniqueId val="{0000000A-82BA-427D-B732-B9636B9A7EA5}"/>
              </c:ext>
            </c:extLst>
          </c:dPt>
          <c:dPt>
            <c:idx val="6"/>
            <c:marker>
              <c:symbol val="diamond"/>
              <c:size val="9"/>
              <c:spPr>
                <a:solidFill>
                  <a:schemeClr val="tx1"/>
                </a:solidFill>
                <a:ln w="19050">
                  <a:noFill/>
                  <a:prstDash val="solid"/>
                </a:ln>
              </c:spPr>
            </c:marker>
            <c:bubble3D val="0"/>
            <c:extLst>
              <c:ext xmlns:c16="http://schemas.microsoft.com/office/drawing/2014/chart" uri="{C3380CC4-5D6E-409C-BE32-E72D297353CC}">
                <c16:uniqueId val="{0000000B-82BA-427D-B732-B9636B9A7EA5}"/>
              </c:ext>
            </c:extLst>
          </c:dPt>
          <c:cat>
            <c:numRef>
              <c:f>cohorts_ts_fornote!$K$3:$K$6</c:f>
              <c:numCache>
                <c:formatCode>General</c:formatCode>
                <c:ptCount val="4"/>
                <c:pt idx="0">
                  <c:v>1995</c:v>
                </c:pt>
                <c:pt idx="1">
                  <c:v>2005</c:v>
                </c:pt>
                <c:pt idx="2">
                  <c:v>2015</c:v>
                </c:pt>
                <c:pt idx="3">
                  <c:v>2025</c:v>
                </c:pt>
              </c:numCache>
            </c:numRef>
          </c:cat>
          <c:val>
            <c:numRef>
              <c:f>cohorts_ts_fornote!$M$3:$M$6</c:f>
              <c:numCache>
                <c:formatCode>#,##0.00</c:formatCode>
                <c:ptCount val="4"/>
                <c:pt idx="0">
                  <c:v>60</c:v>
                </c:pt>
                <c:pt idx="1">
                  <c:v>63.5</c:v>
                </c:pt>
                <c:pt idx="2">
                  <c:v>67</c:v>
                </c:pt>
                <c:pt idx="3">
                  <c:v>68</c:v>
                </c:pt>
              </c:numCache>
            </c:numRef>
          </c:val>
          <c:smooth val="0"/>
          <c:extLst>
            <c:ext xmlns:c16="http://schemas.microsoft.com/office/drawing/2014/chart" uri="{C3380CC4-5D6E-409C-BE32-E72D297353CC}">
              <c16:uniqueId val="{0000000C-82BA-427D-B732-B9636B9A7EA5}"/>
            </c:ext>
          </c:extLst>
        </c:ser>
        <c:dLbls>
          <c:showLegendKey val="0"/>
          <c:showVal val="0"/>
          <c:showCatName val="0"/>
          <c:showSerName val="0"/>
          <c:showPercent val="0"/>
          <c:showBubbleSize val="0"/>
        </c:dLbls>
        <c:marker val="1"/>
        <c:smooth val="0"/>
        <c:axId val="97853440"/>
        <c:axId val="97838976"/>
      </c:lineChart>
      <c:catAx>
        <c:axId val="97835648"/>
        <c:scaling>
          <c:orientation val="minMax"/>
        </c:scaling>
        <c:delete val="0"/>
        <c:axPos val="b"/>
        <c:numFmt formatCode="General" sourceLinked="1"/>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97837440"/>
        <c:crosses val="autoZero"/>
        <c:auto val="1"/>
        <c:lblAlgn val="ctr"/>
        <c:lblOffset val="100"/>
        <c:noMultiLvlLbl val="0"/>
      </c:catAx>
      <c:valAx>
        <c:axId val="97837440"/>
        <c:scaling>
          <c:orientation val="minMax"/>
          <c:max val="75"/>
          <c:min val="50"/>
        </c:scaling>
        <c:delete val="0"/>
        <c:axPos val="l"/>
        <c:numFmt formatCode="#,##0" sourceLinked="1"/>
        <c:majorTickMark val="in"/>
        <c:minorTickMark val="none"/>
        <c:tickLblPos val="none"/>
        <c:txPr>
          <a:bodyPr/>
          <a:lstStyle/>
          <a:p>
            <a:pPr>
              <a:defRPr sz="800" b="0" i="0">
                <a:solidFill>
                  <a:srgbClr val="000000"/>
                </a:solidFill>
                <a:latin typeface="Arial"/>
                <a:ea typeface="Arial"/>
                <a:cs typeface="Arial"/>
              </a:defRPr>
            </a:pPr>
            <a:endParaRPr lang="en-US"/>
          </a:p>
        </c:txPr>
        <c:crossAx val="97835648"/>
        <c:crosses val="autoZero"/>
        <c:crossBetween val="between"/>
        <c:majorUnit val="5"/>
      </c:valAx>
      <c:valAx>
        <c:axId val="97838976"/>
        <c:scaling>
          <c:orientation val="minMax"/>
          <c:max val="75"/>
          <c:min val="50"/>
        </c:scaling>
        <c:delete val="0"/>
        <c:axPos val="r"/>
        <c:title>
          <c:tx>
            <c:rich>
              <a:bodyPr rot="0" vert="horz"/>
              <a:lstStyle/>
              <a:p>
                <a:pPr>
                  <a:defRPr sz="800" b="0" i="0">
                    <a:solidFill>
                      <a:srgbClr val="000000"/>
                    </a:solidFill>
                    <a:latin typeface="Arial"/>
                    <a:ea typeface="Arial"/>
                    <a:cs typeface="Arial"/>
                  </a:defRPr>
                </a:pPr>
                <a:r>
                  <a:rPr lang="en-US"/>
                  <a:t>Per cent</a:t>
                </a:r>
              </a:p>
            </c:rich>
          </c:tx>
          <c:layout>
            <c:manualLayout>
              <c:xMode val="edge"/>
              <c:yMode val="edge"/>
              <c:x val="0.74492560177189748"/>
              <c:y val="0"/>
            </c:manualLayout>
          </c:layout>
          <c:overlay val="0"/>
        </c:title>
        <c:numFmt formatCode="General"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97853440"/>
        <c:crosses val="max"/>
        <c:crossBetween val="between"/>
        <c:majorUnit val="5"/>
        <c:minorUnit val="0.4"/>
      </c:valAx>
      <c:catAx>
        <c:axId val="97853440"/>
        <c:scaling>
          <c:orientation val="minMax"/>
        </c:scaling>
        <c:delete val="1"/>
        <c:axPos val="b"/>
        <c:numFmt formatCode="General" sourceLinked="1"/>
        <c:majorTickMark val="out"/>
        <c:minorTickMark val="none"/>
        <c:tickLblPos val="nextTo"/>
        <c:crossAx val="97838976"/>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legend>
      <c:legendPos val="b"/>
      <c:legendEntry>
        <c:idx val="0"/>
        <c:txPr>
          <a:bodyPr/>
          <a:lstStyle/>
          <a:p>
            <a:pPr>
              <a:defRPr sz="800"/>
            </a:pPr>
            <a:endParaRPr lang="en-US"/>
          </a:p>
        </c:txPr>
      </c:legendEntry>
      <c:legendEntry>
        <c:idx val="1"/>
        <c:delete val="1"/>
      </c:legendEntry>
      <c:legendEntry>
        <c:idx val="2"/>
        <c:delete val="1"/>
      </c:legendEntry>
      <c:legendEntry>
        <c:idx val="3"/>
        <c:txPr>
          <a:bodyPr/>
          <a:lstStyle/>
          <a:p>
            <a:pPr>
              <a:defRPr sz="800"/>
            </a:pPr>
            <a:endParaRPr lang="en-US"/>
          </a:p>
        </c:txPr>
      </c:legendEntry>
      <c:layout>
        <c:manualLayout>
          <c:xMode val="edge"/>
          <c:yMode val="edge"/>
          <c:x val="5.4484484465170839E-2"/>
          <c:y val="0.92907869253238506"/>
          <c:w val="0.83994722222222218"/>
          <c:h val="6.6511458333333329E-2"/>
        </c:manualLayout>
      </c:layout>
      <c:overlay val="0"/>
    </c:legend>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0.14993</cdr:x>
      <cdr:y>0.3649</cdr:y>
    </cdr:from>
    <cdr:to>
      <cdr:x>0.33183</cdr:x>
      <cdr:y>0.41121</cdr:y>
    </cdr:to>
    <cdr:cxnSp macro="">
      <cdr:nvCxnSpPr>
        <cdr:cNvPr id="2" name="Straight Arrow Connector 1"/>
        <cdr:cNvCxnSpPr/>
      </cdr:nvCxnSpPr>
      <cdr:spPr>
        <a:xfrm xmlns:a="http://schemas.openxmlformats.org/drawingml/2006/main">
          <a:off x="431800" y="1050925"/>
          <a:ext cx="523875" cy="133350"/>
        </a:xfrm>
        <a:prstGeom xmlns:a="http://schemas.openxmlformats.org/drawingml/2006/main" prst="straightConnector1">
          <a:avLst/>
        </a:prstGeom>
        <a:ln xmlns:a="http://schemas.openxmlformats.org/drawingml/2006/main">
          <a:solidFill>
            <a:sysClr val="windowText" lastClr="000000"/>
          </a:solidFill>
          <a:prstDash val="dash"/>
          <a:tailEnd type="arrow" w="med" len="sm"/>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0.59972</cdr:x>
      <cdr:y>0.226</cdr:y>
    </cdr:from>
    <cdr:to>
      <cdr:x>0.78162</cdr:x>
      <cdr:y>0.2723</cdr:y>
    </cdr:to>
    <cdr:cxnSp macro="">
      <cdr:nvCxnSpPr>
        <cdr:cNvPr id="3" name="Straight Arrow Connector 2"/>
        <cdr:cNvCxnSpPr/>
      </cdr:nvCxnSpPr>
      <cdr:spPr>
        <a:xfrm xmlns:a="http://schemas.openxmlformats.org/drawingml/2006/main">
          <a:off x="1727200" y="650875"/>
          <a:ext cx="523875" cy="133350"/>
        </a:xfrm>
        <a:prstGeom xmlns:a="http://schemas.openxmlformats.org/drawingml/2006/main" prst="straightConnector1">
          <a:avLst/>
        </a:prstGeom>
        <a:ln xmlns:a="http://schemas.openxmlformats.org/drawingml/2006/main">
          <a:solidFill>
            <a:sysClr val="windowText" lastClr="000000"/>
          </a:solidFill>
          <a:prstDash val="dash"/>
          <a:tailEnd type="arrow" w="med" len="sm"/>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0.37813</cdr:x>
      <cdr:y>0.26569</cdr:y>
    </cdr:from>
    <cdr:to>
      <cdr:x>0.56003</cdr:x>
      <cdr:y>0.31199</cdr:y>
    </cdr:to>
    <cdr:cxnSp macro="">
      <cdr:nvCxnSpPr>
        <cdr:cNvPr id="4" name="Straight Arrow Connector 3"/>
        <cdr:cNvCxnSpPr/>
      </cdr:nvCxnSpPr>
      <cdr:spPr>
        <a:xfrm xmlns:a="http://schemas.openxmlformats.org/drawingml/2006/main">
          <a:off x="1089025" y="765175"/>
          <a:ext cx="523875" cy="133350"/>
        </a:xfrm>
        <a:prstGeom xmlns:a="http://schemas.openxmlformats.org/drawingml/2006/main" prst="straightConnector1">
          <a:avLst/>
        </a:prstGeom>
        <a:ln xmlns:a="http://schemas.openxmlformats.org/drawingml/2006/main">
          <a:solidFill>
            <a:sysClr val="windowText" lastClr="000000"/>
          </a:solidFill>
          <a:prstDash val="dash"/>
          <a:tailEnd type="arrow" w="med" len="sm"/>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Budget Blu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87A3A-9DC1-4F42-806F-97155475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11860</Words>
  <Characters>67607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Australian labour force participation: historical trends and future prospects - Treasury working paper</vt:lpstr>
    </vt:vector>
  </TitlesOfParts>
  <Company/>
  <LinksUpToDate>false</LinksUpToDate>
  <CharactersWithSpaces>79309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force participation: historical trends and future prospects - Treasury working paper</dc:title>
  <dc:subject/>
  <dc:creator/>
  <cp:keywords/>
  <dc:description/>
  <cp:lastModifiedBy/>
  <cp:revision>1</cp:revision>
  <dcterms:created xsi:type="dcterms:W3CDTF">2021-04-28T06:02:00Z</dcterms:created>
  <dcterms:modified xsi:type="dcterms:W3CDTF">2021-04-28T06:02:00Z</dcterms:modified>
</cp:coreProperties>
</file>