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663B90" w:rsidTr="00663B90">
        <w:tc>
          <w:tcPr>
            <w:tcW w:w="5000" w:type="pct"/>
            <w:shd w:val="clear" w:color="auto" w:fill="auto"/>
          </w:tcPr>
          <w:p w:rsidR="00663B90" w:rsidRDefault="00663B90" w:rsidP="00663B90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663B90" w:rsidRPr="00663B90" w:rsidRDefault="00663B90" w:rsidP="00663B90">
            <w:pPr>
              <w:rPr>
                <w:b/>
                <w:sz w:val="20"/>
              </w:rPr>
            </w:pPr>
          </w:p>
        </w:tc>
      </w:tr>
    </w:tbl>
    <w:p w:rsidR="00663B90" w:rsidRDefault="00663B90" w:rsidP="001A21A2">
      <w:pPr>
        <w:rPr>
          <w:sz w:val="32"/>
          <w:szCs w:val="32"/>
        </w:rPr>
      </w:pPr>
    </w:p>
    <w:p w:rsidR="00664C63" w:rsidRPr="001A21A2" w:rsidRDefault="00664C63" w:rsidP="001A21A2">
      <w:pPr>
        <w:rPr>
          <w:sz w:val="32"/>
          <w:szCs w:val="32"/>
        </w:rPr>
      </w:pPr>
      <w:r w:rsidRPr="001A21A2">
        <w:rPr>
          <w:sz w:val="32"/>
          <w:szCs w:val="32"/>
        </w:rPr>
        <w:t>Inserts for</w:t>
      </w:r>
    </w:p>
    <w:p w:rsidR="00664C63" w:rsidRPr="001A21A2" w:rsidRDefault="003A2367" w:rsidP="001A21A2">
      <w:pPr>
        <w:pStyle w:val="ShortT"/>
      </w:pPr>
      <w:r w:rsidRPr="001A21A2">
        <w:t>Treasury Laws Amendment (Measures for a later sitting) Bill 2021</w:t>
      </w:r>
      <w:r w:rsidR="00664C63" w:rsidRPr="001A21A2">
        <w:t xml:space="preserve">: </w:t>
      </w:r>
      <w:r w:rsidRPr="001A21A2">
        <w:t>FBT exemption to support ret</w:t>
      </w:r>
      <w:r w:rsidR="00B51205" w:rsidRPr="001A21A2">
        <w:t>r</w:t>
      </w:r>
      <w:r w:rsidRPr="001A21A2">
        <w:t>aining and reskilling</w:t>
      </w:r>
    </w:p>
    <w:p w:rsidR="00664C63" w:rsidRPr="001A21A2" w:rsidRDefault="00664C63" w:rsidP="001A21A2">
      <w:pPr>
        <w:jc w:val="center"/>
      </w:pPr>
    </w:p>
    <w:p w:rsidR="00664C63" w:rsidRPr="001A21A2" w:rsidRDefault="00664C63" w:rsidP="001A21A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1A21A2" w:rsidTr="002D4DD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1A21A2" w:rsidRDefault="00664C63" w:rsidP="001A21A2">
            <w:pPr>
              <w:pStyle w:val="TableHeading"/>
            </w:pPr>
            <w:r w:rsidRPr="001A21A2">
              <w:t>Commencement information</w:t>
            </w:r>
          </w:p>
        </w:tc>
      </w:tr>
      <w:tr w:rsidR="00664C63" w:rsidRPr="001A21A2" w:rsidTr="002D4DD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1A21A2" w:rsidRDefault="00664C63" w:rsidP="001A21A2">
            <w:pPr>
              <w:pStyle w:val="TableHeading"/>
            </w:pPr>
            <w:r w:rsidRPr="001A21A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1A21A2" w:rsidRDefault="00664C63" w:rsidP="001A21A2">
            <w:pPr>
              <w:pStyle w:val="TableHeading"/>
            </w:pPr>
            <w:r w:rsidRPr="001A21A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1A21A2" w:rsidRDefault="00664C63" w:rsidP="001A21A2">
            <w:pPr>
              <w:pStyle w:val="TableHeading"/>
            </w:pPr>
            <w:r w:rsidRPr="001A21A2">
              <w:t>Column 3</w:t>
            </w:r>
          </w:p>
        </w:tc>
      </w:tr>
      <w:tr w:rsidR="00664C63" w:rsidRPr="001A21A2" w:rsidTr="002D4DD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1A21A2" w:rsidRDefault="00664C63" w:rsidP="001A21A2">
            <w:pPr>
              <w:pStyle w:val="TableHeading"/>
            </w:pPr>
            <w:r w:rsidRPr="001A21A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1A21A2" w:rsidRDefault="00664C63" w:rsidP="001A21A2">
            <w:pPr>
              <w:pStyle w:val="TableHeading"/>
            </w:pPr>
            <w:r w:rsidRPr="001A21A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1A21A2" w:rsidRDefault="00664C63" w:rsidP="001A21A2">
            <w:pPr>
              <w:pStyle w:val="TableHeading"/>
            </w:pPr>
            <w:r w:rsidRPr="001A21A2">
              <w:t>Date/Details</w:t>
            </w:r>
          </w:p>
        </w:tc>
      </w:tr>
      <w:tr w:rsidR="00664C63" w:rsidRPr="001A21A2" w:rsidTr="002D4DD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Pr="001A21A2" w:rsidRDefault="00664C63" w:rsidP="001A21A2">
            <w:pPr>
              <w:pStyle w:val="Tabletext"/>
            </w:pPr>
            <w:r w:rsidRPr="001A21A2">
              <w:t xml:space="preserve">1.  </w:t>
            </w:r>
            <w:r w:rsidR="00344AA4" w:rsidRPr="001A21A2">
              <w:t>Schedule X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Pr="001A21A2" w:rsidRDefault="00344AA4" w:rsidP="001A21A2">
            <w:pPr>
              <w:pStyle w:val="Tabletext"/>
            </w:pPr>
            <w:r w:rsidRPr="001A21A2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Pr="001A21A2" w:rsidRDefault="00664C63" w:rsidP="001A21A2">
            <w:pPr>
              <w:pStyle w:val="Tabletext"/>
            </w:pPr>
          </w:p>
        </w:tc>
      </w:tr>
    </w:tbl>
    <w:p w:rsidR="003A2367" w:rsidRPr="001A21A2" w:rsidRDefault="003A2367" w:rsidP="001A21A2">
      <w:pPr>
        <w:pStyle w:val="ActHead6"/>
        <w:pageBreakBefore/>
      </w:pPr>
      <w:r w:rsidRPr="00663B90">
        <w:rPr>
          <w:rStyle w:val="CharAmSchNo"/>
        </w:rPr>
        <w:lastRenderedPageBreak/>
        <w:t>Schedule X</w:t>
      </w:r>
      <w:r w:rsidRPr="001A21A2">
        <w:t>—</w:t>
      </w:r>
      <w:r w:rsidRPr="00663B90">
        <w:rPr>
          <w:rStyle w:val="CharAmSchText"/>
        </w:rPr>
        <w:t>FBT exemption</w:t>
      </w:r>
    </w:p>
    <w:p w:rsidR="005F321E" w:rsidRPr="00663B90" w:rsidRDefault="005F321E" w:rsidP="001A21A2">
      <w:pPr>
        <w:pStyle w:val="Header"/>
      </w:pPr>
      <w:r w:rsidRPr="00663B90">
        <w:rPr>
          <w:rStyle w:val="CharAmPartNo"/>
        </w:rPr>
        <w:t xml:space="preserve"> </w:t>
      </w:r>
      <w:r w:rsidRPr="00663B90">
        <w:rPr>
          <w:rStyle w:val="CharAmPartText"/>
        </w:rPr>
        <w:t xml:space="preserve"> </w:t>
      </w:r>
    </w:p>
    <w:p w:rsidR="003A2367" w:rsidRPr="001A21A2" w:rsidRDefault="003A2367" w:rsidP="001A21A2">
      <w:pPr>
        <w:pStyle w:val="ActHead9"/>
      </w:pPr>
      <w:r w:rsidRPr="001A21A2">
        <w:t>Fringe Benefits Tax Assessment Act 1986</w:t>
      </w:r>
    </w:p>
    <w:p w:rsidR="003A2367" w:rsidRPr="001A21A2" w:rsidRDefault="00D361F7" w:rsidP="001A21A2">
      <w:pPr>
        <w:pStyle w:val="ItemHead"/>
      </w:pPr>
      <w:r w:rsidRPr="001A21A2">
        <w:t>1</w:t>
      </w:r>
      <w:r w:rsidR="003A2367" w:rsidRPr="001A21A2">
        <w:t xml:space="preserve">  </w:t>
      </w:r>
      <w:r w:rsidR="00F31C33" w:rsidRPr="001A21A2">
        <w:t xml:space="preserve">At the end of </w:t>
      </w:r>
      <w:r w:rsidR="001D5C57" w:rsidRPr="001A21A2">
        <w:t>Division 1</w:t>
      </w:r>
      <w:r w:rsidR="00F31C33" w:rsidRPr="001A21A2">
        <w:t xml:space="preserve">3 of </w:t>
      </w:r>
      <w:r w:rsidR="001D5C57" w:rsidRPr="001A21A2">
        <w:t>Part I</w:t>
      </w:r>
      <w:r w:rsidR="00F31C33" w:rsidRPr="001A21A2">
        <w:t>II</w:t>
      </w:r>
    </w:p>
    <w:p w:rsidR="003A2367" w:rsidRPr="001A21A2" w:rsidRDefault="00F31C33" w:rsidP="001A21A2">
      <w:pPr>
        <w:pStyle w:val="Item"/>
      </w:pPr>
      <w:r w:rsidRPr="001A21A2">
        <w:t>Add</w:t>
      </w:r>
      <w:r w:rsidR="003A2367" w:rsidRPr="001A21A2">
        <w:t>:</w:t>
      </w:r>
    </w:p>
    <w:p w:rsidR="003A2367" w:rsidRPr="001A21A2" w:rsidRDefault="003A2367" w:rsidP="001A21A2">
      <w:pPr>
        <w:pStyle w:val="ActHead5"/>
      </w:pPr>
      <w:r w:rsidRPr="00663B90">
        <w:rPr>
          <w:rStyle w:val="CharSectno"/>
        </w:rPr>
        <w:t>5</w:t>
      </w:r>
      <w:r w:rsidR="00F31C33" w:rsidRPr="00663B90">
        <w:rPr>
          <w:rStyle w:val="CharSectno"/>
        </w:rPr>
        <w:t>8ZE</w:t>
      </w:r>
      <w:r w:rsidRPr="001A21A2">
        <w:t xml:space="preserve">  Exempt benefits—provision of certain education or training</w:t>
      </w:r>
    </w:p>
    <w:p w:rsidR="003A2367" w:rsidRPr="001A21A2" w:rsidRDefault="003A2367" w:rsidP="001A21A2">
      <w:pPr>
        <w:pStyle w:val="subsection"/>
      </w:pPr>
      <w:r w:rsidRPr="001A21A2">
        <w:tab/>
        <w:t>(1)</w:t>
      </w:r>
      <w:r w:rsidRPr="001A21A2">
        <w:tab/>
      </w:r>
      <w:r w:rsidR="0092693D" w:rsidRPr="001A21A2">
        <w:t xml:space="preserve">Subject to </w:t>
      </w:r>
      <w:r w:rsidR="001D5C57" w:rsidRPr="001A21A2">
        <w:t>subsection (</w:t>
      </w:r>
      <w:r w:rsidR="000E2C88" w:rsidRPr="001A21A2">
        <w:t>2</w:t>
      </w:r>
      <w:r w:rsidR="0092693D" w:rsidRPr="001A21A2">
        <w:t>), a benefit is an exempt benefit</w:t>
      </w:r>
      <w:r w:rsidR="004277D9" w:rsidRPr="001A21A2">
        <w:t xml:space="preserve"> in relation to </w:t>
      </w:r>
      <w:r w:rsidR="00FC294F" w:rsidRPr="001A21A2">
        <w:t xml:space="preserve">a </w:t>
      </w:r>
      <w:r w:rsidR="004277D9" w:rsidRPr="001A21A2">
        <w:t>year of tax</w:t>
      </w:r>
      <w:r w:rsidR="0092693D" w:rsidRPr="001A21A2">
        <w:t xml:space="preserve"> if</w:t>
      </w:r>
      <w:r w:rsidRPr="001A21A2">
        <w:t>:</w:t>
      </w:r>
    </w:p>
    <w:p w:rsidR="003E55DB" w:rsidRPr="001A21A2" w:rsidRDefault="00013B3F" w:rsidP="001A21A2">
      <w:pPr>
        <w:pStyle w:val="paragraph"/>
      </w:pPr>
      <w:r w:rsidRPr="001A21A2">
        <w:tab/>
        <w:t>(a)</w:t>
      </w:r>
      <w:r w:rsidRPr="001A21A2">
        <w:tab/>
      </w:r>
      <w:r w:rsidR="003E55DB" w:rsidRPr="001A21A2">
        <w:t>the benefit is provided in</w:t>
      </w:r>
      <w:r w:rsidR="00F552CF" w:rsidRPr="001A21A2">
        <w:t xml:space="preserve">, or in respect of, the </w:t>
      </w:r>
      <w:r w:rsidR="003E55DB" w:rsidRPr="001A21A2">
        <w:t>year of tax in respect of education or training undertaken by an employee of an employer; and</w:t>
      </w:r>
    </w:p>
    <w:p w:rsidR="00072C9B" w:rsidRPr="001A21A2" w:rsidRDefault="001A0B1B" w:rsidP="001A21A2">
      <w:pPr>
        <w:pStyle w:val="paragraph"/>
      </w:pPr>
      <w:r w:rsidRPr="001A21A2">
        <w:tab/>
        <w:t>(b)</w:t>
      </w:r>
      <w:r w:rsidRPr="001A21A2">
        <w:tab/>
      </w:r>
      <w:r w:rsidR="00072C9B" w:rsidRPr="001A21A2">
        <w:t>the employee is redundant;</w:t>
      </w:r>
      <w:r w:rsidR="00D8172A" w:rsidRPr="001A21A2">
        <w:t xml:space="preserve"> and</w:t>
      </w:r>
    </w:p>
    <w:p w:rsidR="0004101D" w:rsidRPr="001A21A2" w:rsidRDefault="006635C1" w:rsidP="001A21A2">
      <w:pPr>
        <w:pStyle w:val="paragraph"/>
      </w:pPr>
      <w:r w:rsidRPr="001A21A2">
        <w:tab/>
        <w:t>(c)</w:t>
      </w:r>
      <w:r w:rsidRPr="001A21A2">
        <w:tab/>
      </w:r>
      <w:r w:rsidR="00DE15F6" w:rsidRPr="001A21A2">
        <w:t xml:space="preserve">the employer has complied with any obligation under the </w:t>
      </w:r>
      <w:r w:rsidR="00DE15F6" w:rsidRPr="001A21A2">
        <w:rPr>
          <w:i/>
        </w:rPr>
        <w:t>Fair Work Act 2009</w:t>
      </w:r>
      <w:r w:rsidR="00DE15F6" w:rsidRPr="001A21A2">
        <w:t xml:space="preserve"> that applies</w:t>
      </w:r>
      <w:r w:rsidR="00C55A44" w:rsidRPr="001A21A2">
        <w:t xml:space="preserve"> in relation</w:t>
      </w:r>
      <w:r w:rsidR="00DE15F6" w:rsidRPr="001A21A2">
        <w:t xml:space="preserve"> to the redundancy</w:t>
      </w:r>
      <w:r w:rsidR="009E61CD" w:rsidRPr="001A21A2">
        <w:t>;</w:t>
      </w:r>
      <w:r w:rsidR="00B339A2" w:rsidRPr="001A21A2">
        <w:t xml:space="preserve"> and</w:t>
      </w:r>
    </w:p>
    <w:p w:rsidR="00DF6766" w:rsidRPr="001A21A2" w:rsidRDefault="00013B3F" w:rsidP="001A21A2">
      <w:pPr>
        <w:pStyle w:val="paragraph"/>
      </w:pPr>
      <w:r w:rsidRPr="001A21A2">
        <w:tab/>
        <w:t>(</w:t>
      </w:r>
      <w:r w:rsidR="00767CAC" w:rsidRPr="001A21A2">
        <w:t>d</w:t>
      </w:r>
      <w:r w:rsidRPr="001A21A2">
        <w:t>)</w:t>
      </w:r>
      <w:r w:rsidRPr="001A21A2">
        <w:tab/>
      </w:r>
      <w:r w:rsidR="005E668B" w:rsidRPr="001A21A2">
        <w:t xml:space="preserve">the education or training is for the </w:t>
      </w:r>
      <w:r w:rsidR="00AC6332" w:rsidRPr="001A21A2">
        <w:t>primary</w:t>
      </w:r>
      <w:r w:rsidR="005E668B" w:rsidRPr="001A21A2">
        <w:t xml:space="preserve"> purpose of enabling the employee to gain or produce salary or wages in respect of any employment to which the education or training relates</w:t>
      </w:r>
      <w:r w:rsidR="00717BBE" w:rsidRPr="001A21A2">
        <w:t>.</w:t>
      </w:r>
    </w:p>
    <w:p w:rsidR="006D6573" w:rsidRPr="001A21A2" w:rsidRDefault="006D6573" w:rsidP="001A21A2">
      <w:pPr>
        <w:pStyle w:val="subsection"/>
      </w:pPr>
      <w:r w:rsidRPr="001A21A2">
        <w:tab/>
        <w:t>(2)</w:t>
      </w:r>
      <w:r w:rsidRPr="001A21A2">
        <w:tab/>
        <w:t xml:space="preserve">For the purposes of </w:t>
      </w:r>
      <w:r w:rsidR="007E084A" w:rsidRPr="001A21A2">
        <w:t>paragraph (</w:t>
      </w:r>
      <w:r w:rsidRPr="001A21A2">
        <w:t xml:space="preserve">1)(b), an employee is </w:t>
      </w:r>
      <w:r w:rsidRPr="001A21A2">
        <w:rPr>
          <w:b/>
          <w:i/>
        </w:rPr>
        <w:t>redundant</w:t>
      </w:r>
      <w:r w:rsidRPr="001A21A2">
        <w:t xml:space="preserve"> if the employee’s employer no longer requires, or reasonably expects to no longer require, the </w:t>
      </w:r>
      <w:r w:rsidR="006E36A1" w:rsidRPr="001A21A2">
        <w:t>employee’s jo</w:t>
      </w:r>
      <w:r w:rsidR="00586401" w:rsidRPr="001A21A2">
        <w:t>b</w:t>
      </w:r>
      <w:r w:rsidRPr="001A21A2">
        <w:t xml:space="preserve"> to be performed by anyone because of changes in the operational requirements of the employer’s business or undertaking</w:t>
      </w:r>
      <w:r w:rsidR="00E00E7B" w:rsidRPr="001A21A2">
        <w:t>.</w:t>
      </w:r>
    </w:p>
    <w:p w:rsidR="00D27B5D" w:rsidRPr="001A21A2" w:rsidRDefault="003A2367" w:rsidP="001A21A2">
      <w:pPr>
        <w:pStyle w:val="subsection"/>
      </w:pPr>
      <w:r w:rsidRPr="001A21A2">
        <w:tab/>
        <w:t>(</w:t>
      </w:r>
      <w:r w:rsidR="006D6573" w:rsidRPr="001A21A2">
        <w:t>3</w:t>
      </w:r>
      <w:r w:rsidRPr="001A21A2">
        <w:t>)</w:t>
      </w:r>
      <w:r w:rsidRPr="001A21A2">
        <w:tab/>
        <w:t>This section does not apply</w:t>
      </w:r>
      <w:r w:rsidR="001974C2" w:rsidRPr="001A21A2">
        <w:t xml:space="preserve"> </w:t>
      </w:r>
      <w:r w:rsidR="000741A9" w:rsidRPr="001A21A2">
        <w:t>to a benefit provided to an employee</w:t>
      </w:r>
      <w:r w:rsidR="00EA1A6E" w:rsidRPr="001A21A2">
        <w:t xml:space="preserve"> of an employer</w:t>
      </w:r>
      <w:r w:rsidR="000741A9" w:rsidRPr="001A21A2">
        <w:t xml:space="preserve"> </w:t>
      </w:r>
      <w:r w:rsidR="001974C2" w:rsidRPr="001A21A2">
        <w:t>if</w:t>
      </w:r>
      <w:r w:rsidR="00D27B5D" w:rsidRPr="001A21A2">
        <w:t>:</w:t>
      </w:r>
    </w:p>
    <w:p w:rsidR="00C42314" w:rsidRPr="001A21A2" w:rsidRDefault="00D27B5D" w:rsidP="001A21A2">
      <w:pPr>
        <w:pStyle w:val="paragraph"/>
      </w:pPr>
      <w:r w:rsidRPr="001A21A2">
        <w:tab/>
        <w:t>(a)</w:t>
      </w:r>
      <w:r w:rsidRPr="001A21A2">
        <w:tab/>
      </w:r>
      <w:r w:rsidR="003A2367" w:rsidRPr="001A21A2">
        <w:t>the benefit is provided under a salary packaging arrangement;</w:t>
      </w:r>
      <w:r w:rsidR="00C42314" w:rsidRPr="001A21A2">
        <w:t xml:space="preserve"> or</w:t>
      </w:r>
    </w:p>
    <w:p w:rsidR="00C42314" w:rsidRPr="001A21A2" w:rsidRDefault="00C42314" w:rsidP="001A21A2">
      <w:pPr>
        <w:pStyle w:val="paragraph"/>
      </w:pPr>
      <w:r w:rsidRPr="001A21A2">
        <w:tab/>
        <w:t>(b)</w:t>
      </w:r>
      <w:r w:rsidRPr="001A21A2">
        <w:tab/>
      </w:r>
      <w:r w:rsidR="003A2367" w:rsidRPr="001A21A2">
        <w:t>the benefit is</w:t>
      </w:r>
      <w:r w:rsidR="00670EEF" w:rsidRPr="001A21A2">
        <w:t xml:space="preserve"> a payment </w:t>
      </w:r>
      <w:r w:rsidR="00E86ECB" w:rsidRPr="001A21A2">
        <w:t xml:space="preserve">or other amount </w:t>
      </w:r>
      <w:r w:rsidR="00670EEF" w:rsidRPr="001A21A2">
        <w:t xml:space="preserve">covered by </w:t>
      </w:r>
      <w:r w:rsidR="0093591C" w:rsidRPr="001A21A2">
        <w:t>subsection 2</w:t>
      </w:r>
      <w:r w:rsidR="00670EEF" w:rsidRPr="001A21A2">
        <w:t>6</w:t>
      </w:r>
      <w:r w:rsidR="001A21A2">
        <w:noBreakHyphen/>
      </w:r>
      <w:r w:rsidR="00670EEF" w:rsidRPr="001A21A2">
        <w:t xml:space="preserve">20(1) of the </w:t>
      </w:r>
      <w:r w:rsidR="00670EEF" w:rsidRPr="001A21A2">
        <w:rPr>
          <w:i/>
        </w:rPr>
        <w:t>Income Tax Assessment Act 1997</w:t>
      </w:r>
      <w:r w:rsidR="00670EEF" w:rsidRPr="001A21A2">
        <w:t>;</w:t>
      </w:r>
      <w:r w:rsidRPr="001A21A2">
        <w:t xml:space="preserve"> or</w:t>
      </w:r>
    </w:p>
    <w:p w:rsidR="004237E4" w:rsidRPr="001A21A2" w:rsidRDefault="00C42314" w:rsidP="001A21A2">
      <w:pPr>
        <w:pStyle w:val="paragraph"/>
      </w:pPr>
      <w:r w:rsidRPr="001A21A2">
        <w:tab/>
        <w:t>(c)</w:t>
      </w:r>
      <w:r w:rsidRPr="001A21A2">
        <w:tab/>
      </w:r>
      <w:r w:rsidR="00995FA3" w:rsidRPr="001A21A2">
        <w:t xml:space="preserve">the education or training in respect of which the benefit is provided </w:t>
      </w:r>
      <w:r w:rsidR="00874F7E" w:rsidRPr="001A21A2">
        <w:t xml:space="preserve">is undertaken as part of a primary course </w:t>
      </w:r>
      <w:r w:rsidR="008469BB" w:rsidRPr="001A21A2">
        <w:t xml:space="preserve">(within the meaning of the </w:t>
      </w:r>
      <w:r w:rsidR="008469BB" w:rsidRPr="001A21A2">
        <w:rPr>
          <w:i/>
        </w:rPr>
        <w:t>A New Tax System (Goods and Services Tax) Act 1999</w:t>
      </w:r>
      <w:r w:rsidR="008469BB" w:rsidRPr="001A21A2">
        <w:t xml:space="preserve">) </w:t>
      </w:r>
      <w:r w:rsidR="00874F7E" w:rsidRPr="001A21A2">
        <w:t>or a secondary course</w:t>
      </w:r>
      <w:r w:rsidR="008469BB" w:rsidRPr="001A21A2">
        <w:t xml:space="preserve"> (within the meaning of that Act</w:t>
      </w:r>
      <w:r w:rsidR="004237E4" w:rsidRPr="001A21A2">
        <w:t>)</w:t>
      </w:r>
      <w:r w:rsidR="00D27B5D" w:rsidRPr="001A21A2">
        <w:t>;</w:t>
      </w:r>
      <w:r w:rsidR="00C55061" w:rsidRPr="001A21A2">
        <w:t xml:space="preserve"> or</w:t>
      </w:r>
    </w:p>
    <w:p w:rsidR="009B5E24" w:rsidRPr="001A21A2" w:rsidRDefault="009B5E24" w:rsidP="001A21A2">
      <w:pPr>
        <w:pStyle w:val="paragraph"/>
      </w:pPr>
      <w:r w:rsidRPr="001A21A2">
        <w:lastRenderedPageBreak/>
        <w:tab/>
        <w:t>(d)</w:t>
      </w:r>
      <w:r w:rsidRPr="001A21A2">
        <w:tab/>
        <w:t>if the employer is an individual—the employee is a relative of the employer; or</w:t>
      </w:r>
    </w:p>
    <w:p w:rsidR="009B5E24" w:rsidRPr="001A21A2" w:rsidRDefault="009B5E24" w:rsidP="001A21A2">
      <w:pPr>
        <w:pStyle w:val="paragraph"/>
      </w:pPr>
      <w:r w:rsidRPr="001A21A2">
        <w:tab/>
        <w:t>(e)</w:t>
      </w:r>
      <w:r w:rsidRPr="001A21A2">
        <w:tab/>
        <w:t>if the employer is a partnership—the employee is a relative of a partner in the partnership; or</w:t>
      </w:r>
    </w:p>
    <w:p w:rsidR="009B5E24" w:rsidRPr="001A21A2" w:rsidRDefault="009B5E24" w:rsidP="001A21A2">
      <w:pPr>
        <w:pStyle w:val="paragraph"/>
        <w:rPr>
          <w:shd w:val="clear" w:color="auto" w:fill="FFFFFF"/>
        </w:rPr>
      </w:pPr>
      <w:r w:rsidRPr="001A21A2">
        <w:tab/>
        <w:t>(f)</w:t>
      </w:r>
      <w:r w:rsidRPr="001A21A2">
        <w:tab/>
        <w:t xml:space="preserve">if the employer is a company </w:t>
      </w:r>
      <w:r w:rsidRPr="001A21A2">
        <w:rPr>
          <w:shd w:val="clear" w:color="auto" w:fill="FFFFFF"/>
        </w:rPr>
        <w:t xml:space="preserve">(other than a widely held company within the meaning of the </w:t>
      </w:r>
      <w:r w:rsidRPr="001A21A2">
        <w:rPr>
          <w:i/>
          <w:shd w:val="clear" w:color="auto" w:fill="FFFFFF"/>
        </w:rPr>
        <w:t>Income Tax Assessment Act 1997</w:t>
      </w:r>
      <w:r w:rsidRPr="001A21A2">
        <w:rPr>
          <w:shd w:val="clear" w:color="auto" w:fill="FFFFFF"/>
        </w:rPr>
        <w:t>)—the employee is:</w:t>
      </w:r>
    </w:p>
    <w:p w:rsidR="009F4E8A" w:rsidRPr="001A21A2" w:rsidRDefault="009B5E24" w:rsidP="001A21A2">
      <w:pPr>
        <w:pStyle w:val="paragraphsub"/>
        <w:rPr>
          <w:shd w:val="clear" w:color="auto" w:fill="FFFFFF"/>
        </w:rPr>
      </w:pPr>
      <w:r w:rsidRPr="001A21A2">
        <w:rPr>
          <w:shd w:val="clear" w:color="auto" w:fill="FFFFFF"/>
        </w:rPr>
        <w:tab/>
        <w:t>(i)</w:t>
      </w:r>
      <w:r w:rsidRPr="001A21A2">
        <w:rPr>
          <w:shd w:val="clear" w:color="auto" w:fill="FFFFFF"/>
        </w:rPr>
        <w:tab/>
        <w:t>a shareholder in</w:t>
      </w:r>
      <w:r w:rsidR="00980ADF" w:rsidRPr="001A21A2">
        <w:rPr>
          <w:shd w:val="clear" w:color="auto" w:fill="FFFFFF"/>
        </w:rPr>
        <w:t>,</w:t>
      </w:r>
      <w:r w:rsidRPr="001A21A2">
        <w:rPr>
          <w:shd w:val="clear" w:color="auto" w:fill="FFFFFF"/>
        </w:rPr>
        <w:t xml:space="preserve"> </w:t>
      </w:r>
      <w:r w:rsidR="009F4E8A" w:rsidRPr="001A21A2">
        <w:rPr>
          <w:shd w:val="clear" w:color="auto" w:fill="FFFFFF"/>
        </w:rPr>
        <w:t>or a relative of a shareholder in, the company;</w:t>
      </w:r>
      <w:r w:rsidR="00104CC0" w:rsidRPr="001A21A2">
        <w:rPr>
          <w:shd w:val="clear" w:color="auto" w:fill="FFFFFF"/>
        </w:rPr>
        <w:t xml:space="preserve"> or</w:t>
      </w:r>
    </w:p>
    <w:p w:rsidR="009B5E24" w:rsidRPr="001A21A2" w:rsidRDefault="009F4E8A" w:rsidP="001A21A2">
      <w:pPr>
        <w:pStyle w:val="paragraphsub"/>
      </w:pPr>
      <w:r w:rsidRPr="001A21A2">
        <w:rPr>
          <w:shd w:val="clear" w:color="auto" w:fill="FFFFFF"/>
        </w:rPr>
        <w:tab/>
        <w:t>(ii)</w:t>
      </w:r>
      <w:r w:rsidRPr="001A21A2">
        <w:rPr>
          <w:shd w:val="clear" w:color="auto" w:fill="FFFFFF"/>
        </w:rPr>
        <w:tab/>
      </w:r>
      <w:r w:rsidR="009B5E24" w:rsidRPr="001A21A2">
        <w:rPr>
          <w:shd w:val="clear" w:color="auto" w:fill="FFFFFF"/>
        </w:rPr>
        <w:t>a director of</w:t>
      </w:r>
      <w:r w:rsidR="00980ADF" w:rsidRPr="001A21A2">
        <w:rPr>
          <w:shd w:val="clear" w:color="auto" w:fill="FFFFFF"/>
        </w:rPr>
        <w:t>,</w:t>
      </w:r>
      <w:r w:rsidR="009B5E24" w:rsidRPr="001A21A2">
        <w:rPr>
          <w:shd w:val="clear" w:color="auto" w:fill="FFFFFF"/>
        </w:rPr>
        <w:t xml:space="preserve"> </w:t>
      </w:r>
      <w:r w:rsidRPr="001A21A2">
        <w:rPr>
          <w:shd w:val="clear" w:color="auto" w:fill="FFFFFF"/>
        </w:rPr>
        <w:t xml:space="preserve">or a relative of a director of, </w:t>
      </w:r>
      <w:r w:rsidR="009B5E24" w:rsidRPr="001A21A2">
        <w:rPr>
          <w:shd w:val="clear" w:color="auto" w:fill="FFFFFF"/>
        </w:rPr>
        <w:t>the company</w:t>
      </w:r>
      <w:r w:rsidR="002A7F02" w:rsidRPr="001A21A2">
        <w:rPr>
          <w:shd w:val="clear" w:color="auto" w:fill="FFFFFF"/>
        </w:rPr>
        <w:t>.</w:t>
      </w:r>
    </w:p>
    <w:p w:rsidR="00D361F7" w:rsidRPr="001A21A2" w:rsidRDefault="00D361F7" w:rsidP="001A21A2">
      <w:pPr>
        <w:pStyle w:val="Transitional"/>
      </w:pPr>
      <w:r w:rsidRPr="001A21A2">
        <w:t>2  Application of amendments</w:t>
      </w:r>
    </w:p>
    <w:p w:rsidR="00D361F7" w:rsidRPr="001A21A2" w:rsidRDefault="00D361F7" w:rsidP="001A21A2">
      <w:pPr>
        <w:pStyle w:val="Item"/>
      </w:pPr>
      <w:r w:rsidRPr="001A21A2">
        <w:t xml:space="preserve">The amendments to the </w:t>
      </w:r>
      <w:r w:rsidRPr="001A21A2">
        <w:rPr>
          <w:i/>
        </w:rPr>
        <w:t>Fringe Benefits Tax Assessment Act 1986</w:t>
      </w:r>
      <w:r w:rsidRPr="001A21A2">
        <w:t xml:space="preserve"> made by this Schedule apply to benefits provided on or after </w:t>
      </w:r>
      <w:r w:rsidR="001D5C57" w:rsidRPr="001A21A2">
        <w:t>2 October</w:t>
      </w:r>
      <w:r w:rsidRPr="001A21A2">
        <w:t xml:space="preserve"> 2020.</w:t>
      </w:r>
    </w:p>
    <w:sectPr w:rsidR="00D361F7" w:rsidRPr="001A21A2" w:rsidSect="001A2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AD6" w:rsidRDefault="007C4AD6" w:rsidP="00664C63">
      <w:pPr>
        <w:spacing w:line="240" w:lineRule="auto"/>
      </w:pPr>
      <w:r>
        <w:separator/>
      </w:r>
    </w:p>
  </w:endnote>
  <w:endnote w:type="continuationSeparator" w:id="0">
    <w:p w:rsidR="007C4AD6" w:rsidRDefault="007C4AD6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D67311" w:rsidP="001A21A2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8B3ED93" wp14:editId="39AE0E6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3ED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" stroked="f" strokeweight=".5pt">
              <v:path arrowok="t"/>
              <v:textbox>
                <w:txbxContent>
                  <w:p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2D" w:rsidRDefault="00D67311" w:rsidP="001A21A2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938C956" wp14:editId="7290C8F9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43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8C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" stroked="f" strokeweight=".5pt">
              <v:path arrowok="t"/>
              <v:textbox>
                <w:txbxContent>
                  <w:p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43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00437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D67311" w:rsidP="001A21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Rk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" stroked="f" strokeweight=".5pt">
              <v:path arrowok="t"/>
              <v:textbox>
                <w:txbxContent>
                  <w:p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AD6" w:rsidRDefault="007C4AD6" w:rsidP="00664C63">
      <w:pPr>
        <w:spacing w:line="240" w:lineRule="auto"/>
      </w:pPr>
      <w:r>
        <w:separator/>
      </w:r>
    </w:p>
  </w:footnote>
  <w:footnote w:type="continuationSeparator" w:id="0">
    <w:p w:rsidR="007C4AD6" w:rsidRDefault="007C4AD6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D67311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" stroked="f" strokeweight=".5pt">
              <v:path arrowok="t"/>
              <v:textbox>
                <w:txbxContent>
                  <w:p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D67311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43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" stroked="f" strokeweight=".5pt">
              <v:path arrowok="t"/>
              <v:textbox>
                <w:txbxContent>
                  <w:p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43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D67311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21A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028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QJ9jCQoDAACx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21A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028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67"/>
    <w:rsid w:val="0000437B"/>
    <w:rsid w:val="000105C6"/>
    <w:rsid w:val="000132C5"/>
    <w:rsid w:val="000136AF"/>
    <w:rsid w:val="00013B3F"/>
    <w:rsid w:val="00014A94"/>
    <w:rsid w:val="00014B9A"/>
    <w:rsid w:val="00024A01"/>
    <w:rsid w:val="0004101D"/>
    <w:rsid w:val="000558FF"/>
    <w:rsid w:val="00055D20"/>
    <w:rsid w:val="000568C0"/>
    <w:rsid w:val="000614BF"/>
    <w:rsid w:val="00067FBA"/>
    <w:rsid w:val="00072214"/>
    <w:rsid w:val="000726DC"/>
    <w:rsid w:val="00072C9B"/>
    <w:rsid w:val="00073C5A"/>
    <w:rsid w:val="000741A9"/>
    <w:rsid w:val="00075636"/>
    <w:rsid w:val="000834FB"/>
    <w:rsid w:val="00087033"/>
    <w:rsid w:val="00087757"/>
    <w:rsid w:val="00090651"/>
    <w:rsid w:val="000A019C"/>
    <w:rsid w:val="000A6C5C"/>
    <w:rsid w:val="000A7DAC"/>
    <w:rsid w:val="000B1125"/>
    <w:rsid w:val="000B1731"/>
    <w:rsid w:val="000C117C"/>
    <w:rsid w:val="000C1C90"/>
    <w:rsid w:val="000C34E2"/>
    <w:rsid w:val="000C49CA"/>
    <w:rsid w:val="000C74F9"/>
    <w:rsid w:val="000D05EF"/>
    <w:rsid w:val="000D3899"/>
    <w:rsid w:val="000E0930"/>
    <w:rsid w:val="000E2C88"/>
    <w:rsid w:val="000E62CA"/>
    <w:rsid w:val="000F21C1"/>
    <w:rsid w:val="000F263F"/>
    <w:rsid w:val="000F4126"/>
    <w:rsid w:val="001016D1"/>
    <w:rsid w:val="00101D70"/>
    <w:rsid w:val="0010240E"/>
    <w:rsid w:val="00104CC0"/>
    <w:rsid w:val="0010745C"/>
    <w:rsid w:val="0011206D"/>
    <w:rsid w:val="00115246"/>
    <w:rsid w:val="00131D55"/>
    <w:rsid w:val="00133C0E"/>
    <w:rsid w:val="00155AB0"/>
    <w:rsid w:val="001659A0"/>
    <w:rsid w:val="00166C2F"/>
    <w:rsid w:val="001670F7"/>
    <w:rsid w:val="00182C9A"/>
    <w:rsid w:val="0018435F"/>
    <w:rsid w:val="001907A5"/>
    <w:rsid w:val="001939E1"/>
    <w:rsid w:val="00195382"/>
    <w:rsid w:val="001974C2"/>
    <w:rsid w:val="001A0B1B"/>
    <w:rsid w:val="001A21A2"/>
    <w:rsid w:val="001B0F61"/>
    <w:rsid w:val="001C10AD"/>
    <w:rsid w:val="001C69C4"/>
    <w:rsid w:val="001D5C57"/>
    <w:rsid w:val="001E147E"/>
    <w:rsid w:val="001E3590"/>
    <w:rsid w:val="001E7407"/>
    <w:rsid w:val="001F361B"/>
    <w:rsid w:val="001F4F88"/>
    <w:rsid w:val="001F754D"/>
    <w:rsid w:val="0020667E"/>
    <w:rsid w:val="002075C9"/>
    <w:rsid w:val="00207E84"/>
    <w:rsid w:val="0021250A"/>
    <w:rsid w:val="002222CA"/>
    <w:rsid w:val="002277A0"/>
    <w:rsid w:val="00235569"/>
    <w:rsid w:val="002361ED"/>
    <w:rsid w:val="00240749"/>
    <w:rsid w:val="00242BE3"/>
    <w:rsid w:val="0026441B"/>
    <w:rsid w:val="00277A38"/>
    <w:rsid w:val="00296415"/>
    <w:rsid w:val="00297ECB"/>
    <w:rsid w:val="002A6A8B"/>
    <w:rsid w:val="002A7F02"/>
    <w:rsid w:val="002B5A8C"/>
    <w:rsid w:val="002B5D4D"/>
    <w:rsid w:val="002C085A"/>
    <w:rsid w:val="002C324A"/>
    <w:rsid w:val="002C7C21"/>
    <w:rsid w:val="002D043A"/>
    <w:rsid w:val="002D4DDF"/>
    <w:rsid w:val="002D797A"/>
    <w:rsid w:val="002E02A8"/>
    <w:rsid w:val="002F0458"/>
    <w:rsid w:val="002F08B3"/>
    <w:rsid w:val="00313C6F"/>
    <w:rsid w:val="00324801"/>
    <w:rsid w:val="00330326"/>
    <w:rsid w:val="00331C3A"/>
    <w:rsid w:val="0033411C"/>
    <w:rsid w:val="00334771"/>
    <w:rsid w:val="003415D3"/>
    <w:rsid w:val="00342855"/>
    <w:rsid w:val="00344AA4"/>
    <w:rsid w:val="00352B0F"/>
    <w:rsid w:val="00352E15"/>
    <w:rsid w:val="00375EA7"/>
    <w:rsid w:val="003771E6"/>
    <w:rsid w:val="0037763B"/>
    <w:rsid w:val="003813FD"/>
    <w:rsid w:val="003A2367"/>
    <w:rsid w:val="003A461B"/>
    <w:rsid w:val="003A4E71"/>
    <w:rsid w:val="003B0F1E"/>
    <w:rsid w:val="003B7859"/>
    <w:rsid w:val="003C0009"/>
    <w:rsid w:val="003C0630"/>
    <w:rsid w:val="003D0317"/>
    <w:rsid w:val="003D0BFE"/>
    <w:rsid w:val="003D2D96"/>
    <w:rsid w:val="003D5700"/>
    <w:rsid w:val="003E55DB"/>
    <w:rsid w:val="003E6C98"/>
    <w:rsid w:val="003F60D2"/>
    <w:rsid w:val="003F7771"/>
    <w:rsid w:val="003F7B07"/>
    <w:rsid w:val="003F7E9A"/>
    <w:rsid w:val="00402376"/>
    <w:rsid w:val="004043EE"/>
    <w:rsid w:val="00404795"/>
    <w:rsid w:val="0040616D"/>
    <w:rsid w:val="004114EC"/>
    <w:rsid w:val="004116CD"/>
    <w:rsid w:val="004168B4"/>
    <w:rsid w:val="004237E4"/>
    <w:rsid w:val="00424182"/>
    <w:rsid w:val="00424CA9"/>
    <w:rsid w:val="004277D9"/>
    <w:rsid w:val="00427D10"/>
    <w:rsid w:val="004410DF"/>
    <w:rsid w:val="0044291A"/>
    <w:rsid w:val="00455A00"/>
    <w:rsid w:val="00475667"/>
    <w:rsid w:val="0048120B"/>
    <w:rsid w:val="00490019"/>
    <w:rsid w:val="00495945"/>
    <w:rsid w:val="00496F97"/>
    <w:rsid w:val="004A40AB"/>
    <w:rsid w:val="004B6C80"/>
    <w:rsid w:val="004C236D"/>
    <w:rsid w:val="004C2E83"/>
    <w:rsid w:val="004C7997"/>
    <w:rsid w:val="004D0DAB"/>
    <w:rsid w:val="004D2577"/>
    <w:rsid w:val="004D33BA"/>
    <w:rsid w:val="004D6C4B"/>
    <w:rsid w:val="004E3680"/>
    <w:rsid w:val="005104CE"/>
    <w:rsid w:val="00516B8D"/>
    <w:rsid w:val="0052485D"/>
    <w:rsid w:val="005319E3"/>
    <w:rsid w:val="00532A9A"/>
    <w:rsid w:val="00533CC4"/>
    <w:rsid w:val="00537FBC"/>
    <w:rsid w:val="005403DD"/>
    <w:rsid w:val="00541DA6"/>
    <w:rsid w:val="00543850"/>
    <w:rsid w:val="0054654A"/>
    <w:rsid w:val="00547730"/>
    <w:rsid w:val="005540E8"/>
    <w:rsid w:val="005703F8"/>
    <w:rsid w:val="005720C8"/>
    <w:rsid w:val="00574975"/>
    <w:rsid w:val="00584052"/>
    <w:rsid w:val="00584811"/>
    <w:rsid w:val="00586401"/>
    <w:rsid w:val="00586780"/>
    <w:rsid w:val="00591C29"/>
    <w:rsid w:val="00593AA6"/>
    <w:rsid w:val="00594161"/>
    <w:rsid w:val="00594749"/>
    <w:rsid w:val="00594D98"/>
    <w:rsid w:val="005A5874"/>
    <w:rsid w:val="005A6F34"/>
    <w:rsid w:val="005B4067"/>
    <w:rsid w:val="005B4FD4"/>
    <w:rsid w:val="005C1446"/>
    <w:rsid w:val="005C363D"/>
    <w:rsid w:val="005C3F41"/>
    <w:rsid w:val="005C5800"/>
    <w:rsid w:val="005C7CC1"/>
    <w:rsid w:val="005D062D"/>
    <w:rsid w:val="005D2505"/>
    <w:rsid w:val="005D4DEA"/>
    <w:rsid w:val="005E028F"/>
    <w:rsid w:val="005E668B"/>
    <w:rsid w:val="005F321E"/>
    <w:rsid w:val="00600219"/>
    <w:rsid w:val="00611C2E"/>
    <w:rsid w:val="00632AB5"/>
    <w:rsid w:val="00634B29"/>
    <w:rsid w:val="00637655"/>
    <w:rsid w:val="00637FF6"/>
    <w:rsid w:val="00643F9C"/>
    <w:rsid w:val="006444FB"/>
    <w:rsid w:val="006467DF"/>
    <w:rsid w:val="0065106B"/>
    <w:rsid w:val="00652334"/>
    <w:rsid w:val="006527A6"/>
    <w:rsid w:val="00653472"/>
    <w:rsid w:val="0065737C"/>
    <w:rsid w:val="006635C1"/>
    <w:rsid w:val="00663B90"/>
    <w:rsid w:val="00664C63"/>
    <w:rsid w:val="00666F97"/>
    <w:rsid w:val="006670BA"/>
    <w:rsid w:val="00670EEF"/>
    <w:rsid w:val="00672082"/>
    <w:rsid w:val="00677A25"/>
    <w:rsid w:val="00677ADE"/>
    <w:rsid w:val="00677CC2"/>
    <w:rsid w:val="00681A4A"/>
    <w:rsid w:val="0069207B"/>
    <w:rsid w:val="006A05F9"/>
    <w:rsid w:val="006B0A5A"/>
    <w:rsid w:val="006B2855"/>
    <w:rsid w:val="006B51F1"/>
    <w:rsid w:val="006C7F8C"/>
    <w:rsid w:val="006D3764"/>
    <w:rsid w:val="006D429D"/>
    <w:rsid w:val="006D47C8"/>
    <w:rsid w:val="006D6573"/>
    <w:rsid w:val="006D7FB7"/>
    <w:rsid w:val="006E36A1"/>
    <w:rsid w:val="006E459F"/>
    <w:rsid w:val="006E4AB2"/>
    <w:rsid w:val="006E5258"/>
    <w:rsid w:val="006E7FD4"/>
    <w:rsid w:val="006F36DB"/>
    <w:rsid w:val="006F6C85"/>
    <w:rsid w:val="00700B2C"/>
    <w:rsid w:val="007017BB"/>
    <w:rsid w:val="00703153"/>
    <w:rsid w:val="00706C7E"/>
    <w:rsid w:val="00713084"/>
    <w:rsid w:val="007149F6"/>
    <w:rsid w:val="007173B8"/>
    <w:rsid w:val="0071768A"/>
    <w:rsid w:val="00717BBE"/>
    <w:rsid w:val="00731E00"/>
    <w:rsid w:val="00732A85"/>
    <w:rsid w:val="007440B7"/>
    <w:rsid w:val="0075226A"/>
    <w:rsid w:val="00752BCC"/>
    <w:rsid w:val="007627F4"/>
    <w:rsid w:val="00767CAC"/>
    <w:rsid w:val="007715C9"/>
    <w:rsid w:val="00774EDD"/>
    <w:rsid w:val="007757EC"/>
    <w:rsid w:val="007845BF"/>
    <w:rsid w:val="00795FCE"/>
    <w:rsid w:val="007A4B81"/>
    <w:rsid w:val="007A659A"/>
    <w:rsid w:val="007B081F"/>
    <w:rsid w:val="007B0852"/>
    <w:rsid w:val="007B64AA"/>
    <w:rsid w:val="007B6E8E"/>
    <w:rsid w:val="007C4AD6"/>
    <w:rsid w:val="007C66F6"/>
    <w:rsid w:val="007D6CEF"/>
    <w:rsid w:val="007E084A"/>
    <w:rsid w:val="007E1E0C"/>
    <w:rsid w:val="007E4CC8"/>
    <w:rsid w:val="0082535E"/>
    <w:rsid w:val="00827C5C"/>
    <w:rsid w:val="00830815"/>
    <w:rsid w:val="00834119"/>
    <w:rsid w:val="00842AF6"/>
    <w:rsid w:val="00843B5B"/>
    <w:rsid w:val="00845E98"/>
    <w:rsid w:val="008469BB"/>
    <w:rsid w:val="00855B34"/>
    <w:rsid w:val="00856A31"/>
    <w:rsid w:val="00867730"/>
    <w:rsid w:val="00874F7E"/>
    <w:rsid w:val="008754D0"/>
    <w:rsid w:val="00881ECE"/>
    <w:rsid w:val="008820CE"/>
    <w:rsid w:val="00883892"/>
    <w:rsid w:val="00890F48"/>
    <w:rsid w:val="008A1E33"/>
    <w:rsid w:val="008A6470"/>
    <w:rsid w:val="008D0EE0"/>
    <w:rsid w:val="008E05CA"/>
    <w:rsid w:val="008E32A1"/>
    <w:rsid w:val="008F201B"/>
    <w:rsid w:val="008F542E"/>
    <w:rsid w:val="008F727A"/>
    <w:rsid w:val="00914F98"/>
    <w:rsid w:val="00917B43"/>
    <w:rsid w:val="0092126D"/>
    <w:rsid w:val="0092693D"/>
    <w:rsid w:val="00932377"/>
    <w:rsid w:val="00932FA3"/>
    <w:rsid w:val="0093591C"/>
    <w:rsid w:val="009417FD"/>
    <w:rsid w:val="0095602D"/>
    <w:rsid w:val="009620C2"/>
    <w:rsid w:val="00962773"/>
    <w:rsid w:val="00966AFF"/>
    <w:rsid w:val="00972B64"/>
    <w:rsid w:val="00977768"/>
    <w:rsid w:val="00980ADF"/>
    <w:rsid w:val="0098240B"/>
    <w:rsid w:val="0098492C"/>
    <w:rsid w:val="00984EE1"/>
    <w:rsid w:val="00995FA3"/>
    <w:rsid w:val="009A4E2C"/>
    <w:rsid w:val="009A6FE2"/>
    <w:rsid w:val="009B1887"/>
    <w:rsid w:val="009B5E24"/>
    <w:rsid w:val="009D030A"/>
    <w:rsid w:val="009D080F"/>
    <w:rsid w:val="009D4A4E"/>
    <w:rsid w:val="009D679C"/>
    <w:rsid w:val="009E61CD"/>
    <w:rsid w:val="009F289E"/>
    <w:rsid w:val="009F4E8A"/>
    <w:rsid w:val="009F5B19"/>
    <w:rsid w:val="00A05A7F"/>
    <w:rsid w:val="00A120DD"/>
    <w:rsid w:val="00A231E2"/>
    <w:rsid w:val="00A246AC"/>
    <w:rsid w:val="00A25627"/>
    <w:rsid w:val="00A277C0"/>
    <w:rsid w:val="00A322D4"/>
    <w:rsid w:val="00A349F4"/>
    <w:rsid w:val="00A415B9"/>
    <w:rsid w:val="00A43B7E"/>
    <w:rsid w:val="00A533FF"/>
    <w:rsid w:val="00A64912"/>
    <w:rsid w:val="00A70A54"/>
    <w:rsid w:val="00A70A74"/>
    <w:rsid w:val="00A71DA3"/>
    <w:rsid w:val="00A72D2F"/>
    <w:rsid w:val="00A75491"/>
    <w:rsid w:val="00A766D0"/>
    <w:rsid w:val="00A9446B"/>
    <w:rsid w:val="00AA5445"/>
    <w:rsid w:val="00AA7A43"/>
    <w:rsid w:val="00AB4EC0"/>
    <w:rsid w:val="00AB5A90"/>
    <w:rsid w:val="00AB6052"/>
    <w:rsid w:val="00AB76B7"/>
    <w:rsid w:val="00AC567C"/>
    <w:rsid w:val="00AC6332"/>
    <w:rsid w:val="00AC6E95"/>
    <w:rsid w:val="00AD27B3"/>
    <w:rsid w:val="00AD5641"/>
    <w:rsid w:val="00AE59F7"/>
    <w:rsid w:val="00AE7BD7"/>
    <w:rsid w:val="00AF4885"/>
    <w:rsid w:val="00AF5F9F"/>
    <w:rsid w:val="00AF6262"/>
    <w:rsid w:val="00B002C1"/>
    <w:rsid w:val="00B0257A"/>
    <w:rsid w:val="00B05DED"/>
    <w:rsid w:val="00B13C6C"/>
    <w:rsid w:val="00B177BF"/>
    <w:rsid w:val="00B203E4"/>
    <w:rsid w:val="00B233D2"/>
    <w:rsid w:val="00B2397D"/>
    <w:rsid w:val="00B26413"/>
    <w:rsid w:val="00B30BBF"/>
    <w:rsid w:val="00B31C99"/>
    <w:rsid w:val="00B339A2"/>
    <w:rsid w:val="00B33B3C"/>
    <w:rsid w:val="00B340B6"/>
    <w:rsid w:val="00B3608C"/>
    <w:rsid w:val="00B372A6"/>
    <w:rsid w:val="00B429C2"/>
    <w:rsid w:val="00B51205"/>
    <w:rsid w:val="00B61340"/>
    <w:rsid w:val="00B61C25"/>
    <w:rsid w:val="00B7030C"/>
    <w:rsid w:val="00B70E56"/>
    <w:rsid w:val="00B71806"/>
    <w:rsid w:val="00B81D20"/>
    <w:rsid w:val="00B81E6B"/>
    <w:rsid w:val="00B87FFD"/>
    <w:rsid w:val="00B9407F"/>
    <w:rsid w:val="00BA4080"/>
    <w:rsid w:val="00BB622E"/>
    <w:rsid w:val="00BB7F08"/>
    <w:rsid w:val="00BC30F2"/>
    <w:rsid w:val="00BC5C6E"/>
    <w:rsid w:val="00BC78AC"/>
    <w:rsid w:val="00BD1655"/>
    <w:rsid w:val="00BE0A5C"/>
    <w:rsid w:val="00BE1C61"/>
    <w:rsid w:val="00BE5BFE"/>
    <w:rsid w:val="00BE719A"/>
    <w:rsid w:val="00BE720A"/>
    <w:rsid w:val="00BF03EA"/>
    <w:rsid w:val="00BF1A2C"/>
    <w:rsid w:val="00C01091"/>
    <w:rsid w:val="00C279B2"/>
    <w:rsid w:val="00C34154"/>
    <w:rsid w:val="00C34273"/>
    <w:rsid w:val="00C42314"/>
    <w:rsid w:val="00C42BF8"/>
    <w:rsid w:val="00C43ACB"/>
    <w:rsid w:val="00C443C9"/>
    <w:rsid w:val="00C4758D"/>
    <w:rsid w:val="00C4763B"/>
    <w:rsid w:val="00C50043"/>
    <w:rsid w:val="00C5023E"/>
    <w:rsid w:val="00C53114"/>
    <w:rsid w:val="00C55061"/>
    <w:rsid w:val="00C55A44"/>
    <w:rsid w:val="00C5756B"/>
    <w:rsid w:val="00C71C79"/>
    <w:rsid w:val="00C71D5E"/>
    <w:rsid w:val="00C723B9"/>
    <w:rsid w:val="00C7573B"/>
    <w:rsid w:val="00C77D10"/>
    <w:rsid w:val="00C9567F"/>
    <w:rsid w:val="00C96D2C"/>
    <w:rsid w:val="00CA5E7F"/>
    <w:rsid w:val="00CA626C"/>
    <w:rsid w:val="00CB0EA8"/>
    <w:rsid w:val="00CB4AD7"/>
    <w:rsid w:val="00CC065B"/>
    <w:rsid w:val="00CC7A09"/>
    <w:rsid w:val="00CD38BA"/>
    <w:rsid w:val="00CF0BB2"/>
    <w:rsid w:val="00CF4975"/>
    <w:rsid w:val="00D05566"/>
    <w:rsid w:val="00D13441"/>
    <w:rsid w:val="00D27B5D"/>
    <w:rsid w:val="00D31E22"/>
    <w:rsid w:val="00D3213F"/>
    <w:rsid w:val="00D343FD"/>
    <w:rsid w:val="00D34DA3"/>
    <w:rsid w:val="00D34E79"/>
    <w:rsid w:val="00D361F7"/>
    <w:rsid w:val="00D374CE"/>
    <w:rsid w:val="00D40252"/>
    <w:rsid w:val="00D467B9"/>
    <w:rsid w:val="00D5540A"/>
    <w:rsid w:val="00D67311"/>
    <w:rsid w:val="00D70DFB"/>
    <w:rsid w:val="00D7186F"/>
    <w:rsid w:val="00D739B8"/>
    <w:rsid w:val="00D766DF"/>
    <w:rsid w:val="00D80584"/>
    <w:rsid w:val="00D8172A"/>
    <w:rsid w:val="00D84B01"/>
    <w:rsid w:val="00D852F8"/>
    <w:rsid w:val="00D9284D"/>
    <w:rsid w:val="00D97636"/>
    <w:rsid w:val="00DA4148"/>
    <w:rsid w:val="00DC7888"/>
    <w:rsid w:val="00DD314D"/>
    <w:rsid w:val="00DE15F6"/>
    <w:rsid w:val="00DE737F"/>
    <w:rsid w:val="00DF3332"/>
    <w:rsid w:val="00DF644E"/>
    <w:rsid w:val="00DF6766"/>
    <w:rsid w:val="00E00E7B"/>
    <w:rsid w:val="00E0166B"/>
    <w:rsid w:val="00E03C62"/>
    <w:rsid w:val="00E05704"/>
    <w:rsid w:val="00E1363F"/>
    <w:rsid w:val="00E2623E"/>
    <w:rsid w:val="00E32FA9"/>
    <w:rsid w:val="00E3332F"/>
    <w:rsid w:val="00E348A1"/>
    <w:rsid w:val="00E46138"/>
    <w:rsid w:val="00E5034B"/>
    <w:rsid w:val="00E52E18"/>
    <w:rsid w:val="00E5336E"/>
    <w:rsid w:val="00E54554"/>
    <w:rsid w:val="00E54CAB"/>
    <w:rsid w:val="00E57CD9"/>
    <w:rsid w:val="00E74DC7"/>
    <w:rsid w:val="00E80AEC"/>
    <w:rsid w:val="00E85CB9"/>
    <w:rsid w:val="00E85F52"/>
    <w:rsid w:val="00E86BEF"/>
    <w:rsid w:val="00E86ECB"/>
    <w:rsid w:val="00E9027D"/>
    <w:rsid w:val="00E94998"/>
    <w:rsid w:val="00E94EA7"/>
    <w:rsid w:val="00E978B2"/>
    <w:rsid w:val="00EA1A6E"/>
    <w:rsid w:val="00EA3F57"/>
    <w:rsid w:val="00EB765C"/>
    <w:rsid w:val="00EC2598"/>
    <w:rsid w:val="00EC2F38"/>
    <w:rsid w:val="00ED0D45"/>
    <w:rsid w:val="00ED1A6C"/>
    <w:rsid w:val="00EE129C"/>
    <w:rsid w:val="00EE25A8"/>
    <w:rsid w:val="00EE53D8"/>
    <w:rsid w:val="00EE6DCC"/>
    <w:rsid w:val="00EF2E3A"/>
    <w:rsid w:val="00EF4D4A"/>
    <w:rsid w:val="00EF53F9"/>
    <w:rsid w:val="00F002EA"/>
    <w:rsid w:val="00F0132A"/>
    <w:rsid w:val="00F02B9A"/>
    <w:rsid w:val="00F078DC"/>
    <w:rsid w:val="00F1454E"/>
    <w:rsid w:val="00F14F25"/>
    <w:rsid w:val="00F15B9C"/>
    <w:rsid w:val="00F17A40"/>
    <w:rsid w:val="00F31C33"/>
    <w:rsid w:val="00F3402C"/>
    <w:rsid w:val="00F5076A"/>
    <w:rsid w:val="00F552CF"/>
    <w:rsid w:val="00F6214D"/>
    <w:rsid w:val="00F651AF"/>
    <w:rsid w:val="00F673A4"/>
    <w:rsid w:val="00F71234"/>
    <w:rsid w:val="00F8103A"/>
    <w:rsid w:val="00F9020A"/>
    <w:rsid w:val="00F91BE0"/>
    <w:rsid w:val="00F95BF3"/>
    <w:rsid w:val="00F95CCA"/>
    <w:rsid w:val="00FA3991"/>
    <w:rsid w:val="00FC104F"/>
    <w:rsid w:val="00FC231F"/>
    <w:rsid w:val="00FC294F"/>
    <w:rsid w:val="00FC7D0F"/>
    <w:rsid w:val="00FD07D9"/>
    <w:rsid w:val="00FD2945"/>
    <w:rsid w:val="00FD4BDD"/>
    <w:rsid w:val="00FD66A5"/>
    <w:rsid w:val="00FE3FB8"/>
    <w:rsid w:val="00FF0CED"/>
    <w:rsid w:val="00FF1159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21A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21A2"/>
  </w:style>
  <w:style w:type="paragraph" w:customStyle="1" w:styleId="OPCParaBase">
    <w:name w:val="OPCParaBase"/>
    <w:qFormat/>
    <w:rsid w:val="001A21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21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21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21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21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21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A21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21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21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21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21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21A2"/>
  </w:style>
  <w:style w:type="paragraph" w:customStyle="1" w:styleId="Blocks">
    <w:name w:val="Blocks"/>
    <w:aliases w:val="bb"/>
    <w:basedOn w:val="OPCParaBase"/>
    <w:qFormat/>
    <w:rsid w:val="001A21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21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21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21A2"/>
    <w:rPr>
      <w:i/>
    </w:rPr>
  </w:style>
  <w:style w:type="paragraph" w:customStyle="1" w:styleId="BoxList">
    <w:name w:val="BoxList"/>
    <w:aliases w:val="bl"/>
    <w:basedOn w:val="BoxText"/>
    <w:qFormat/>
    <w:rsid w:val="001A21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21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21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21A2"/>
    <w:pPr>
      <w:ind w:left="1985" w:hanging="851"/>
    </w:pPr>
  </w:style>
  <w:style w:type="character" w:customStyle="1" w:styleId="CharAmPartNo">
    <w:name w:val="CharAmPartNo"/>
    <w:basedOn w:val="OPCCharBase"/>
    <w:qFormat/>
    <w:rsid w:val="001A21A2"/>
  </w:style>
  <w:style w:type="character" w:customStyle="1" w:styleId="CharAmPartText">
    <w:name w:val="CharAmPartText"/>
    <w:basedOn w:val="OPCCharBase"/>
    <w:qFormat/>
    <w:rsid w:val="001A21A2"/>
  </w:style>
  <w:style w:type="character" w:customStyle="1" w:styleId="CharAmSchNo">
    <w:name w:val="CharAmSchNo"/>
    <w:basedOn w:val="OPCCharBase"/>
    <w:qFormat/>
    <w:rsid w:val="001A21A2"/>
  </w:style>
  <w:style w:type="character" w:customStyle="1" w:styleId="CharAmSchText">
    <w:name w:val="CharAmSchText"/>
    <w:basedOn w:val="OPCCharBase"/>
    <w:qFormat/>
    <w:rsid w:val="001A21A2"/>
  </w:style>
  <w:style w:type="character" w:customStyle="1" w:styleId="CharBoldItalic">
    <w:name w:val="CharBoldItalic"/>
    <w:basedOn w:val="OPCCharBase"/>
    <w:uiPriority w:val="1"/>
    <w:qFormat/>
    <w:rsid w:val="001A21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21A2"/>
  </w:style>
  <w:style w:type="character" w:customStyle="1" w:styleId="CharChapText">
    <w:name w:val="CharChapText"/>
    <w:basedOn w:val="OPCCharBase"/>
    <w:uiPriority w:val="1"/>
    <w:qFormat/>
    <w:rsid w:val="001A21A2"/>
  </w:style>
  <w:style w:type="character" w:customStyle="1" w:styleId="CharDivNo">
    <w:name w:val="CharDivNo"/>
    <w:basedOn w:val="OPCCharBase"/>
    <w:uiPriority w:val="1"/>
    <w:qFormat/>
    <w:rsid w:val="001A21A2"/>
  </w:style>
  <w:style w:type="character" w:customStyle="1" w:styleId="CharDivText">
    <w:name w:val="CharDivText"/>
    <w:basedOn w:val="OPCCharBase"/>
    <w:uiPriority w:val="1"/>
    <w:qFormat/>
    <w:rsid w:val="001A21A2"/>
  </w:style>
  <w:style w:type="character" w:customStyle="1" w:styleId="CharItalic">
    <w:name w:val="CharItalic"/>
    <w:basedOn w:val="OPCCharBase"/>
    <w:uiPriority w:val="1"/>
    <w:qFormat/>
    <w:rsid w:val="001A21A2"/>
    <w:rPr>
      <w:i/>
    </w:rPr>
  </w:style>
  <w:style w:type="character" w:customStyle="1" w:styleId="CharPartNo">
    <w:name w:val="CharPartNo"/>
    <w:basedOn w:val="OPCCharBase"/>
    <w:uiPriority w:val="1"/>
    <w:qFormat/>
    <w:rsid w:val="001A21A2"/>
  </w:style>
  <w:style w:type="character" w:customStyle="1" w:styleId="CharPartText">
    <w:name w:val="CharPartText"/>
    <w:basedOn w:val="OPCCharBase"/>
    <w:uiPriority w:val="1"/>
    <w:qFormat/>
    <w:rsid w:val="001A21A2"/>
  </w:style>
  <w:style w:type="character" w:customStyle="1" w:styleId="CharSectno">
    <w:name w:val="CharSectno"/>
    <w:basedOn w:val="OPCCharBase"/>
    <w:qFormat/>
    <w:rsid w:val="001A21A2"/>
  </w:style>
  <w:style w:type="character" w:customStyle="1" w:styleId="CharSubdNo">
    <w:name w:val="CharSubdNo"/>
    <w:basedOn w:val="OPCCharBase"/>
    <w:uiPriority w:val="1"/>
    <w:qFormat/>
    <w:rsid w:val="001A21A2"/>
  </w:style>
  <w:style w:type="character" w:customStyle="1" w:styleId="CharSubdText">
    <w:name w:val="CharSubdText"/>
    <w:basedOn w:val="OPCCharBase"/>
    <w:uiPriority w:val="1"/>
    <w:qFormat/>
    <w:rsid w:val="001A21A2"/>
  </w:style>
  <w:style w:type="paragraph" w:customStyle="1" w:styleId="CTA--">
    <w:name w:val="CTA --"/>
    <w:basedOn w:val="OPCParaBase"/>
    <w:next w:val="Normal"/>
    <w:rsid w:val="001A21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21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21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21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21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21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21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21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21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21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21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21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21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21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A21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21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A21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21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21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21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21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21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21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21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21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A21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21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21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21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21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21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21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21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21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21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21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21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21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21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21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21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21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21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21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21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21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21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21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21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21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21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21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21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21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21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A21A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A21A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A21A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A21A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1A21A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1A21A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A21A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A21A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1A21A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A21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21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21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21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21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21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21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21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A21A2"/>
    <w:rPr>
      <w:sz w:val="16"/>
    </w:rPr>
  </w:style>
  <w:style w:type="table" w:customStyle="1" w:styleId="CFlag">
    <w:name w:val="CFlag"/>
    <w:basedOn w:val="TableNormal"/>
    <w:uiPriority w:val="99"/>
    <w:rsid w:val="001A21A2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1A21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A21A2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A21A2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1A21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A21A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A21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21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21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21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21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21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A21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21A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21A2"/>
  </w:style>
  <w:style w:type="character" w:customStyle="1" w:styleId="CharSubPartNoCASA">
    <w:name w:val="CharSubPartNo(CASA)"/>
    <w:basedOn w:val="OPCCharBase"/>
    <w:uiPriority w:val="1"/>
    <w:rsid w:val="001A21A2"/>
  </w:style>
  <w:style w:type="paragraph" w:customStyle="1" w:styleId="ENoteTTIndentHeadingSub">
    <w:name w:val="ENoteTTIndentHeadingSub"/>
    <w:aliases w:val="enTTHis"/>
    <w:basedOn w:val="OPCParaBase"/>
    <w:rsid w:val="001A21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21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21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21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A21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A21A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21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21A2"/>
    <w:rPr>
      <w:sz w:val="22"/>
    </w:rPr>
  </w:style>
  <w:style w:type="paragraph" w:customStyle="1" w:styleId="SOTextNote">
    <w:name w:val="SO TextNote"/>
    <w:aliases w:val="sont"/>
    <w:basedOn w:val="SOText"/>
    <w:qFormat/>
    <w:rsid w:val="001A21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21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21A2"/>
    <w:rPr>
      <w:sz w:val="22"/>
    </w:rPr>
  </w:style>
  <w:style w:type="paragraph" w:customStyle="1" w:styleId="FileName">
    <w:name w:val="FileName"/>
    <w:basedOn w:val="Normal"/>
    <w:rsid w:val="001A21A2"/>
  </w:style>
  <w:style w:type="paragraph" w:customStyle="1" w:styleId="TableHeading">
    <w:name w:val="TableHeading"/>
    <w:aliases w:val="th"/>
    <w:basedOn w:val="OPCParaBase"/>
    <w:next w:val="Tabletext"/>
    <w:rsid w:val="001A21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21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21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21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21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21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21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21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21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21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21A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21A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1A21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21A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A21A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21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1A21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21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21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21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A21A2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1A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1A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2224</Characters>
  <Application>Microsoft Office Word</Application>
  <DocSecurity>2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Fringe benefits tax – exemption to support retraining and reskilling exposure draft</vt:lpstr>
    </vt:vector>
  </TitlesOfParts>
  <Manager/>
  <Company/>
  <LinksUpToDate>false</LinksUpToDate>
  <CharactersWithSpaces>2609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Fringe benefits tax – exemption to support retraining and reskilling exposure draft</dc:title>
  <dc:subject/>
  <dc:creator/>
  <cp:keywords/>
  <dc:description/>
  <cp:lastModifiedBy/>
  <cp:revision>1</cp:revision>
  <dcterms:created xsi:type="dcterms:W3CDTF">2021-04-13T03:26:00Z</dcterms:created>
  <dcterms:modified xsi:type="dcterms:W3CDTF">2021-04-13T03:27:00Z</dcterms:modified>
  <cp:category/>
  <cp:contentStatus/>
  <dc:language/>
  <cp:version/>
</cp:coreProperties>
</file>