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1451B" w14:textId="77777777" w:rsidR="00932C85" w:rsidRDefault="00932C85" w:rsidP="00C3452B">
      <w:pPr>
        <w:pStyle w:val="Baseparagraphcentred"/>
      </w:pPr>
      <w:bookmarkStart w:id="0" w:name="_GoBack"/>
      <w:bookmarkEnd w:id="0"/>
    </w:p>
    <w:p w14:paraId="75BB8267" w14:textId="77777777" w:rsidR="00932C85" w:rsidRDefault="00932C85" w:rsidP="00C3452B">
      <w:pPr>
        <w:pStyle w:val="Baseparagraphcentred"/>
      </w:pPr>
    </w:p>
    <w:p w14:paraId="1DFD3403" w14:textId="77777777" w:rsidR="00932C85" w:rsidRDefault="00932C85" w:rsidP="00C3452B">
      <w:pPr>
        <w:pStyle w:val="Baseparagraphcentred"/>
      </w:pPr>
    </w:p>
    <w:p w14:paraId="48851271" w14:textId="77777777" w:rsidR="00932C85" w:rsidRDefault="00932C85" w:rsidP="00C3452B">
      <w:pPr>
        <w:pStyle w:val="Baseparagraphcentred"/>
      </w:pPr>
    </w:p>
    <w:p w14:paraId="3BE25762" w14:textId="77777777" w:rsidR="00932C85" w:rsidRDefault="00932C85" w:rsidP="00C3452B">
      <w:pPr>
        <w:pStyle w:val="Baseparagraphcentred"/>
      </w:pPr>
    </w:p>
    <w:p w14:paraId="7B7FCCB7" w14:textId="77777777" w:rsidR="00932C85" w:rsidRDefault="00932C85" w:rsidP="00C3452B">
      <w:pPr>
        <w:pStyle w:val="Baseparagraphcentred"/>
      </w:pPr>
    </w:p>
    <w:p w14:paraId="6277B843" w14:textId="77777777" w:rsidR="00932C85" w:rsidRDefault="00932C85" w:rsidP="00C3452B">
      <w:pPr>
        <w:pStyle w:val="Baseparagraphcentred"/>
      </w:pPr>
    </w:p>
    <w:p w14:paraId="6A8D9558" w14:textId="77777777" w:rsidR="00932C85" w:rsidRDefault="00932C85" w:rsidP="00C3452B">
      <w:pPr>
        <w:pStyle w:val="Baseparagraphcentred"/>
      </w:pPr>
    </w:p>
    <w:p w14:paraId="3A81DF5F" w14:textId="03EB078E" w:rsidR="00C3452B" w:rsidRDefault="00C3452B" w:rsidP="00C3452B">
      <w:pPr>
        <w:pStyle w:val="Baseparagraphcentred"/>
      </w:pPr>
    </w:p>
    <w:p w14:paraId="236312E9" w14:textId="77777777" w:rsidR="00C3452B" w:rsidRDefault="00C3452B" w:rsidP="00C3452B">
      <w:pPr>
        <w:pStyle w:val="Baseparagraphcentred"/>
      </w:pPr>
    </w:p>
    <w:p w14:paraId="2AD92E7E" w14:textId="65C1B14B" w:rsidR="00C3452B" w:rsidRDefault="00EE2496" w:rsidP="00C3452B">
      <w:pPr>
        <w:pStyle w:val="BillName"/>
      </w:pPr>
      <w:bookmarkStart w:id="1" w:name="BillName"/>
      <w:bookmarkEnd w:id="1"/>
      <w:r w:rsidRPr="00EE2496">
        <w:t>Treasury Laws Amendment (Measures for Consultation) Bill 2021: Exempting granny flat arrangements from CGT</w:t>
      </w:r>
    </w:p>
    <w:p w14:paraId="68D953F0" w14:textId="77777777" w:rsidR="00C3452B" w:rsidRDefault="00C3452B" w:rsidP="00C3452B">
      <w:pPr>
        <w:pStyle w:val="Baseparagraphcentred"/>
      </w:pPr>
    </w:p>
    <w:p w14:paraId="747618EB" w14:textId="77777777" w:rsidR="00C3452B" w:rsidRDefault="00C3452B" w:rsidP="00C3452B">
      <w:pPr>
        <w:pStyle w:val="Baseparagraphcentred"/>
      </w:pPr>
    </w:p>
    <w:p w14:paraId="71A6DD70" w14:textId="77777777" w:rsidR="00C3452B" w:rsidRDefault="00C3452B" w:rsidP="00C3452B">
      <w:pPr>
        <w:pStyle w:val="Baseparagraphcentred"/>
      </w:pPr>
    </w:p>
    <w:p w14:paraId="298A0B73" w14:textId="77777777" w:rsidR="00C3452B" w:rsidRDefault="00C3452B" w:rsidP="00C3452B">
      <w:pPr>
        <w:pStyle w:val="Baseparagraphcentred"/>
      </w:pPr>
    </w:p>
    <w:p w14:paraId="20FAD10A" w14:textId="77777777" w:rsidR="00932C85" w:rsidRDefault="00932C85" w:rsidP="00C3452B">
      <w:pPr>
        <w:pStyle w:val="Baseparagraphcentred"/>
      </w:pPr>
      <w:r>
        <w:t>EXPOSURE DRAFT EXPLANATORY MATERIALS</w:t>
      </w:r>
    </w:p>
    <w:p w14:paraId="23E93A2A" w14:textId="5BAD4347" w:rsidR="00C3452B" w:rsidRDefault="00C3452B" w:rsidP="00C3452B">
      <w:pPr>
        <w:pStyle w:val="Baseparagraphcentred"/>
      </w:pPr>
    </w:p>
    <w:p w14:paraId="45692D82" w14:textId="77777777" w:rsidR="00C3452B" w:rsidRDefault="00C3452B" w:rsidP="00C3452B">
      <w:pPr>
        <w:pStyle w:val="Baseparagraphcentred"/>
      </w:pPr>
    </w:p>
    <w:p w14:paraId="6F039C4E" w14:textId="77777777" w:rsidR="00C3452B" w:rsidRDefault="00C3452B" w:rsidP="00C3452B">
      <w:pPr>
        <w:pStyle w:val="Baseparagraphcentred"/>
      </w:pPr>
    </w:p>
    <w:p w14:paraId="4FC0B33E" w14:textId="77777777" w:rsidR="00932C85" w:rsidRDefault="00932C85" w:rsidP="009430C1">
      <w:pPr>
        <w:pStyle w:val="ParaCentredNoSpacing"/>
      </w:pPr>
    </w:p>
    <w:p w14:paraId="481A1803" w14:textId="77777777" w:rsidR="00932C85" w:rsidRDefault="00932C85" w:rsidP="00C3452B">
      <w:pPr>
        <w:pStyle w:val="ParaCentredNoSpacing"/>
      </w:pPr>
    </w:p>
    <w:p w14:paraId="179C89D3" w14:textId="26313063" w:rsidR="00C3452B" w:rsidRDefault="00C3452B" w:rsidP="00C3452B">
      <w:pPr>
        <w:pStyle w:val="ParaCentredNoSpacing"/>
      </w:pPr>
    </w:p>
    <w:p w14:paraId="6B6028E2" w14:textId="77777777" w:rsidR="00C3452B" w:rsidRDefault="00C3452B" w:rsidP="00C3452B"/>
    <w:p w14:paraId="630D6002" w14:textId="77777777" w:rsidR="00C3452B" w:rsidRDefault="00C3452B" w:rsidP="00C3452B">
      <w:pPr>
        <w:sectPr w:rsidR="00C3452B" w:rsidSect="00C10AAF">
          <w:headerReference w:type="even" r:id="rId8"/>
          <w:headerReference w:type="default" r:id="rId9"/>
          <w:footerReference w:type="even" r:id="rId10"/>
          <w:footerReference w:type="default" r:id="rId11"/>
          <w:headerReference w:type="first" r:id="rId12"/>
          <w:footerReference w:type="first" r:id="rId13"/>
          <w:type w:val="oddPage"/>
          <w:pgSz w:w="9979" w:h="14175" w:code="138"/>
          <w:pgMar w:top="567" w:right="1134" w:bottom="567" w:left="1134" w:header="709" w:footer="709" w:gutter="0"/>
          <w:cols w:space="708"/>
          <w:titlePg/>
          <w:docGrid w:linePitch="360"/>
        </w:sectPr>
      </w:pPr>
    </w:p>
    <w:p w14:paraId="13291AF3" w14:textId="77777777" w:rsidR="00C3452B" w:rsidRPr="003E0794" w:rsidRDefault="00C3452B" w:rsidP="00C3452B">
      <w:pPr>
        <w:pStyle w:val="TOCHeading"/>
      </w:pPr>
      <w:r w:rsidRPr="003E0794">
        <w:lastRenderedPageBreak/>
        <w:t>Table of contents</w:t>
      </w:r>
    </w:p>
    <w:p w14:paraId="5F1B101B" w14:textId="4B07AF1E" w:rsidR="009B56D4"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9B56D4">
        <w:t>Glossary</w:t>
      </w:r>
      <w:r w:rsidR="009B56D4">
        <w:tab/>
      </w:r>
      <w:r w:rsidR="009B56D4">
        <w:fldChar w:fldCharType="begin"/>
      </w:r>
      <w:r w:rsidR="009B56D4">
        <w:instrText xml:space="preserve"> PAGEREF _Toc68604231 \h </w:instrText>
      </w:r>
      <w:r w:rsidR="009B56D4">
        <w:fldChar w:fldCharType="separate"/>
      </w:r>
      <w:r w:rsidR="009B56D4">
        <w:t>1</w:t>
      </w:r>
      <w:r w:rsidR="009B56D4">
        <w:fldChar w:fldCharType="end"/>
      </w:r>
    </w:p>
    <w:p w14:paraId="2C45CE27" w14:textId="39300F0C" w:rsidR="009B56D4" w:rsidRDefault="009B56D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Exempting Granny Flat Arrangements from Capital Gains Tax</w:t>
      </w:r>
      <w:r>
        <w:rPr>
          <w:noProof/>
        </w:rPr>
        <w:tab/>
      </w:r>
      <w:r>
        <w:rPr>
          <w:noProof/>
        </w:rPr>
        <w:fldChar w:fldCharType="begin"/>
      </w:r>
      <w:r>
        <w:rPr>
          <w:noProof/>
        </w:rPr>
        <w:instrText xml:space="preserve"> PAGEREF _Toc68604232 \h </w:instrText>
      </w:r>
      <w:r>
        <w:rPr>
          <w:noProof/>
        </w:rPr>
      </w:r>
      <w:r>
        <w:rPr>
          <w:noProof/>
        </w:rPr>
        <w:fldChar w:fldCharType="separate"/>
      </w:r>
      <w:r>
        <w:rPr>
          <w:noProof/>
        </w:rPr>
        <w:t>3</w:t>
      </w:r>
      <w:r>
        <w:rPr>
          <w:noProof/>
        </w:rPr>
        <w:fldChar w:fldCharType="end"/>
      </w:r>
    </w:p>
    <w:p w14:paraId="03FBD673" w14:textId="07A4FA18" w:rsidR="00C3452B" w:rsidRDefault="00C3452B" w:rsidP="00C3452B">
      <w:pPr>
        <w:rPr>
          <w:rFonts w:ascii="Helvetica" w:hAnsi="Helvetica"/>
          <w:noProof/>
          <w:sz w:val="24"/>
        </w:rPr>
      </w:pPr>
      <w:r>
        <w:rPr>
          <w:rFonts w:ascii="Helvetica" w:hAnsi="Helvetica"/>
          <w:noProof/>
          <w:sz w:val="24"/>
        </w:rPr>
        <w:fldChar w:fldCharType="end"/>
      </w:r>
    </w:p>
    <w:p w14:paraId="6F5E9BDE" w14:textId="77777777" w:rsidR="00C3452B" w:rsidRDefault="00C3452B" w:rsidP="00C3452B">
      <w:pPr>
        <w:pStyle w:val="Hiddentext"/>
      </w:pPr>
    </w:p>
    <w:p w14:paraId="1B8E864B" w14:textId="77777777" w:rsidR="00C3452B" w:rsidRDefault="00C3452B" w:rsidP="00C3452B">
      <w:pPr>
        <w:pStyle w:val="base-text-paragraphnonumbers"/>
        <w:sectPr w:rsidR="00C3452B" w:rsidSect="00C10AAF">
          <w:headerReference w:type="even" r:id="rId14"/>
          <w:headerReference w:type="default" r:id="rId15"/>
          <w:footerReference w:type="even" r:id="rId16"/>
          <w:footerReference w:type="default" r:id="rId17"/>
          <w:headerReference w:type="first" r:id="rId18"/>
          <w:footerReference w:type="first" r:id="rId19"/>
          <w:type w:val="oddPage"/>
          <w:pgSz w:w="9979" w:h="14175" w:code="9"/>
          <w:pgMar w:top="567" w:right="1134" w:bottom="567" w:left="1134" w:header="709" w:footer="709" w:gutter="0"/>
          <w:cols w:space="708"/>
          <w:titlePg/>
          <w:docGrid w:linePitch="360"/>
        </w:sectPr>
      </w:pPr>
    </w:p>
    <w:p w14:paraId="45C29B6D" w14:textId="77777777" w:rsidR="00C3452B" w:rsidRPr="00567602" w:rsidRDefault="00C3452B" w:rsidP="00C3452B">
      <w:pPr>
        <w:pStyle w:val="Chapterheadingsubdocument"/>
      </w:pPr>
      <w:bookmarkStart w:id="26" w:name="_Toc68604231"/>
      <w:r w:rsidRPr="00567602">
        <w:rPr>
          <w:rStyle w:val="ChapterNameOnly"/>
        </w:rPr>
        <w:lastRenderedPageBreak/>
        <w:t>Glossary</w:t>
      </w:r>
      <w:bookmarkEnd w:id="26"/>
    </w:p>
    <w:p w14:paraId="55D17691"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4A0F4E7F" w14:textId="77777777" w:rsidTr="009430C1">
        <w:tc>
          <w:tcPr>
            <w:tcW w:w="2721" w:type="dxa"/>
          </w:tcPr>
          <w:p w14:paraId="5FBE8DF0" w14:textId="77777777" w:rsidR="00C3452B" w:rsidRPr="00123D96" w:rsidRDefault="00C3452B" w:rsidP="00E211E9">
            <w:pPr>
              <w:pStyle w:val="tableheaderwithintable"/>
            </w:pPr>
            <w:r w:rsidRPr="00123D96">
              <w:t>Abbreviation</w:t>
            </w:r>
          </w:p>
        </w:tc>
        <w:tc>
          <w:tcPr>
            <w:tcW w:w="3885" w:type="dxa"/>
          </w:tcPr>
          <w:p w14:paraId="2C58144B" w14:textId="77777777" w:rsidR="00C3452B" w:rsidRPr="00123D96" w:rsidRDefault="00C3452B" w:rsidP="00E211E9">
            <w:pPr>
              <w:pStyle w:val="tableheaderwithintable"/>
            </w:pPr>
            <w:r w:rsidRPr="00123D96">
              <w:t>Definition</w:t>
            </w:r>
          </w:p>
        </w:tc>
      </w:tr>
      <w:tr w:rsidR="00C3452B" w:rsidRPr="002C43E8" w14:paraId="38B090F7" w14:textId="77777777" w:rsidTr="009430C1">
        <w:tc>
          <w:tcPr>
            <w:tcW w:w="2721" w:type="dxa"/>
          </w:tcPr>
          <w:p w14:paraId="48434264" w14:textId="0C1C80F1" w:rsidR="00C3452B" w:rsidRPr="002C43E8" w:rsidRDefault="00D94A34" w:rsidP="00E211E9">
            <w:pPr>
              <w:pStyle w:val="Glossarytabletext"/>
              <w:rPr>
                <w:lang w:val="en-US" w:eastAsia="en-US"/>
              </w:rPr>
            </w:pPr>
            <w:bookmarkStart w:id="27" w:name="GlossaryTableStart"/>
            <w:bookmarkEnd w:id="27"/>
            <w:r>
              <w:rPr>
                <w:lang w:val="en-US" w:eastAsia="en-US"/>
              </w:rPr>
              <w:t>Bill</w:t>
            </w:r>
          </w:p>
        </w:tc>
        <w:tc>
          <w:tcPr>
            <w:tcW w:w="3885" w:type="dxa"/>
          </w:tcPr>
          <w:p w14:paraId="5756D184" w14:textId="18327BEC" w:rsidR="00C3452B" w:rsidRPr="00150B25" w:rsidRDefault="003772CA" w:rsidP="00E211E9">
            <w:pPr>
              <w:pStyle w:val="Glossarytabletext"/>
              <w:rPr>
                <w:lang w:eastAsia="en-US"/>
              </w:rPr>
            </w:pPr>
            <w:r w:rsidRPr="003772CA">
              <w:rPr>
                <w:lang w:eastAsia="en-US"/>
              </w:rPr>
              <w:t>Treasury Laws Amendment (Measures for Consultation) Bill 2021: Exempting granny flat arrangements from CGT</w:t>
            </w:r>
          </w:p>
        </w:tc>
      </w:tr>
      <w:tr w:rsidR="00D94A34" w:rsidRPr="002C43E8" w14:paraId="35F772CA" w14:textId="77777777" w:rsidTr="009430C1">
        <w:tc>
          <w:tcPr>
            <w:tcW w:w="2721" w:type="dxa"/>
          </w:tcPr>
          <w:p w14:paraId="43A83B71" w14:textId="0EFA18B0" w:rsidR="00D94A34" w:rsidRDefault="00D94A34" w:rsidP="00E211E9">
            <w:pPr>
              <w:pStyle w:val="Glossarytabletext"/>
              <w:rPr>
                <w:lang w:val="en-US" w:eastAsia="en-US"/>
              </w:rPr>
            </w:pPr>
            <w:r>
              <w:rPr>
                <w:lang w:val="en-US" w:eastAsia="en-US"/>
              </w:rPr>
              <w:t>CGT</w:t>
            </w:r>
          </w:p>
        </w:tc>
        <w:tc>
          <w:tcPr>
            <w:tcW w:w="3885" w:type="dxa"/>
          </w:tcPr>
          <w:p w14:paraId="27FD2815" w14:textId="7E42B3C1" w:rsidR="00D94A34" w:rsidRDefault="00D94A34" w:rsidP="00E211E9">
            <w:pPr>
              <w:pStyle w:val="Glossarytabletext"/>
              <w:rPr>
                <w:i/>
              </w:rPr>
            </w:pPr>
            <w:r>
              <w:t>capital gains tax</w:t>
            </w:r>
          </w:p>
        </w:tc>
      </w:tr>
      <w:tr w:rsidR="00C3452B" w:rsidRPr="002C43E8" w14:paraId="7624B371" w14:textId="77777777" w:rsidTr="009430C1">
        <w:tc>
          <w:tcPr>
            <w:tcW w:w="2721" w:type="dxa"/>
          </w:tcPr>
          <w:p w14:paraId="68B62FAA" w14:textId="65FA346F" w:rsidR="00C3452B" w:rsidRPr="002C43E8" w:rsidRDefault="00D94A34" w:rsidP="00E211E9">
            <w:pPr>
              <w:pStyle w:val="Glossarytabletext"/>
              <w:rPr>
                <w:lang w:val="en-US" w:eastAsia="en-US"/>
              </w:rPr>
            </w:pPr>
            <w:r>
              <w:rPr>
                <w:lang w:val="en-US" w:eastAsia="en-US"/>
              </w:rPr>
              <w:t>ITAA 1997</w:t>
            </w:r>
          </w:p>
        </w:tc>
        <w:tc>
          <w:tcPr>
            <w:tcW w:w="3885" w:type="dxa"/>
          </w:tcPr>
          <w:p w14:paraId="304F8817" w14:textId="4C208014" w:rsidR="00C3452B" w:rsidRPr="002C43E8" w:rsidRDefault="00D94A34" w:rsidP="00E211E9">
            <w:pPr>
              <w:pStyle w:val="Glossarytabletext"/>
              <w:rPr>
                <w:lang w:val="en-US" w:eastAsia="en-US"/>
              </w:rPr>
            </w:pPr>
            <w:r w:rsidRPr="004C506F">
              <w:rPr>
                <w:i/>
              </w:rPr>
              <w:t>Income Tax Assessment Act 1997</w:t>
            </w:r>
          </w:p>
        </w:tc>
      </w:tr>
    </w:tbl>
    <w:p w14:paraId="2C8CB689" w14:textId="77777777" w:rsidR="00C3452B" w:rsidRDefault="00C3452B" w:rsidP="00C3452B"/>
    <w:p w14:paraId="2D4364DC" w14:textId="77777777" w:rsidR="00C3452B" w:rsidRDefault="00C3452B" w:rsidP="00C3452B"/>
    <w:p w14:paraId="0D812384" w14:textId="77777777" w:rsidR="00C3452B" w:rsidRDefault="00C3452B" w:rsidP="00C3452B">
      <w:pPr>
        <w:sectPr w:rsidR="00C3452B" w:rsidSect="00C10AAF">
          <w:headerReference w:type="even" r:id="rId20"/>
          <w:headerReference w:type="default" r:id="rId21"/>
          <w:footerReference w:type="even" r:id="rId22"/>
          <w:footerReference w:type="default" r:id="rId23"/>
          <w:footerReference w:type="first" r:id="rId24"/>
          <w:type w:val="oddPage"/>
          <w:pgSz w:w="9979" w:h="14175" w:code="9"/>
          <w:pgMar w:top="567" w:right="1134" w:bottom="567" w:left="1134" w:header="709" w:footer="709" w:gutter="0"/>
          <w:pgNumType w:start="1"/>
          <w:cols w:space="708"/>
          <w:titlePg/>
          <w:docGrid w:linePitch="360"/>
        </w:sectPr>
      </w:pPr>
    </w:p>
    <w:p w14:paraId="38E0403F" w14:textId="285E471A" w:rsidR="00C3452B" w:rsidRPr="007C2B20" w:rsidRDefault="00C3452B" w:rsidP="00C3452B">
      <w:pPr>
        <w:pStyle w:val="ChapterHeading"/>
        <w:numPr>
          <w:ilvl w:val="0"/>
          <w:numId w:val="7"/>
        </w:numPr>
      </w:pPr>
      <w:r w:rsidRPr="000C2A9D">
        <w:lastRenderedPageBreak/>
        <w:br/>
      </w:r>
      <w:bookmarkStart w:id="36" w:name="_Toc68604232"/>
      <w:r w:rsidR="00507CDA">
        <w:rPr>
          <w:rStyle w:val="ChapterNameOnly"/>
        </w:rPr>
        <w:t>Exempting Granny Flat Arrangements from Capital Gains Tax</w:t>
      </w:r>
      <w:bookmarkEnd w:id="36"/>
    </w:p>
    <w:p w14:paraId="0E0D7C31" w14:textId="77777777" w:rsidR="00C3452B" w:rsidRDefault="00C3452B" w:rsidP="00C3452B">
      <w:pPr>
        <w:pStyle w:val="Heading2"/>
      </w:pPr>
      <w:r>
        <w:t>Outline of chapter</w:t>
      </w:r>
    </w:p>
    <w:p w14:paraId="36622C55" w14:textId="626C61E1" w:rsidR="00C3452B" w:rsidRDefault="009B6B0A" w:rsidP="00C3452B">
      <w:pPr>
        <w:numPr>
          <w:ilvl w:val="1"/>
          <w:numId w:val="7"/>
        </w:numPr>
      </w:pPr>
      <w:r>
        <w:t xml:space="preserve">Schedule </w:t>
      </w:r>
      <w:r w:rsidR="00193A38">
        <w:rPr>
          <w:i/>
        </w:rPr>
        <w:t>#</w:t>
      </w:r>
      <w:r>
        <w:t xml:space="preserve"> to the Bill amends the CGT provisions in the </w:t>
      </w:r>
      <w:r w:rsidRPr="004C506F">
        <w:rPr>
          <w:i/>
        </w:rPr>
        <w:t>Income Tax Assessment Act 1997</w:t>
      </w:r>
      <w:r>
        <w:t xml:space="preserve"> to </w:t>
      </w:r>
      <w:r w:rsidRPr="004C506F">
        <w:t>provi</w:t>
      </w:r>
      <w:r>
        <w:t>de a targeted CGT exemption</w:t>
      </w:r>
      <w:r w:rsidR="003217A8">
        <w:t xml:space="preserve"> in relation to granny flat arrangements.</w:t>
      </w:r>
      <w:r>
        <w:t xml:space="preserve"> </w:t>
      </w:r>
    </w:p>
    <w:p w14:paraId="182D51F8" w14:textId="0EB05F2C" w:rsidR="009B6B0A" w:rsidRDefault="00687601" w:rsidP="00C3452B">
      <w:pPr>
        <w:numPr>
          <w:ilvl w:val="1"/>
          <w:numId w:val="7"/>
        </w:numPr>
      </w:pPr>
      <w:r>
        <w:t xml:space="preserve">The </w:t>
      </w:r>
      <w:r w:rsidR="009B6B0A">
        <w:t xml:space="preserve">exemption will operate by providing that no CGT event arises on entering into, varying or terminating a granny flat arrangement </w:t>
      </w:r>
      <w:r w:rsidR="003217A8">
        <w:t xml:space="preserve">if the arrangement satisfies </w:t>
      </w:r>
      <w:r w:rsidR="009B6B0A">
        <w:t xml:space="preserve">the requirements </w:t>
      </w:r>
      <w:r w:rsidR="00495213">
        <w:t>of the provision</w:t>
      </w:r>
      <w:r w:rsidR="000470D8">
        <w:t>s</w:t>
      </w:r>
      <w:r w:rsidR="003217A8">
        <w:t>.</w:t>
      </w:r>
    </w:p>
    <w:p w14:paraId="6F4B8C1F" w14:textId="77777777" w:rsidR="00C3452B" w:rsidRDefault="00C3452B" w:rsidP="00C3452B">
      <w:pPr>
        <w:pStyle w:val="Heading2"/>
      </w:pPr>
      <w:r>
        <w:t>Context of amendments</w:t>
      </w:r>
    </w:p>
    <w:p w14:paraId="2BA0C07F" w14:textId="6DE05689" w:rsidR="00745EC4" w:rsidRDefault="00745EC4" w:rsidP="00745EC4">
      <w:pPr>
        <w:pStyle w:val="base-text-paragraph"/>
      </w:pPr>
      <w:r>
        <w:t>The Australian Law Reform Commission released a report in 2017 which examined elder abuse in Australia</w:t>
      </w:r>
      <w:r w:rsidR="00D46FD3">
        <w:t xml:space="preserve"> (</w:t>
      </w:r>
      <w:r w:rsidR="00D46FD3">
        <w:rPr>
          <w:i/>
        </w:rPr>
        <w:t>Elder Abuse</w:t>
      </w:r>
      <w:r w:rsidR="00D46FD3">
        <w:rPr>
          <w:i/>
        </w:rPr>
        <w:sym w:font="Symbol" w:char="F02D"/>
      </w:r>
      <w:r w:rsidR="00D46FD3">
        <w:rPr>
          <w:i/>
        </w:rPr>
        <w:t>A National Legal Response</w:t>
      </w:r>
      <w:r w:rsidR="00D46FD3">
        <w:t>, ALRC Report 131, 2017)</w:t>
      </w:r>
      <w:r>
        <w:t>. In particular</w:t>
      </w:r>
      <w:r w:rsidR="008B109E">
        <w:t xml:space="preserve">, </w:t>
      </w:r>
      <w:r>
        <w:t xml:space="preserve">the </w:t>
      </w:r>
      <w:r w:rsidR="000531D9">
        <w:t xml:space="preserve">Australian Law Reform Commission </w:t>
      </w:r>
      <w:r>
        <w:t>examined the prevalence of elder abuse in relation to granny flat arrangements.</w:t>
      </w:r>
    </w:p>
    <w:p w14:paraId="51059B28" w14:textId="5264C585" w:rsidR="00745EC4" w:rsidRDefault="00745EC4" w:rsidP="00745EC4">
      <w:pPr>
        <w:pStyle w:val="base-text-paragraph"/>
      </w:pPr>
      <w:r>
        <w:t xml:space="preserve">A granny flat arrangement has a particular legal meaning, derived from the </w:t>
      </w:r>
      <w:r w:rsidR="000531D9">
        <w:t>term ‘</w:t>
      </w:r>
      <w:r>
        <w:t>granny flat interest</w:t>
      </w:r>
      <w:r w:rsidR="000531D9">
        <w:t>’</w:t>
      </w:r>
      <w:r>
        <w:t xml:space="preserve"> in social security law. It describes an arrangement rather than a type of accommodation, and can arise whenever money or other consideration is given in exchange for a right to accommodation for life</w:t>
      </w:r>
      <w:r w:rsidR="00AB7295">
        <w:t>.</w:t>
      </w:r>
    </w:p>
    <w:p w14:paraId="5F1E3142" w14:textId="41980DB1" w:rsidR="00745EC4" w:rsidRDefault="00745EC4" w:rsidP="00745EC4">
      <w:pPr>
        <w:pStyle w:val="base-text-paragraph"/>
      </w:pPr>
      <w:r>
        <w:t>In a typical case, granny flat arrangements occur when an older person transfers some sort of consideration (often title to property or proceeds from the sale of property) to their adult child in exchange for the promise of ongoing care, support and housing. They can be formal, but more often than not they are informal.</w:t>
      </w:r>
    </w:p>
    <w:p w14:paraId="2454A81D" w14:textId="77777777" w:rsidR="00745EC4" w:rsidRDefault="00745EC4" w:rsidP="00745EC4">
      <w:pPr>
        <w:pStyle w:val="base-text-paragraph"/>
      </w:pPr>
      <w:r>
        <w:t xml:space="preserve">These arrangements can be beneficial to all parties involved. When operating effectively, they can provide benefits to the adult child in the way of property or funds, and benefits to the older person in the way of care, support and housing. </w:t>
      </w:r>
    </w:p>
    <w:p w14:paraId="5EC23308" w14:textId="5F872A23" w:rsidR="00745EC4" w:rsidRDefault="00745EC4" w:rsidP="00745EC4">
      <w:pPr>
        <w:pStyle w:val="base-text-paragraph"/>
      </w:pPr>
      <w:r>
        <w:t>However, the older person tends to be in a more vulnerable position and can suffer serious consequences if circumstances change. Problems can arise as a result of the adult child pre-deceasing the older person, relationship breakdowns between the adult child and their partner</w:t>
      </w:r>
      <w:r w:rsidR="008B109E">
        <w:t>,</w:t>
      </w:r>
      <w:r>
        <w:t xml:space="preserve"> or the adult child becoming bankrupt. Contingencies are often not </w:t>
      </w:r>
      <w:r>
        <w:lastRenderedPageBreak/>
        <w:t xml:space="preserve">considered if these types of events happen and this, </w:t>
      </w:r>
      <w:r w:rsidR="000470D8">
        <w:t xml:space="preserve">combined with </w:t>
      </w:r>
      <w:r>
        <w:t>the common informality of granny flat arrangements</w:t>
      </w:r>
      <w:r w:rsidR="000470D8">
        <w:t>,</w:t>
      </w:r>
      <w:r>
        <w:t xml:space="preserve"> can make it difficult for the older person to </w:t>
      </w:r>
      <w:r w:rsidR="009801D9">
        <w:t xml:space="preserve">establish, </w:t>
      </w:r>
      <w:r>
        <w:t>assert</w:t>
      </w:r>
      <w:r w:rsidR="009801D9">
        <w:t xml:space="preserve"> or enforce</w:t>
      </w:r>
      <w:r>
        <w:t xml:space="preserve"> their rights under the arrangement.</w:t>
      </w:r>
    </w:p>
    <w:p w14:paraId="5B2C9338" w14:textId="6D87F233" w:rsidR="00745EC4" w:rsidRDefault="00AB7295" w:rsidP="00745EC4">
      <w:pPr>
        <w:pStyle w:val="base-text-paragraph"/>
      </w:pPr>
      <w:r>
        <w:t>Perceived t</w:t>
      </w:r>
      <w:r w:rsidR="00745EC4">
        <w:t>ax consequences are one barrier to parties having a formal granny flat arrangement in pla</w:t>
      </w:r>
      <w:r w:rsidR="003B6D77">
        <w:t xml:space="preserve">ce. </w:t>
      </w:r>
      <w:r w:rsidR="008B109E">
        <w:t>CGT events could arise o</w:t>
      </w:r>
      <w:r w:rsidR="003B6D77">
        <w:t>n e</w:t>
      </w:r>
      <w:r w:rsidR="00745EC4">
        <w:t>ntering into</w:t>
      </w:r>
      <w:r w:rsidR="008B109E">
        <w:t>, varying or terminating a granny flat arrangement, depending on the circumstances</w:t>
      </w:r>
      <w:r w:rsidR="00745EC4">
        <w:t>. Informal agreements can make it easier for a taxpayer to argue there are no formal rights in existence, and therefore no assets that could be subject to CGT</w:t>
      </w:r>
      <w:r w:rsidR="009801D9">
        <w:t xml:space="preserve">. </w:t>
      </w:r>
    </w:p>
    <w:p w14:paraId="5818B8F6" w14:textId="7CCFC3C6" w:rsidR="00745EC4" w:rsidRDefault="00745EC4" w:rsidP="00745EC4">
      <w:pPr>
        <w:pStyle w:val="base-text-paragraph"/>
      </w:pPr>
      <w:r>
        <w:t>The Board of Taxation examined these issues, and the tax issues that arise from granny flat arrangements, and delivered a report to Government in November 2019</w:t>
      </w:r>
      <w:r w:rsidR="008B109E">
        <w:t xml:space="preserve">. </w:t>
      </w:r>
    </w:p>
    <w:p w14:paraId="477CAB9B" w14:textId="13638F7B" w:rsidR="00745EC4" w:rsidRDefault="00745EC4" w:rsidP="00745EC4">
      <w:pPr>
        <w:pStyle w:val="base-text-paragraph"/>
      </w:pPr>
      <w:r>
        <w:t>The Government responded to the Board</w:t>
      </w:r>
      <w:r w:rsidR="009801D9">
        <w:t xml:space="preserve"> of Taxation’s</w:t>
      </w:r>
      <w:r>
        <w:t xml:space="preserve"> report by bringing forward a measure</w:t>
      </w:r>
      <w:r w:rsidR="008B109E">
        <w:t xml:space="preserve"> in the 2020-21 Budget</w:t>
      </w:r>
      <w:r>
        <w:t xml:space="preserve"> to</w:t>
      </w:r>
      <w:r w:rsidR="008B109E">
        <w:t xml:space="preserve"> provide a targeted</w:t>
      </w:r>
      <w:r>
        <w:t xml:space="preserve"> CGT </w:t>
      </w:r>
      <w:r w:rsidR="008B109E">
        <w:t>exemption for granny flat arrangements</w:t>
      </w:r>
      <w:r w:rsidR="00067D46">
        <w:t xml:space="preserve"> that provide accommodation for older Australians or people with disabilities</w:t>
      </w:r>
      <w:r w:rsidR="008B109E">
        <w:t xml:space="preserve"> where there is a formal written agreement in place</w:t>
      </w:r>
      <w:r>
        <w:t xml:space="preserve">. </w:t>
      </w:r>
    </w:p>
    <w:p w14:paraId="2A90311E" w14:textId="77777777" w:rsidR="00C3452B" w:rsidRDefault="00C3452B" w:rsidP="00C3452B">
      <w:pPr>
        <w:pStyle w:val="Heading2"/>
      </w:pPr>
      <w:r>
        <w:t>Summary of new law</w:t>
      </w:r>
    </w:p>
    <w:p w14:paraId="1C39BFE3" w14:textId="6D842C62" w:rsidR="006D38BB" w:rsidRDefault="006D38BB" w:rsidP="006D38BB">
      <w:pPr>
        <w:pStyle w:val="base-text-paragraph"/>
        <w:numPr>
          <w:ilvl w:val="1"/>
          <w:numId w:val="33"/>
        </w:numPr>
      </w:pPr>
      <w:r>
        <w:t>A CGT event does not happen on entering into</w:t>
      </w:r>
      <w:r w:rsidR="00A2509A">
        <w:t>,</w:t>
      </w:r>
      <w:r>
        <w:t xml:space="preserve"> varying or terminating a granny flat arrangement if</w:t>
      </w:r>
      <w:r w:rsidRPr="006D38BB">
        <w:t xml:space="preserve"> </w:t>
      </w:r>
      <w:r w:rsidR="00A2509A">
        <w:t xml:space="preserve">certain requirements are met. These requirements include that the individual having the granny flat interest </w:t>
      </w:r>
      <w:r w:rsidR="00B3353E">
        <w:t>has reached pension age or has</w:t>
      </w:r>
      <w:r w:rsidR="00A2509A">
        <w:t xml:space="preserve"> a disability</w:t>
      </w:r>
      <w:r w:rsidR="00C40220">
        <w:t xml:space="preserve">, and that the arrangement </w:t>
      </w:r>
      <w:r w:rsidR="00D82A41">
        <w:t xml:space="preserve">is in writing and </w:t>
      </w:r>
      <w:r w:rsidR="00C40220">
        <w:t>is not of a commercial nature</w:t>
      </w:r>
      <w:r w:rsidR="00A2509A">
        <w:t xml:space="preserve">. </w:t>
      </w:r>
    </w:p>
    <w:p w14:paraId="21DFD808" w14:textId="5BD9CFF7" w:rsidR="00CA6AEB" w:rsidRDefault="00CA6AEB" w:rsidP="00CA6AEB">
      <w:pPr>
        <w:pStyle w:val="base-text-paragraph"/>
      </w:pPr>
      <w:r>
        <w:t>T</w:t>
      </w:r>
      <w:r w:rsidRPr="00CA6AEB">
        <w:t xml:space="preserve">he CGT event does not happen only to the extent that </w:t>
      </w:r>
      <w:r w:rsidR="008338EE">
        <w:t>it</w:t>
      </w:r>
      <w:r w:rsidRPr="00CA6AEB">
        <w:t xml:space="preserve"> relates to the creation, variation or termination (as the case may be) of a granny flat interest. </w:t>
      </w:r>
    </w:p>
    <w:p w14:paraId="160DCE84" w14:textId="19C34F34" w:rsidR="006D38BB" w:rsidRDefault="006D38BB" w:rsidP="00CA6AEB">
      <w:pPr>
        <w:pStyle w:val="base-text-paragraph"/>
      </w:pPr>
      <w:r>
        <w:t xml:space="preserve">A granny flat </w:t>
      </w:r>
      <w:r w:rsidR="008A6213">
        <w:t>interest in a dwelling</w:t>
      </w:r>
      <w:r w:rsidR="00A42179">
        <w:t xml:space="preserve"> under this measure</w:t>
      </w:r>
      <w:r w:rsidR="008A6213">
        <w:t xml:space="preserve"> is a right to occupy that dwelling </w:t>
      </w:r>
      <w:r w:rsidR="00F04E19">
        <w:t>for life</w:t>
      </w:r>
      <w:r>
        <w:t>.</w:t>
      </w:r>
      <w:r w:rsidR="008A6213">
        <w:t xml:space="preserve"> </w:t>
      </w:r>
    </w:p>
    <w:p w14:paraId="71B8C67B" w14:textId="77777777" w:rsidR="00C3452B" w:rsidRDefault="00C3452B" w:rsidP="00C3452B">
      <w:pPr>
        <w:pStyle w:val="Heading2"/>
      </w:pPr>
      <w:r>
        <w:t>Detailed explanation of new law</w:t>
      </w:r>
    </w:p>
    <w:p w14:paraId="2BFF5305" w14:textId="77777777" w:rsidR="0084731D" w:rsidRDefault="0084731D" w:rsidP="000E0539">
      <w:pPr>
        <w:pStyle w:val="base-text-paragraph"/>
        <w:numPr>
          <w:ilvl w:val="1"/>
          <w:numId w:val="39"/>
        </w:numPr>
      </w:pPr>
      <w:r>
        <w:t>All references to legislation are to the ITAA 1997 unless otherwise specified.</w:t>
      </w:r>
    </w:p>
    <w:p w14:paraId="08FC532C" w14:textId="4611F7A3" w:rsidR="003217A8" w:rsidRDefault="003217A8" w:rsidP="00142292">
      <w:pPr>
        <w:pStyle w:val="base-text-paragraph"/>
      </w:pPr>
      <w:r>
        <w:t xml:space="preserve">The intent of this measure is to encourage the formalisation of granny flat arrangements to support the stable and long term housing arrangements of older people and </w:t>
      </w:r>
      <w:r w:rsidR="00A42179">
        <w:t xml:space="preserve">people </w:t>
      </w:r>
      <w:r>
        <w:t xml:space="preserve">with </w:t>
      </w:r>
      <w:r w:rsidR="00A42179">
        <w:t>disabilities</w:t>
      </w:r>
      <w:r>
        <w:t xml:space="preserve">, and </w:t>
      </w:r>
      <w:r w:rsidR="00A42179">
        <w:t xml:space="preserve">to </w:t>
      </w:r>
      <w:r>
        <w:t xml:space="preserve">reduce the risk of financial abuse or exploitation. </w:t>
      </w:r>
    </w:p>
    <w:p w14:paraId="3F02B52D" w14:textId="14B9B72E" w:rsidR="0076090A" w:rsidRDefault="007E6994" w:rsidP="00142292">
      <w:pPr>
        <w:pStyle w:val="base-text-paragraph"/>
      </w:pPr>
      <w:r>
        <w:lastRenderedPageBreak/>
        <w:t xml:space="preserve">Schedule </w:t>
      </w:r>
      <w:r w:rsidR="000427F4">
        <w:t>#</w:t>
      </w:r>
      <w:r>
        <w:t xml:space="preserve"> to the Bill </w:t>
      </w:r>
      <w:r w:rsidR="00855B6F">
        <w:t>inserts a new Division</w:t>
      </w:r>
      <w:r w:rsidR="00142292">
        <w:t xml:space="preserve"> into</w:t>
      </w:r>
      <w:r w:rsidR="00855B6F">
        <w:t xml:space="preserve"> </w:t>
      </w:r>
      <w:r w:rsidR="000774D0">
        <w:t>Part 3-3</w:t>
      </w:r>
      <w:r w:rsidR="00430E0F">
        <w:t xml:space="preserve"> of Chapter 3</w:t>
      </w:r>
      <w:r w:rsidR="000774D0">
        <w:t xml:space="preserve"> </w:t>
      </w:r>
      <w:r w:rsidR="00142292">
        <w:t>to provide a targeted CGT exemption to granny flat arrangements</w:t>
      </w:r>
      <w:r w:rsidR="0076090A">
        <w:t xml:space="preserve"> to encourage the formalisation of such arrangement</w:t>
      </w:r>
      <w:r w:rsidR="00D77548">
        <w:t>s</w:t>
      </w:r>
      <w:r>
        <w:t>.</w:t>
      </w:r>
    </w:p>
    <w:p w14:paraId="505EC87C" w14:textId="3A560520" w:rsidR="00D77548" w:rsidRDefault="0076090A" w:rsidP="00142292">
      <w:pPr>
        <w:pStyle w:val="base-text-paragraph"/>
      </w:pPr>
      <w:r>
        <w:t>The amendments define what a granny flat interest is for the purposes of the measure, and outline a set of requirements that must be satisfied in order to access the exemption.</w:t>
      </w:r>
    </w:p>
    <w:p w14:paraId="6E6AD103" w14:textId="2586F742" w:rsidR="00D77548" w:rsidRDefault="00D77548" w:rsidP="00C743AC">
      <w:pPr>
        <w:pStyle w:val="base-text-paragraph"/>
      </w:pPr>
      <w:r>
        <w:t xml:space="preserve">The effect of the amendments is that a CGT event does not happen </w:t>
      </w:r>
      <w:r w:rsidR="00D41688">
        <w:t>on entering into, varying or terminating a</w:t>
      </w:r>
      <w:r>
        <w:t xml:space="preserve"> granny flat arrangement if the requirements are satisfied</w:t>
      </w:r>
      <w:r w:rsidR="00430E0F">
        <w:t>, but only to the extent that it relates to the granny flat interest under the arrangement</w:t>
      </w:r>
      <w:r>
        <w:t>.</w:t>
      </w:r>
      <w:r w:rsidR="00D41688">
        <w:t xml:space="preserve"> </w:t>
      </w:r>
      <w:r w:rsidR="000E2955">
        <w:t xml:space="preserve">It is </w:t>
      </w:r>
      <w:r w:rsidR="00B9047C">
        <w:t xml:space="preserve">also intended that the amendments do not affect the </w:t>
      </w:r>
      <w:r>
        <w:t xml:space="preserve">application of the main residence exemption in Subdivision 118-B. </w:t>
      </w:r>
    </w:p>
    <w:p w14:paraId="58A353BE" w14:textId="34B64731" w:rsidR="00C3452B" w:rsidRPr="00150B25" w:rsidRDefault="00400D1A" w:rsidP="00150B25">
      <w:pPr>
        <w:pStyle w:val="Heading3"/>
      </w:pPr>
      <w:r>
        <w:t>Key terms</w:t>
      </w:r>
    </w:p>
    <w:p w14:paraId="257C9B72" w14:textId="38F58E16" w:rsidR="00A3436E" w:rsidRDefault="00A3436E" w:rsidP="007E6994">
      <w:pPr>
        <w:pStyle w:val="base-text-paragraph"/>
      </w:pPr>
      <w:r w:rsidRPr="00A3436E">
        <w:t>A</w:t>
      </w:r>
      <w:r w:rsidR="00A40CFF">
        <w:t>n individual has</w:t>
      </w:r>
      <w:r w:rsidRPr="00A3436E">
        <w:t xml:space="preserve"> a granny flat interest under an arrangement if</w:t>
      </w:r>
      <w:r w:rsidR="008F466C">
        <w:t xml:space="preserve"> the</w:t>
      </w:r>
      <w:r w:rsidRPr="00A3436E">
        <w:t xml:space="preserve"> arrangement</w:t>
      </w:r>
      <w:r w:rsidR="008F466C">
        <w:t xml:space="preserve"> confers on that individual</w:t>
      </w:r>
      <w:r w:rsidRPr="00A3436E">
        <w:t xml:space="preserve"> </w:t>
      </w:r>
      <w:r w:rsidR="00C73536">
        <w:t xml:space="preserve">the right to occupy a </w:t>
      </w:r>
      <w:r w:rsidR="00C73536" w:rsidRPr="00F65B72">
        <w:t>dwelling</w:t>
      </w:r>
      <w:r w:rsidR="00C73536">
        <w:t xml:space="preserve"> for life. </w:t>
      </w:r>
      <w:r w:rsidR="00C73536" w:rsidRPr="00A3436E">
        <w:rPr>
          <w:rStyle w:val="Referencingstyle"/>
        </w:rPr>
        <w:t xml:space="preserve">[Schedule </w:t>
      </w:r>
      <w:r w:rsidR="000427F4">
        <w:rPr>
          <w:rStyle w:val="Referencingstyle"/>
        </w:rPr>
        <w:t>#</w:t>
      </w:r>
      <w:r w:rsidR="00C73536" w:rsidRPr="00A3436E">
        <w:rPr>
          <w:rStyle w:val="Referencingstyle"/>
        </w:rPr>
        <w:t>, item 1</w:t>
      </w:r>
      <w:r w:rsidR="00C73536">
        <w:rPr>
          <w:rStyle w:val="Referencingstyle"/>
        </w:rPr>
        <w:t>, section 137-10</w:t>
      </w:r>
      <w:r w:rsidR="00EF1112">
        <w:rPr>
          <w:rStyle w:val="Referencingstyle"/>
        </w:rPr>
        <w:t>(1)</w:t>
      </w:r>
      <w:r w:rsidR="00C73536" w:rsidRPr="00A3436E">
        <w:rPr>
          <w:rStyle w:val="Referencingstyle"/>
        </w:rPr>
        <w:t>]</w:t>
      </w:r>
    </w:p>
    <w:p w14:paraId="4847F1B2" w14:textId="1462DB22" w:rsidR="00855B6F" w:rsidRDefault="00855B6F" w:rsidP="007E6994">
      <w:pPr>
        <w:pStyle w:val="base-text-paragraph"/>
      </w:pPr>
      <w:r>
        <w:t>The concept of granny flat interest</w:t>
      </w:r>
      <w:r w:rsidR="0076090A">
        <w:t xml:space="preserve"> </w:t>
      </w:r>
      <w:r w:rsidR="00A40CFF">
        <w:t>has been drawn from the</w:t>
      </w:r>
      <w:r w:rsidR="008F466C">
        <w:t xml:space="preserve"> recognition in the</w:t>
      </w:r>
      <w:r w:rsidR="00A40CFF">
        <w:t xml:space="preserve"> social security law</w:t>
      </w:r>
      <w:r w:rsidR="008F466C">
        <w:t xml:space="preserve"> of</w:t>
      </w:r>
      <w:r w:rsidR="00A40CFF">
        <w:t xml:space="preserve"> family arrangements that provide support for older people. It is essentially a right to live in a specific home for life. </w:t>
      </w:r>
    </w:p>
    <w:p w14:paraId="3961F820" w14:textId="77777777" w:rsidR="008F6AEA" w:rsidRDefault="008F6AEA" w:rsidP="008F6AEA">
      <w:pPr>
        <w:pStyle w:val="base-text-paragraph"/>
      </w:pPr>
      <w:r>
        <w:t>A granny flat interest does not have to relate to properties often referred to as ‘granny flats’ as it is not a description of the type of property. An individual can have a granny flat interest in a wide range of properties, such as a family home or a family’s rental property or holiday home.</w:t>
      </w:r>
    </w:p>
    <w:p w14:paraId="4F85A890" w14:textId="7F9CACF0" w:rsidR="008B4B35" w:rsidRDefault="008B4B35" w:rsidP="008B4B35">
      <w:pPr>
        <w:pStyle w:val="base-text-paragraph"/>
      </w:pPr>
      <w:r>
        <w:rPr>
          <w:b/>
          <w:i/>
        </w:rPr>
        <w:t>Dwelling</w:t>
      </w:r>
      <w:r>
        <w:t xml:space="preserve"> is an existing concept in tax law. It generally captures a unit of accommodation, such as a residential home, and includes the land beneath the home. In this measure, the term refers to the dwelling that the individual has the right to occupy because of the granny flat interest. </w:t>
      </w:r>
    </w:p>
    <w:p w14:paraId="63BF37E9" w14:textId="77777777" w:rsidR="008B4B35" w:rsidRPr="002F3A28" w:rsidRDefault="008B4B35" w:rsidP="008B4B35">
      <w:pPr>
        <w:pStyle w:val="base-text-paragraph"/>
        <w:rPr>
          <w:rStyle w:val="Referencingstyle"/>
          <w:b w:val="0"/>
          <w:i w:val="0"/>
          <w:sz w:val="22"/>
        </w:rPr>
      </w:pPr>
      <w:r>
        <w:t xml:space="preserve">While the term dwelling refers to the unit of accommodation, </w:t>
      </w:r>
      <w:r w:rsidRPr="00C02F1D">
        <w:t>adjacent land and structures</w:t>
      </w:r>
      <w:r>
        <w:t xml:space="preserve"> are also included as part of the term as a granny flat interest could exist in relation to these components too. </w:t>
      </w:r>
      <w:r>
        <w:rPr>
          <w:rStyle w:val="Referencingstyle"/>
        </w:rPr>
        <w:t>[Schedule #, i</w:t>
      </w:r>
      <w:r w:rsidRPr="00375F1D">
        <w:rPr>
          <w:rStyle w:val="Referencingstyle"/>
        </w:rPr>
        <w:t xml:space="preserve">tem </w:t>
      </w:r>
      <w:r>
        <w:rPr>
          <w:rStyle w:val="Referencingstyle"/>
        </w:rPr>
        <w:t>1</w:t>
      </w:r>
      <w:r w:rsidRPr="00375F1D">
        <w:rPr>
          <w:rStyle w:val="Referencingstyle"/>
        </w:rPr>
        <w:t xml:space="preserve">, </w:t>
      </w:r>
      <w:r>
        <w:rPr>
          <w:rStyle w:val="Referencingstyle"/>
        </w:rPr>
        <w:t>section 137-10(3)</w:t>
      </w:r>
      <w:r w:rsidRPr="00375F1D">
        <w:rPr>
          <w:rStyle w:val="Referencingstyle"/>
        </w:rPr>
        <w:t>]</w:t>
      </w:r>
    </w:p>
    <w:p w14:paraId="2E9588FD" w14:textId="673A7855" w:rsidR="008F6AEA" w:rsidRDefault="008F6AEA" w:rsidP="008F6AEA">
      <w:pPr>
        <w:pStyle w:val="base-text-paragraph"/>
      </w:pPr>
      <w:r>
        <w:t xml:space="preserve">Eligibility to hold a granny flat interest for the purposes of the CGT exemption is restricted to individuals who have reached pension age or who have a disability that means they require assistance for most day-to-day activities for at least 12 months. </w:t>
      </w:r>
      <w:r w:rsidRPr="00A3436E">
        <w:rPr>
          <w:rStyle w:val="Referencingstyle"/>
        </w:rPr>
        <w:t xml:space="preserve">[Schedule </w:t>
      </w:r>
      <w:r>
        <w:rPr>
          <w:rStyle w:val="Referencingstyle"/>
        </w:rPr>
        <w:t>#</w:t>
      </w:r>
      <w:r w:rsidRPr="00A3436E">
        <w:rPr>
          <w:rStyle w:val="Referencingstyle"/>
        </w:rPr>
        <w:t>, item 1</w:t>
      </w:r>
      <w:r>
        <w:rPr>
          <w:rStyle w:val="Referencingstyle"/>
        </w:rPr>
        <w:t>, section 137-10(2)</w:t>
      </w:r>
      <w:r w:rsidRPr="00A3436E">
        <w:rPr>
          <w:rStyle w:val="Referencingstyle"/>
        </w:rPr>
        <w:t>]</w:t>
      </w:r>
    </w:p>
    <w:p w14:paraId="16D4AF3C" w14:textId="259773E4" w:rsidR="00142292" w:rsidRDefault="00142292" w:rsidP="00150B25">
      <w:pPr>
        <w:pStyle w:val="Heading3"/>
      </w:pPr>
      <w:r>
        <w:lastRenderedPageBreak/>
        <w:t>The targeted exemption</w:t>
      </w:r>
    </w:p>
    <w:p w14:paraId="3A46A0A6" w14:textId="6E588BAC" w:rsidR="000B0ED2" w:rsidRDefault="000B0ED2" w:rsidP="00150B25">
      <w:pPr>
        <w:pStyle w:val="Heading4"/>
      </w:pPr>
      <w:r>
        <w:t>The core provisions</w:t>
      </w:r>
    </w:p>
    <w:p w14:paraId="0717C48F" w14:textId="62893E44" w:rsidR="000E323D" w:rsidRDefault="00C73536" w:rsidP="007E6994">
      <w:pPr>
        <w:pStyle w:val="base-text-paragraph"/>
      </w:pPr>
      <w:r>
        <w:t xml:space="preserve">A CGT event does not happen if an arrangement is entered into </w:t>
      </w:r>
      <w:r w:rsidR="00D60A6A">
        <w:t>that creates a granny flat interest</w:t>
      </w:r>
      <w:r w:rsidR="008F1441">
        <w:t>,</w:t>
      </w:r>
      <w:r w:rsidR="00D60A6A">
        <w:t xml:space="preserve"> if the requirements </w:t>
      </w:r>
      <w:r w:rsidR="000E323D">
        <w:t>of</w:t>
      </w:r>
      <w:r w:rsidR="00D60A6A">
        <w:t xml:space="preserve"> the </w:t>
      </w:r>
      <w:r w:rsidR="000E323D">
        <w:t>provision</w:t>
      </w:r>
      <w:r w:rsidR="0098222C">
        <w:t>s</w:t>
      </w:r>
      <w:r w:rsidR="00D60A6A">
        <w:t xml:space="preserve"> are </w:t>
      </w:r>
      <w:r w:rsidR="000E323D">
        <w:t>satisfied</w:t>
      </w:r>
      <w:r w:rsidR="00D60A6A">
        <w:t>.</w:t>
      </w:r>
      <w:r w:rsidR="000E323D">
        <w:t xml:space="preserve"> Similarly, a CGT event does not happen if an arrangement is varied to create or vary a granny flat interest</w:t>
      </w:r>
      <w:r w:rsidR="008F1441">
        <w:t>,</w:t>
      </w:r>
      <w:r w:rsidR="000E323D">
        <w:t xml:space="preserve"> if </w:t>
      </w:r>
      <w:r w:rsidR="000B0ED2">
        <w:t>similar</w:t>
      </w:r>
      <w:r w:rsidR="000E323D">
        <w:t xml:space="preserve"> requirements are satisfied.</w:t>
      </w:r>
      <w:r w:rsidR="00D60A6A">
        <w:t xml:space="preserve"> </w:t>
      </w:r>
      <w:r w:rsidR="00DB1185">
        <w:rPr>
          <w:rStyle w:val="Referencingstyle"/>
        </w:rPr>
        <w:t>[Schedule #, i</w:t>
      </w:r>
      <w:r w:rsidR="00DB1185" w:rsidRPr="00375F1D">
        <w:rPr>
          <w:rStyle w:val="Referencingstyle"/>
        </w:rPr>
        <w:t xml:space="preserve">tem </w:t>
      </w:r>
      <w:r w:rsidR="00DB1185">
        <w:rPr>
          <w:rStyle w:val="Referencingstyle"/>
        </w:rPr>
        <w:t>1</w:t>
      </w:r>
      <w:r w:rsidR="00DB1185" w:rsidRPr="00375F1D">
        <w:rPr>
          <w:rStyle w:val="Referencingstyle"/>
        </w:rPr>
        <w:t xml:space="preserve">, sections </w:t>
      </w:r>
      <w:r w:rsidR="00DB1185">
        <w:rPr>
          <w:rStyle w:val="Referencingstyle"/>
        </w:rPr>
        <w:t>137-</w:t>
      </w:r>
      <w:r w:rsidR="002A299A">
        <w:rPr>
          <w:rStyle w:val="Referencingstyle"/>
        </w:rPr>
        <w:t xml:space="preserve">15 </w:t>
      </w:r>
      <w:r w:rsidR="00DB1185">
        <w:rPr>
          <w:rStyle w:val="Referencingstyle"/>
        </w:rPr>
        <w:t>and 137-2</w:t>
      </w:r>
      <w:r w:rsidR="002A299A">
        <w:rPr>
          <w:rStyle w:val="Referencingstyle"/>
        </w:rPr>
        <w:t>0</w:t>
      </w:r>
      <w:r w:rsidR="00DB1185" w:rsidRPr="00375F1D">
        <w:rPr>
          <w:rStyle w:val="Referencingstyle"/>
        </w:rPr>
        <w:t>]</w:t>
      </w:r>
    </w:p>
    <w:p w14:paraId="5C801DB8" w14:textId="110DEFFF" w:rsidR="000B0ED2" w:rsidRPr="00150B25" w:rsidRDefault="000B0ED2" w:rsidP="007E6994">
      <w:pPr>
        <w:pStyle w:val="base-text-paragraph"/>
        <w:rPr>
          <w:rStyle w:val="Referencingstyle"/>
          <w:b w:val="0"/>
          <w:i w:val="0"/>
          <w:sz w:val="22"/>
        </w:rPr>
      </w:pPr>
      <w:r>
        <w:t xml:space="preserve">A CGT event does not happen on the termination of an arrangement if a CGT event did not happen on the </w:t>
      </w:r>
      <w:r w:rsidR="005A3E63">
        <w:t>entering</w:t>
      </w:r>
      <w:r>
        <w:t xml:space="preserve"> into or varying of the arrangement because section 137-15 </w:t>
      </w:r>
      <w:r w:rsidR="002A299A">
        <w:t xml:space="preserve">or </w:t>
      </w:r>
      <w:r>
        <w:t xml:space="preserve">137-20 applied. </w:t>
      </w:r>
      <w:r>
        <w:rPr>
          <w:rStyle w:val="Referencingstyle"/>
        </w:rPr>
        <w:t xml:space="preserve">[Schedule </w:t>
      </w:r>
      <w:r w:rsidR="00AC255D">
        <w:rPr>
          <w:rStyle w:val="Referencingstyle"/>
        </w:rPr>
        <w:t>#</w:t>
      </w:r>
      <w:r>
        <w:rPr>
          <w:rStyle w:val="Referencingstyle"/>
        </w:rPr>
        <w:t>, i</w:t>
      </w:r>
      <w:r w:rsidRPr="00375F1D">
        <w:rPr>
          <w:rStyle w:val="Referencingstyle"/>
        </w:rPr>
        <w:t xml:space="preserve">tem </w:t>
      </w:r>
      <w:r w:rsidR="00AC255D">
        <w:rPr>
          <w:rStyle w:val="Referencingstyle"/>
        </w:rPr>
        <w:t>1</w:t>
      </w:r>
      <w:r w:rsidRPr="00375F1D">
        <w:rPr>
          <w:rStyle w:val="Referencingstyle"/>
        </w:rPr>
        <w:t xml:space="preserve">, section </w:t>
      </w:r>
      <w:r w:rsidR="00AC255D">
        <w:rPr>
          <w:rStyle w:val="Referencingstyle"/>
        </w:rPr>
        <w:t>137-25</w:t>
      </w:r>
      <w:r w:rsidRPr="00375F1D">
        <w:rPr>
          <w:rStyle w:val="Referencingstyle"/>
        </w:rPr>
        <w:t>]</w:t>
      </w:r>
    </w:p>
    <w:p w14:paraId="6BF37295" w14:textId="359B3C96" w:rsidR="006F23A1" w:rsidRDefault="006F23A1" w:rsidP="007E6994">
      <w:pPr>
        <w:pStyle w:val="base-text-paragraph"/>
      </w:pPr>
      <w:r>
        <w:t xml:space="preserve">In all cases, </w:t>
      </w:r>
      <w:r w:rsidR="00D0201F">
        <w:t xml:space="preserve">the </w:t>
      </w:r>
      <w:r>
        <w:t xml:space="preserve">CGT event does not happen only to the extent </w:t>
      </w:r>
      <w:r w:rsidR="00D0201F">
        <w:t xml:space="preserve">that </w:t>
      </w:r>
      <w:r w:rsidR="00AD1CED">
        <w:t>it</w:t>
      </w:r>
      <w:r>
        <w:t xml:space="preserve"> relates to the creation, </w:t>
      </w:r>
      <w:r w:rsidR="008F1441">
        <w:t xml:space="preserve">variation </w:t>
      </w:r>
      <w:r>
        <w:t>or termination (as the case may be) of a granny flat interest.</w:t>
      </w:r>
      <w:r w:rsidR="006F5D28">
        <w:t xml:space="preserve"> Other transactions that may be associated with the granny</w:t>
      </w:r>
      <w:r w:rsidR="00AD1CED">
        <w:t xml:space="preserve"> flat interest</w:t>
      </w:r>
      <w:r w:rsidR="006F5D28">
        <w:t xml:space="preserve">, but </w:t>
      </w:r>
      <w:r w:rsidR="0087792F">
        <w:t>do not relate to</w:t>
      </w:r>
      <w:r w:rsidR="006F5D28">
        <w:t xml:space="preserve"> it</w:t>
      </w:r>
      <w:r w:rsidR="00AD1CED">
        <w:t>s creation, variation or termination, will continue to be subject to the CGT, unaffected by the granny flat interest exemption.</w:t>
      </w:r>
    </w:p>
    <w:p w14:paraId="65320D34" w14:textId="7A9D4628" w:rsidR="00FE5F83" w:rsidRDefault="000B0ED2" w:rsidP="00150B25">
      <w:pPr>
        <w:pStyle w:val="Heading4"/>
      </w:pPr>
      <w:r>
        <w:t>The requirements</w:t>
      </w:r>
    </w:p>
    <w:p w14:paraId="2B1D1E2C" w14:textId="6C01154D" w:rsidR="006F23A1" w:rsidRDefault="006F23A1" w:rsidP="00F65B72">
      <w:pPr>
        <w:pStyle w:val="base-text-paragraph"/>
      </w:pPr>
      <w:r>
        <w:t xml:space="preserve">There are requirements that need to be satisfied for </w:t>
      </w:r>
      <w:r w:rsidR="00D0201F">
        <w:t xml:space="preserve">the </w:t>
      </w:r>
      <w:r>
        <w:t xml:space="preserve">CGT event not to happen. </w:t>
      </w:r>
    </w:p>
    <w:p w14:paraId="318D76E1" w14:textId="0A675A60" w:rsidR="006F23A1" w:rsidRDefault="00552B8D" w:rsidP="007E6994">
      <w:pPr>
        <w:pStyle w:val="base-text-paragraph"/>
      </w:pPr>
      <w:r>
        <w:t>The first requirement is the eligibility for a granny flat interest. As noted above, an individual is eligible for a granny flat interest if the individual has reached pension age or has a disability that means they require assistance for most day-to-day activities for at least 12 months.</w:t>
      </w:r>
      <w:r w:rsidR="004F06F1">
        <w:t xml:space="preserve"> </w:t>
      </w:r>
      <w:r w:rsidR="004F06F1">
        <w:rPr>
          <w:rStyle w:val="Referencingstyle"/>
        </w:rPr>
        <w:t>[Schedule #, i</w:t>
      </w:r>
      <w:r w:rsidR="004F06F1" w:rsidRPr="00375F1D">
        <w:rPr>
          <w:rStyle w:val="Referencingstyle"/>
        </w:rPr>
        <w:t xml:space="preserve">tem </w:t>
      </w:r>
      <w:r w:rsidR="004F06F1">
        <w:rPr>
          <w:rStyle w:val="Referencingstyle"/>
        </w:rPr>
        <w:t>1</w:t>
      </w:r>
      <w:r w:rsidR="004F06F1" w:rsidRPr="00375F1D">
        <w:rPr>
          <w:rStyle w:val="Referencingstyle"/>
        </w:rPr>
        <w:t xml:space="preserve">, sections </w:t>
      </w:r>
      <w:r w:rsidR="004F06F1">
        <w:rPr>
          <w:rStyle w:val="Referencingstyle"/>
        </w:rPr>
        <w:t>137-15(a) and 137-20(a)</w:t>
      </w:r>
      <w:r w:rsidR="004F06F1" w:rsidRPr="00375F1D">
        <w:rPr>
          <w:rStyle w:val="Referencingstyle"/>
        </w:rPr>
        <w:t>]</w:t>
      </w:r>
    </w:p>
    <w:p w14:paraId="1D4557E6" w14:textId="19EA0D0D" w:rsidR="00552B8D" w:rsidRDefault="00552B8D" w:rsidP="007E6994">
      <w:pPr>
        <w:pStyle w:val="base-text-paragraph"/>
      </w:pPr>
      <w:r>
        <w:t xml:space="preserve">Pension age is the same age threshold that is used in determining eligibility </w:t>
      </w:r>
      <w:r w:rsidR="007213BB">
        <w:t>for the Age P</w:t>
      </w:r>
      <w:r>
        <w:t xml:space="preserve">ension. </w:t>
      </w:r>
      <w:r w:rsidR="007213BB">
        <w:t>Section</w:t>
      </w:r>
      <w:r w:rsidR="00DE7AE0">
        <w:t>s</w:t>
      </w:r>
      <w:r w:rsidR="007213BB">
        <w:t xml:space="preserve"> 12(5A), (5B), (5C) and (5D) of the </w:t>
      </w:r>
      <w:r w:rsidR="007213BB">
        <w:rPr>
          <w:i/>
        </w:rPr>
        <w:t>Social Security Act 1991</w:t>
      </w:r>
      <w:r w:rsidR="007213BB">
        <w:t xml:space="preserve"> provide </w:t>
      </w:r>
      <w:r w:rsidR="004F06F1">
        <w:t xml:space="preserve">the thresholds </w:t>
      </w:r>
      <w:r w:rsidR="007213BB">
        <w:t>for pension age.</w:t>
      </w:r>
      <w:r w:rsidR="00FB0AD5">
        <w:t xml:space="preserve"> Those who are above pension age are the ones most likely to require the care</w:t>
      </w:r>
      <w:r w:rsidR="00927E8D">
        <w:t xml:space="preserve"> and support this measure is aimed </w:t>
      </w:r>
      <w:r w:rsidR="0061486C">
        <w:t xml:space="preserve">at </w:t>
      </w:r>
      <w:r w:rsidR="00927E8D">
        <w:t>encouraging</w:t>
      </w:r>
      <w:r w:rsidR="003849B9">
        <w:t>.</w:t>
      </w:r>
    </w:p>
    <w:p w14:paraId="1BD1D797" w14:textId="3E34674A" w:rsidR="0032239D" w:rsidRDefault="007213BB" w:rsidP="00C743AC">
      <w:pPr>
        <w:pStyle w:val="base-text-paragraph"/>
      </w:pPr>
      <w:r>
        <w:t xml:space="preserve">Disability takes its ordinary meaning. </w:t>
      </w:r>
      <w:r w:rsidR="006303AC">
        <w:t>T</w:t>
      </w:r>
      <w:r w:rsidR="004F06F1">
        <w:t xml:space="preserve">he individual </w:t>
      </w:r>
      <w:r w:rsidR="006303AC">
        <w:t xml:space="preserve">needs to </w:t>
      </w:r>
      <w:r w:rsidR="004F06F1">
        <w:t>have an ongoing disability</w:t>
      </w:r>
      <w:r w:rsidR="006303AC">
        <w:t xml:space="preserve"> that </w:t>
      </w:r>
      <w:r w:rsidR="00FB0AD5">
        <w:t>causes them to require</w:t>
      </w:r>
      <w:r w:rsidR="006303AC">
        <w:t xml:space="preserve"> assistance in carrying out most day-to-day activities</w:t>
      </w:r>
      <w:r w:rsidR="00EC40A1">
        <w:t>.</w:t>
      </w:r>
      <w:r w:rsidR="00784A1C">
        <w:t xml:space="preserve"> </w:t>
      </w:r>
      <w:r w:rsidR="006303AC">
        <w:t>It is not intended that a</w:t>
      </w:r>
      <w:r w:rsidR="00EC40A1">
        <w:t>n individual</w:t>
      </w:r>
      <w:r w:rsidR="00784A1C">
        <w:t xml:space="preserve"> </w:t>
      </w:r>
      <w:r w:rsidR="006303AC">
        <w:t xml:space="preserve">be able to </w:t>
      </w:r>
      <w:r w:rsidR="00784A1C">
        <w:t xml:space="preserve">access the exemption </w:t>
      </w:r>
      <w:r w:rsidR="006303AC">
        <w:t xml:space="preserve">because </w:t>
      </w:r>
      <w:r w:rsidR="00784A1C">
        <w:t>of short-term injuries</w:t>
      </w:r>
      <w:r w:rsidR="006303AC">
        <w:t xml:space="preserve"> that have a quick recovery time</w:t>
      </w:r>
      <w:r w:rsidR="004F06F1">
        <w:t>.</w:t>
      </w:r>
      <w:r w:rsidR="0032239D">
        <w:t xml:space="preserve"> </w:t>
      </w:r>
    </w:p>
    <w:p w14:paraId="2D60C763" w14:textId="3B94768E" w:rsidR="007213BB" w:rsidRDefault="00EE4C15" w:rsidP="00C743AC">
      <w:pPr>
        <w:pStyle w:val="base-text-paragraph"/>
      </w:pPr>
      <w:r>
        <w:t>The provision applies to test eligibility at the time of entering into or varying the arrangement. This means that t</w:t>
      </w:r>
      <w:r w:rsidR="007213BB">
        <w:t>he ability to recover from a disability is not an impediment to access</w:t>
      </w:r>
      <w:r w:rsidR="000C1FFD">
        <w:t>ing the CGT exemption</w:t>
      </w:r>
      <w:r>
        <w:t>.</w:t>
      </w:r>
      <w:r w:rsidR="0032239D">
        <w:t xml:space="preserve"> </w:t>
      </w:r>
      <w:r>
        <w:t>T</w:t>
      </w:r>
      <w:r w:rsidR="0032239D">
        <w:t>he ability to undertake employment while having the disability</w:t>
      </w:r>
      <w:r>
        <w:t xml:space="preserve"> is also not an impediment</w:t>
      </w:r>
      <w:r w:rsidR="00784A1C">
        <w:t>.</w:t>
      </w:r>
      <w:r w:rsidR="006303AC">
        <w:t xml:space="preserve"> </w:t>
      </w:r>
    </w:p>
    <w:p w14:paraId="41EC40A6" w14:textId="56DC4EC5" w:rsidR="008214EC" w:rsidRDefault="00774E3C" w:rsidP="007E6994">
      <w:pPr>
        <w:pStyle w:val="base-text-paragraph"/>
      </w:pPr>
      <w:r>
        <w:lastRenderedPageBreak/>
        <w:t xml:space="preserve">The second requirement is </w:t>
      </w:r>
      <w:r w:rsidR="00EC40A1">
        <w:t xml:space="preserve">that an </w:t>
      </w:r>
      <w:r w:rsidR="007E5582" w:rsidRPr="00471E0D">
        <w:t>individual</w:t>
      </w:r>
      <w:r w:rsidR="007E5582">
        <w:t xml:space="preserve"> </w:t>
      </w:r>
      <w:r w:rsidR="00EC40A1">
        <w:t xml:space="preserve">owns the dwelling where the granny flat interest </w:t>
      </w:r>
      <w:r w:rsidR="00D77548">
        <w:t>is</w:t>
      </w:r>
      <w:r w:rsidR="00F75AFB">
        <w:t xml:space="preserve"> held</w:t>
      </w:r>
      <w:r w:rsidR="00D77548">
        <w:t>, or is to be</w:t>
      </w:r>
      <w:r w:rsidR="00F75AFB">
        <w:t xml:space="preserve"> held</w:t>
      </w:r>
      <w:r w:rsidR="00D77548">
        <w:t xml:space="preserve">, </w:t>
      </w:r>
      <w:r w:rsidR="00EC40A1">
        <w:t>at the time of entering into</w:t>
      </w:r>
      <w:r w:rsidR="00D77548">
        <w:t xml:space="preserve"> or varying</w:t>
      </w:r>
      <w:r w:rsidR="00EC40A1">
        <w:t xml:space="preserve"> the arrangement, or agrees to acquire such a dwelling under the arrangement. </w:t>
      </w:r>
      <w:r w:rsidR="00922727">
        <w:rPr>
          <w:rStyle w:val="Referencingstyle"/>
        </w:rPr>
        <w:t xml:space="preserve">[Schedule </w:t>
      </w:r>
      <w:r w:rsidR="008E2BA0">
        <w:rPr>
          <w:rStyle w:val="Referencingstyle"/>
        </w:rPr>
        <w:t>#</w:t>
      </w:r>
      <w:r w:rsidR="00922727">
        <w:rPr>
          <w:rStyle w:val="Referencingstyle"/>
        </w:rPr>
        <w:t>, i</w:t>
      </w:r>
      <w:r w:rsidR="00922727" w:rsidRPr="00375F1D">
        <w:rPr>
          <w:rStyle w:val="Referencingstyle"/>
        </w:rPr>
        <w:t xml:space="preserve">tem </w:t>
      </w:r>
      <w:r w:rsidR="008E2BA0">
        <w:rPr>
          <w:rStyle w:val="Referencingstyle"/>
        </w:rPr>
        <w:t>1</w:t>
      </w:r>
      <w:r w:rsidR="00922727" w:rsidRPr="00375F1D">
        <w:rPr>
          <w:rStyle w:val="Referencingstyle"/>
        </w:rPr>
        <w:t xml:space="preserve">, sections </w:t>
      </w:r>
      <w:r w:rsidR="008E2BA0">
        <w:rPr>
          <w:rStyle w:val="Referencingstyle"/>
        </w:rPr>
        <w:t xml:space="preserve"> 137-15(b) and 137-20(b)</w:t>
      </w:r>
      <w:r w:rsidR="00922727" w:rsidRPr="00375F1D">
        <w:rPr>
          <w:rStyle w:val="Referencingstyle"/>
        </w:rPr>
        <w:t>]</w:t>
      </w:r>
    </w:p>
    <w:p w14:paraId="0D22D9CD" w14:textId="47311F29" w:rsidR="00C73536" w:rsidRDefault="008214EC" w:rsidP="007E6994">
      <w:pPr>
        <w:pStyle w:val="base-text-paragraph"/>
      </w:pPr>
      <w:r>
        <w:t>P</w:t>
      </w:r>
      <w:r w:rsidR="00EC40A1">
        <w:t xml:space="preserve">arties </w:t>
      </w:r>
      <w:r>
        <w:t xml:space="preserve">to a granny flat arrangement </w:t>
      </w:r>
      <w:r w:rsidR="00ED6972">
        <w:t>need not own</w:t>
      </w:r>
      <w:r w:rsidR="00EC40A1">
        <w:t xml:space="preserve"> the </w:t>
      </w:r>
      <w:r>
        <w:t xml:space="preserve">dwelling where the granny flat interest is to be held at the time of entering into the </w:t>
      </w:r>
      <w:r w:rsidR="00EC40A1">
        <w:t>arrangement</w:t>
      </w:r>
      <w:r>
        <w:t xml:space="preserve">. </w:t>
      </w:r>
      <w:r w:rsidR="00F75AFB">
        <w:t>P</w:t>
      </w:r>
      <w:r>
        <w:t xml:space="preserve">arties are able to enter into an arrangement and agree that one party </w:t>
      </w:r>
      <w:r w:rsidR="00ED6972">
        <w:t>will</w:t>
      </w:r>
      <w:r>
        <w:t xml:space="preserve"> acquire a dwelling where the other party is to hold their granny flat interest</w:t>
      </w:r>
      <w:r w:rsidR="00ED6972">
        <w:t xml:space="preserve"> at a future time</w:t>
      </w:r>
      <w:r>
        <w:t xml:space="preserve">. </w:t>
      </w:r>
    </w:p>
    <w:p w14:paraId="2E4AF3A4" w14:textId="0B23D2E6" w:rsidR="001D473E" w:rsidRDefault="00774E3C" w:rsidP="007E6994">
      <w:pPr>
        <w:pStyle w:val="base-text-paragraph"/>
      </w:pPr>
      <w:r>
        <w:t xml:space="preserve">The third requirement is </w:t>
      </w:r>
      <w:r w:rsidR="00746F1B">
        <w:t xml:space="preserve">that both the individual who is to hold the granny flat interest, and the </w:t>
      </w:r>
      <w:r w:rsidR="00553060">
        <w:t xml:space="preserve">individual </w:t>
      </w:r>
      <w:r w:rsidR="0098222C">
        <w:t xml:space="preserve">who </w:t>
      </w:r>
      <w:r w:rsidR="00746F1B">
        <w:t xml:space="preserve">owns, or agrees to acquire, the dwelling where the granny flat interest </w:t>
      </w:r>
      <w:r w:rsidR="00D77548">
        <w:t>is to be held</w:t>
      </w:r>
      <w:r w:rsidR="00746F1B">
        <w:t xml:space="preserve">, are parties to the arrangement. </w:t>
      </w:r>
      <w:r w:rsidR="001D473E">
        <w:rPr>
          <w:rStyle w:val="Referencingstyle"/>
        </w:rPr>
        <w:t>[Schedule 1, i</w:t>
      </w:r>
      <w:r w:rsidR="001D473E" w:rsidRPr="00375F1D">
        <w:rPr>
          <w:rStyle w:val="Referencingstyle"/>
        </w:rPr>
        <w:t xml:space="preserve">tem </w:t>
      </w:r>
      <w:r w:rsidR="001D473E">
        <w:rPr>
          <w:rStyle w:val="Referencingstyle"/>
        </w:rPr>
        <w:t>1</w:t>
      </w:r>
      <w:r w:rsidR="001D473E" w:rsidRPr="00375F1D">
        <w:rPr>
          <w:rStyle w:val="Referencingstyle"/>
        </w:rPr>
        <w:t xml:space="preserve">, sections </w:t>
      </w:r>
      <w:r w:rsidR="001D473E">
        <w:rPr>
          <w:rStyle w:val="Referencingstyle"/>
        </w:rPr>
        <w:t>137-15(c) and 137-20(c)</w:t>
      </w:r>
      <w:r w:rsidR="001D473E" w:rsidRPr="00375F1D">
        <w:rPr>
          <w:rStyle w:val="Referencingstyle"/>
        </w:rPr>
        <w:t>]</w:t>
      </w:r>
    </w:p>
    <w:p w14:paraId="4C93DB9E" w14:textId="428BD1B4" w:rsidR="00774E3C" w:rsidRDefault="00746F1B" w:rsidP="007E6994">
      <w:pPr>
        <w:pStyle w:val="base-text-paragraph"/>
      </w:pPr>
      <w:r>
        <w:t>An individual who is to hold a granny flat interest can enter into a granny flat arrangement with any party. For example, the individual can enter into such arrangements with their family, family friends or members of their cultural community</w:t>
      </w:r>
      <w:r w:rsidR="00C55630">
        <w:t xml:space="preserve">, and these people do not need to </w:t>
      </w:r>
      <w:r w:rsidR="003F5A89">
        <w:t>own the dwelling</w:t>
      </w:r>
      <w:r w:rsidR="00C55630">
        <w:t>. H</w:t>
      </w:r>
      <w:r w:rsidR="003F5A89">
        <w:t xml:space="preserve">owever the </w:t>
      </w:r>
      <w:r w:rsidR="00CE2C1F">
        <w:t xml:space="preserve">individual </w:t>
      </w:r>
      <w:r w:rsidR="00C55630">
        <w:t xml:space="preserve">who does </w:t>
      </w:r>
      <w:r w:rsidR="003F5A89">
        <w:t>own</w:t>
      </w:r>
      <w:r w:rsidR="003649CA">
        <w:t>, or is to own,</w:t>
      </w:r>
      <w:r w:rsidR="003F5A89">
        <w:t xml:space="preserve"> the dwelling</w:t>
      </w:r>
      <w:r w:rsidR="003649CA">
        <w:t>,</w:t>
      </w:r>
      <w:r w:rsidR="003F5A89">
        <w:t xml:space="preserve"> needs to be a party to the arrangement</w:t>
      </w:r>
      <w:r w:rsidR="00CE2C1F">
        <w:t xml:space="preserve">. </w:t>
      </w:r>
    </w:p>
    <w:p w14:paraId="561407C6" w14:textId="488099CA" w:rsidR="00746F1B" w:rsidRDefault="00774E3C" w:rsidP="00C23D35">
      <w:pPr>
        <w:pStyle w:val="base-text-paragraph"/>
      </w:pPr>
      <w:r>
        <w:t>The fo</w:t>
      </w:r>
      <w:r w:rsidR="00EE3775">
        <w:t>u</w:t>
      </w:r>
      <w:r>
        <w:t xml:space="preserve">rth requirement is </w:t>
      </w:r>
      <w:r w:rsidR="00746F1B">
        <w:t xml:space="preserve">that the arrangement </w:t>
      </w:r>
      <w:r w:rsidR="00C55630">
        <w:t>must</w:t>
      </w:r>
      <w:r w:rsidR="00746F1B">
        <w:t xml:space="preserve"> be in writing and indicate an intention for the parties to be legally bound by it.</w:t>
      </w:r>
      <w:r w:rsidR="00C23D35" w:rsidRPr="00C23D35">
        <w:t xml:space="preserve"> </w:t>
      </w:r>
      <w:r w:rsidR="00922727">
        <w:rPr>
          <w:rStyle w:val="Referencingstyle"/>
        </w:rPr>
        <w:t xml:space="preserve">[Schedule </w:t>
      </w:r>
      <w:r w:rsidR="00CE2C1F">
        <w:rPr>
          <w:rStyle w:val="Referencingstyle"/>
        </w:rPr>
        <w:t>#</w:t>
      </w:r>
      <w:r w:rsidR="00922727">
        <w:rPr>
          <w:rStyle w:val="Referencingstyle"/>
        </w:rPr>
        <w:t>, i</w:t>
      </w:r>
      <w:r w:rsidR="00922727" w:rsidRPr="00375F1D">
        <w:rPr>
          <w:rStyle w:val="Referencingstyle"/>
        </w:rPr>
        <w:t xml:space="preserve">tem </w:t>
      </w:r>
      <w:r w:rsidR="00CE2C1F">
        <w:rPr>
          <w:rStyle w:val="Referencingstyle"/>
        </w:rPr>
        <w:t>1</w:t>
      </w:r>
      <w:r w:rsidR="00922727" w:rsidRPr="00375F1D">
        <w:rPr>
          <w:rStyle w:val="Referencingstyle"/>
        </w:rPr>
        <w:t xml:space="preserve">,  </w:t>
      </w:r>
      <w:r w:rsidR="00CE2C1F" w:rsidRPr="00375F1D">
        <w:rPr>
          <w:rStyle w:val="Referencingstyle"/>
        </w:rPr>
        <w:t xml:space="preserve">sections </w:t>
      </w:r>
      <w:r w:rsidR="00CE2C1F">
        <w:rPr>
          <w:rStyle w:val="Referencingstyle"/>
        </w:rPr>
        <w:t>137-15(d) and 137-20(d)</w:t>
      </w:r>
      <w:r w:rsidR="00922727" w:rsidRPr="00375F1D">
        <w:rPr>
          <w:rStyle w:val="Referencingstyle"/>
        </w:rPr>
        <w:t>]</w:t>
      </w:r>
    </w:p>
    <w:p w14:paraId="74C07293" w14:textId="4E0C0F85" w:rsidR="00C23D35" w:rsidRDefault="00C23D35" w:rsidP="00C23D35">
      <w:pPr>
        <w:pStyle w:val="base-text-paragraph"/>
      </w:pPr>
      <w:r>
        <w:t xml:space="preserve">There is no requirement that </w:t>
      </w:r>
      <w:r w:rsidR="00927E8D">
        <w:t xml:space="preserve">a </w:t>
      </w:r>
      <w:r w:rsidR="00C55630">
        <w:t>granny flat</w:t>
      </w:r>
      <w:r>
        <w:t xml:space="preserve"> arrangement </w:t>
      </w:r>
      <w:r w:rsidR="00927E8D">
        <w:t xml:space="preserve">must take a </w:t>
      </w:r>
      <w:r>
        <w:t xml:space="preserve">particular form or include </w:t>
      </w:r>
      <w:r w:rsidR="00927E8D">
        <w:t xml:space="preserve">specific </w:t>
      </w:r>
      <w:r>
        <w:t>terms.</w:t>
      </w:r>
      <w:r w:rsidR="00C1088C">
        <w:t xml:space="preserve"> This allows parties flexibility to ensure an arrangement can be entered into with terms that best suit the circumstances</w:t>
      </w:r>
      <w:r w:rsidR="00FD7539">
        <w:t>,</w:t>
      </w:r>
      <w:r w:rsidR="00C1088C">
        <w:t xml:space="preserve"> and avoids unnecessary </w:t>
      </w:r>
      <w:r w:rsidR="005D1252">
        <w:t xml:space="preserve">requirements </w:t>
      </w:r>
      <w:r w:rsidR="00C1088C">
        <w:t xml:space="preserve">from being a barrier </w:t>
      </w:r>
      <w:r w:rsidR="00ED6972">
        <w:t xml:space="preserve">to </w:t>
      </w:r>
      <w:r w:rsidR="00C1088C">
        <w:t>entering into such arrangements.</w:t>
      </w:r>
      <w:r>
        <w:t xml:space="preserve"> However, </w:t>
      </w:r>
      <w:r w:rsidR="00C1088C">
        <w:t xml:space="preserve">it </w:t>
      </w:r>
      <w:r w:rsidR="00430B26">
        <w:t xml:space="preserve">is expected </w:t>
      </w:r>
      <w:r w:rsidR="00C1088C">
        <w:t>that</w:t>
      </w:r>
      <w:r w:rsidR="00430B26">
        <w:t xml:space="preserve"> a</w:t>
      </w:r>
      <w:r>
        <w:t xml:space="preserve"> </w:t>
      </w:r>
      <w:r w:rsidR="00C1088C">
        <w:t xml:space="preserve">formal </w:t>
      </w:r>
      <w:r>
        <w:t xml:space="preserve">arrangement </w:t>
      </w:r>
      <w:r w:rsidR="00C1088C">
        <w:t xml:space="preserve">would </w:t>
      </w:r>
      <w:r w:rsidR="00430B26">
        <w:t>d</w:t>
      </w:r>
      <w:r>
        <w:t>eal with basic matters such as the parties to the arrangement, the circumstances in which the arrangement could be varied or terminated</w:t>
      </w:r>
      <w:r w:rsidR="00927E8D">
        <w:t>,</w:t>
      </w:r>
      <w:r w:rsidR="00C1088C">
        <w:t xml:space="preserve"> and what happens on variation or termination</w:t>
      </w:r>
      <w:r>
        <w:t xml:space="preserve">.   </w:t>
      </w:r>
    </w:p>
    <w:p w14:paraId="4D758063" w14:textId="586C5367" w:rsidR="00774E3C" w:rsidRDefault="00774E3C" w:rsidP="007E6994">
      <w:pPr>
        <w:pStyle w:val="base-text-paragraph"/>
      </w:pPr>
      <w:r>
        <w:t>The fifth requirement i</w:t>
      </w:r>
      <w:r w:rsidR="00C1088C">
        <w:t>s that the arrangement is not of a commercial nature.</w:t>
      </w:r>
      <w:r w:rsidR="00922727">
        <w:t xml:space="preserve"> </w:t>
      </w:r>
      <w:r w:rsidR="00922727">
        <w:rPr>
          <w:rStyle w:val="Referencingstyle"/>
        </w:rPr>
        <w:t xml:space="preserve">[Schedule </w:t>
      </w:r>
      <w:r w:rsidR="00CA7A43">
        <w:rPr>
          <w:rStyle w:val="Referencingstyle"/>
        </w:rPr>
        <w:t>#</w:t>
      </w:r>
      <w:r w:rsidR="00922727">
        <w:rPr>
          <w:rStyle w:val="Referencingstyle"/>
        </w:rPr>
        <w:t>, i</w:t>
      </w:r>
      <w:r w:rsidR="00922727" w:rsidRPr="00375F1D">
        <w:rPr>
          <w:rStyle w:val="Referencingstyle"/>
        </w:rPr>
        <w:t xml:space="preserve">tem </w:t>
      </w:r>
      <w:r w:rsidR="00CA7A43">
        <w:rPr>
          <w:rStyle w:val="Referencingstyle"/>
        </w:rPr>
        <w:t>1</w:t>
      </w:r>
      <w:r w:rsidR="00922727" w:rsidRPr="00375F1D">
        <w:rPr>
          <w:rStyle w:val="Referencingstyle"/>
        </w:rPr>
        <w:t xml:space="preserve">, sections </w:t>
      </w:r>
      <w:r w:rsidR="00CA7A43">
        <w:rPr>
          <w:rStyle w:val="Referencingstyle"/>
        </w:rPr>
        <w:t>137-15(e) and 137-20(e)</w:t>
      </w:r>
      <w:r w:rsidR="00922727" w:rsidRPr="00375F1D">
        <w:rPr>
          <w:rStyle w:val="Referencingstyle"/>
        </w:rPr>
        <w:t>]</w:t>
      </w:r>
    </w:p>
    <w:p w14:paraId="491AB337" w14:textId="51FB0FD5" w:rsidR="00922727" w:rsidRDefault="003F5A89" w:rsidP="007E6994">
      <w:pPr>
        <w:pStyle w:val="base-text-paragraph"/>
      </w:pPr>
      <w:r>
        <w:t xml:space="preserve">The commerciality of an arrangement would </w:t>
      </w:r>
      <w:r w:rsidR="00530332">
        <w:t xml:space="preserve">need to </w:t>
      </w:r>
      <w:r>
        <w:t xml:space="preserve">be determined </w:t>
      </w:r>
      <w:r w:rsidR="000C673B">
        <w:t>on a case by case basis</w:t>
      </w:r>
      <w:r w:rsidR="00530332">
        <w:t>,</w:t>
      </w:r>
      <w:r w:rsidR="000C673B">
        <w:t xml:space="preserve"> considering the terms of the arrangement and circumstances of </w:t>
      </w:r>
      <w:r w:rsidR="00530332">
        <w:t xml:space="preserve">each </w:t>
      </w:r>
      <w:r w:rsidR="000C673B">
        <w:t>case.</w:t>
      </w:r>
    </w:p>
    <w:p w14:paraId="0EBE03BA" w14:textId="3E9DE492" w:rsidR="000C673B" w:rsidRDefault="00D6535C" w:rsidP="007E6994">
      <w:pPr>
        <w:pStyle w:val="base-text-paragraph"/>
      </w:pPr>
      <w:r>
        <w:t xml:space="preserve">An arrangement requiring the holder of the granny flat interest to pay rent to occupy the accommodation could be an indicator </w:t>
      </w:r>
      <w:r w:rsidR="000C673B">
        <w:t xml:space="preserve">that </w:t>
      </w:r>
      <w:r>
        <w:t xml:space="preserve">the </w:t>
      </w:r>
      <w:r w:rsidR="000C673B">
        <w:t>arrangement is of a commercial nature</w:t>
      </w:r>
      <w:r>
        <w:t>.</w:t>
      </w:r>
    </w:p>
    <w:p w14:paraId="05FB3A0C" w14:textId="596F1C0C" w:rsidR="000C673B" w:rsidRDefault="000C673B" w:rsidP="007E6994">
      <w:pPr>
        <w:pStyle w:val="base-text-paragraph"/>
      </w:pPr>
      <w:r>
        <w:t xml:space="preserve">On the other hand if the individual who holds the granny flat interest merely contributes to the </w:t>
      </w:r>
      <w:r w:rsidR="001211C5">
        <w:t>costs of</w:t>
      </w:r>
      <w:r>
        <w:t xml:space="preserve"> running </w:t>
      </w:r>
      <w:r w:rsidR="00DF1F44">
        <w:t xml:space="preserve">the </w:t>
      </w:r>
      <w:r>
        <w:t xml:space="preserve">household </w:t>
      </w:r>
      <w:r w:rsidR="00EE3775">
        <w:t>that</w:t>
      </w:r>
      <w:r>
        <w:t xml:space="preserve"> they are part of, this </w:t>
      </w:r>
      <w:r w:rsidR="00D6535C">
        <w:t>could</w:t>
      </w:r>
      <w:r w:rsidR="001211C5">
        <w:t xml:space="preserve"> </w:t>
      </w:r>
      <w:r w:rsidR="004E2169">
        <w:t xml:space="preserve">be more </w:t>
      </w:r>
      <w:r w:rsidR="00EE3775">
        <w:t xml:space="preserve">in </w:t>
      </w:r>
      <w:r w:rsidR="004E2169">
        <w:t xml:space="preserve">the nature of a reimbursement of </w:t>
      </w:r>
      <w:r w:rsidR="004E2169">
        <w:lastRenderedPageBreak/>
        <w:t>household expenses</w:t>
      </w:r>
      <w:r>
        <w:t xml:space="preserve"> and suggest</w:t>
      </w:r>
      <w:r w:rsidR="00D6535C">
        <w:t xml:space="preserve"> that </w:t>
      </w:r>
      <w:r>
        <w:t>the arrangement is not of a commercial nature.</w:t>
      </w:r>
    </w:p>
    <w:p w14:paraId="68C5DE81" w14:textId="5826ED54" w:rsidR="00D6535C" w:rsidRDefault="00D6535C" w:rsidP="007E6994">
      <w:pPr>
        <w:pStyle w:val="base-text-paragraph"/>
      </w:pPr>
      <w:r>
        <w:t>The nature of any consideration for the granny flat interest could also be a factor in determining whether the granny flat arrangement is of a commercial nature</w:t>
      </w:r>
      <w:r w:rsidR="000A6AA9">
        <w:t>.</w:t>
      </w:r>
    </w:p>
    <w:p w14:paraId="1B713C8C" w14:textId="3ABA8756" w:rsidR="00CF7CE3" w:rsidRPr="00230B7B" w:rsidRDefault="00CF7CE3" w:rsidP="00230B7B">
      <w:pPr>
        <w:pStyle w:val="Heading3"/>
        <w:spacing w:before="120" w:after="120"/>
        <w:ind w:firstLine="993"/>
        <w:rPr>
          <w:rFonts w:ascii="Times New Roman" w:hAnsi="Times New Roman"/>
        </w:rPr>
      </w:pPr>
      <w:r w:rsidRPr="00230B7B">
        <w:rPr>
          <w:rFonts w:ascii="Times New Roman" w:hAnsi="Times New Roman"/>
        </w:rPr>
        <w:t xml:space="preserve">Example 1.1 </w:t>
      </w:r>
    </w:p>
    <w:p w14:paraId="20E6B666" w14:textId="7CB4F768" w:rsidR="00CF7CE3" w:rsidRDefault="00230B7B" w:rsidP="00230B7B">
      <w:pPr>
        <w:pStyle w:val="base-text-paragraph"/>
        <w:numPr>
          <w:ilvl w:val="0"/>
          <w:numId w:val="0"/>
        </w:numPr>
        <w:ind w:left="2127"/>
        <w:rPr>
          <w:sz w:val="20"/>
        </w:rPr>
      </w:pPr>
      <w:r w:rsidRPr="00230B7B">
        <w:rPr>
          <w:sz w:val="20"/>
        </w:rPr>
        <w:t>Edith is a</w:t>
      </w:r>
      <w:r w:rsidR="00631315">
        <w:rPr>
          <w:sz w:val="20"/>
        </w:rPr>
        <w:t>n</w:t>
      </w:r>
      <w:r w:rsidRPr="00230B7B">
        <w:rPr>
          <w:sz w:val="20"/>
        </w:rPr>
        <w:t xml:space="preserve"> </w:t>
      </w:r>
      <w:r w:rsidR="009D18F5">
        <w:rPr>
          <w:sz w:val="20"/>
        </w:rPr>
        <w:t>80</w:t>
      </w:r>
      <w:r w:rsidR="009D18F5" w:rsidRPr="00230B7B">
        <w:rPr>
          <w:sz w:val="20"/>
        </w:rPr>
        <w:t xml:space="preserve"> </w:t>
      </w:r>
      <w:r w:rsidRPr="00230B7B">
        <w:rPr>
          <w:sz w:val="20"/>
        </w:rPr>
        <w:t xml:space="preserve">year old widow. </w:t>
      </w:r>
      <w:r w:rsidR="001211C5">
        <w:rPr>
          <w:sz w:val="20"/>
        </w:rPr>
        <w:t>L</w:t>
      </w:r>
      <w:r w:rsidR="00AE0C8F">
        <w:rPr>
          <w:sz w:val="20"/>
        </w:rPr>
        <w:t>iving by herself</w:t>
      </w:r>
      <w:r w:rsidRPr="00230B7B">
        <w:rPr>
          <w:sz w:val="20"/>
        </w:rPr>
        <w:t xml:space="preserve"> </w:t>
      </w:r>
      <w:r w:rsidR="001211C5">
        <w:rPr>
          <w:sz w:val="20"/>
        </w:rPr>
        <w:t xml:space="preserve">in the family home </w:t>
      </w:r>
      <w:r>
        <w:rPr>
          <w:sz w:val="20"/>
        </w:rPr>
        <w:t xml:space="preserve">is too much for her to </w:t>
      </w:r>
      <w:r w:rsidR="00686195">
        <w:rPr>
          <w:sz w:val="20"/>
        </w:rPr>
        <w:t>manage</w:t>
      </w:r>
      <w:r w:rsidR="00AE0C8F">
        <w:rPr>
          <w:sz w:val="20"/>
        </w:rPr>
        <w:t>. S</w:t>
      </w:r>
      <w:r w:rsidR="00686195">
        <w:rPr>
          <w:sz w:val="20"/>
        </w:rPr>
        <w:t xml:space="preserve">he intends to </w:t>
      </w:r>
      <w:r w:rsidR="00C74025">
        <w:rPr>
          <w:sz w:val="20"/>
        </w:rPr>
        <w:t xml:space="preserve">sell the </w:t>
      </w:r>
      <w:r w:rsidR="00AE0C8F">
        <w:rPr>
          <w:sz w:val="20"/>
        </w:rPr>
        <w:t xml:space="preserve">home </w:t>
      </w:r>
      <w:r w:rsidR="00C74025">
        <w:rPr>
          <w:sz w:val="20"/>
        </w:rPr>
        <w:t>and move in</w:t>
      </w:r>
      <w:r>
        <w:rPr>
          <w:sz w:val="20"/>
        </w:rPr>
        <w:t xml:space="preserve"> with her daughter Christine and her family.</w:t>
      </w:r>
      <w:r w:rsidR="00C74025">
        <w:rPr>
          <w:sz w:val="20"/>
        </w:rPr>
        <w:t xml:space="preserve"> Christine’s house is not big enough for Edith to live </w:t>
      </w:r>
      <w:r w:rsidR="001211C5">
        <w:rPr>
          <w:sz w:val="20"/>
        </w:rPr>
        <w:t xml:space="preserve">in </w:t>
      </w:r>
      <w:r w:rsidR="00C74025">
        <w:rPr>
          <w:sz w:val="20"/>
        </w:rPr>
        <w:t xml:space="preserve">comfortably and it is decided that </w:t>
      </w:r>
      <w:r w:rsidR="007725C0">
        <w:rPr>
          <w:sz w:val="20"/>
        </w:rPr>
        <w:t xml:space="preserve">Edith </w:t>
      </w:r>
      <w:r w:rsidR="00C74025">
        <w:rPr>
          <w:sz w:val="20"/>
        </w:rPr>
        <w:t xml:space="preserve">will </w:t>
      </w:r>
      <w:r w:rsidR="000F02BD">
        <w:rPr>
          <w:sz w:val="20"/>
        </w:rPr>
        <w:t>contribute to</w:t>
      </w:r>
      <w:r w:rsidR="00C74025">
        <w:rPr>
          <w:sz w:val="20"/>
        </w:rPr>
        <w:t xml:space="preserve"> the costs of building a self-contained flat on the property. Edith and Christine enter into a written agreement under which Edith contributes $200,000 towards building the flat on Christine’s property and acquires a right to live in the flat for life. </w:t>
      </w:r>
      <w:r w:rsidR="007419C0">
        <w:rPr>
          <w:sz w:val="20"/>
        </w:rPr>
        <w:t xml:space="preserve">The agreement also provides that it will terminate should Edith permanently vacate the unit in order to move into a residential care facility. </w:t>
      </w:r>
      <w:r>
        <w:rPr>
          <w:sz w:val="20"/>
        </w:rPr>
        <w:t xml:space="preserve"> </w:t>
      </w:r>
    </w:p>
    <w:p w14:paraId="43299315" w14:textId="4EA48D57" w:rsidR="00F63338" w:rsidRDefault="00326ACD" w:rsidP="00F63338">
      <w:pPr>
        <w:pStyle w:val="base-text-paragraph"/>
        <w:numPr>
          <w:ilvl w:val="0"/>
          <w:numId w:val="0"/>
        </w:numPr>
        <w:ind w:left="2127"/>
        <w:rPr>
          <w:sz w:val="20"/>
        </w:rPr>
      </w:pPr>
      <w:r>
        <w:rPr>
          <w:sz w:val="20"/>
        </w:rPr>
        <w:t xml:space="preserve">Under the exemption, the CGT event </w:t>
      </w:r>
      <w:r w:rsidR="00935105">
        <w:rPr>
          <w:sz w:val="20"/>
        </w:rPr>
        <w:t xml:space="preserve">D1 </w:t>
      </w:r>
      <w:r>
        <w:rPr>
          <w:sz w:val="20"/>
        </w:rPr>
        <w:t xml:space="preserve">that would otherwise have arisen </w:t>
      </w:r>
      <w:r w:rsidR="00935105">
        <w:rPr>
          <w:sz w:val="20"/>
        </w:rPr>
        <w:t xml:space="preserve">from the creation of Edith’s contractual right to live on Christine’s property, will not happen. In addition, </w:t>
      </w:r>
      <w:r w:rsidR="009D27F5">
        <w:rPr>
          <w:sz w:val="20"/>
        </w:rPr>
        <w:t xml:space="preserve">should Christine sell the property, the existence of the agreement, and Edith’s separate use of the flat, </w:t>
      </w:r>
      <w:r w:rsidR="00C743AC">
        <w:rPr>
          <w:sz w:val="20"/>
        </w:rPr>
        <w:t xml:space="preserve">would </w:t>
      </w:r>
      <w:r w:rsidR="009D27F5">
        <w:rPr>
          <w:sz w:val="20"/>
        </w:rPr>
        <w:t>not affect Christine’s</w:t>
      </w:r>
      <w:r w:rsidR="007725C0">
        <w:rPr>
          <w:sz w:val="20"/>
        </w:rPr>
        <w:t xml:space="preserve"> or Edith’s</w:t>
      </w:r>
      <w:r w:rsidR="009D27F5">
        <w:rPr>
          <w:sz w:val="20"/>
        </w:rPr>
        <w:t xml:space="preserve"> ability to claim</w:t>
      </w:r>
      <w:r w:rsidR="00935105">
        <w:rPr>
          <w:sz w:val="20"/>
        </w:rPr>
        <w:t xml:space="preserve"> </w:t>
      </w:r>
      <w:r w:rsidR="009D27F5">
        <w:rPr>
          <w:sz w:val="20"/>
        </w:rPr>
        <w:t>the main residence exemption.</w:t>
      </w:r>
      <w:r w:rsidR="007419C0">
        <w:rPr>
          <w:sz w:val="20"/>
        </w:rPr>
        <w:t xml:space="preserve"> </w:t>
      </w:r>
    </w:p>
    <w:p w14:paraId="1FC8B48B" w14:textId="63E90860" w:rsidR="00400D1A" w:rsidRDefault="00400D1A" w:rsidP="00150B25">
      <w:pPr>
        <w:pStyle w:val="Heading2"/>
      </w:pPr>
      <w:r>
        <w:t>Other amendments</w:t>
      </w:r>
    </w:p>
    <w:p w14:paraId="03876BDE" w14:textId="51FA687F" w:rsidR="000E5AD9" w:rsidRPr="00150B25" w:rsidRDefault="00400D1A" w:rsidP="007E6994">
      <w:pPr>
        <w:pStyle w:val="base-text-paragraph"/>
        <w:rPr>
          <w:rStyle w:val="Referencingstyle"/>
          <w:b w:val="0"/>
          <w:i w:val="0"/>
          <w:sz w:val="22"/>
        </w:rPr>
      </w:pPr>
      <w:r>
        <w:t xml:space="preserve">The amendments </w:t>
      </w:r>
      <w:r w:rsidR="00F170A1">
        <w:t>insert</w:t>
      </w:r>
      <w:r>
        <w:t xml:space="preserve"> a provision </w:t>
      </w:r>
      <w:r w:rsidR="00F170A1">
        <w:t xml:space="preserve">that provides </w:t>
      </w:r>
      <w:r>
        <w:t xml:space="preserve">a summary of what Subdivision 137-A is about. </w:t>
      </w:r>
      <w:r>
        <w:rPr>
          <w:rStyle w:val="Referencingstyle"/>
        </w:rPr>
        <w:t>[Schedule #, i</w:t>
      </w:r>
      <w:r w:rsidRPr="00375F1D">
        <w:rPr>
          <w:rStyle w:val="Referencingstyle"/>
        </w:rPr>
        <w:t xml:space="preserve">tem </w:t>
      </w:r>
      <w:r>
        <w:rPr>
          <w:rStyle w:val="Referencingstyle"/>
        </w:rPr>
        <w:t>1, section 137</w:t>
      </w:r>
      <w:r>
        <w:rPr>
          <w:rStyle w:val="Referencingstyle"/>
        </w:rPr>
        <w:noBreakHyphen/>
        <w:t>1</w:t>
      </w:r>
      <w:r w:rsidRPr="00375F1D">
        <w:rPr>
          <w:rStyle w:val="Referencingstyle"/>
        </w:rPr>
        <w:t>]</w:t>
      </w:r>
    </w:p>
    <w:p w14:paraId="41B77F07" w14:textId="71696BDF" w:rsidR="00986AC3" w:rsidRDefault="000E5AD9">
      <w:pPr>
        <w:pStyle w:val="base-text-paragraph"/>
      </w:pPr>
      <w:r>
        <w:t xml:space="preserve">Definitions of </w:t>
      </w:r>
      <w:r>
        <w:rPr>
          <w:b/>
          <w:i/>
        </w:rPr>
        <w:t xml:space="preserve">eligible for a granny flat interest </w:t>
      </w:r>
      <w:r>
        <w:t xml:space="preserve">and </w:t>
      </w:r>
      <w:r>
        <w:rPr>
          <w:b/>
          <w:i/>
        </w:rPr>
        <w:t xml:space="preserve">granny flat interest </w:t>
      </w:r>
      <w:r>
        <w:t>have been inserted into the dictionary in section 995-1</w:t>
      </w:r>
      <w:r w:rsidR="000D7A01">
        <w:t>(1)</w:t>
      </w:r>
      <w:r>
        <w:t xml:space="preserve">. </w:t>
      </w:r>
      <w:r>
        <w:rPr>
          <w:rStyle w:val="Referencingstyle"/>
        </w:rPr>
        <w:t>[Schedule #, i</w:t>
      </w:r>
      <w:r w:rsidRPr="00375F1D">
        <w:rPr>
          <w:rStyle w:val="Referencingstyle"/>
        </w:rPr>
        <w:t xml:space="preserve">tem </w:t>
      </w:r>
      <w:r>
        <w:rPr>
          <w:rStyle w:val="Referencingstyle"/>
        </w:rPr>
        <w:t>2</w:t>
      </w:r>
      <w:r w:rsidRPr="00375F1D">
        <w:rPr>
          <w:rStyle w:val="Referencingstyle"/>
        </w:rPr>
        <w:t xml:space="preserve">, </w:t>
      </w:r>
      <w:r>
        <w:rPr>
          <w:rStyle w:val="Referencingstyle"/>
        </w:rPr>
        <w:t>section 995-1</w:t>
      </w:r>
      <w:r w:rsidR="000D7A01">
        <w:rPr>
          <w:rStyle w:val="Referencingstyle"/>
        </w:rPr>
        <w:t>(1)</w:t>
      </w:r>
      <w:r w:rsidRPr="00375F1D">
        <w:rPr>
          <w:rStyle w:val="Referencingstyle"/>
        </w:rPr>
        <w:t>]</w:t>
      </w:r>
    </w:p>
    <w:p w14:paraId="40F09530" w14:textId="77777777" w:rsidR="00C3452B" w:rsidRDefault="00C3452B" w:rsidP="00C3452B">
      <w:pPr>
        <w:pStyle w:val="Heading2"/>
      </w:pPr>
      <w:r>
        <w:t>Application and transitional provisions</w:t>
      </w:r>
    </w:p>
    <w:p w14:paraId="3597633E" w14:textId="642FDB86" w:rsidR="00FF009C" w:rsidRDefault="00A9470B" w:rsidP="00FF009C">
      <w:pPr>
        <w:pStyle w:val="base-text-paragraph"/>
        <w:numPr>
          <w:ilvl w:val="1"/>
          <w:numId w:val="37"/>
        </w:numPr>
      </w:pPr>
      <w:r>
        <w:t xml:space="preserve">The amendments in Schedule # to the Bill apply in relation to events that happen on or after the amendments commence that would, apart from the provisions contained in the amendments, be CGT events. </w:t>
      </w:r>
      <w:r w:rsidR="00476843">
        <w:t xml:space="preserve">This is the case even if the arrangements the events relate to were entered into before, on or after that commencement. </w:t>
      </w:r>
      <w:r w:rsidRPr="00A3436E">
        <w:rPr>
          <w:rStyle w:val="Referencingstyle"/>
        </w:rPr>
        <w:t xml:space="preserve">[Schedule </w:t>
      </w:r>
      <w:r>
        <w:rPr>
          <w:rStyle w:val="Referencingstyle"/>
        </w:rPr>
        <w:t xml:space="preserve">#, item 3, </w:t>
      </w:r>
      <w:r w:rsidR="00FB1005">
        <w:rPr>
          <w:rStyle w:val="Referencingstyle"/>
        </w:rPr>
        <w:t xml:space="preserve">section </w:t>
      </w:r>
      <w:r>
        <w:rPr>
          <w:rStyle w:val="Referencingstyle"/>
        </w:rPr>
        <w:t>137</w:t>
      </w:r>
      <w:r w:rsidR="00FB1005">
        <w:rPr>
          <w:rStyle w:val="Referencingstyle"/>
        </w:rPr>
        <w:t>-10</w:t>
      </w:r>
      <w:r>
        <w:rPr>
          <w:rStyle w:val="Referencingstyle"/>
        </w:rPr>
        <w:t xml:space="preserve"> of the Income Tax (Transitional Provisions) Act 1997</w:t>
      </w:r>
      <w:r w:rsidRPr="00A3436E">
        <w:rPr>
          <w:rStyle w:val="Referencingstyle"/>
        </w:rPr>
        <w:t>]</w:t>
      </w:r>
    </w:p>
    <w:sectPr w:rsidR="00FF009C" w:rsidSect="00C10AAF">
      <w:footerReference w:type="even" r:id="rId25"/>
      <w:footerReference w:type="default" r:id="rId26"/>
      <w:footerReference w:type="first" r:id="rId27"/>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58C43" w14:textId="77777777" w:rsidR="005D2915" w:rsidRDefault="005D2915" w:rsidP="00C3452B">
      <w:pPr>
        <w:spacing w:before="0" w:after="0"/>
      </w:pPr>
      <w:r>
        <w:separator/>
      </w:r>
    </w:p>
  </w:endnote>
  <w:endnote w:type="continuationSeparator" w:id="0">
    <w:p w14:paraId="6964FC12" w14:textId="77777777" w:rsidR="005D2915" w:rsidRDefault="005D2915" w:rsidP="00C3452B">
      <w:pPr>
        <w:spacing w:before="0" w:after="0"/>
      </w:pPr>
      <w:r>
        <w:continuationSeparator/>
      </w:r>
    </w:p>
  </w:endnote>
  <w:endnote w:type="continuationNotice" w:id="1">
    <w:p w14:paraId="14FB2394" w14:textId="77777777" w:rsidR="005D2915" w:rsidRDefault="005D29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60E92" w14:textId="77777777" w:rsidR="0087792F" w:rsidRDefault="0087792F" w:rsidP="00E211E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8579" w14:textId="3A30301C" w:rsidR="0087792F" w:rsidRDefault="0087792F" w:rsidP="00E211E9">
    <w:pPr>
      <w:pStyle w:val="leftfooter"/>
    </w:pPr>
    <w:r>
      <w:fldChar w:fldCharType="begin"/>
    </w:r>
    <w:r>
      <w:instrText xml:space="preserve"> PAGE   \* MERGEFORMAT </w:instrText>
    </w:r>
    <w:r>
      <w:fldChar w:fldCharType="separate"/>
    </w:r>
    <w:r w:rsidR="00C02368">
      <w:rPr>
        <w:noProof/>
      </w:rPr>
      <w:t>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7" w:name="_Hlk26336195"/>
  <w:bookmarkStart w:id="38" w:name="_Hlk26336196"/>
  <w:bookmarkStart w:id="39" w:name="_Hlk26336199"/>
  <w:bookmarkStart w:id="40" w:name="_Hlk26336200"/>
  <w:p w14:paraId="4C6AEC20" w14:textId="77C1F87B" w:rsidR="0087792F" w:rsidRDefault="0087792F" w:rsidP="00E211E9">
    <w:pPr>
      <w:pStyle w:val="rightfooter"/>
    </w:pPr>
    <w:r>
      <w:fldChar w:fldCharType="begin"/>
    </w:r>
    <w:r>
      <w:instrText xml:space="preserve"> PAGE   \* MERGEFORMAT </w:instrText>
    </w:r>
    <w:r>
      <w:fldChar w:fldCharType="separate"/>
    </w:r>
    <w:r w:rsidR="00C02368">
      <w:rPr>
        <w:noProof/>
      </w:rPr>
      <w:t>7</w:t>
    </w:r>
    <w:r>
      <w:rPr>
        <w:noProof/>
      </w:rPr>
      <w:fldChar w:fldCharType="end"/>
    </w:r>
    <w:bookmarkEnd w:id="37"/>
    <w:bookmarkEnd w:id="38"/>
    <w:bookmarkEnd w:id="39"/>
    <w:bookmarkEnd w:id="40"/>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1" w:name="_Hlk26336197"/>
  <w:bookmarkStart w:id="42" w:name="_Hlk26336198"/>
  <w:p w14:paraId="1140BA68" w14:textId="4F8B4038" w:rsidR="0087792F" w:rsidRDefault="0087792F" w:rsidP="00E211E9">
    <w:pPr>
      <w:pStyle w:val="rightfooter"/>
    </w:pPr>
    <w:r>
      <w:fldChar w:fldCharType="begin"/>
    </w:r>
    <w:r>
      <w:instrText xml:space="preserve"> PAGE  \* Arabic  \* MERGEFORMAT </w:instrText>
    </w:r>
    <w:r>
      <w:fldChar w:fldCharType="separate"/>
    </w:r>
    <w:r w:rsidR="00C02368">
      <w:rPr>
        <w:noProof/>
      </w:rPr>
      <w:t>3</w:t>
    </w:r>
    <w:r>
      <w:rPr>
        <w:noProof/>
      </w:rPr>
      <w:fldChar w:fldCharType="end"/>
    </w:r>
    <w:bookmarkEnd w:id="41"/>
    <w:bookmarkEnd w:id="42"/>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552A4E2D" w14:textId="77777777" w:rsidR="0087792F" w:rsidRDefault="0087792F" w:rsidP="00E211E9">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EF7A" w14:textId="77777777" w:rsidR="0087792F" w:rsidRDefault="0087792F">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BE4CC" w14:textId="77777777" w:rsidR="0087792F" w:rsidRDefault="0087792F" w:rsidP="00E211E9">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8" w:name="_Hlk26336159"/>
  <w:bookmarkStart w:id="19" w:name="_Hlk26336160"/>
  <w:bookmarkStart w:id="20" w:name="_Hlk26336163"/>
  <w:bookmarkStart w:id="21" w:name="_Hlk26336164"/>
  <w:p w14:paraId="303A349F" w14:textId="77777777" w:rsidR="0087792F" w:rsidRDefault="0087792F" w:rsidP="00E211E9">
    <w:pPr>
      <w:pStyle w:val="rightfooter"/>
    </w:pPr>
    <w:r>
      <w:fldChar w:fldCharType="begin"/>
    </w:r>
    <w:r>
      <w:instrText xml:space="preserve"> PAGE   \* MERGEFORMAT </w:instrText>
    </w:r>
    <w:r>
      <w:fldChar w:fldCharType="separate"/>
    </w:r>
    <w:r>
      <w:rPr>
        <w:noProof/>
      </w:rPr>
      <w:t>5</w:t>
    </w:r>
    <w:r>
      <w:rPr>
        <w:noProof/>
      </w:rPr>
      <w:fldChar w:fldCharType="end"/>
    </w:r>
    <w:bookmarkEnd w:id="18"/>
    <w:bookmarkEnd w:id="19"/>
    <w:bookmarkEnd w:id="20"/>
    <w:bookmarkEnd w:id="21"/>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226CC" w14:textId="77777777" w:rsidR="0087792F" w:rsidRPr="00B2068E" w:rsidRDefault="0087792F" w:rsidP="00E211E9">
    <w:pPr>
      <w:pStyle w:val="Footer"/>
    </w:pPr>
    <w:bookmarkStart w:id="24" w:name="_Hlk26336161"/>
    <w:bookmarkStart w:id="25" w:name="_Hlk26336162"/>
    <w:bookmarkEnd w:id="24"/>
    <w:bookmarkEnd w:id="25"/>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0A803" w14:textId="77777777" w:rsidR="0087792F" w:rsidRDefault="0087792F" w:rsidP="00E211E9">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0" w:name="_Hlk26336171"/>
  <w:bookmarkStart w:id="31" w:name="_Hlk26336172"/>
  <w:bookmarkStart w:id="32" w:name="_Hlk26336175"/>
  <w:bookmarkStart w:id="33" w:name="_Hlk26336176"/>
  <w:p w14:paraId="0E9D7C67" w14:textId="77777777" w:rsidR="0087792F" w:rsidRDefault="0087792F" w:rsidP="00E211E9">
    <w:pPr>
      <w:pStyle w:val="rightfooter"/>
    </w:pPr>
    <w:r>
      <w:fldChar w:fldCharType="begin"/>
    </w:r>
    <w:r>
      <w:instrText xml:space="preserve"> PAGE   \* MERGEFORMAT </w:instrText>
    </w:r>
    <w:r>
      <w:fldChar w:fldCharType="separate"/>
    </w:r>
    <w:r>
      <w:rPr>
        <w:noProof/>
      </w:rPr>
      <w:t>3</w:t>
    </w:r>
    <w:r>
      <w:rPr>
        <w:noProof/>
      </w:rPr>
      <w:fldChar w:fldCharType="end"/>
    </w:r>
    <w:bookmarkEnd w:id="30"/>
    <w:bookmarkEnd w:id="31"/>
    <w:bookmarkEnd w:id="32"/>
    <w:bookmarkEnd w:id="33"/>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4" w:name="_Hlk26336173"/>
  <w:bookmarkStart w:id="35" w:name="_Hlk26336174"/>
  <w:p w14:paraId="63EAD5C2" w14:textId="5D307CD4" w:rsidR="0087792F" w:rsidRDefault="0087792F" w:rsidP="00E211E9">
    <w:pPr>
      <w:pStyle w:val="rightfooter"/>
    </w:pPr>
    <w:r>
      <w:fldChar w:fldCharType="begin"/>
    </w:r>
    <w:r>
      <w:instrText xml:space="preserve"> PAGE  \* Arabic  \* MERGEFORMAT </w:instrText>
    </w:r>
    <w:r>
      <w:fldChar w:fldCharType="separate"/>
    </w:r>
    <w:r w:rsidR="00C02368">
      <w:rPr>
        <w:noProof/>
      </w:rPr>
      <w:t>1</w:t>
    </w:r>
    <w:r>
      <w:rPr>
        <w:noProof/>
      </w:rPr>
      <w:fldChar w:fldCharType="end"/>
    </w:r>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2208" w14:textId="77777777" w:rsidR="005D2915" w:rsidRDefault="005D2915" w:rsidP="00C3452B">
      <w:pPr>
        <w:spacing w:before="0" w:after="0"/>
      </w:pPr>
      <w:r>
        <w:separator/>
      </w:r>
    </w:p>
  </w:footnote>
  <w:footnote w:type="continuationSeparator" w:id="0">
    <w:p w14:paraId="574EC26C" w14:textId="77777777" w:rsidR="005D2915" w:rsidRDefault="005D2915" w:rsidP="00C3452B">
      <w:pPr>
        <w:spacing w:before="0" w:after="0"/>
      </w:pPr>
      <w:r>
        <w:continuationSeparator/>
      </w:r>
    </w:p>
  </w:footnote>
  <w:footnote w:type="continuationNotice" w:id="1">
    <w:p w14:paraId="32C0500F" w14:textId="77777777" w:rsidR="005D2915" w:rsidRDefault="005D29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56D2" w14:textId="77777777" w:rsidR="0087792F" w:rsidRDefault="0087792F" w:rsidP="00E211E9">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5CE79748" w14:textId="77777777" w:rsidR="0087792F" w:rsidRDefault="0087792F" w:rsidP="00E211E9">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24814545" w14:textId="77777777" w:rsidR="0087792F" w:rsidRDefault="005D2915">
        <w:pPr>
          <w:pStyle w:val="Header"/>
        </w:pPr>
        <w:r>
          <w:rPr>
            <w:noProof/>
            <w:lang w:val="en-US" w:eastAsia="en-US"/>
          </w:rPr>
          <w:pict w14:anchorId="10A95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82651" w14:textId="77777777" w:rsidR="0087792F" w:rsidRDefault="0087792F" w:rsidP="00E211E9">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27277" w14:textId="77777777" w:rsidR="0087792F" w:rsidRDefault="0087792F" w:rsidP="00E211E9">
    <w:pPr>
      <w:pStyle w:val="rightheader"/>
    </w:pPr>
    <w:bookmarkStart w:id="14" w:name="_Hlk26336153"/>
    <w:bookmarkStart w:id="15" w:name="_Hlk26336154"/>
    <w:bookmarkStart w:id="16" w:name="_Hlk26336157"/>
    <w:bookmarkStart w:id="17" w:name="_Hlk26336158"/>
    <w:bookmarkEnd w:id="14"/>
    <w:bookmarkEnd w:id="15"/>
    <w:bookmarkEnd w:id="16"/>
    <w:bookmarkEnd w:id="17"/>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4F34" w14:textId="77777777" w:rsidR="0087792F" w:rsidRDefault="0087792F">
    <w:pPr>
      <w:pStyle w:val="Header"/>
    </w:pPr>
    <w:bookmarkStart w:id="22" w:name="_Hlk26336191"/>
    <w:bookmarkStart w:id="23" w:name="_Hlk26336192"/>
    <w:bookmarkEnd w:id="22"/>
    <w:bookmarkEnd w:id="23"/>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1641" w14:textId="3F006BEB" w:rsidR="0087792F" w:rsidRPr="00422FA2" w:rsidRDefault="005D2915" w:rsidP="00E211E9">
    <w:pPr>
      <w:pStyle w:val="leftheader"/>
    </w:pPr>
    <w:r>
      <w:fldChar w:fldCharType="begin"/>
    </w:r>
    <w:r>
      <w:instrText xml:space="preserve"> STYLEREF  "Bill Name"  \* MERGEFORMAT </w:instrText>
    </w:r>
    <w:r>
      <w:fldChar w:fldCharType="separate"/>
    </w:r>
    <w:r w:rsidR="00C02368">
      <w:rPr>
        <w:noProof/>
      </w:rPr>
      <w:t>Treasury Laws Amendment (Measures for Consultation) Bill 2021: Exempting granny flat arrangements from CGT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8" w:name="_Hlk26336193"/>
  <w:bookmarkStart w:id="29" w:name="_Hlk26336194"/>
  <w:p w14:paraId="147A3CE8" w14:textId="09ED9C5B" w:rsidR="0087792F" w:rsidRDefault="0087792F" w:rsidP="00E211E9">
    <w:pPr>
      <w:pStyle w:val="rightheader"/>
    </w:pPr>
    <w:r>
      <w:fldChar w:fldCharType="begin"/>
    </w:r>
    <w:r>
      <w:instrText xml:space="preserve"> STYLEREF  "ChapterNameOnly"  \* MERGEFORMAT </w:instrText>
    </w:r>
    <w:r>
      <w:fldChar w:fldCharType="separate"/>
    </w:r>
    <w:r w:rsidR="00C02368">
      <w:rPr>
        <w:noProof/>
      </w:rPr>
      <w:t>Exempting Granny Flat Arrangements from Capital Gains Tax</w:t>
    </w:r>
    <w:r>
      <w:rPr>
        <w:noProof/>
      </w:rPr>
      <w:fldChar w:fldCharType="end"/>
    </w:r>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97F9C"/>
    <w:multiLevelType w:val="multilevel"/>
    <w:tmpl w:val="6986B90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A301A"/>
    <w:multiLevelType w:val="hybridMultilevel"/>
    <w:tmpl w:val="136EDDD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DF6494"/>
    <w:multiLevelType w:val="multilevel"/>
    <w:tmpl w:val="A316FE50"/>
    <w:numStyleLink w:val="ChapterList"/>
  </w:abstractNum>
  <w:abstractNum w:abstractNumId="24" w15:restartNumberingAfterBreak="0">
    <w:nsid w:val="6789508F"/>
    <w:multiLevelType w:val="hybridMultilevel"/>
    <w:tmpl w:val="7916AA9E"/>
    <w:lvl w:ilvl="0" w:tplc="0C090001">
      <w:start w:val="1"/>
      <w:numFmt w:val="bullet"/>
      <w:lvlText w:val=""/>
      <w:lvlJc w:val="left"/>
      <w:pPr>
        <w:ind w:left="1494" w:hanging="360"/>
      </w:pPr>
      <w:rPr>
        <w:rFonts w:ascii="Symbol" w:hAnsi="Symbol" w:hint="default"/>
      </w:rPr>
    </w:lvl>
    <w:lvl w:ilvl="1" w:tplc="3D1CD0D4">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5"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7"/>
  </w:num>
  <w:num w:numId="2">
    <w:abstractNumId w:val="12"/>
  </w:num>
  <w:num w:numId="3">
    <w:abstractNumId w:val="15"/>
  </w:num>
  <w:num w:numId="4">
    <w:abstractNumId w:val="25"/>
  </w:num>
  <w:num w:numId="5">
    <w:abstractNumId w:val="21"/>
  </w:num>
  <w:num w:numId="6">
    <w:abstractNumId w:val="26"/>
  </w:num>
  <w:num w:numId="7">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3"/>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8"/>
  </w:num>
  <w:num w:numId="10">
    <w:abstractNumId w:val="23"/>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9"/>
  </w:num>
  <w:num w:numId="12">
    <w:abstractNumId w:val="20"/>
  </w:num>
  <w:num w:numId="13">
    <w:abstractNumId w:val="22"/>
  </w:num>
  <w:num w:numId="14">
    <w:abstractNumId w:val="23"/>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3"/>
  </w:num>
  <w:num w:numId="26">
    <w:abstractNumId w:val="11"/>
  </w:num>
  <w:num w:numId="27">
    <w:abstractNumId w:val="23"/>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4"/>
  </w:num>
  <w:num w:numId="29">
    <w:abstractNumId w:val="23"/>
  </w:num>
  <w:num w:numId="30">
    <w:abstractNumId w:val="24"/>
  </w:num>
  <w:num w:numId="31">
    <w:abstractNumId w:val="23"/>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23"/>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0"/>
  </w:num>
  <w:num w:numId="36">
    <w:abstractNumId w:val="16"/>
  </w:num>
  <w:num w:numId="37">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3"/>
    <w:lvlOverride w:ilvl="0">
      <w:startOverride w:val="1"/>
      <w:lvl w:ilvl="0">
        <w:start w:val="1"/>
        <w:numFmt w:val="decimal"/>
        <w:lvlText w:val=""/>
        <w:lvlJc w:val="left"/>
      </w:lvl>
    </w:lvlOverride>
    <w:lvlOverride w:ilvl="1">
      <w:startOverride w:val="1"/>
      <w:lvl w:ilvl="1">
        <w:start w:val="1"/>
        <w:numFmt w:val="decimal"/>
        <w:pStyle w:val="base-text-paragraph"/>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3"/>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38"/>
    <w:rsid w:val="00033BB1"/>
    <w:rsid w:val="000427F4"/>
    <w:rsid w:val="000470D8"/>
    <w:rsid w:val="00047C8D"/>
    <w:rsid w:val="000531D9"/>
    <w:rsid w:val="00056C89"/>
    <w:rsid w:val="00061580"/>
    <w:rsid w:val="00067D46"/>
    <w:rsid w:val="00075178"/>
    <w:rsid w:val="00075BEA"/>
    <w:rsid w:val="000774D0"/>
    <w:rsid w:val="00090444"/>
    <w:rsid w:val="000A4B31"/>
    <w:rsid w:val="000A6AA9"/>
    <w:rsid w:val="000B0ED2"/>
    <w:rsid w:val="000C16D5"/>
    <w:rsid w:val="000C1FFD"/>
    <w:rsid w:val="000C673B"/>
    <w:rsid w:val="000D7A01"/>
    <w:rsid w:val="000E0539"/>
    <w:rsid w:val="000E2955"/>
    <w:rsid w:val="000E323D"/>
    <w:rsid w:val="000E379E"/>
    <w:rsid w:val="000E5AD9"/>
    <w:rsid w:val="000F02BD"/>
    <w:rsid w:val="00106D13"/>
    <w:rsid w:val="00110485"/>
    <w:rsid w:val="00111EC0"/>
    <w:rsid w:val="001126B4"/>
    <w:rsid w:val="001211C5"/>
    <w:rsid w:val="00142292"/>
    <w:rsid w:val="00150B25"/>
    <w:rsid w:val="0019387F"/>
    <w:rsid w:val="00193A38"/>
    <w:rsid w:val="001A64D5"/>
    <w:rsid w:val="001C38DF"/>
    <w:rsid w:val="001D473E"/>
    <w:rsid w:val="001E061A"/>
    <w:rsid w:val="001E1757"/>
    <w:rsid w:val="001F02F9"/>
    <w:rsid w:val="00211CDA"/>
    <w:rsid w:val="00224C1B"/>
    <w:rsid w:val="00230B7B"/>
    <w:rsid w:val="00234510"/>
    <w:rsid w:val="00236ED1"/>
    <w:rsid w:val="00262992"/>
    <w:rsid w:val="00270557"/>
    <w:rsid w:val="00275AA7"/>
    <w:rsid w:val="00282496"/>
    <w:rsid w:val="00291C32"/>
    <w:rsid w:val="002A11D1"/>
    <w:rsid w:val="002A299A"/>
    <w:rsid w:val="002B3F5C"/>
    <w:rsid w:val="002B4B3E"/>
    <w:rsid w:val="00301F59"/>
    <w:rsid w:val="00315FE8"/>
    <w:rsid w:val="003217A8"/>
    <w:rsid w:val="0032239D"/>
    <w:rsid w:val="00326ACD"/>
    <w:rsid w:val="003350F2"/>
    <w:rsid w:val="0036398A"/>
    <w:rsid w:val="003649CA"/>
    <w:rsid w:val="0036587E"/>
    <w:rsid w:val="003772CA"/>
    <w:rsid w:val="00377661"/>
    <w:rsid w:val="003849B9"/>
    <w:rsid w:val="00397926"/>
    <w:rsid w:val="003B6D77"/>
    <w:rsid w:val="003F51AF"/>
    <w:rsid w:val="003F5A89"/>
    <w:rsid w:val="00400D1A"/>
    <w:rsid w:val="004163A0"/>
    <w:rsid w:val="004218DE"/>
    <w:rsid w:val="0043014F"/>
    <w:rsid w:val="00430B26"/>
    <w:rsid w:val="00430E0F"/>
    <w:rsid w:val="00471E0D"/>
    <w:rsid w:val="00476843"/>
    <w:rsid w:val="004927BC"/>
    <w:rsid w:val="00495213"/>
    <w:rsid w:val="004C0BA0"/>
    <w:rsid w:val="004C506F"/>
    <w:rsid w:val="004E12FE"/>
    <w:rsid w:val="004E2169"/>
    <w:rsid w:val="004F06F1"/>
    <w:rsid w:val="004F7E1D"/>
    <w:rsid w:val="00507CDA"/>
    <w:rsid w:val="00510623"/>
    <w:rsid w:val="00530332"/>
    <w:rsid w:val="005354E2"/>
    <w:rsid w:val="00552B8D"/>
    <w:rsid w:val="00553060"/>
    <w:rsid w:val="00565BDA"/>
    <w:rsid w:val="00571387"/>
    <w:rsid w:val="005756CC"/>
    <w:rsid w:val="005A306A"/>
    <w:rsid w:val="005A3E63"/>
    <w:rsid w:val="005D1252"/>
    <w:rsid w:val="005D2915"/>
    <w:rsid w:val="00607055"/>
    <w:rsid w:val="0061486C"/>
    <w:rsid w:val="006254B5"/>
    <w:rsid w:val="006303AC"/>
    <w:rsid w:val="00631315"/>
    <w:rsid w:val="00641EF8"/>
    <w:rsid w:val="00647EE7"/>
    <w:rsid w:val="00686195"/>
    <w:rsid w:val="00686C53"/>
    <w:rsid w:val="00687601"/>
    <w:rsid w:val="00693232"/>
    <w:rsid w:val="006B7132"/>
    <w:rsid w:val="006D263D"/>
    <w:rsid w:val="006D38BB"/>
    <w:rsid w:val="006D5708"/>
    <w:rsid w:val="006E0825"/>
    <w:rsid w:val="006E325E"/>
    <w:rsid w:val="006F23A1"/>
    <w:rsid w:val="006F319E"/>
    <w:rsid w:val="006F5D28"/>
    <w:rsid w:val="007213BB"/>
    <w:rsid w:val="00740805"/>
    <w:rsid w:val="007419C0"/>
    <w:rsid w:val="00745EC4"/>
    <w:rsid w:val="00746F1B"/>
    <w:rsid w:val="0076090A"/>
    <w:rsid w:val="00761A5D"/>
    <w:rsid w:val="00770CE5"/>
    <w:rsid w:val="007725C0"/>
    <w:rsid w:val="00774E3C"/>
    <w:rsid w:val="00784A1C"/>
    <w:rsid w:val="00796B77"/>
    <w:rsid w:val="007B3374"/>
    <w:rsid w:val="007C5224"/>
    <w:rsid w:val="007E5582"/>
    <w:rsid w:val="007E6994"/>
    <w:rsid w:val="008010F3"/>
    <w:rsid w:val="008017F5"/>
    <w:rsid w:val="008214EC"/>
    <w:rsid w:val="008338EE"/>
    <w:rsid w:val="0084731D"/>
    <w:rsid w:val="00852C21"/>
    <w:rsid w:val="00855B6F"/>
    <w:rsid w:val="0087792F"/>
    <w:rsid w:val="008A6213"/>
    <w:rsid w:val="008B109E"/>
    <w:rsid w:val="008B1CBC"/>
    <w:rsid w:val="008B4B35"/>
    <w:rsid w:val="008D2043"/>
    <w:rsid w:val="008D75D3"/>
    <w:rsid w:val="008E2BA0"/>
    <w:rsid w:val="008F1441"/>
    <w:rsid w:val="008F466C"/>
    <w:rsid w:val="008F6AEA"/>
    <w:rsid w:val="009062F9"/>
    <w:rsid w:val="00922727"/>
    <w:rsid w:val="00922B76"/>
    <w:rsid w:val="00927E8D"/>
    <w:rsid w:val="00932C85"/>
    <w:rsid w:val="00935105"/>
    <w:rsid w:val="009430C1"/>
    <w:rsid w:val="009454F6"/>
    <w:rsid w:val="00966CDA"/>
    <w:rsid w:val="00974EF5"/>
    <w:rsid w:val="009801D9"/>
    <w:rsid w:val="0098222C"/>
    <w:rsid w:val="00986AC3"/>
    <w:rsid w:val="0099236C"/>
    <w:rsid w:val="009B56D4"/>
    <w:rsid w:val="009B6B0A"/>
    <w:rsid w:val="009D18F5"/>
    <w:rsid w:val="009D27F5"/>
    <w:rsid w:val="009D3F8F"/>
    <w:rsid w:val="009F444B"/>
    <w:rsid w:val="00A13FD4"/>
    <w:rsid w:val="00A14BD5"/>
    <w:rsid w:val="00A202D2"/>
    <w:rsid w:val="00A212E8"/>
    <w:rsid w:val="00A2509A"/>
    <w:rsid w:val="00A3436E"/>
    <w:rsid w:val="00A40CFF"/>
    <w:rsid w:val="00A42179"/>
    <w:rsid w:val="00A45D61"/>
    <w:rsid w:val="00A66067"/>
    <w:rsid w:val="00A66BE8"/>
    <w:rsid w:val="00A71417"/>
    <w:rsid w:val="00A71AB1"/>
    <w:rsid w:val="00A9470B"/>
    <w:rsid w:val="00AA609D"/>
    <w:rsid w:val="00AA6938"/>
    <w:rsid w:val="00AB7295"/>
    <w:rsid w:val="00AC255D"/>
    <w:rsid w:val="00AD1CED"/>
    <w:rsid w:val="00AE0C8F"/>
    <w:rsid w:val="00AE483D"/>
    <w:rsid w:val="00AE6504"/>
    <w:rsid w:val="00AE7E63"/>
    <w:rsid w:val="00AF74CF"/>
    <w:rsid w:val="00B30805"/>
    <w:rsid w:val="00B3353E"/>
    <w:rsid w:val="00B62C83"/>
    <w:rsid w:val="00B7295D"/>
    <w:rsid w:val="00B868DF"/>
    <w:rsid w:val="00B9047C"/>
    <w:rsid w:val="00BA377C"/>
    <w:rsid w:val="00BA62FA"/>
    <w:rsid w:val="00C02368"/>
    <w:rsid w:val="00C04796"/>
    <w:rsid w:val="00C1088C"/>
    <w:rsid w:val="00C10AAF"/>
    <w:rsid w:val="00C23D35"/>
    <w:rsid w:val="00C3452B"/>
    <w:rsid w:val="00C40220"/>
    <w:rsid w:val="00C446DE"/>
    <w:rsid w:val="00C55630"/>
    <w:rsid w:val="00C73536"/>
    <w:rsid w:val="00C74025"/>
    <w:rsid w:val="00C743AC"/>
    <w:rsid w:val="00C845D1"/>
    <w:rsid w:val="00C90034"/>
    <w:rsid w:val="00C9209D"/>
    <w:rsid w:val="00C9500F"/>
    <w:rsid w:val="00CA1519"/>
    <w:rsid w:val="00CA6AEB"/>
    <w:rsid w:val="00CA7A43"/>
    <w:rsid w:val="00CE2C1F"/>
    <w:rsid w:val="00CF7CE3"/>
    <w:rsid w:val="00D0201F"/>
    <w:rsid w:val="00D32AD6"/>
    <w:rsid w:val="00D41253"/>
    <w:rsid w:val="00D41688"/>
    <w:rsid w:val="00D4604B"/>
    <w:rsid w:val="00D46FD3"/>
    <w:rsid w:val="00D47AE1"/>
    <w:rsid w:val="00D52DD6"/>
    <w:rsid w:val="00D60A6A"/>
    <w:rsid w:val="00D6535C"/>
    <w:rsid w:val="00D77548"/>
    <w:rsid w:val="00D82A41"/>
    <w:rsid w:val="00D94A34"/>
    <w:rsid w:val="00DA1D9A"/>
    <w:rsid w:val="00DA4F8F"/>
    <w:rsid w:val="00DB1185"/>
    <w:rsid w:val="00DC75FE"/>
    <w:rsid w:val="00DE05AF"/>
    <w:rsid w:val="00DE7AE0"/>
    <w:rsid w:val="00DF1F44"/>
    <w:rsid w:val="00DF3371"/>
    <w:rsid w:val="00E058AE"/>
    <w:rsid w:val="00E141FF"/>
    <w:rsid w:val="00E211E9"/>
    <w:rsid w:val="00E271F3"/>
    <w:rsid w:val="00E3539F"/>
    <w:rsid w:val="00E74397"/>
    <w:rsid w:val="00E9089F"/>
    <w:rsid w:val="00EA6F93"/>
    <w:rsid w:val="00EC2666"/>
    <w:rsid w:val="00EC40A1"/>
    <w:rsid w:val="00ED6972"/>
    <w:rsid w:val="00EE12AB"/>
    <w:rsid w:val="00EE2496"/>
    <w:rsid w:val="00EE3775"/>
    <w:rsid w:val="00EE4C15"/>
    <w:rsid w:val="00EF1112"/>
    <w:rsid w:val="00F04E19"/>
    <w:rsid w:val="00F170A1"/>
    <w:rsid w:val="00F2202D"/>
    <w:rsid w:val="00F23F78"/>
    <w:rsid w:val="00F35FF1"/>
    <w:rsid w:val="00F52446"/>
    <w:rsid w:val="00F63338"/>
    <w:rsid w:val="00F65B72"/>
    <w:rsid w:val="00F66E05"/>
    <w:rsid w:val="00F71528"/>
    <w:rsid w:val="00F72848"/>
    <w:rsid w:val="00F75AFB"/>
    <w:rsid w:val="00FA618C"/>
    <w:rsid w:val="00FB0AD5"/>
    <w:rsid w:val="00FB1005"/>
    <w:rsid w:val="00FD7539"/>
    <w:rsid w:val="00FE078B"/>
    <w:rsid w:val="00FE5F83"/>
    <w:rsid w:val="00FF0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DB75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OutlineNumbered1">
    <w:name w:val="Outline Numbered 1"/>
    <w:basedOn w:val="Normal"/>
    <w:link w:val="OutlineNumbered1Char"/>
    <w:rsid w:val="006D5708"/>
    <w:pPr>
      <w:numPr>
        <w:numId w:val="35"/>
      </w:numPr>
    </w:pPr>
  </w:style>
  <w:style w:type="character" w:customStyle="1" w:styleId="OutlineNumbered1Char">
    <w:name w:val="Outline Numbered 1 Char"/>
    <w:basedOn w:val="base-text-paragraphChar"/>
    <w:link w:val="OutlineNumbered1"/>
    <w:rsid w:val="006D5708"/>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6D5708"/>
    <w:pPr>
      <w:numPr>
        <w:ilvl w:val="1"/>
        <w:numId w:val="35"/>
      </w:numPr>
    </w:pPr>
  </w:style>
  <w:style w:type="character" w:customStyle="1" w:styleId="OutlineNumbered2Char">
    <w:name w:val="Outline Numbered 2 Char"/>
    <w:basedOn w:val="base-text-paragraphChar"/>
    <w:link w:val="OutlineNumbered2"/>
    <w:rsid w:val="006D5708"/>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6D5708"/>
    <w:pPr>
      <w:numPr>
        <w:ilvl w:val="2"/>
        <w:numId w:val="35"/>
      </w:numPr>
    </w:pPr>
  </w:style>
  <w:style w:type="character" w:customStyle="1" w:styleId="OutlineNumbered3Char">
    <w:name w:val="Outline Numbered 3 Char"/>
    <w:basedOn w:val="base-text-paragraphChar"/>
    <w:link w:val="OutlineNumbered3"/>
    <w:rsid w:val="006D5708"/>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855B6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B6F"/>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8A6213"/>
    <w:rPr>
      <w:sz w:val="16"/>
      <w:szCs w:val="16"/>
    </w:rPr>
  </w:style>
  <w:style w:type="paragraph" w:styleId="CommentText">
    <w:name w:val="annotation text"/>
    <w:basedOn w:val="Normal"/>
    <w:link w:val="CommentTextChar"/>
    <w:uiPriority w:val="99"/>
    <w:semiHidden/>
    <w:unhideWhenUsed/>
    <w:rsid w:val="008A6213"/>
    <w:rPr>
      <w:sz w:val="20"/>
    </w:rPr>
  </w:style>
  <w:style w:type="character" w:customStyle="1" w:styleId="CommentTextChar">
    <w:name w:val="Comment Text Char"/>
    <w:basedOn w:val="DefaultParagraphFont"/>
    <w:link w:val="CommentText"/>
    <w:uiPriority w:val="99"/>
    <w:semiHidden/>
    <w:rsid w:val="008A621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A6213"/>
    <w:rPr>
      <w:b/>
      <w:bCs/>
    </w:rPr>
  </w:style>
  <w:style w:type="character" w:customStyle="1" w:styleId="CommentSubjectChar">
    <w:name w:val="Comment Subject Char"/>
    <w:basedOn w:val="CommentTextChar"/>
    <w:link w:val="CommentSubject"/>
    <w:uiPriority w:val="99"/>
    <w:semiHidden/>
    <w:rsid w:val="008A6213"/>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2297-A7EB-43F0-B54A-D770A200E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2127</Words>
  <Characters>12129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Supporting older Australians - exempting granny flat arrangements from Capital Gains Tax (CGT) - Explanatory Material</vt:lpstr>
    </vt:vector>
  </TitlesOfParts>
  <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older Australians - exempting granny flat arrangements from Capital Gains Tax (CGT) - Explanatory Material</dc:title>
  <dc:subject/>
  <dc:creator/>
  <cp:keywords/>
  <dc:description/>
  <cp:lastModifiedBy/>
  <cp:revision>1</cp:revision>
  <dcterms:created xsi:type="dcterms:W3CDTF">2021-04-08T06:58:00Z</dcterms:created>
  <dcterms:modified xsi:type="dcterms:W3CDTF">2021-04-08T06:59:00Z</dcterms:modified>
</cp:coreProperties>
</file>