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690F" w14:textId="4D80DE10" w:rsidR="00E43B50" w:rsidRPr="00E43B50" w:rsidRDefault="004354B9" w:rsidP="00E43B50">
      <w:pPr>
        <w:pStyle w:val="Heading1"/>
        <w:spacing w:before="480" w:after="0"/>
        <w:rPr>
          <w:b/>
          <w:noProof/>
          <w:color w:val="1F497D" w:themeColor="text2"/>
          <w:sz w:val="40"/>
        </w:rPr>
      </w:pPr>
      <w:bookmarkStart w:id="0" w:name="_GoBack"/>
      <w:bookmarkEnd w:id="0"/>
      <w:r>
        <w:rPr>
          <w:b/>
          <w:noProof/>
          <w:color w:val="1F497D" w:themeColor="text2"/>
          <w:sz w:val="40"/>
        </w:rPr>
        <w:t>A new disciplinary system for financial advisers</w:t>
      </w:r>
      <w:r w:rsidR="00D36CF5">
        <w:rPr>
          <w:b/>
          <w:noProof/>
          <w:color w:val="1F497D" w:themeColor="text2"/>
          <w:sz w:val="40"/>
        </w:rPr>
        <w:t xml:space="preserve">: </w:t>
      </w:r>
      <w:r w:rsidR="00AB5698">
        <w:rPr>
          <w:b/>
          <w:noProof/>
          <w:color w:val="1F497D" w:themeColor="text2"/>
          <w:sz w:val="40"/>
        </w:rPr>
        <w:t>Exposure draft law and explanatory materials</w:t>
      </w:r>
    </w:p>
    <w:tbl>
      <w:tblPr>
        <w:tblpPr w:leftFromText="180" w:rightFromText="180" w:vertAnchor="text" w:horzAnchor="margin" w:tblpXSpec="center" w:tblpY="480"/>
        <w:tblW w:w="9498" w:type="dxa"/>
        <w:shd w:val="clear" w:color="auto" w:fill="CEEBF3"/>
        <w:tblLayout w:type="fixed"/>
        <w:tblLook w:val="01E0" w:firstRow="1" w:lastRow="1" w:firstColumn="1" w:lastColumn="1" w:noHBand="0" w:noVBand="0"/>
      </w:tblPr>
      <w:tblGrid>
        <w:gridCol w:w="9498"/>
      </w:tblGrid>
      <w:tr w:rsidR="005D6F91" w14:paraId="4A37711E" w14:textId="77777777" w:rsidTr="00E43B50">
        <w:tc>
          <w:tcPr>
            <w:tcW w:w="5000" w:type="pct"/>
            <w:shd w:val="clear" w:color="auto" w:fill="CEEBF3"/>
          </w:tcPr>
          <w:p w14:paraId="427CD656" w14:textId="2DFFE3AD" w:rsidR="005D6F91" w:rsidRPr="005F2711" w:rsidRDefault="005D6F91" w:rsidP="00BE56A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assist in identifying </w:t>
            </w:r>
            <w:r w:rsidR="00BE56AA">
              <w:rPr>
                <w:b/>
                <w:sz w:val="24"/>
                <w:szCs w:val="24"/>
              </w:rPr>
              <w:t>key areas</w:t>
            </w:r>
            <w:r w:rsidR="00D36CF5">
              <w:rPr>
                <w:b/>
                <w:sz w:val="24"/>
                <w:szCs w:val="24"/>
              </w:rPr>
              <w:t xml:space="preserve">, </w:t>
            </w:r>
            <w:r w:rsidRPr="00AB5698">
              <w:rPr>
                <w:b/>
                <w:sz w:val="24"/>
                <w:szCs w:val="24"/>
              </w:rPr>
              <w:t xml:space="preserve">this table </w:t>
            </w:r>
            <w:r w:rsidR="004C5BA9">
              <w:rPr>
                <w:b/>
                <w:sz w:val="24"/>
                <w:szCs w:val="24"/>
              </w:rPr>
              <w:t>sets out</w:t>
            </w:r>
            <w:r w:rsidRPr="00AB5698">
              <w:rPr>
                <w:b/>
                <w:sz w:val="24"/>
                <w:szCs w:val="24"/>
              </w:rPr>
              <w:t xml:space="preserve"> the key elements of the </w:t>
            </w:r>
            <w:r w:rsidR="004354B9">
              <w:rPr>
                <w:b/>
                <w:sz w:val="24"/>
                <w:szCs w:val="24"/>
              </w:rPr>
              <w:t>single disciplinary system</w:t>
            </w:r>
            <w:r w:rsidR="005F2711">
              <w:rPr>
                <w:b/>
                <w:sz w:val="24"/>
                <w:szCs w:val="24"/>
              </w:rPr>
              <w:t>, registration requirements and the transfer of the standard setting functions</w:t>
            </w:r>
            <w:r w:rsidR="00BE56AA">
              <w:rPr>
                <w:b/>
                <w:sz w:val="24"/>
                <w:szCs w:val="24"/>
              </w:rPr>
              <w:t xml:space="preserve"> with reference to the relevant section in the Bill</w:t>
            </w:r>
            <w:r w:rsidR="005F2711">
              <w:rPr>
                <w:b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leGrid"/>
        <w:tblW w:w="9469" w:type="dxa"/>
        <w:tblInd w:w="-147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507"/>
      </w:tblGrid>
      <w:tr w:rsidR="00AB5698" w:rsidRPr="005D6F91" w14:paraId="314190E4" w14:textId="77777777" w:rsidTr="00E43B50">
        <w:trPr>
          <w:tblHeader/>
        </w:trPr>
        <w:tc>
          <w:tcPr>
            <w:tcW w:w="3544" w:type="dxa"/>
            <w:shd w:val="clear" w:color="auto" w:fill="00ABBD"/>
          </w:tcPr>
          <w:p w14:paraId="0458ADE8" w14:textId="77777777" w:rsidR="00AB5698" w:rsidRPr="005D6F91" w:rsidRDefault="00AB5698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Issue</w:t>
            </w:r>
          </w:p>
        </w:tc>
        <w:tc>
          <w:tcPr>
            <w:tcW w:w="1418" w:type="dxa"/>
            <w:shd w:val="clear" w:color="auto" w:fill="00ABBD"/>
          </w:tcPr>
          <w:p w14:paraId="5914600B" w14:textId="77777777" w:rsidR="00AB5698" w:rsidRPr="005D6F91" w:rsidRDefault="005D6F91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 xml:space="preserve">Bill ref. </w:t>
            </w:r>
          </w:p>
        </w:tc>
        <w:tc>
          <w:tcPr>
            <w:tcW w:w="4507" w:type="dxa"/>
            <w:shd w:val="clear" w:color="auto" w:fill="00ABBD"/>
          </w:tcPr>
          <w:p w14:paraId="7DB559C3" w14:textId="77777777" w:rsidR="00AB5698" w:rsidRPr="005D6F91" w:rsidRDefault="00BE067F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Brief explanation</w:t>
            </w:r>
          </w:p>
        </w:tc>
      </w:tr>
      <w:tr w:rsidR="00E43B50" w:rsidRPr="005D6F91" w14:paraId="33400D69" w14:textId="77777777" w:rsidTr="00E43B50">
        <w:tc>
          <w:tcPr>
            <w:tcW w:w="9469" w:type="dxa"/>
            <w:gridSpan w:val="3"/>
            <w:shd w:val="clear" w:color="auto" w:fill="auto"/>
          </w:tcPr>
          <w:p w14:paraId="6C708235" w14:textId="1F50EF21" w:rsidR="00E43B50" w:rsidRPr="00E43B50" w:rsidRDefault="00E43B50" w:rsidP="00857FF9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Single disciplinary system</w:t>
            </w:r>
          </w:p>
        </w:tc>
      </w:tr>
      <w:tr w:rsidR="00E72F62" w:rsidRPr="005D6F91" w14:paraId="37A82EE0" w14:textId="77777777" w:rsidTr="00E43B50">
        <w:tc>
          <w:tcPr>
            <w:tcW w:w="3544" w:type="dxa"/>
            <w:shd w:val="clear" w:color="auto" w:fill="auto"/>
          </w:tcPr>
          <w:p w14:paraId="3B6048D4" w14:textId="1F7E8FD8" w:rsidR="00E72F62" w:rsidRPr="005D6F91" w:rsidRDefault="00E72F62" w:rsidP="00906AAB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matters are referred to the single disciplinary body?</w:t>
            </w:r>
          </w:p>
        </w:tc>
        <w:tc>
          <w:tcPr>
            <w:tcW w:w="1418" w:type="dxa"/>
            <w:shd w:val="clear" w:color="auto" w:fill="auto"/>
          </w:tcPr>
          <w:p w14:paraId="77D6CA39" w14:textId="77777777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14:paraId="3599377F" w14:textId="369B1450" w:rsidR="00D36CF5" w:rsidRDefault="00857FF9" w:rsidP="00857FF9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ASIC must convene a Financial Services and Credit Panel </w:t>
            </w:r>
            <w:r w:rsidR="00BE56AA">
              <w:rPr>
                <w:rFonts w:asciiTheme="minorHAnsi" w:hAnsiTheme="minorHAnsi" w:cs="Arial"/>
                <w:sz w:val="21"/>
                <w:szCs w:val="21"/>
              </w:rPr>
              <w:t xml:space="preserve">if ASIC is not intending to make a banning order and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ASIC reasonably believes that a financial adviser has </w:t>
            </w:r>
            <w:r w:rsidR="00D36CF5">
              <w:rPr>
                <w:rFonts w:asciiTheme="minorHAnsi" w:hAnsiTheme="minorHAnsi" w:cs="Arial"/>
                <w:sz w:val="21"/>
                <w:szCs w:val="21"/>
              </w:rPr>
              <w:t>breached a ‘restricted civil penalty provision’ or certain circumstances exist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14:paraId="62BF8D9D" w14:textId="77777777" w:rsidR="00D36CF5" w:rsidRDefault="00D36CF5" w:rsidP="00857FF9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restricted civil penalty provision refers to: </w:t>
            </w:r>
          </w:p>
          <w:p w14:paraId="10D8016D" w14:textId="48AB4452" w:rsidR="00C848EA" w:rsidRDefault="00C848EA" w:rsidP="00D36CF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bookmarkStart w:id="1" w:name="tempbookmark"/>
            <w:bookmarkEnd w:id="1"/>
            <w:r>
              <w:rPr>
                <w:rFonts w:asciiTheme="minorHAnsi" w:hAnsiTheme="minorHAnsi" w:cs="Arial"/>
                <w:sz w:val="21"/>
                <w:szCs w:val="21"/>
              </w:rPr>
              <w:t xml:space="preserve">921D: the Education and training standards; </w:t>
            </w:r>
          </w:p>
          <w:p w14:paraId="2DC71A10" w14:textId="4967481B" w:rsidR="00C848EA" w:rsidRDefault="00C848EA" w:rsidP="00D36CF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921E: the Code of the Ethics;</w:t>
            </w:r>
          </w:p>
          <w:p w14:paraId="3F7C1D75" w14:textId="77777777" w:rsidR="00C848EA" w:rsidRDefault="00C848EA" w:rsidP="00D36CF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921F: the requirements for provisional relevant providers; </w:t>
            </w:r>
          </w:p>
          <w:p w14:paraId="128E7C92" w14:textId="18E9B4AB" w:rsidR="00C848EA" w:rsidRDefault="00C848EA" w:rsidP="00D36CF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921M: a direction or order given by the Financial Services and Credit Panel; and</w:t>
            </w:r>
          </w:p>
          <w:p w14:paraId="5C910498" w14:textId="77777777" w:rsidR="00C848EA" w:rsidRDefault="00C848EA" w:rsidP="00D36CF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921S: giving financial advice while unregistered. </w:t>
            </w:r>
          </w:p>
          <w:p w14:paraId="5865BE43" w14:textId="6AAF1C29" w:rsidR="007B62DA" w:rsidRDefault="00C848EA" w:rsidP="0079634D">
            <w:pPr>
              <w:spacing w:after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C848E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The other circumstances go to the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suitability of the person to provide financial advice</w:t>
            </w:r>
            <w:r w:rsidR="007B62DA">
              <w:rPr>
                <w:rFonts w:asciiTheme="minorHAnsi" w:hAnsiTheme="minorHAnsi" w:cs="Arial"/>
                <w:color w:val="000000"/>
                <w:sz w:val="21"/>
                <w:szCs w:val="21"/>
              </w:rPr>
              <w:t>. The adviser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: </w:t>
            </w:r>
          </w:p>
          <w:p w14:paraId="7C727671" w14:textId="04BC42F0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is insolvent; </w:t>
            </w:r>
          </w:p>
          <w:p w14:paraId="528A5D90" w14:textId="0B7BCE7D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is under administration; </w:t>
            </w:r>
          </w:p>
          <w:p w14:paraId="684A9E98" w14:textId="4590BA88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is convicted of fraud; </w:t>
            </w:r>
          </w:p>
          <w:p w14:paraId="5A36273B" w14:textId="7E307E48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is considered to not be a fit and proper person; </w:t>
            </w:r>
          </w:p>
          <w:p w14:paraId="18FB3CBF" w14:textId="48E498E1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has breached a financial services law or been involved in </w:t>
            </w:r>
            <w:r w:rsidR="00E50E4C">
              <w:rPr>
                <w:rFonts w:cs="Arial"/>
                <w:sz w:val="21"/>
                <w:szCs w:val="21"/>
              </w:rPr>
              <w:t>another person’s</w:t>
            </w:r>
            <w:r>
              <w:rPr>
                <w:rFonts w:cs="Arial"/>
                <w:sz w:val="21"/>
                <w:szCs w:val="21"/>
              </w:rPr>
              <w:t xml:space="preserve"> contravention of a financial services law; </w:t>
            </w:r>
          </w:p>
          <w:p w14:paraId="39C65A7D" w14:textId="77777777" w:rsid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has at least twice been linked to a failure to give effect to an AFCA determination; or</w:t>
            </w:r>
          </w:p>
          <w:p w14:paraId="050BFAFB" w14:textId="10A8EC98" w:rsidR="00E72F62" w:rsidRPr="007B62DA" w:rsidRDefault="007B62DA" w:rsidP="007B62DA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has been an officer of two or more corporations that have been unable to pay their debts. </w:t>
            </w:r>
          </w:p>
        </w:tc>
      </w:tr>
      <w:tr w:rsidR="00E72F62" w:rsidRPr="005D6F91" w14:paraId="7093BAD0" w14:textId="77777777" w:rsidTr="00E43B50">
        <w:tc>
          <w:tcPr>
            <w:tcW w:w="3544" w:type="dxa"/>
            <w:shd w:val="clear" w:color="auto" w:fill="auto"/>
          </w:tcPr>
          <w:p w14:paraId="4A1B09FC" w14:textId="26AC02F2" w:rsidR="00E72F62" w:rsidRPr="005D6F91" w:rsidRDefault="00857FF9" w:rsidP="00857FF9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When </w:t>
            </w:r>
            <w:r w:rsidR="00E72F62">
              <w:rPr>
                <w:rFonts w:asciiTheme="minorHAnsi" w:hAnsiTheme="minorHAnsi" w:cs="Arial"/>
                <w:sz w:val="21"/>
                <w:szCs w:val="21"/>
              </w:rPr>
              <w:t>ASIC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must convene </w:t>
            </w:r>
            <w:r w:rsidR="00E72F62">
              <w:rPr>
                <w:rFonts w:asciiTheme="minorHAnsi" w:hAnsiTheme="minorHAnsi" w:cs="Arial"/>
                <w:sz w:val="21"/>
                <w:szCs w:val="21"/>
              </w:rPr>
              <w:t>a single disciplinary body</w:t>
            </w:r>
          </w:p>
        </w:tc>
        <w:tc>
          <w:tcPr>
            <w:tcW w:w="1418" w:type="dxa"/>
            <w:shd w:val="clear" w:color="auto" w:fill="auto"/>
          </w:tcPr>
          <w:p w14:paraId="0A5AF4BF" w14:textId="38CA964F" w:rsidR="00E72F62" w:rsidRPr="005D6F91" w:rsidRDefault="00E72F62" w:rsidP="003A428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139 of the ASIC Act </w:t>
            </w:r>
          </w:p>
        </w:tc>
        <w:tc>
          <w:tcPr>
            <w:tcW w:w="4507" w:type="dxa"/>
            <w:vMerge/>
            <w:shd w:val="clear" w:color="auto" w:fill="auto"/>
          </w:tcPr>
          <w:p w14:paraId="5E6C01F3" w14:textId="70FE0953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2F62" w:rsidRPr="005D6F91" w14:paraId="4137C384" w14:textId="77777777" w:rsidTr="00E43B50">
        <w:tc>
          <w:tcPr>
            <w:tcW w:w="3544" w:type="dxa"/>
            <w:shd w:val="clear" w:color="auto" w:fill="auto"/>
          </w:tcPr>
          <w:p w14:paraId="6E72C136" w14:textId="6BFF52DA" w:rsidR="00E72F62" w:rsidRPr="005D6F91" w:rsidRDefault="00E72F62" w:rsidP="00D85256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Restricted civil penalty provision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14:paraId="436B1400" w14:textId="76A4ADFB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921Q</w:t>
            </w:r>
          </w:p>
        </w:tc>
        <w:tc>
          <w:tcPr>
            <w:tcW w:w="4507" w:type="dxa"/>
            <w:vMerge/>
            <w:shd w:val="clear" w:color="auto" w:fill="auto"/>
          </w:tcPr>
          <w:p w14:paraId="7DEB26AD" w14:textId="53446ACC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2F62" w:rsidRPr="005D6F91" w14:paraId="58355002" w14:textId="77777777" w:rsidTr="00E43B50">
        <w:trPr>
          <w:trHeight w:val="509"/>
        </w:trPr>
        <w:tc>
          <w:tcPr>
            <w:tcW w:w="3544" w:type="dxa"/>
            <w:shd w:val="clear" w:color="auto" w:fill="auto"/>
          </w:tcPr>
          <w:p w14:paraId="135484C9" w14:textId="270A9C55" w:rsidR="00E72F62" w:rsidRPr="005D6F91" w:rsidRDefault="00E72F62" w:rsidP="008C5744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Other specified circumstances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C76C0BA" w14:textId="45E687C6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921L</w:t>
            </w:r>
          </w:p>
        </w:tc>
        <w:tc>
          <w:tcPr>
            <w:tcW w:w="4507" w:type="dxa"/>
            <w:vMerge/>
            <w:shd w:val="clear" w:color="auto" w:fill="auto"/>
          </w:tcPr>
          <w:p w14:paraId="62CC71C4" w14:textId="6A6EE292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2F62" w:rsidRPr="005D6F91" w14:paraId="25177B53" w14:textId="77777777" w:rsidTr="00E43B50">
        <w:trPr>
          <w:trHeight w:val="509"/>
        </w:trPr>
        <w:tc>
          <w:tcPr>
            <w:tcW w:w="3544" w:type="dxa"/>
            <w:shd w:val="clear" w:color="auto" w:fill="auto"/>
          </w:tcPr>
          <w:p w14:paraId="24C4CDBA" w14:textId="297D577F" w:rsidR="00E72F62" w:rsidRDefault="00E72F62" w:rsidP="008C5744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Definition of a fit and proper person</w:t>
            </w:r>
          </w:p>
        </w:tc>
        <w:tc>
          <w:tcPr>
            <w:tcW w:w="1418" w:type="dxa"/>
            <w:shd w:val="clear" w:color="auto" w:fill="auto"/>
          </w:tcPr>
          <w:p w14:paraId="2D151FE7" w14:textId="5F11563D" w:rsidR="00E72F62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921R</w:t>
            </w:r>
          </w:p>
        </w:tc>
        <w:tc>
          <w:tcPr>
            <w:tcW w:w="4507" w:type="dxa"/>
            <w:vMerge/>
            <w:shd w:val="clear" w:color="auto" w:fill="auto"/>
          </w:tcPr>
          <w:p w14:paraId="1E75B7C3" w14:textId="56E249E6" w:rsidR="00E72F62" w:rsidRPr="005D6F91" w:rsidRDefault="00E72F62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06DAC" w:rsidRPr="005D6F91" w14:paraId="729D7400" w14:textId="77777777" w:rsidTr="00E43B50">
        <w:tc>
          <w:tcPr>
            <w:tcW w:w="3544" w:type="dxa"/>
            <w:shd w:val="clear" w:color="auto" w:fill="auto"/>
          </w:tcPr>
          <w:p w14:paraId="6BA87FAB" w14:textId="5D5A40E7" w:rsidR="00A06DAC" w:rsidRDefault="00A06DAC" w:rsidP="00265AD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What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sanctions can the single disciplinary body impose?</w:t>
            </w:r>
          </w:p>
        </w:tc>
        <w:tc>
          <w:tcPr>
            <w:tcW w:w="1418" w:type="dxa"/>
            <w:shd w:val="clear" w:color="auto" w:fill="auto"/>
          </w:tcPr>
          <w:p w14:paraId="3A36BDC8" w14:textId="77777777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14:paraId="43FF1CA2" w14:textId="77777777" w:rsidR="00A06DAC" w:rsidRDefault="00A06DAC" w:rsidP="00E1530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Financial Services and Credit Panel has a range of actions available to it where a financial adviser has contravened the law. </w:t>
            </w:r>
          </w:p>
          <w:p w14:paraId="2A623928" w14:textId="0E321BB3" w:rsidR="00A06DAC" w:rsidRDefault="00A06DAC" w:rsidP="00E1530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Financial Services and Credit Panel can give a financial adviser a warning or reprimand; a direction to undertake training, counselling, supervision or report certain matters to ASIC; suspend an adviser’s registration; cancel </w:t>
            </w:r>
            <w:r w:rsidR="00E50E4C">
              <w:rPr>
                <w:rFonts w:asciiTheme="minorHAnsi" w:hAnsiTheme="minorHAnsi" w:cs="Arial"/>
                <w:sz w:val="21"/>
                <w:szCs w:val="21"/>
              </w:rPr>
              <w:t xml:space="preserve">and prohibit the </w:t>
            </w:r>
            <w:r>
              <w:rPr>
                <w:rFonts w:asciiTheme="minorHAnsi" w:hAnsiTheme="minorHAnsi" w:cs="Arial"/>
                <w:sz w:val="21"/>
                <w:szCs w:val="21"/>
              </w:rPr>
              <w:t>adviser’s registration</w:t>
            </w:r>
            <w:r w:rsidR="00E50E4C">
              <w:rPr>
                <w:rFonts w:asciiTheme="minorHAnsi" w:hAnsiTheme="minorHAnsi" w:cs="Arial"/>
                <w:sz w:val="21"/>
                <w:szCs w:val="21"/>
              </w:rPr>
              <w:t xml:space="preserve"> f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or a period of time. </w:t>
            </w:r>
          </w:p>
          <w:p w14:paraId="0FE95872" w14:textId="07A2ADF0" w:rsidR="00A06DAC" w:rsidRDefault="00A06DAC" w:rsidP="00E1530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For an alleged contravention of a ‘restricted civil penalty provision’ the Financial Services and Credit Panel may issue an infringement notice of 12 penalty units; or if the Financial Services and Credit Panel thinks it is appropriate, it may recommend to ASIC that it apply to the court for a civil penalty. </w:t>
            </w:r>
          </w:p>
          <w:p w14:paraId="68EA5940" w14:textId="389B38A1" w:rsidR="00A06DAC" w:rsidRPr="005D6F91" w:rsidRDefault="00E50E4C" w:rsidP="006F5344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Financial Services and Credit Panel may also enter into an enforceable undertaking with the adviser. </w:t>
            </w:r>
          </w:p>
          <w:p w14:paraId="611B6278" w14:textId="1121DCA4" w:rsidR="00A06DAC" w:rsidRPr="005D6F91" w:rsidRDefault="00A06DAC" w:rsidP="003D07E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06DAC" w:rsidRPr="005D6F91" w14:paraId="6344B54E" w14:textId="77777777" w:rsidTr="00E43B50">
        <w:tc>
          <w:tcPr>
            <w:tcW w:w="3544" w:type="dxa"/>
            <w:shd w:val="clear" w:color="auto" w:fill="auto"/>
          </w:tcPr>
          <w:p w14:paraId="663233FE" w14:textId="155514A9" w:rsidR="00A06DAC" w:rsidRPr="005D6F91" w:rsidRDefault="00A06DAC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Administrative sanctions</w:t>
            </w:r>
          </w:p>
        </w:tc>
        <w:tc>
          <w:tcPr>
            <w:tcW w:w="1418" w:type="dxa"/>
            <w:shd w:val="clear" w:color="auto" w:fill="auto"/>
          </w:tcPr>
          <w:p w14:paraId="2F017F0D" w14:textId="436C3359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921M</w:t>
            </w:r>
          </w:p>
        </w:tc>
        <w:tc>
          <w:tcPr>
            <w:tcW w:w="4507" w:type="dxa"/>
            <w:vMerge/>
            <w:shd w:val="clear" w:color="auto" w:fill="auto"/>
          </w:tcPr>
          <w:p w14:paraId="6773DF26" w14:textId="0322359E" w:rsidR="00A06DAC" w:rsidRPr="005D6F91" w:rsidRDefault="00A06DAC" w:rsidP="003D07E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06DAC" w:rsidRPr="005D6F91" w14:paraId="3C0340CF" w14:textId="77777777" w:rsidTr="00E43B50">
        <w:tc>
          <w:tcPr>
            <w:tcW w:w="3544" w:type="dxa"/>
            <w:shd w:val="clear" w:color="auto" w:fill="auto"/>
          </w:tcPr>
          <w:p w14:paraId="5DEC5EE1" w14:textId="43368D0C" w:rsidR="00A06DAC" w:rsidRPr="005D6F91" w:rsidRDefault="00A06DAC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Infringement notices</w:t>
            </w:r>
          </w:p>
        </w:tc>
        <w:tc>
          <w:tcPr>
            <w:tcW w:w="1418" w:type="dxa"/>
            <w:shd w:val="clear" w:color="auto" w:fill="auto"/>
          </w:tcPr>
          <w:p w14:paraId="5000CD02" w14:textId="4D0E4FA6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1317DATB</w:t>
            </w:r>
          </w:p>
        </w:tc>
        <w:tc>
          <w:tcPr>
            <w:tcW w:w="4507" w:type="dxa"/>
            <w:vMerge/>
            <w:shd w:val="clear" w:color="auto" w:fill="auto"/>
          </w:tcPr>
          <w:p w14:paraId="49C59573" w14:textId="77777777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06DAC" w:rsidRPr="005D6F91" w14:paraId="621FE1DF" w14:textId="77777777" w:rsidTr="00E43B50">
        <w:tc>
          <w:tcPr>
            <w:tcW w:w="3544" w:type="dxa"/>
            <w:shd w:val="clear" w:color="auto" w:fill="auto"/>
          </w:tcPr>
          <w:p w14:paraId="63DA0B7B" w14:textId="69E9724C" w:rsidR="00A06DAC" w:rsidRPr="005D6F91" w:rsidRDefault="00A06DAC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Civil penalties </w:t>
            </w:r>
          </w:p>
        </w:tc>
        <w:tc>
          <w:tcPr>
            <w:tcW w:w="1418" w:type="dxa"/>
            <w:shd w:val="clear" w:color="auto" w:fill="auto"/>
          </w:tcPr>
          <w:p w14:paraId="3EF7560F" w14:textId="3CB00E4D" w:rsidR="00A06DAC" w:rsidRPr="005D6F91" w:rsidRDefault="00430163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921Q</w:t>
            </w:r>
          </w:p>
        </w:tc>
        <w:tc>
          <w:tcPr>
            <w:tcW w:w="4507" w:type="dxa"/>
            <w:vMerge/>
            <w:shd w:val="clear" w:color="auto" w:fill="auto"/>
          </w:tcPr>
          <w:p w14:paraId="31AD5843" w14:textId="77777777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06DAC" w:rsidRPr="005D6F91" w14:paraId="7270622A" w14:textId="77777777" w:rsidTr="00E43B50">
        <w:tc>
          <w:tcPr>
            <w:tcW w:w="3544" w:type="dxa"/>
            <w:shd w:val="clear" w:color="auto" w:fill="auto"/>
          </w:tcPr>
          <w:p w14:paraId="7C29188D" w14:textId="505A070A" w:rsidR="00A06DAC" w:rsidRPr="005D6F91" w:rsidRDefault="00A06DAC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Enforceable undertakings</w:t>
            </w:r>
          </w:p>
        </w:tc>
        <w:tc>
          <w:tcPr>
            <w:tcW w:w="1418" w:type="dxa"/>
            <w:shd w:val="clear" w:color="auto" w:fill="auto"/>
          </w:tcPr>
          <w:p w14:paraId="4F9FD2AE" w14:textId="7BAA4BD5" w:rsidR="00A06DAC" w:rsidRPr="005D6F91" w:rsidRDefault="00D27E4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171D of the ASIC Act</w:t>
            </w:r>
          </w:p>
        </w:tc>
        <w:tc>
          <w:tcPr>
            <w:tcW w:w="4507" w:type="dxa"/>
            <w:vMerge/>
            <w:shd w:val="clear" w:color="auto" w:fill="auto"/>
          </w:tcPr>
          <w:p w14:paraId="416247FC" w14:textId="77777777" w:rsidR="00A06DAC" w:rsidRPr="005D6F91" w:rsidRDefault="00A06DA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305C6" w:rsidRPr="005D6F91" w14:paraId="1409EB4C" w14:textId="77777777" w:rsidTr="00E43B50">
        <w:tc>
          <w:tcPr>
            <w:tcW w:w="3544" w:type="dxa"/>
            <w:shd w:val="clear" w:color="auto" w:fill="auto"/>
          </w:tcPr>
          <w:p w14:paraId="523315D6" w14:textId="39B50303" w:rsidR="008305C6" w:rsidRPr="005D6F91" w:rsidRDefault="008305C6" w:rsidP="00265AD5">
            <w:pPr>
              <w:pStyle w:val="TableTextBase"/>
              <w:spacing w:before="60" w:after="60"/>
            </w:pPr>
            <w:r w:rsidRPr="00265AD5">
              <w:rPr>
                <w:rFonts w:asciiTheme="minorHAnsi" w:hAnsiTheme="minorHAnsi" w:cs="Arial"/>
                <w:b/>
                <w:sz w:val="21"/>
                <w:szCs w:val="21"/>
              </w:rPr>
              <w:t>Does a financial adviser have a right to appeal a decision of the single disciplinary body?</w:t>
            </w:r>
          </w:p>
        </w:tc>
        <w:tc>
          <w:tcPr>
            <w:tcW w:w="1418" w:type="dxa"/>
            <w:shd w:val="clear" w:color="auto" w:fill="auto"/>
          </w:tcPr>
          <w:p w14:paraId="0CD9A396" w14:textId="77777777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14:paraId="780D53B1" w14:textId="2B43D072" w:rsidR="008305C6" w:rsidRDefault="008305C6" w:rsidP="00D760D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Once a Financial Services and Credit Panel has made an order or a direction against a financial adviser, the adviser can apply </w:t>
            </w:r>
            <w:r w:rsidR="0079634D">
              <w:rPr>
                <w:rFonts w:asciiTheme="minorHAnsi" w:hAnsiTheme="minorHAnsi" w:cs="Arial"/>
                <w:sz w:val="21"/>
                <w:szCs w:val="21"/>
              </w:rPr>
              <w:t xml:space="preserve">to the Financial Services and Credit Panel </w:t>
            </w:r>
            <w:r>
              <w:rPr>
                <w:rFonts w:asciiTheme="minorHAnsi" w:hAnsiTheme="minorHAnsi" w:cs="Arial"/>
                <w:sz w:val="21"/>
                <w:szCs w:val="21"/>
              </w:rPr>
              <w:t>to have that</w:t>
            </w:r>
            <w:r w:rsidR="00E50E4C">
              <w:rPr>
                <w:rFonts w:asciiTheme="minorHAnsi" w:hAnsiTheme="minorHAnsi" w:cs="Arial"/>
                <w:sz w:val="21"/>
                <w:szCs w:val="21"/>
              </w:rPr>
              <w:t xml:space="preserve"> order or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decision varied or revoked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>, or apply to the Administrative Appeals Tribunal for a review of the decision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14:paraId="0D42488D" w14:textId="1E625BB9" w:rsidR="0079634D" w:rsidRDefault="008305C6" w:rsidP="00D760D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person can 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subsequently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apply to the Administrative Appeals Tribunal for review of a decision not to vary or revoke the decision, or to vary it in </w:t>
            </w:r>
            <w:r w:rsidR="0079634D">
              <w:rPr>
                <w:rFonts w:asciiTheme="minorHAnsi" w:hAnsiTheme="minorHAnsi" w:cs="Arial"/>
                <w:sz w:val="21"/>
                <w:szCs w:val="21"/>
              </w:rPr>
              <w:t xml:space="preserve">a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way </w:t>
            </w:r>
            <w:r w:rsidR="0079634D">
              <w:rPr>
                <w:rFonts w:asciiTheme="minorHAnsi" w:hAnsiTheme="minorHAnsi" w:cs="Arial"/>
                <w:sz w:val="21"/>
                <w:szCs w:val="21"/>
              </w:rPr>
              <w:t>different to the request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14:paraId="322DB8F7" w14:textId="156CF073" w:rsidR="008305C6" w:rsidRDefault="008305C6" w:rsidP="00D760D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Administrative Appeals Tribunal </w:t>
            </w:r>
            <w:r w:rsidR="00E50E4C">
              <w:rPr>
                <w:rFonts w:asciiTheme="minorHAnsi" w:hAnsiTheme="minorHAnsi" w:cs="Arial"/>
                <w:sz w:val="21"/>
                <w:szCs w:val="21"/>
              </w:rPr>
              <w:t>can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not review the issuing of infringement notices. </w:t>
            </w:r>
          </w:p>
          <w:p w14:paraId="4B133151" w14:textId="494FB937" w:rsidR="008305C6" w:rsidRDefault="008305C6" w:rsidP="008A6A69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Within the first 28 days after an infringement notice is issued, a person may apply to ASIC to have the notice withdrawn. A Financial Services and Credit Panel decides whether to withdraw the notice. </w:t>
            </w:r>
          </w:p>
          <w:p w14:paraId="14657A1A" w14:textId="022066A5" w:rsidR="008305C6" w:rsidRPr="005D6F91" w:rsidRDefault="008305C6" w:rsidP="00E50E4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Otherwise, where a person disagrees with an infringement notice that has been issued, the person can refuse to pay the notice</w:t>
            </w:r>
            <w:r w:rsidR="00BA6425">
              <w:rPr>
                <w:rFonts w:asciiTheme="minorHAnsi" w:hAnsiTheme="minorHAnsi" w:cs="Arial"/>
                <w:sz w:val="21"/>
                <w:szCs w:val="21"/>
              </w:rPr>
              <w:t xml:space="preserve"> and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ASIC </w:t>
            </w:r>
            <w:r w:rsidR="00E50E4C">
              <w:rPr>
                <w:rFonts w:asciiTheme="minorHAnsi" w:hAnsiTheme="minorHAnsi" w:cs="Arial"/>
                <w:sz w:val="21"/>
                <w:szCs w:val="21"/>
              </w:rPr>
              <w:lastRenderedPageBreak/>
              <w:t>may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decide whether to apply to the court for a decision. </w:t>
            </w:r>
          </w:p>
        </w:tc>
      </w:tr>
      <w:tr w:rsidR="008305C6" w:rsidRPr="005D6F91" w14:paraId="0E96424B" w14:textId="77777777" w:rsidTr="00E43B50">
        <w:tc>
          <w:tcPr>
            <w:tcW w:w="3544" w:type="dxa"/>
            <w:shd w:val="clear" w:color="auto" w:fill="auto"/>
          </w:tcPr>
          <w:p w14:paraId="5B9490C2" w14:textId="2BAD93A2" w:rsidR="008305C6" w:rsidRPr="005D6F91" w:rsidRDefault="008305C6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Variation and revocation </w:t>
            </w:r>
          </w:p>
        </w:tc>
        <w:tc>
          <w:tcPr>
            <w:tcW w:w="1418" w:type="dxa"/>
            <w:shd w:val="clear" w:color="auto" w:fill="auto"/>
          </w:tcPr>
          <w:p w14:paraId="6D824D9F" w14:textId="25AE9C89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</w:t>
            </w:r>
          </w:p>
        </w:tc>
        <w:tc>
          <w:tcPr>
            <w:tcW w:w="4507" w:type="dxa"/>
            <w:vMerge/>
            <w:shd w:val="clear" w:color="auto" w:fill="auto"/>
          </w:tcPr>
          <w:p w14:paraId="3AE8C339" w14:textId="4A554015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305C6" w:rsidRPr="005D6F91" w14:paraId="016F2F69" w14:textId="77777777" w:rsidTr="00E43B50">
        <w:tc>
          <w:tcPr>
            <w:tcW w:w="3544" w:type="dxa"/>
            <w:shd w:val="clear" w:color="auto" w:fill="auto"/>
          </w:tcPr>
          <w:p w14:paraId="711D9369" w14:textId="181CF2B3" w:rsidR="008305C6" w:rsidRPr="005D6F91" w:rsidRDefault="008305C6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Administrative Appeals Tribunal</w:t>
            </w:r>
          </w:p>
        </w:tc>
        <w:tc>
          <w:tcPr>
            <w:tcW w:w="1418" w:type="dxa"/>
            <w:shd w:val="clear" w:color="auto" w:fill="auto"/>
          </w:tcPr>
          <w:p w14:paraId="16AD284C" w14:textId="0D0BC0BA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921RA</w:t>
            </w:r>
          </w:p>
        </w:tc>
        <w:tc>
          <w:tcPr>
            <w:tcW w:w="4507" w:type="dxa"/>
            <w:vMerge/>
            <w:shd w:val="clear" w:color="auto" w:fill="auto"/>
          </w:tcPr>
          <w:p w14:paraId="0BEF968C" w14:textId="6A412663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305C6" w:rsidRPr="005D6F91" w14:paraId="4A0A2EAB" w14:textId="77777777" w:rsidTr="00E43B50">
        <w:tc>
          <w:tcPr>
            <w:tcW w:w="3544" w:type="dxa"/>
            <w:shd w:val="clear" w:color="auto" w:fill="auto"/>
          </w:tcPr>
          <w:p w14:paraId="57BF1F96" w14:textId="69061EFD" w:rsidR="008305C6" w:rsidRDefault="008305C6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Withdrawal of infringement notice</w:t>
            </w:r>
          </w:p>
        </w:tc>
        <w:tc>
          <w:tcPr>
            <w:tcW w:w="1418" w:type="dxa"/>
            <w:shd w:val="clear" w:color="auto" w:fill="auto"/>
          </w:tcPr>
          <w:p w14:paraId="5A2BAC89" w14:textId="42D92B35" w:rsidR="008305C6" w:rsidRDefault="0079634D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1317DATD</w:t>
            </w:r>
          </w:p>
        </w:tc>
        <w:tc>
          <w:tcPr>
            <w:tcW w:w="4507" w:type="dxa"/>
            <w:vMerge/>
            <w:shd w:val="clear" w:color="auto" w:fill="auto"/>
          </w:tcPr>
          <w:p w14:paraId="5886E4F3" w14:textId="05659C7C" w:rsidR="008305C6" w:rsidRPr="005D6F91" w:rsidRDefault="008305C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4432" w:rsidRPr="005D6F91" w14:paraId="6DE826D1" w14:textId="77777777" w:rsidTr="00E43B50">
        <w:tc>
          <w:tcPr>
            <w:tcW w:w="3544" w:type="dxa"/>
            <w:shd w:val="clear" w:color="auto" w:fill="auto"/>
          </w:tcPr>
          <w:p w14:paraId="3579EFE5" w14:textId="729AAF88" w:rsidR="00114432" w:rsidRPr="005D6F91" w:rsidRDefault="00114432" w:rsidP="0011443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How does the single disciplinary body make a decision?</w:t>
            </w: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1F4E3F5" w14:textId="77777777" w:rsidR="00114432" w:rsidRPr="005D6F91" w:rsidRDefault="00114432" w:rsidP="0011443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2B476B32" w14:textId="05046042" w:rsidR="00114432" w:rsidRPr="005D6F91" w:rsidRDefault="0011443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06849978" w14:textId="77777777" w:rsidTr="00E43B50">
        <w:tc>
          <w:tcPr>
            <w:tcW w:w="3544" w:type="dxa"/>
            <w:shd w:val="clear" w:color="auto" w:fill="auto"/>
          </w:tcPr>
          <w:p w14:paraId="7E260EF7" w14:textId="711E00EA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Decisions at meetings</w:t>
            </w:r>
          </w:p>
        </w:tc>
        <w:tc>
          <w:tcPr>
            <w:tcW w:w="1418" w:type="dxa"/>
            <w:shd w:val="clear" w:color="auto" w:fill="auto"/>
          </w:tcPr>
          <w:p w14:paraId="4554DA42" w14:textId="0AEB8B26" w:rsidR="00D27E48" w:rsidRDefault="00D27E48" w:rsidP="00D27E48">
            <w:pPr>
              <w:pStyle w:val="TableTextBase"/>
              <w:spacing w:before="0"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148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48C66971" w14:textId="77777777" w:rsidR="00D27E48" w:rsidRDefault="00A06DAC" w:rsidP="00D27E48">
            <w:pPr>
              <w:pStyle w:val="TableTextBase"/>
              <w:spacing w:before="0"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152, </w:t>
            </w:r>
          </w:p>
          <w:p w14:paraId="72B8654E" w14:textId="4A96EF4B" w:rsidR="00D27E48" w:rsidRDefault="00D27E48" w:rsidP="00D27E48">
            <w:pPr>
              <w:pStyle w:val="TableTextBase"/>
              <w:spacing w:before="0"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152A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1519216E" w14:textId="672788CF" w:rsidR="00B614A2" w:rsidRPr="005D6F91" w:rsidRDefault="00A06DAC" w:rsidP="00D27E48">
            <w:pPr>
              <w:pStyle w:val="TableTextBase"/>
              <w:spacing w:before="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155 of the ASIC Act</w:t>
            </w:r>
          </w:p>
        </w:tc>
        <w:tc>
          <w:tcPr>
            <w:tcW w:w="4507" w:type="dxa"/>
            <w:vMerge w:val="restart"/>
            <w:shd w:val="clear" w:color="auto" w:fill="auto"/>
          </w:tcPr>
          <w:p w14:paraId="0635ADCA" w14:textId="77777777" w:rsidR="00B614A2" w:rsidRDefault="00B614A2" w:rsidP="00B614A2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chair of a panel must convene a meeting of the panel in order for the panel to consider a matter put to it and make a decision about the action to take.  </w:t>
            </w:r>
          </w:p>
          <w:p w14:paraId="6E66330B" w14:textId="77777777" w:rsidR="00B277E5" w:rsidRDefault="00B614A2" w:rsidP="00B277E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Before a Financial Services and Credit Panel can take action against an adviser, the panel most notify the adviser of the proposed action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 and give the adviser the opportunity to </w:t>
            </w:r>
            <w:r>
              <w:rPr>
                <w:rFonts w:asciiTheme="minorHAnsi" w:hAnsiTheme="minorHAnsi" w:cs="Arial"/>
                <w:sz w:val="21"/>
                <w:szCs w:val="21"/>
              </w:rPr>
              <w:t>request a hearing or make a submission.</w:t>
            </w:r>
          </w:p>
          <w:p w14:paraId="6C8C2CB5" w14:textId="66C651CD" w:rsidR="00B614A2" w:rsidRDefault="00B614A2" w:rsidP="00B277E5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If the provider does not request a hearing or make a submission the Financial Services and Credit Panel may take the action included in the notice. </w:t>
            </w:r>
          </w:p>
          <w:p w14:paraId="00242AA5" w14:textId="7CEC77AB" w:rsidR="00B614A2" w:rsidRPr="00DB1F70" w:rsidRDefault="00B614A2" w:rsidP="00B277E5">
            <w:pPr>
              <w:pStyle w:val="TableTextBase"/>
              <w:spacing w:before="60" w:after="60"/>
              <w:jc w:val="left"/>
            </w:pPr>
            <w:r>
              <w:rPr>
                <w:rFonts w:asciiTheme="minorHAnsi" w:hAnsiTheme="minorHAnsi" w:cs="Arial"/>
                <w:sz w:val="21"/>
                <w:szCs w:val="21"/>
              </w:rPr>
              <w:t>If the adviser requests a hearing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 or makes a submission</w:t>
            </w:r>
            <w:r>
              <w:rPr>
                <w:rFonts w:asciiTheme="minorHAnsi" w:hAnsiTheme="minorHAnsi" w:cs="Arial"/>
                <w:sz w:val="21"/>
                <w:szCs w:val="21"/>
              </w:rPr>
              <w:t>, the Financial Services and Credit Panel must consider any evidence given at the hearing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, or included in the submission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before finalising its decision. </w:t>
            </w:r>
          </w:p>
        </w:tc>
      </w:tr>
      <w:tr w:rsidR="00B614A2" w:rsidRPr="005D6F91" w14:paraId="0A271C1A" w14:textId="77777777" w:rsidTr="00E43B50">
        <w:tc>
          <w:tcPr>
            <w:tcW w:w="3544" w:type="dxa"/>
            <w:shd w:val="clear" w:color="auto" w:fill="auto"/>
          </w:tcPr>
          <w:p w14:paraId="28003370" w14:textId="5BEBE007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Hearings</w:t>
            </w:r>
          </w:p>
        </w:tc>
        <w:tc>
          <w:tcPr>
            <w:tcW w:w="1418" w:type="dxa"/>
            <w:shd w:val="clear" w:color="auto" w:fill="auto"/>
          </w:tcPr>
          <w:p w14:paraId="481FF344" w14:textId="77777777" w:rsidR="00D27E48" w:rsidRDefault="00D27E48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156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7EE2519F" w14:textId="77777777" w:rsidR="00D27E48" w:rsidRDefault="00D27E48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158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4E6D2C1F" w14:textId="77777777" w:rsidR="00D27E48" w:rsidRDefault="00D27E48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159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5D60BA1A" w14:textId="77777777" w:rsidR="002A55C5" w:rsidRDefault="00A06DAC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160</w:t>
            </w:r>
          </w:p>
          <w:p w14:paraId="120A74DE" w14:textId="77777777" w:rsidR="002A55C5" w:rsidRDefault="002A55C5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162</w:t>
            </w:r>
          </w:p>
          <w:p w14:paraId="252E57B5" w14:textId="1F77B27F" w:rsidR="00A06DAC" w:rsidRDefault="002A55C5" w:rsidP="002A55C5">
            <w:pPr>
              <w:pStyle w:val="TableTextBase"/>
              <w:spacing w:before="0"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163</w:t>
            </w:r>
            <w:r w:rsidR="00A06DAC">
              <w:rPr>
                <w:rFonts w:asciiTheme="minorHAnsi" w:hAnsiTheme="minorHAnsi" w:cs="Arial"/>
                <w:sz w:val="21"/>
                <w:szCs w:val="21"/>
              </w:rPr>
              <w:t xml:space="preserve"> of the ASIC Act</w:t>
            </w:r>
          </w:p>
          <w:p w14:paraId="3E9499DB" w14:textId="77777777" w:rsidR="00A06DAC" w:rsidRDefault="00A06DAC" w:rsidP="002A55C5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921L(2)</w:t>
            </w:r>
          </w:p>
          <w:p w14:paraId="3D0AB1E4" w14:textId="77777777" w:rsidR="00B614A2" w:rsidRDefault="00A06DAC" w:rsidP="002A55C5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921PA</w:t>
            </w:r>
          </w:p>
          <w:p w14:paraId="64C66975" w14:textId="77777777" w:rsidR="002A55C5" w:rsidRDefault="002A55C5" w:rsidP="002A55C5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921PB(4) &amp; (5)</w:t>
            </w:r>
          </w:p>
          <w:p w14:paraId="2AC2234C" w14:textId="1DBAF4F4" w:rsidR="002A55C5" w:rsidRPr="005D6F91" w:rsidRDefault="002A55C5" w:rsidP="002A55C5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1317DATB</w:t>
            </w:r>
          </w:p>
        </w:tc>
        <w:tc>
          <w:tcPr>
            <w:tcW w:w="4507" w:type="dxa"/>
            <w:vMerge/>
            <w:shd w:val="clear" w:color="auto" w:fill="auto"/>
          </w:tcPr>
          <w:p w14:paraId="74D0D277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5347A9B4" w14:textId="77777777" w:rsidTr="00E43B50">
        <w:tc>
          <w:tcPr>
            <w:tcW w:w="3544" w:type="dxa"/>
            <w:shd w:val="clear" w:color="auto" w:fill="auto"/>
          </w:tcPr>
          <w:p w14:paraId="196DCCDE" w14:textId="7C153E49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Submissions</w:t>
            </w:r>
          </w:p>
        </w:tc>
        <w:tc>
          <w:tcPr>
            <w:tcW w:w="1418" w:type="dxa"/>
            <w:shd w:val="clear" w:color="auto" w:fill="auto"/>
          </w:tcPr>
          <w:p w14:paraId="71A485B6" w14:textId="77777777" w:rsidR="00593A68" w:rsidRDefault="00593A68" w:rsidP="00593A68">
            <w:pPr>
              <w:pStyle w:val="TableTextBase"/>
              <w:spacing w:before="0"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157</w:t>
            </w:r>
          </w:p>
          <w:p w14:paraId="4A1C1957" w14:textId="5E73603D" w:rsidR="00593A68" w:rsidRDefault="00D27E48" w:rsidP="00593A68">
            <w:pPr>
              <w:pStyle w:val="TableTextBase"/>
              <w:spacing w:before="0"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161</w:t>
            </w:r>
            <w:r w:rsidR="00593A68">
              <w:rPr>
                <w:rFonts w:asciiTheme="minorHAnsi" w:hAnsiTheme="minorHAnsi" w:cs="Arial"/>
                <w:sz w:val="21"/>
                <w:szCs w:val="21"/>
              </w:rPr>
              <w:t xml:space="preserve"> of the ASIC Act</w:t>
            </w:r>
          </w:p>
          <w:p w14:paraId="4CEBAC83" w14:textId="77777777" w:rsidR="00593A68" w:rsidRDefault="00593A68" w:rsidP="00593A68">
            <w:pPr>
              <w:pStyle w:val="TableTextBase"/>
              <w:spacing w:before="0" w:after="120"/>
              <w:rPr>
                <w:rFonts w:asciiTheme="minorHAnsi" w:hAnsiTheme="minorHAnsi" w:cs="Arial"/>
                <w:sz w:val="21"/>
                <w:szCs w:val="21"/>
              </w:rPr>
            </w:pPr>
          </w:p>
          <w:p w14:paraId="7123BFD3" w14:textId="09493DFC" w:rsidR="00593A68" w:rsidRDefault="00593A68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921L(2)</w:t>
            </w:r>
          </w:p>
          <w:p w14:paraId="437D325E" w14:textId="77777777" w:rsidR="00B614A2" w:rsidRDefault="00593A68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921PA</w:t>
            </w:r>
          </w:p>
          <w:p w14:paraId="26010465" w14:textId="77777777" w:rsidR="002A55C5" w:rsidRDefault="002A55C5" w:rsidP="002A55C5">
            <w:pPr>
              <w:pStyle w:val="TableTextBase"/>
              <w:spacing w:before="60" w:after="6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921PB(4) &amp; (5)</w:t>
            </w:r>
          </w:p>
          <w:p w14:paraId="245915B3" w14:textId="1C7FF856" w:rsidR="002A55C5" w:rsidRPr="005D6F91" w:rsidRDefault="002A55C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1317DATB</w:t>
            </w:r>
          </w:p>
        </w:tc>
        <w:tc>
          <w:tcPr>
            <w:tcW w:w="4507" w:type="dxa"/>
            <w:vMerge/>
            <w:shd w:val="clear" w:color="auto" w:fill="auto"/>
          </w:tcPr>
          <w:p w14:paraId="08A23E96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474566DD" w14:textId="77777777" w:rsidTr="00E43B50">
        <w:tc>
          <w:tcPr>
            <w:tcW w:w="3544" w:type="dxa"/>
            <w:shd w:val="clear" w:color="auto" w:fill="auto"/>
          </w:tcPr>
          <w:p w14:paraId="2128E77C" w14:textId="59905004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Who makes up the single disciplinary body?</w:t>
            </w:r>
          </w:p>
        </w:tc>
        <w:tc>
          <w:tcPr>
            <w:tcW w:w="1418" w:type="dxa"/>
            <w:shd w:val="clear" w:color="auto" w:fill="auto"/>
          </w:tcPr>
          <w:p w14:paraId="39454AFA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325A24E0" w14:textId="58E80EE5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5622A53F" w14:textId="77777777" w:rsidTr="00E43B50">
        <w:trPr>
          <w:trHeight w:val="733"/>
        </w:trPr>
        <w:tc>
          <w:tcPr>
            <w:tcW w:w="3544" w:type="dxa"/>
            <w:shd w:val="clear" w:color="auto" w:fill="auto"/>
          </w:tcPr>
          <w:p w14:paraId="15A6D767" w14:textId="0C84ACDB" w:rsidR="00B614A2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Eligible persons</w:t>
            </w:r>
          </w:p>
        </w:tc>
        <w:tc>
          <w:tcPr>
            <w:tcW w:w="1418" w:type="dxa"/>
            <w:shd w:val="clear" w:color="auto" w:fill="auto"/>
          </w:tcPr>
          <w:p w14:paraId="3CA23547" w14:textId="253F40B3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141 of the ASIC Act</w:t>
            </w:r>
          </w:p>
        </w:tc>
        <w:tc>
          <w:tcPr>
            <w:tcW w:w="4507" w:type="dxa"/>
            <w:vMerge w:val="restart"/>
            <w:shd w:val="clear" w:color="auto" w:fill="auto"/>
          </w:tcPr>
          <w:p w14:paraId="35E2BABD" w14:textId="7340F724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Financial Services Credit Panel will consist of an ASIC staff member as chair and at least two industry representatives. All members have equal voting rights. </w:t>
            </w:r>
          </w:p>
          <w:p w14:paraId="499CF8F3" w14:textId="77777777" w:rsidR="00B614A2" w:rsidRPr="005D6F91" w:rsidRDefault="00B614A2" w:rsidP="00910AC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industry representatives must be selected from a list of persons appointed by the Minister</w:t>
            </w:r>
            <w:r w:rsidR="00910ACC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</w:tc>
      </w:tr>
      <w:tr w:rsidR="00B614A2" w:rsidRPr="005D6F91" w14:paraId="594571B8" w14:textId="77777777" w:rsidTr="00E43B50">
        <w:tc>
          <w:tcPr>
            <w:tcW w:w="3544" w:type="dxa"/>
            <w:shd w:val="clear" w:color="auto" w:fill="auto"/>
          </w:tcPr>
          <w:p w14:paraId="66AE2E54" w14:textId="30557632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Appointing members</w:t>
            </w:r>
          </w:p>
        </w:tc>
        <w:tc>
          <w:tcPr>
            <w:tcW w:w="1418" w:type="dxa"/>
            <w:shd w:val="clear" w:color="auto" w:fill="auto"/>
          </w:tcPr>
          <w:p w14:paraId="4334326B" w14:textId="33F09A1F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140 of the ASIC Act</w:t>
            </w:r>
          </w:p>
        </w:tc>
        <w:tc>
          <w:tcPr>
            <w:tcW w:w="4507" w:type="dxa"/>
            <w:vMerge/>
            <w:shd w:val="clear" w:color="auto" w:fill="auto"/>
          </w:tcPr>
          <w:p w14:paraId="447F0DE9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43B50" w:rsidRPr="005D6F91" w14:paraId="198CCCB3" w14:textId="77777777" w:rsidTr="00E43B50">
        <w:tc>
          <w:tcPr>
            <w:tcW w:w="9469" w:type="dxa"/>
            <w:gridSpan w:val="3"/>
            <w:shd w:val="clear" w:color="auto" w:fill="auto"/>
          </w:tcPr>
          <w:p w14:paraId="15DEA5D6" w14:textId="572D7DA7" w:rsidR="00E43B50" w:rsidRPr="00E43B50" w:rsidRDefault="00E43B50" w:rsidP="00B614A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Registration of financial advisers</w:t>
            </w:r>
          </w:p>
        </w:tc>
      </w:tr>
      <w:tr w:rsidR="00B614A2" w:rsidRPr="005D6F91" w14:paraId="74688FFF" w14:textId="77777777" w:rsidTr="00E43B50">
        <w:tc>
          <w:tcPr>
            <w:tcW w:w="3544" w:type="dxa"/>
            <w:shd w:val="clear" w:color="auto" w:fill="auto"/>
          </w:tcPr>
          <w:p w14:paraId="58288406" w14:textId="163CC224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Who needs to be registered?</w:t>
            </w:r>
          </w:p>
        </w:tc>
        <w:tc>
          <w:tcPr>
            <w:tcW w:w="1418" w:type="dxa"/>
            <w:shd w:val="clear" w:color="auto" w:fill="auto"/>
          </w:tcPr>
          <w:p w14:paraId="255DAE67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14:paraId="1CD4DF21" w14:textId="77777777" w:rsidR="00B277E5" w:rsidRDefault="00B277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Financial advisers need to be registered on the Register of Relevant Providers (the Financial Advisers Register) in order to give financial advice. </w:t>
            </w:r>
          </w:p>
          <w:p w14:paraId="038B6E49" w14:textId="5DE96BFF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The financial services licensee who authorised </w:t>
            </w:r>
            <w:r w:rsidR="00B277E5">
              <w:rPr>
                <w:rFonts w:asciiTheme="minorHAnsi" w:hAnsiTheme="minorHAnsi" w:cs="Arial"/>
                <w:sz w:val="21"/>
                <w:szCs w:val="21"/>
              </w:rPr>
              <w:t xml:space="preserve">the financial adviser is required to </w:t>
            </w:r>
            <w:r w:rsidR="00430163">
              <w:rPr>
                <w:rFonts w:asciiTheme="minorHAnsi" w:hAnsiTheme="minorHAnsi" w:cs="Arial"/>
                <w:sz w:val="21"/>
                <w:szCs w:val="21"/>
              </w:rPr>
              <w:t xml:space="preserve">register the adviser.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If the adviser is also the licensee, the licensee will register themselves. </w:t>
            </w:r>
          </w:p>
          <w:p w14:paraId="6E463A83" w14:textId="5167715B" w:rsidR="00140923" w:rsidRDefault="00140923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Existing </w:t>
            </w:r>
            <w:r w:rsidR="002A55C5">
              <w:rPr>
                <w:rFonts w:asciiTheme="minorHAnsi" w:hAnsiTheme="minorHAnsi" w:cs="Arial"/>
                <w:sz w:val="21"/>
                <w:szCs w:val="21"/>
              </w:rPr>
              <w:t>advisers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as at 1 January 2022 must be registered by 1 January 2023. </w:t>
            </w:r>
          </w:p>
          <w:p w14:paraId="173C9C7B" w14:textId="0ED4C043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new registration takes effect once ASIC has recorded the registration on the Register of Relevant Providers. </w:t>
            </w:r>
          </w:p>
          <w:p w14:paraId="09FC17C4" w14:textId="174C5150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financial adviser’s registration needs to be renewed annually. </w:t>
            </w:r>
          </w:p>
          <w:p w14:paraId="2914C278" w14:textId="6CB6C579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Sanctions imposed by the single disciplinary body may be included on the</w:t>
            </w:r>
            <w:r w:rsidR="00910ACC">
              <w:rPr>
                <w:rFonts w:asciiTheme="minorHAnsi" w:hAnsiTheme="minorHAnsi" w:cs="Arial"/>
                <w:sz w:val="21"/>
                <w:szCs w:val="21"/>
              </w:rPr>
              <w:t xml:space="preserve"> register. </w:t>
            </w:r>
          </w:p>
          <w:p w14:paraId="15F85F31" w14:textId="5CA27EA3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ASIC must refuse to register a financial adviser if the financial adviser has been banned, is disqualified, has not met the education and training standard or a registration prohibition order is in place. </w:t>
            </w:r>
          </w:p>
        </w:tc>
      </w:tr>
      <w:tr w:rsidR="00B614A2" w:rsidRPr="005D6F91" w14:paraId="5608CB0A" w14:textId="77777777" w:rsidTr="00E43B50">
        <w:tc>
          <w:tcPr>
            <w:tcW w:w="3544" w:type="dxa"/>
            <w:shd w:val="clear" w:color="auto" w:fill="auto"/>
          </w:tcPr>
          <w:p w14:paraId="6A69287D" w14:textId="63B666E7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Requirement to register</w:t>
            </w:r>
          </w:p>
        </w:tc>
        <w:tc>
          <w:tcPr>
            <w:tcW w:w="1418" w:type="dxa"/>
            <w:shd w:val="clear" w:color="auto" w:fill="auto"/>
          </w:tcPr>
          <w:p w14:paraId="1A2B2E4B" w14:textId="77777777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921U</w:t>
            </w:r>
          </w:p>
          <w:p w14:paraId="5F43312E" w14:textId="15F58CF7" w:rsidR="008C59E5" w:rsidRPr="005D6F91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921V</w:t>
            </w:r>
          </w:p>
        </w:tc>
        <w:tc>
          <w:tcPr>
            <w:tcW w:w="4507" w:type="dxa"/>
            <w:vMerge/>
            <w:shd w:val="clear" w:color="auto" w:fill="auto"/>
          </w:tcPr>
          <w:p w14:paraId="2FC28F86" w14:textId="202A67DB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16F48C95" w14:textId="77777777" w:rsidTr="00E43B50">
        <w:tc>
          <w:tcPr>
            <w:tcW w:w="3544" w:type="dxa"/>
            <w:shd w:val="clear" w:color="auto" w:fill="auto"/>
          </w:tcPr>
          <w:p w14:paraId="2A6223CA" w14:textId="7CBB71DA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i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Annual renewal </w:t>
            </w:r>
          </w:p>
        </w:tc>
        <w:tc>
          <w:tcPr>
            <w:tcW w:w="1418" w:type="dxa"/>
            <w:shd w:val="clear" w:color="auto" w:fill="auto"/>
          </w:tcPr>
          <w:p w14:paraId="1203B81B" w14:textId="38C51B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921W</w:t>
            </w:r>
          </w:p>
        </w:tc>
        <w:tc>
          <w:tcPr>
            <w:tcW w:w="4507" w:type="dxa"/>
            <w:vMerge/>
            <w:shd w:val="clear" w:color="auto" w:fill="auto"/>
          </w:tcPr>
          <w:p w14:paraId="33BA8E5E" w14:textId="27E51809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67A6B380" w14:textId="77777777" w:rsidTr="00E43B50">
        <w:tc>
          <w:tcPr>
            <w:tcW w:w="3544" w:type="dxa"/>
            <w:shd w:val="clear" w:color="auto" w:fill="auto"/>
          </w:tcPr>
          <w:p w14:paraId="62682C9D" w14:textId="24C51BB8" w:rsidR="00B614A2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Period of registration </w:t>
            </w:r>
          </w:p>
        </w:tc>
        <w:tc>
          <w:tcPr>
            <w:tcW w:w="1418" w:type="dxa"/>
            <w:shd w:val="clear" w:color="auto" w:fill="auto"/>
          </w:tcPr>
          <w:p w14:paraId="0A38EEF4" w14:textId="77777777" w:rsidR="00B614A2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921Y</w:t>
            </w:r>
          </w:p>
          <w:p w14:paraId="51846078" w14:textId="20602DAD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921Z</w:t>
            </w:r>
          </w:p>
        </w:tc>
        <w:tc>
          <w:tcPr>
            <w:tcW w:w="4507" w:type="dxa"/>
            <w:vMerge/>
            <w:shd w:val="clear" w:color="auto" w:fill="auto"/>
          </w:tcPr>
          <w:p w14:paraId="5E75C8D6" w14:textId="77777777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7D4885B8" w14:textId="77777777" w:rsidTr="00E43B50">
        <w:tc>
          <w:tcPr>
            <w:tcW w:w="3544" w:type="dxa"/>
            <w:shd w:val="clear" w:color="auto" w:fill="auto"/>
          </w:tcPr>
          <w:p w14:paraId="3EC20134" w14:textId="4A61AE15" w:rsidR="00B614A2" w:rsidRPr="005D6F91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Information kept on the register</w:t>
            </w:r>
          </w:p>
        </w:tc>
        <w:tc>
          <w:tcPr>
            <w:tcW w:w="1418" w:type="dxa"/>
            <w:shd w:val="clear" w:color="auto" w:fill="auto"/>
          </w:tcPr>
          <w:p w14:paraId="4D718640" w14:textId="77777777" w:rsidR="00B614A2" w:rsidRDefault="00430163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921PB</w:t>
            </w:r>
          </w:p>
          <w:p w14:paraId="33B4EFE6" w14:textId="196363D4" w:rsidR="002A55C5" w:rsidRPr="005D6F91" w:rsidRDefault="002A55C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922Q</w:t>
            </w:r>
          </w:p>
        </w:tc>
        <w:tc>
          <w:tcPr>
            <w:tcW w:w="4507" w:type="dxa"/>
            <w:vMerge/>
            <w:shd w:val="clear" w:color="auto" w:fill="auto"/>
          </w:tcPr>
          <w:p w14:paraId="3F641363" w14:textId="360A0C3E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7D1E53A3" w14:textId="77777777" w:rsidTr="00E43B50">
        <w:tc>
          <w:tcPr>
            <w:tcW w:w="3544" w:type="dxa"/>
            <w:shd w:val="clear" w:color="auto" w:fill="auto"/>
          </w:tcPr>
          <w:p w14:paraId="062AF8A7" w14:textId="1F88BC9B" w:rsidR="00B614A2" w:rsidRDefault="00B614A2" w:rsidP="00B614A2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When ASIC must refuse to register </w:t>
            </w:r>
          </w:p>
        </w:tc>
        <w:tc>
          <w:tcPr>
            <w:tcW w:w="1418" w:type="dxa"/>
            <w:shd w:val="clear" w:color="auto" w:fill="auto"/>
          </w:tcPr>
          <w:p w14:paraId="3991CACD" w14:textId="4D03A2C8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921X</w:t>
            </w:r>
          </w:p>
        </w:tc>
        <w:tc>
          <w:tcPr>
            <w:tcW w:w="4507" w:type="dxa"/>
            <w:vMerge/>
            <w:shd w:val="clear" w:color="auto" w:fill="auto"/>
          </w:tcPr>
          <w:p w14:paraId="291DF3CA" w14:textId="7DF2EA84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14A2" w:rsidRPr="005D6F91" w14:paraId="36780042" w14:textId="77777777" w:rsidTr="00E43B50">
        <w:tc>
          <w:tcPr>
            <w:tcW w:w="3544" w:type="dxa"/>
            <w:shd w:val="clear" w:color="auto" w:fill="auto"/>
          </w:tcPr>
          <w:p w14:paraId="178D061A" w14:textId="1C8C4A1B" w:rsidR="00B614A2" w:rsidRPr="005D6F91" w:rsidRDefault="00B614A2" w:rsidP="00B614A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penalties apply if someone is not registered?</w:t>
            </w:r>
          </w:p>
        </w:tc>
        <w:tc>
          <w:tcPr>
            <w:tcW w:w="1418" w:type="dxa"/>
            <w:shd w:val="clear" w:color="auto" w:fill="auto"/>
          </w:tcPr>
          <w:p w14:paraId="7DEFD704" w14:textId="77777777" w:rsidR="00430163" w:rsidRDefault="00430163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921S</w:t>
            </w:r>
          </w:p>
          <w:p w14:paraId="182FD8AF" w14:textId="454F44A7" w:rsidR="00B614A2" w:rsidRPr="005D6F91" w:rsidRDefault="00430163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921T</w:t>
            </w:r>
          </w:p>
        </w:tc>
        <w:tc>
          <w:tcPr>
            <w:tcW w:w="4507" w:type="dxa"/>
            <w:shd w:val="clear" w:color="auto" w:fill="auto"/>
          </w:tcPr>
          <w:p w14:paraId="1C4DEBEF" w14:textId="4BDCA351" w:rsidR="00910ACC" w:rsidRDefault="00910ACC" w:rsidP="00910AC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a licensee has not</w:t>
            </w:r>
            <w:r w:rsidR="00430163">
              <w:rPr>
                <w:rFonts w:asciiTheme="minorHAnsi" w:hAnsiTheme="minorHAnsi" w:cs="Arial"/>
                <w:sz w:val="21"/>
                <w:szCs w:val="21"/>
              </w:rPr>
              <w:t xml:space="preserve"> registered an adviser but the adviser’s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authorisation is in place, the licensee may be subject to a civil penalty. </w:t>
            </w:r>
          </w:p>
          <w:p w14:paraId="7E985EC1" w14:textId="534B9E44" w:rsidR="00B614A2" w:rsidRPr="005D6F91" w:rsidRDefault="00140923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If the adviser gives advice while not registered the adviser may be subject to disciplinary action by the Financial Services and Credit Panel. </w:t>
            </w:r>
          </w:p>
        </w:tc>
      </w:tr>
      <w:tr w:rsidR="00495C10" w:rsidRPr="005D6F91" w14:paraId="031A3815" w14:textId="77777777" w:rsidTr="00BA39E2">
        <w:tc>
          <w:tcPr>
            <w:tcW w:w="9469" w:type="dxa"/>
            <w:gridSpan w:val="3"/>
            <w:shd w:val="clear" w:color="auto" w:fill="auto"/>
          </w:tcPr>
          <w:p w14:paraId="450F9D81" w14:textId="7083D5FB" w:rsidR="00495C10" w:rsidRDefault="00495C10" w:rsidP="00495C1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Wind-up of FASEA and transfer of functions to the Minister and ASIC</w:t>
            </w:r>
          </w:p>
        </w:tc>
      </w:tr>
      <w:tr w:rsidR="008C59E5" w:rsidRPr="005D6F91" w14:paraId="335049EA" w14:textId="77777777" w:rsidTr="00E43B50">
        <w:tc>
          <w:tcPr>
            <w:tcW w:w="3544" w:type="dxa"/>
            <w:shd w:val="clear" w:color="auto" w:fill="auto"/>
          </w:tcPr>
          <w:p w14:paraId="2CE5BB0B" w14:textId="39F64127" w:rsidR="008C59E5" w:rsidRPr="005D6F91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standard setting functions will the Minister perform?</w:t>
            </w:r>
          </w:p>
        </w:tc>
        <w:tc>
          <w:tcPr>
            <w:tcW w:w="1418" w:type="dxa"/>
            <w:shd w:val="clear" w:color="auto" w:fill="auto"/>
          </w:tcPr>
          <w:p w14:paraId="541A6C38" w14:textId="77777777" w:rsidR="008C59E5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921G</w:t>
            </w:r>
          </w:p>
          <w:p w14:paraId="04456F83" w14:textId="32801CDF" w:rsidR="008C59E5" w:rsidRPr="005D6F91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921H</w:t>
            </w:r>
          </w:p>
        </w:tc>
        <w:tc>
          <w:tcPr>
            <w:tcW w:w="4507" w:type="dxa"/>
            <w:shd w:val="clear" w:color="auto" w:fill="auto"/>
          </w:tcPr>
          <w:p w14:paraId="7D7BD6DD" w14:textId="289BD996" w:rsidR="008C59E5" w:rsidRPr="008C59E5" w:rsidRDefault="00E325E3" w:rsidP="00E325E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8C59E5" w:rsidRPr="008C59E5">
              <w:rPr>
                <w:rFonts w:asciiTheme="minorHAnsi" w:hAnsiTheme="minorHAnsi" w:cs="Arial"/>
                <w:sz w:val="21"/>
                <w:szCs w:val="21"/>
              </w:rPr>
              <w:t xml:space="preserve">he Minister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will be able to: </w:t>
            </w:r>
          </w:p>
          <w:p w14:paraId="12EED97E" w14:textId="77777777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 xml:space="preserve">approve bachelor degrees or higher degrees or equivalent qualifications, required for a person to be a financial adviser; </w:t>
            </w:r>
          </w:p>
          <w:p w14:paraId="701A7E54" w14:textId="77777777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 xml:space="preserve">approve an exam, that a person must pass in order to be a financial adviser; </w:t>
            </w:r>
          </w:p>
          <w:p w14:paraId="436D4843" w14:textId="15233E45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>set continuing professional development requirements</w:t>
            </w:r>
            <w:r w:rsidR="00BA4E8B">
              <w:rPr>
                <w:rFonts w:asciiTheme="minorHAnsi" w:hAnsiTheme="minorHAnsi" w:cs="Arial"/>
                <w:sz w:val="21"/>
                <w:szCs w:val="21"/>
              </w:rPr>
              <w:t xml:space="preserve"> (CPD)</w:t>
            </w:r>
            <w:r w:rsidRPr="008C59E5">
              <w:rPr>
                <w:rFonts w:asciiTheme="minorHAnsi" w:hAnsiTheme="minorHAnsi" w:cs="Arial"/>
                <w:sz w:val="21"/>
                <w:szCs w:val="21"/>
              </w:rPr>
              <w:t xml:space="preserve"> to be completed in a financial services licensee’s CPD year; </w:t>
            </w:r>
          </w:p>
          <w:p w14:paraId="527A13F8" w14:textId="77777777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>set requirements for work and training requirements;</w:t>
            </w:r>
          </w:p>
          <w:p w14:paraId="305D04EF" w14:textId="59B3AE8E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>set requirements for provisional financial advisers</w:t>
            </w:r>
            <w:r w:rsidR="00BA4E8B">
              <w:rPr>
                <w:rFonts w:asciiTheme="minorHAnsi" w:hAnsiTheme="minorHAnsi" w:cs="Arial"/>
                <w:sz w:val="21"/>
                <w:szCs w:val="21"/>
              </w:rPr>
              <w:t xml:space="preserve"> and their supervisors</w:t>
            </w:r>
            <w:r w:rsidRPr="008C59E5">
              <w:rPr>
                <w:rFonts w:asciiTheme="minorHAnsi" w:hAnsiTheme="minorHAnsi" w:cs="Arial"/>
                <w:sz w:val="21"/>
                <w:szCs w:val="21"/>
              </w:rPr>
              <w:t>; and</w:t>
            </w:r>
          </w:p>
          <w:p w14:paraId="7B93179E" w14:textId="77777777" w:rsidR="008C59E5" w:rsidRPr="008C59E5" w:rsidRDefault="008C59E5" w:rsidP="008C59E5">
            <w:pPr>
              <w:pStyle w:val="TableTextBase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8C59E5">
              <w:rPr>
                <w:rFonts w:asciiTheme="minorHAnsi" w:hAnsiTheme="minorHAnsi" w:cs="Arial"/>
                <w:sz w:val="21"/>
                <w:szCs w:val="21"/>
              </w:rPr>
              <w:t xml:space="preserve">make a Code of Ethics. </w:t>
            </w:r>
          </w:p>
          <w:p w14:paraId="7E07A992" w14:textId="5CF8A430" w:rsidR="008C59E5" w:rsidRDefault="00E325E3" w:rsidP="00E325E3">
            <w:pPr>
              <w:spacing w:after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E325E3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The Minister will al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so set the education and training standards for financial advisers who want to provide tax (financial) advice services. </w:t>
            </w:r>
          </w:p>
          <w:p w14:paraId="76D3B83F" w14:textId="4CA6FB5B" w:rsidR="00E325E3" w:rsidRDefault="00E325E3" w:rsidP="00BD0EFD">
            <w:pPr>
              <w:tabs>
                <w:tab w:val="left" w:pos="841"/>
              </w:tabs>
            </w:pPr>
            <w:r w:rsidRPr="00E325E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The </w:t>
            </w:r>
            <w:r w:rsidR="00BD0EF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standards and Code of Ethics made by FASEA remain in place unless the Minister makes new standards.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C59E5" w:rsidRPr="005D6F91" w14:paraId="4DE1CD55" w14:textId="77777777" w:rsidTr="00E43B50">
        <w:tc>
          <w:tcPr>
            <w:tcW w:w="3544" w:type="dxa"/>
            <w:shd w:val="clear" w:color="auto" w:fill="auto"/>
          </w:tcPr>
          <w:p w14:paraId="2FF2B9AD" w14:textId="4FE0C6D6" w:rsidR="008C59E5" w:rsidRPr="005D6F91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>What FASEA functions will ASIC perform?</w:t>
            </w:r>
          </w:p>
        </w:tc>
        <w:tc>
          <w:tcPr>
            <w:tcW w:w="1418" w:type="dxa"/>
            <w:shd w:val="clear" w:color="auto" w:fill="auto"/>
          </w:tcPr>
          <w:p w14:paraId="51FDAC92" w14:textId="77777777" w:rsidR="008C59E5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921J</w:t>
            </w:r>
          </w:p>
          <w:p w14:paraId="0DC9E643" w14:textId="1B20ECFD" w:rsidR="008C59E5" w:rsidRPr="005D6F91" w:rsidRDefault="008C59E5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921K</w:t>
            </w:r>
          </w:p>
        </w:tc>
        <w:tc>
          <w:tcPr>
            <w:tcW w:w="4507" w:type="dxa"/>
            <w:shd w:val="clear" w:color="auto" w:fill="auto"/>
          </w:tcPr>
          <w:p w14:paraId="1F329E52" w14:textId="70454651" w:rsidR="00E43B50" w:rsidRDefault="00E43B50" w:rsidP="00E43B50">
            <w:pPr>
              <w:tabs>
                <w:tab w:val="left" w:pos="84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E43B50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ASIC may approve foreign qualifications </w:t>
            </w:r>
            <w:r w:rsidR="0065598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where these are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equivalent to the </w:t>
            </w:r>
            <w:r w:rsidR="0065598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domestic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qualifications approved by the Minister. </w:t>
            </w:r>
          </w:p>
          <w:p w14:paraId="15934599" w14:textId="72FFDAF6" w:rsidR="008C59E5" w:rsidRDefault="00E43B50" w:rsidP="00E43B50">
            <w:pPr>
              <w:tabs>
                <w:tab w:val="left" w:pos="841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ASIC </w:t>
            </w:r>
            <w:r w:rsidRPr="00E43B50">
              <w:rPr>
                <w:rFonts w:asciiTheme="minorHAnsi" w:hAnsiTheme="minorHAnsi" w:cs="Arial"/>
                <w:color w:val="000000"/>
                <w:sz w:val="21"/>
                <w:szCs w:val="21"/>
              </w:rPr>
              <w:t>must administer the financial advisers</w:t>
            </w:r>
            <w:r w:rsidR="00F04456">
              <w:rPr>
                <w:rFonts w:asciiTheme="minorHAnsi" w:hAnsiTheme="minorHAnsi" w:cs="Arial"/>
                <w:color w:val="000000"/>
                <w:sz w:val="21"/>
                <w:szCs w:val="21"/>
              </w:rPr>
              <w:t>’</w:t>
            </w:r>
            <w:r w:rsidRPr="00E43B50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exam approved by the Minister.</w:t>
            </w:r>
          </w:p>
        </w:tc>
      </w:tr>
      <w:tr w:rsidR="00495C10" w:rsidRPr="005D6F91" w14:paraId="5D9996B2" w14:textId="77777777" w:rsidTr="00DF7669">
        <w:tc>
          <w:tcPr>
            <w:tcW w:w="9469" w:type="dxa"/>
            <w:gridSpan w:val="3"/>
            <w:shd w:val="clear" w:color="auto" w:fill="auto"/>
          </w:tcPr>
          <w:p w14:paraId="5429AB33" w14:textId="505D7B85" w:rsidR="00495C10" w:rsidRDefault="00495C10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Requirements for Tax (financial) advisers</w:t>
            </w:r>
          </w:p>
        </w:tc>
      </w:tr>
      <w:tr w:rsidR="00495C10" w:rsidRPr="005D6F91" w14:paraId="4DB4E299" w14:textId="77777777" w:rsidTr="00E43B50">
        <w:tc>
          <w:tcPr>
            <w:tcW w:w="3544" w:type="dxa"/>
            <w:shd w:val="clear" w:color="auto" w:fill="auto"/>
          </w:tcPr>
          <w:p w14:paraId="55756BFB" w14:textId="46ECFB25" w:rsidR="00495C10" w:rsidRPr="005D6F91" w:rsidRDefault="00495C10" w:rsidP="00B614A2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registration requirements apply to tax (financial) advisers</w:t>
            </w:r>
          </w:p>
        </w:tc>
        <w:tc>
          <w:tcPr>
            <w:tcW w:w="1418" w:type="dxa"/>
            <w:shd w:val="clear" w:color="auto" w:fill="auto"/>
          </w:tcPr>
          <w:p w14:paraId="587EAF80" w14:textId="7BB26954" w:rsidR="004B720D" w:rsidRDefault="004B720D" w:rsidP="004B720D">
            <w:pPr>
              <w:spacing w:after="0"/>
              <w:jc w:val="left"/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</w:pPr>
            <w:r w:rsidRPr="004B720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Item 123 of the </w:t>
            </w:r>
            <w:r w:rsidRPr="004B720D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Tax Agent Services Act 2009</w:t>
            </w:r>
          </w:p>
          <w:p w14:paraId="067FB26E" w14:textId="77777777" w:rsidR="004B720D" w:rsidRDefault="004B720D" w:rsidP="004B720D">
            <w:pPr>
              <w:spacing w:after="0"/>
              <w:jc w:val="left"/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</w:pPr>
          </w:p>
          <w:p w14:paraId="18483F7A" w14:textId="77777777" w:rsidR="004B720D" w:rsidRDefault="004B720D" w:rsidP="004B720D">
            <w:pPr>
              <w:spacing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921U</w:t>
            </w:r>
          </w:p>
          <w:p w14:paraId="2C3B5C97" w14:textId="77777777" w:rsidR="004B720D" w:rsidRDefault="004B720D" w:rsidP="004B720D">
            <w:pPr>
              <w:spacing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921V</w:t>
            </w:r>
          </w:p>
          <w:p w14:paraId="731F0D37" w14:textId="77777777" w:rsidR="004B720D" w:rsidRDefault="004B720D" w:rsidP="004B720D">
            <w:pPr>
              <w:spacing w:after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921W</w:t>
            </w:r>
          </w:p>
          <w:p w14:paraId="14BC6E01" w14:textId="4C0E18CC" w:rsidR="00495C10" w:rsidRPr="005D6F91" w:rsidRDefault="004B720D" w:rsidP="004B720D">
            <w:pPr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921X</w:t>
            </w:r>
          </w:p>
        </w:tc>
        <w:tc>
          <w:tcPr>
            <w:tcW w:w="4507" w:type="dxa"/>
            <w:shd w:val="clear" w:color="auto" w:fill="auto"/>
          </w:tcPr>
          <w:p w14:paraId="281E2FA3" w14:textId="77777777" w:rsidR="00F04456" w:rsidRDefault="00F04456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 tax (financial) adviser will not need to be registered with both the Tax Practioners Board and ASIC. </w:t>
            </w:r>
          </w:p>
          <w:p w14:paraId="2A221B25" w14:textId="5F92B144" w:rsidR="00F04456" w:rsidRDefault="00F04456" w:rsidP="00F04456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From 1 January 2022 a tax (financial) adviser will only need to be registered with ASIC. </w:t>
            </w:r>
          </w:p>
          <w:p w14:paraId="1BD4CC78" w14:textId="30FB569C" w:rsidR="00495C10" w:rsidRDefault="00F04456" w:rsidP="0065598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However, i</w:t>
            </w:r>
            <w:r w:rsidRPr="00F04456">
              <w:rPr>
                <w:rFonts w:asciiTheme="minorHAnsi" w:hAnsiTheme="minorHAnsi" w:cs="Arial"/>
                <w:sz w:val="21"/>
                <w:szCs w:val="21"/>
              </w:rPr>
              <w:t xml:space="preserve">f a financial adviser’s registration as a tax (financial) adviser under </w:t>
            </w:r>
            <w:r w:rsidRPr="00F04456">
              <w:rPr>
                <w:rFonts w:asciiTheme="minorHAnsi" w:hAnsiTheme="minorHAnsi" w:cs="Arial"/>
                <w:i/>
                <w:sz w:val="21"/>
                <w:szCs w:val="21"/>
              </w:rPr>
              <w:t>the Tax Agent Services Act 2009</w:t>
            </w:r>
            <w:r w:rsidRPr="00F04456">
              <w:rPr>
                <w:rFonts w:asciiTheme="minorHAnsi" w:hAnsiTheme="minorHAnsi" w:cs="Arial"/>
                <w:sz w:val="21"/>
                <w:szCs w:val="21"/>
              </w:rPr>
              <w:t xml:space="preserve"> conti</w:t>
            </w:r>
            <w:r>
              <w:rPr>
                <w:rFonts w:asciiTheme="minorHAnsi" w:hAnsiTheme="minorHAnsi" w:cs="Arial"/>
                <w:sz w:val="21"/>
                <w:szCs w:val="21"/>
              </w:rPr>
              <w:t>nues beyond 1</w:t>
            </w:r>
            <w:r w:rsidR="00D33DA3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>January</w:t>
            </w:r>
            <w:r w:rsidR="00D33DA3">
              <w:rPr>
                <w:rFonts w:asciiTheme="minorHAnsi" w:hAnsiTheme="minorHAnsi" w:cs="Arial"/>
                <w:sz w:val="21"/>
                <w:szCs w:val="21"/>
              </w:rPr>
              <w:t> 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2022, the adviser will </w:t>
            </w:r>
            <w:r w:rsidR="0065598C">
              <w:rPr>
                <w:rFonts w:asciiTheme="minorHAnsi" w:hAnsiTheme="minorHAnsi" w:cs="Arial"/>
                <w:sz w:val="21"/>
                <w:szCs w:val="21"/>
              </w:rPr>
              <w:t xml:space="preserve">automatically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be registered with ASIC until the existing registration ends. </w:t>
            </w:r>
          </w:p>
        </w:tc>
      </w:tr>
      <w:tr w:rsidR="00495C10" w:rsidRPr="005D6F91" w14:paraId="68242B20" w14:textId="77777777" w:rsidTr="00E43B50">
        <w:tc>
          <w:tcPr>
            <w:tcW w:w="3544" w:type="dxa"/>
            <w:shd w:val="clear" w:color="auto" w:fill="auto"/>
          </w:tcPr>
          <w:p w14:paraId="19714D4B" w14:textId="5EF0F66A" w:rsidR="00495C10" w:rsidRDefault="00361CCD" w:rsidP="00361CCD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additional requirements does a person need to meet to be a tax (financial) adviser?</w:t>
            </w:r>
          </w:p>
        </w:tc>
        <w:tc>
          <w:tcPr>
            <w:tcW w:w="1418" w:type="dxa"/>
            <w:shd w:val="clear" w:color="auto" w:fill="auto"/>
          </w:tcPr>
          <w:p w14:paraId="4E6F887E" w14:textId="5164E6AA" w:rsidR="004B720D" w:rsidRDefault="004B720D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921H</w:t>
            </w:r>
          </w:p>
          <w:p w14:paraId="2AAEE4EE" w14:textId="286BE651" w:rsidR="00495C10" w:rsidRPr="005D6F91" w:rsidRDefault="004B720D" w:rsidP="00B614A2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921B(6)</w:t>
            </w:r>
          </w:p>
        </w:tc>
        <w:tc>
          <w:tcPr>
            <w:tcW w:w="4507" w:type="dxa"/>
            <w:shd w:val="clear" w:color="auto" w:fill="auto"/>
          </w:tcPr>
          <w:p w14:paraId="12913829" w14:textId="4A615FDD" w:rsidR="00495C10" w:rsidRDefault="00382B98" w:rsidP="00382B98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Minister may set education, training and continuing professional development requirements specifically for advisers who provide tax (financial) advice services.  </w:t>
            </w:r>
          </w:p>
        </w:tc>
      </w:tr>
      <w:tr w:rsidR="00495C10" w:rsidRPr="005D6F91" w14:paraId="23B4822C" w14:textId="77777777" w:rsidTr="00E83F29">
        <w:tc>
          <w:tcPr>
            <w:tcW w:w="9469" w:type="dxa"/>
            <w:gridSpan w:val="3"/>
            <w:shd w:val="clear" w:color="auto" w:fill="auto"/>
          </w:tcPr>
          <w:p w14:paraId="3D709943" w14:textId="4C82A2D7" w:rsidR="00495C10" w:rsidRDefault="00495C10" w:rsidP="00495C1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Commencement date and transitional provisions</w:t>
            </w:r>
          </w:p>
        </w:tc>
      </w:tr>
      <w:tr w:rsidR="00495C10" w:rsidRPr="005D6F91" w14:paraId="52D6A5EF" w14:textId="77777777" w:rsidTr="00EC5640">
        <w:tc>
          <w:tcPr>
            <w:tcW w:w="9469" w:type="dxa"/>
            <w:gridSpan w:val="3"/>
            <w:shd w:val="clear" w:color="auto" w:fill="auto"/>
          </w:tcPr>
          <w:p w14:paraId="0CF51513" w14:textId="2DA0BB2B" w:rsidR="00495C10" w:rsidRDefault="00495C10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changes commence on 1 January 2022.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776DA481" w14:textId="569214FC" w:rsidR="00495C10" w:rsidRDefault="00495C10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An adviser has until 1 January 2023 to be registered</w:t>
            </w:r>
          </w:p>
          <w:p w14:paraId="4D5862E4" w14:textId="50917621" w:rsidR="00495C10" w:rsidRPr="005D6F91" w:rsidRDefault="00495C10" w:rsidP="0014092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existing standards made by FASEA and the Code of Ethics remain in place unless the Minister makes new instruments. </w:t>
            </w:r>
          </w:p>
        </w:tc>
      </w:tr>
    </w:tbl>
    <w:p w14:paraId="0FA8AB40" w14:textId="77777777" w:rsidR="00AB5698" w:rsidRDefault="00AB5698">
      <w:pPr>
        <w:spacing w:after="200" w:line="276" w:lineRule="auto"/>
        <w:rPr>
          <w:color w:val="000000" w:themeColor="text1"/>
          <w:sz w:val="18"/>
          <w:szCs w:val="18"/>
        </w:rPr>
      </w:pPr>
    </w:p>
    <w:sectPr w:rsidR="00AB5698" w:rsidSect="00FF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91C5" w14:textId="77777777" w:rsidR="00323DEA" w:rsidRDefault="00323DEA" w:rsidP="005F100C">
      <w:pPr>
        <w:spacing w:after="0" w:line="240" w:lineRule="auto"/>
      </w:pPr>
      <w:r>
        <w:separator/>
      </w:r>
    </w:p>
  </w:endnote>
  <w:endnote w:type="continuationSeparator" w:id="0">
    <w:p w14:paraId="54A4B0E3" w14:textId="77777777" w:rsidR="00323DEA" w:rsidRDefault="00323DEA" w:rsidP="005F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C040" w14:textId="7D90C183" w:rsidR="00F83625" w:rsidRPr="007832D7" w:rsidRDefault="00F83625">
    <w:pPr>
      <w:pStyle w:val="FooterEven"/>
      <w:rPr>
        <w:sz w:val="28"/>
        <w:szCs w:val="28"/>
      </w:rPr>
    </w:pP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\* Arabic  \* MERGEFORMAT </w:instrText>
    </w:r>
    <w:r w:rsidRPr="007832D7">
      <w:rPr>
        <w:sz w:val="20"/>
      </w:rPr>
      <w:fldChar w:fldCharType="separate"/>
    </w:r>
    <w:r w:rsidR="00F250D8">
      <w:rPr>
        <w:noProof/>
        <w:sz w:val="20"/>
      </w:rPr>
      <w:t>4</w:t>
    </w:r>
    <w:r w:rsidRPr="007832D7">
      <w:rPr>
        <w:noProof/>
        <w:sz w:val="20"/>
      </w:rPr>
      <w:fldChar w:fldCharType="end"/>
    </w:r>
    <w:r w:rsidRPr="007832D7">
      <w:rPr>
        <w:noProof/>
        <w:sz w:val="20"/>
      </w:rPr>
      <w:t xml:space="preserve">                       </w:t>
    </w:r>
    <w:r>
      <w:rPr>
        <w:noProof/>
        <w:sz w:val="20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1A73" w14:textId="3F9D9FB0" w:rsidR="00F83625" w:rsidRDefault="00F83625" w:rsidP="00650A60">
    <w:pPr>
      <w:pStyle w:val="FooterOdd"/>
      <w:tabs>
        <w:tab w:val="left" w:pos="3690"/>
        <w:tab w:val="right" w:pos="9070"/>
      </w:tabs>
    </w:pPr>
    <w:r>
      <w:tab/>
    </w:r>
    <w:r w:rsidRPr="007832D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620ED08" wp14:editId="68324690">
          <wp:simplePos x="0" y="0"/>
          <wp:positionH relativeFrom="column">
            <wp:posOffset>-890905</wp:posOffset>
          </wp:positionH>
          <wp:positionV relativeFrom="paragraph">
            <wp:posOffset>-10081260</wp:posOffset>
          </wp:positionV>
          <wp:extent cx="7574280" cy="106172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 \* MERGEFORMAT </w:instrText>
    </w:r>
    <w:r w:rsidRPr="007832D7">
      <w:rPr>
        <w:sz w:val="20"/>
      </w:rPr>
      <w:fldChar w:fldCharType="separate"/>
    </w:r>
    <w:r w:rsidR="00F250D8">
      <w:rPr>
        <w:noProof/>
        <w:sz w:val="20"/>
      </w:rPr>
      <w:t>5</w:t>
    </w:r>
    <w:r w:rsidRPr="007832D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DA93" w14:textId="3EC6CB0A" w:rsidR="00F83625" w:rsidRDefault="00F83625" w:rsidP="002D195B">
    <w:pPr>
      <w:pStyle w:val="FooterEven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250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43C8" w14:textId="77777777" w:rsidR="00323DEA" w:rsidRDefault="00323DEA" w:rsidP="005F100C">
      <w:pPr>
        <w:spacing w:after="0" w:line="240" w:lineRule="auto"/>
      </w:pPr>
      <w:r>
        <w:separator/>
      </w:r>
    </w:p>
  </w:footnote>
  <w:footnote w:type="continuationSeparator" w:id="0">
    <w:p w14:paraId="3A5E226A" w14:textId="77777777" w:rsidR="00323DEA" w:rsidRDefault="00323DEA" w:rsidP="005F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230C" w14:textId="77777777" w:rsidR="00F83625" w:rsidRDefault="00F83625">
    <w:pPr>
      <w:framePr w:wrap="around" w:hAnchor="page" w:x="14460" w:yAlign="top" w:anchorLock="1"/>
      <w:textDirection w:val="tbRl"/>
      <w:rPr>
        <w:rStyle w:val="FramedHeader"/>
      </w:rPr>
    </w:pPr>
    <w:r>
      <w:rPr>
        <w:rStyle w:val="FramedHeader"/>
      </w:rPr>
      <w:t>Publication Title</w:t>
    </w:r>
  </w:p>
  <w:p w14:paraId="2F873A48" w14:textId="5C72675D" w:rsidR="00F83625" w:rsidRPr="009F50E3" w:rsidRDefault="00F83625" w:rsidP="00DE2B14">
    <w:pPr>
      <w:pStyle w:val="HeaderEven"/>
    </w:pPr>
    <w:r w:rsidRPr="00FF4260">
      <w:rPr>
        <w:b/>
        <w:noProof/>
      </w:rPr>
      <w:drawing>
        <wp:anchor distT="0" distB="0" distL="114300" distR="114300" simplePos="0" relativeHeight="251659264" behindDoc="1" locked="0" layoutInCell="1" allowOverlap="1" wp14:anchorId="66FDBC8F" wp14:editId="2F37B6B5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698">
      <w:rPr>
        <w:b/>
      </w:rPr>
      <w:t xml:space="preserve">The Treasury </w:t>
    </w:r>
    <w:r w:rsidR="00AB5698" w:rsidRPr="00AB5698">
      <w:t xml:space="preserve">Draft Legislation: </w:t>
    </w:r>
    <w:r w:rsidR="008423F9">
      <w:t>A new disciplinary system for financial advisers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9FDE" w14:textId="776D436C" w:rsidR="00F83625" w:rsidRPr="009F50E3" w:rsidRDefault="00AB5698" w:rsidP="002D195B">
    <w:pPr>
      <w:pStyle w:val="HeaderEven"/>
    </w:pPr>
    <w:r>
      <w:rPr>
        <w:b/>
      </w:rPr>
      <w:t xml:space="preserve">The Treasury </w:t>
    </w:r>
    <w:r w:rsidRPr="00AB5698">
      <w:t xml:space="preserve">Draft Legislation: </w:t>
    </w:r>
    <w:r w:rsidR="00F83625" w:rsidRPr="00FF4260">
      <w:rPr>
        <w:b/>
        <w:noProof/>
      </w:rPr>
      <w:drawing>
        <wp:anchor distT="0" distB="0" distL="114300" distR="114300" simplePos="0" relativeHeight="251663360" behindDoc="1" locked="0" layoutInCell="1" allowOverlap="1" wp14:anchorId="076901CB" wp14:editId="62767986">
          <wp:simplePos x="0" y="0"/>
          <wp:positionH relativeFrom="column">
            <wp:posOffset>-897255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3F9">
      <w:t>A new disciplinary system for financial advisers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5E9F" w14:textId="77777777" w:rsidR="00F83625" w:rsidRPr="00FF4260" w:rsidRDefault="00F83625">
    <w:pPr>
      <w:pStyle w:val="Header"/>
      <w:rPr>
        <w:noProof/>
        <w:color w:val="1F497D" w:themeColor="text2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9E97D" wp14:editId="3C0F3ED2">
          <wp:simplePos x="0" y="0"/>
          <wp:positionH relativeFrom="column">
            <wp:posOffset>-939800</wp:posOffset>
          </wp:positionH>
          <wp:positionV relativeFrom="paragraph">
            <wp:posOffset>-402590</wp:posOffset>
          </wp:positionV>
          <wp:extent cx="7574400" cy="2012400"/>
          <wp:effectExtent l="0" t="0" r="762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  <w:sz w:val="36"/>
      </w:rPr>
      <w:t>TH</w:t>
    </w:r>
    <w:r w:rsidRPr="00FF4260">
      <w:rPr>
        <w:noProof/>
        <w:color w:val="1F497D" w:themeColor="text2"/>
        <w:sz w:val="36"/>
      </w:rPr>
      <w:t>E TREASURY</w:t>
    </w:r>
  </w:p>
  <w:p w14:paraId="39F8A931" w14:textId="77777777" w:rsidR="00F83625" w:rsidRPr="00FF4260" w:rsidRDefault="00AB5698">
    <w:pPr>
      <w:pStyle w:val="Header"/>
      <w:rPr>
        <w:b/>
        <w:noProof/>
        <w:color w:val="1F497D" w:themeColor="text2"/>
        <w:sz w:val="40"/>
      </w:rPr>
    </w:pPr>
    <w:r>
      <w:rPr>
        <w:b/>
        <w:noProof/>
        <w:color w:val="1F497D" w:themeColor="text2"/>
        <w:sz w:val="40"/>
      </w:rPr>
      <w:t>Draft Legislation</w:t>
    </w:r>
  </w:p>
  <w:p w14:paraId="137F95D2" w14:textId="77777777" w:rsidR="00F83625" w:rsidRPr="00FF4260" w:rsidRDefault="00F83625">
    <w:pPr>
      <w:pStyle w:val="Header"/>
      <w:rPr>
        <w:b/>
        <w:noProof/>
        <w:color w:val="1F497D" w:themeColor="text2"/>
        <w:sz w:val="40"/>
      </w:rPr>
    </w:pPr>
  </w:p>
  <w:p w14:paraId="20A344AD" w14:textId="77777777" w:rsidR="00F83625" w:rsidRDefault="00F8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FC7"/>
    <w:multiLevelType w:val="multilevel"/>
    <w:tmpl w:val="6694CB3A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90B0DB0"/>
    <w:multiLevelType w:val="multilevel"/>
    <w:tmpl w:val="D9A8A212"/>
    <w:styleLink w:val="RomanNumeralList"/>
    <w:lvl w:ilvl="0">
      <w:start w:val="1"/>
      <w:numFmt w:val="lowerRoman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2E3FBB"/>
    <w:multiLevelType w:val="hybridMultilevel"/>
    <w:tmpl w:val="33FEEB9E"/>
    <w:lvl w:ilvl="0" w:tplc="1F7E9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C4E5D"/>
    <w:multiLevelType w:val="multilevel"/>
    <w:tmpl w:val="D10E9CF6"/>
    <w:numStyleLink w:val="OneLevelList"/>
  </w:abstractNum>
  <w:abstractNum w:abstractNumId="5" w15:restartNumberingAfterBreak="0">
    <w:nsid w:val="1E6B29F1"/>
    <w:multiLevelType w:val="multilevel"/>
    <w:tmpl w:val="EDEE4FB6"/>
    <w:styleLink w:val="RecommendationBulletList"/>
    <w:lvl w:ilvl="0">
      <w:start w:val="1"/>
      <w:numFmt w:val="bullet"/>
      <w:pStyle w:val="Recommendation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RecommendationDash"/>
      <w:lvlText w:val=":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RecommendationDoubleDot"/>
      <w:lvlText w:val="–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EA2A0F"/>
    <w:multiLevelType w:val="multilevel"/>
    <w:tmpl w:val="18BC553E"/>
    <w:styleLink w:val="TableTextBulletList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8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8C2710"/>
    <w:multiLevelType w:val="multilevel"/>
    <w:tmpl w:val="E2AA3F9A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0" w15:restartNumberingAfterBreak="0">
    <w:nsid w:val="30EB5FC2"/>
    <w:multiLevelType w:val="multilevel"/>
    <w:tmpl w:val="542A66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</w:rPr>
    </w:lvl>
  </w:abstractNum>
  <w:abstractNum w:abstractNumId="11" w15:restartNumberingAfterBreak="0">
    <w:nsid w:val="3238442C"/>
    <w:multiLevelType w:val="multilevel"/>
    <w:tmpl w:val="4DAA0B3E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695"/>
        </w:tabs>
        <w:ind w:left="2695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5" w15:restartNumberingAfterBreak="0">
    <w:nsid w:val="42EB64E5"/>
    <w:multiLevelType w:val="multilevel"/>
    <w:tmpl w:val="7934560A"/>
    <w:name w:val="StandardBulletedList"/>
    <w:lvl w:ilvl="0">
      <w:start w:val="1"/>
      <w:numFmt w:val="bullet"/>
      <w:lvlText w:val="•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0"/>
        </w:tabs>
        <w:ind w:left="208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16" w15:restartNumberingAfterBreak="0">
    <w:nsid w:val="445B0A7E"/>
    <w:multiLevelType w:val="multilevel"/>
    <w:tmpl w:val="EDEE4FB6"/>
    <w:numStyleLink w:val="RecommendationBulletList"/>
  </w:abstractNum>
  <w:abstractNum w:abstractNumId="17" w15:restartNumberingAfterBreak="0">
    <w:nsid w:val="483E25F6"/>
    <w:multiLevelType w:val="multilevel"/>
    <w:tmpl w:val="2D022FDA"/>
    <w:styleLink w:val="AlphaParagraphList"/>
    <w:lvl w:ilvl="0">
      <w:start w:val="1"/>
      <w:numFmt w:val="lowerLetter"/>
      <w:pStyle w:val="AlphaParagraph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D34634"/>
    <w:multiLevelType w:val="multilevel"/>
    <w:tmpl w:val="CE5ACCE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D2021"/>
    <w:multiLevelType w:val="multilevel"/>
    <w:tmpl w:val="72F8140E"/>
    <w:numStyleLink w:val="OutlineList"/>
  </w:abstractNum>
  <w:abstractNum w:abstractNumId="20" w15:restartNumberingAfterBreak="0">
    <w:nsid w:val="54103228"/>
    <w:multiLevelType w:val="hybridMultilevel"/>
    <w:tmpl w:val="A5F0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B4DA1"/>
    <w:multiLevelType w:val="multilevel"/>
    <w:tmpl w:val="7E40BB68"/>
    <w:styleLink w:val="TableTestBulletList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5F73129"/>
    <w:multiLevelType w:val="multilevel"/>
    <w:tmpl w:val="D9A8A212"/>
    <w:numStyleLink w:val="RomanNumeralList"/>
  </w:abstractNum>
  <w:abstractNum w:abstractNumId="23" w15:restartNumberingAfterBreak="0">
    <w:nsid w:val="65DF6494"/>
    <w:multiLevelType w:val="multilevel"/>
    <w:tmpl w:val="A316FE50"/>
    <w:numStyleLink w:val="ChapterList"/>
  </w:abstractNum>
  <w:num w:numId="1">
    <w:abstractNumId w:val="9"/>
  </w:num>
  <w:num w:numId="2">
    <w:abstractNumId w:val="0"/>
    <w:lvlOverride w:ilvl="1">
      <w:lvl w:ilvl="1">
        <w:start w:val="1"/>
        <w:numFmt w:val="bullet"/>
        <w:pStyle w:val="BoxDash"/>
        <w:lvlText w:val="–"/>
        <w:lvlJc w:val="left"/>
        <w:pPr>
          <w:tabs>
            <w:tab w:val="num" w:pos="567"/>
          </w:tabs>
          <w:ind w:left="567" w:hanging="284"/>
        </w:pPr>
        <w:rPr>
          <w:rFonts w:hint="default"/>
          <w:b w:val="0"/>
          <w:i w:val="0"/>
        </w:rPr>
      </w:lvl>
    </w:lvlOverride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16"/>
  </w:num>
  <w:num w:numId="11">
    <w:abstractNumId w:val="22"/>
  </w:num>
  <w:num w:numId="12">
    <w:abstractNumId w:val="11"/>
  </w:num>
  <w:num w:numId="13">
    <w:abstractNumId w:val="21"/>
  </w:num>
  <w:num w:numId="14">
    <w:abstractNumId w:val="6"/>
  </w:num>
  <w:num w:numId="15">
    <w:abstractNumId w:val="6"/>
  </w:num>
  <w:num w:numId="16">
    <w:abstractNumId w:val="0"/>
  </w:num>
  <w:num w:numId="17">
    <w:abstractNumId w:val="8"/>
  </w:num>
  <w:num w:numId="18">
    <w:abstractNumId w:val="20"/>
  </w:num>
  <w:num w:numId="19">
    <w:abstractNumId w:val="10"/>
  </w:num>
  <w:num w:numId="20">
    <w:abstractNumId w:val="18"/>
  </w:num>
  <w:num w:numId="21">
    <w:abstractNumId w:val="2"/>
  </w:num>
  <w:num w:numId="22">
    <w:abstractNumId w:val="23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3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</w:num>
  <w:num w:numId="24">
    <w:abstractNumId w:val="14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B"/>
    <w:rsid w:val="000004BE"/>
    <w:rsid w:val="00003ACD"/>
    <w:rsid w:val="00007CDE"/>
    <w:rsid w:val="000167A9"/>
    <w:rsid w:val="00051C46"/>
    <w:rsid w:val="000622B2"/>
    <w:rsid w:val="000629C9"/>
    <w:rsid w:val="0006655C"/>
    <w:rsid w:val="00070ABA"/>
    <w:rsid w:val="0007438D"/>
    <w:rsid w:val="00075FD6"/>
    <w:rsid w:val="00077D52"/>
    <w:rsid w:val="00085E3E"/>
    <w:rsid w:val="00091054"/>
    <w:rsid w:val="00095C3F"/>
    <w:rsid w:val="000B20BE"/>
    <w:rsid w:val="000C58E0"/>
    <w:rsid w:val="000D4203"/>
    <w:rsid w:val="000D5DFD"/>
    <w:rsid w:val="000F3BC6"/>
    <w:rsid w:val="000F4833"/>
    <w:rsid w:val="0010021B"/>
    <w:rsid w:val="00114432"/>
    <w:rsid w:val="00140923"/>
    <w:rsid w:val="0014489B"/>
    <w:rsid w:val="00147046"/>
    <w:rsid w:val="00155056"/>
    <w:rsid w:val="00156CC5"/>
    <w:rsid w:val="001614D3"/>
    <w:rsid w:val="00165DF7"/>
    <w:rsid w:val="001759E9"/>
    <w:rsid w:val="00182B14"/>
    <w:rsid w:val="001A420D"/>
    <w:rsid w:val="001D5C53"/>
    <w:rsid w:val="001E1C4F"/>
    <w:rsid w:val="001E1D66"/>
    <w:rsid w:val="001E4B45"/>
    <w:rsid w:val="001E664D"/>
    <w:rsid w:val="002015AB"/>
    <w:rsid w:val="00211545"/>
    <w:rsid w:val="002249D2"/>
    <w:rsid w:val="002271BB"/>
    <w:rsid w:val="002330AC"/>
    <w:rsid w:val="00254658"/>
    <w:rsid w:val="00257A2D"/>
    <w:rsid w:val="00257C52"/>
    <w:rsid w:val="00265AD5"/>
    <w:rsid w:val="002665CC"/>
    <w:rsid w:val="00267B53"/>
    <w:rsid w:val="002768B3"/>
    <w:rsid w:val="00280D28"/>
    <w:rsid w:val="0028555B"/>
    <w:rsid w:val="00291937"/>
    <w:rsid w:val="0029678C"/>
    <w:rsid w:val="00297C46"/>
    <w:rsid w:val="002A52D6"/>
    <w:rsid w:val="002A55C5"/>
    <w:rsid w:val="002A5BC8"/>
    <w:rsid w:val="002A5DEF"/>
    <w:rsid w:val="002B53E2"/>
    <w:rsid w:val="002C3075"/>
    <w:rsid w:val="002C3379"/>
    <w:rsid w:val="002D195B"/>
    <w:rsid w:val="002D316D"/>
    <w:rsid w:val="002E4401"/>
    <w:rsid w:val="002E5F5C"/>
    <w:rsid w:val="002E7527"/>
    <w:rsid w:val="002E7BDD"/>
    <w:rsid w:val="002F3DFC"/>
    <w:rsid w:val="002F73DF"/>
    <w:rsid w:val="00301A52"/>
    <w:rsid w:val="00323DEA"/>
    <w:rsid w:val="003326C6"/>
    <w:rsid w:val="00334335"/>
    <w:rsid w:val="003406DF"/>
    <w:rsid w:val="00340B64"/>
    <w:rsid w:val="00350C6A"/>
    <w:rsid w:val="00361CCD"/>
    <w:rsid w:val="003641BA"/>
    <w:rsid w:val="003809EA"/>
    <w:rsid w:val="00382B98"/>
    <w:rsid w:val="003831EC"/>
    <w:rsid w:val="00390529"/>
    <w:rsid w:val="003A1A88"/>
    <w:rsid w:val="003A4283"/>
    <w:rsid w:val="003B0501"/>
    <w:rsid w:val="003C36A2"/>
    <w:rsid w:val="003C720F"/>
    <w:rsid w:val="003D07E1"/>
    <w:rsid w:val="003D27B3"/>
    <w:rsid w:val="003D296C"/>
    <w:rsid w:val="003D3DC9"/>
    <w:rsid w:val="003E0E7B"/>
    <w:rsid w:val="003E3374"/>
    <w:rsid w:val="003E6B90"/>
    <w:rsid w:val="003E6F47"/>
    <w:rsid w:val="00406016"/>
    <w:rsid w:val="004143EA"/>
    <w:rsid w:val="0041524B"/>
    <w:rsid w:val="00416E7C"/>
    <w:rsid w:val="00426CC1"/>
    <w:rsid w:val="00430163"/>
    <w:rsid w:val="004354B9"/>
    <w:rsid w:val="004370F4"/>
    <w:rsid w:val="00437427"/>
    <w:rsid w:val="004555B9"/>
    <w:rsid w:val="00460338"/>
    <w:rsid w:val="00460A29"/>
    <w:rsid w:val="00460C65"/>
    <w:rsid w:val="004644F0"/>
    <w:rsid w:val="00471E71"/>
    <w:rsid w:val="00483C55"/>
    <w:rsid w:val="00494DE6"/>
    <w:rsid w:val="00495C10"/>
    <w:rsid w:val="004B07A5"/>
    <w:rsid w:val="004B720D"/>
    <w:rsid w:val="004C167F"/>
    <w:rsid w:val="004C5BA9"/>
    <w:rsid w:val="004C5C5E"/>
    <w:rsid w:val="004E2D5D"/>
    <w:rsid w:val="004F4EE7"/>
    <w:rsid w:val="00500704"/>
    <w:rsid w:val="0051251F"/>
    <w:rsid w:val="0052523B"/>
    <w:rsid w:val="00526B9E"/>
    <w:rsid w:val="00536647"/>
    <w:rsid w:val="005366D9"/>
    <w:rsid w:val="00555B0A"/>
    <w:rsid w:val="00562EFB"/>
    <w:rsid w:val="0057074A"/>
    <w:rsid w:val="00582366"/>
    <w:rsid w:val="005904CD"/>
    <w:rsid w:val="00593A68"/>
    <w:rsid w:val="005B4C6D"/>
    <w:rsid w:val="005C7CED"/>
    <w:rsid w:val="005D050C"/>
    <w:rsid w:val="005D109B"/>
    <w:rsid w:val="005D6F91"/>
    <w:rsid w:val="005E24C3"/>
    <w:rsid w:val="005F100C"/>
    <w:rsid w:val="005F2711"/>
    <w:rsid w:val="005F3390"/>
    <w:rsid w:val="005F5653"/>
    <w:rsid w:val="005F66EC"/>
    <w:rsid w:val="005F6EA2"/>
    <w:rsid w:val="00614BAC"/>
    <w:rsid w:val="00625CD0"/>
    <w:rsid w:val="006457CC"/>
    <w:rsid w:val="00650A60"/>
    <w:rsid w:val="0065598C"/>
    <w:rsid w:val="00672387"/>
    <w:rsid w:val="00676B7F"/>
    <w:rsid w:val="00684960"/>
    <w:rsid w:val="00691C31"/>
    <w:rsid w:val="00692364"/>
    <w:rsid w:val="00695DB5"/>
    <w:rsid w:val="006968D5"/>
    <w:rsid w:val="006A30A5"/>
    <w:rsid w:val="006B13E2"/>
    <w:rsid w:val="006C1071"/>
    <w:rsid w:val="006D03F1"/>
    <w:rsid w:val="006D4F8C"/>
    <w:rsid w:val="006D6023"/>
    <w:rsid w:val="006E4318"/>
    <w:rsid w:val="006E7AB9"/>
    <w:rsid w:val="006F3E0E"/>
    <w:rsid w:val="006F5344"/>
    <w:rsid w:val="006F7943"/>
    <w:rsid w:val="00713C16"/>
    <w:rsid w:val="007243DB"/>
    <w:rsid w:val="007253B1"/>
    <w:rsid w:val="00735516"/>
    <w:rsid w:val="00743131"/>
    <w:rsid w:val="00767F36"/>
    <w:rsid w:val="007832D7"/>
    <w:rsid w:val="0079634D"/>
    <w:rsid w:val="007A2ACB"/>
    <w:rsid w:val="007B0C23"/>
    <w:rsid w:val="007B10A6"/>
    <w:rsid w:val="007B62DA"/>
    <w:rsid w:val="007D5E16"/>
    <w:rsid w:val="007F51B0"/>
    <w:rsid w:val="00803B2A"/>
    <w:rsid w:val="00810689"/>
    <w:rsid w:val="00812433"/>
    <w:rsid w:val="0082097D"/>
    <w:rsid w:val="008305C6"/>
    <w:rsid w:val="0084161B"/>
    <w:rsid w:val="008423F9"/>
    <w:rsid w:val="008564F8"/>
    <w:rsid w:val="00857FF9"/>
    <w:rsid w:val="008627B1"/>
    <w:rsid w:val="00867D13"/>
    <w:rsid w:val="00880ADB"/>
    <w:rsid w:val="008847CC"/>
    <w:rsid w:val="00887DF4"/>
    <w:rsid w:val="008A1722"/>
    <w:rsid w:val="008A6A69"/>
    <w:rsid w:val="008A7EDB"/>
    <w:rsid w:val="008B1D79"/>
    <w:rsid w:val="008B282E"/>
    <w:rsid w:val="008C1101"/>
    <w:rsid w:val="008C5744"/>
    <w:rsid w:val="008C59E5"/>
    <w:rsid w:val="008D08BE"/>
    <w:rsid w:val="008E37AA"/>
    <w:rsid w:val="008F1ACC"/>
    <w:rsid w:val="008F373B"/>
    <w:rsid w:val="009002B3"/>
    <w:rsid w:val="0090339D"/>
    <w:rsid w:val="00904F52"/>
    <w:rsid w:val="00906AAB"/>
    <w:rsid w:val="00910ACC"/>
    <w:rsid w:val="0092354D"/>
    <w:rsid w:val="00923AEF"/>
    <w:rsid w:val="00936238"/>
    <w:rsid w:val="0095562B"/>
    <w:rsid w:val="00955F84"/>
    <w:rsid w:val="0095636E"/>
    <w:rsid w:val="0097280B"/>
    <w:rsid w:val="009862D1"/>
    <w:rsid w:val="00986C3E"/>
    <w:rsid w:val="00993F88"/>
    <w:rsid w:val="009A1CEA"/>
    <w:rsid w:val="009B31B0"/>
    <w:rsid w:val="009C1116"/>
    <w:rsid w:val="009C57C2"/>
    <w:rsid w:val="009C7E17"/>
    <w:rsid w:val="009D0790"/>
    <w:rsid w:val="009D182C"/>
    <w:rsid w:val="009E0EB3"/>
    <w:rsid w:val="009E702D"/>
    <w:rsid w:val="009F0C8C"/>
    <w:rsid w:val="00A06DAC"/>
    <w:rsid w:val="00A14CD9"/>
    <w:rsid w:val="00A1658C"/>
    <w:rsid w:val="00A2599E"/>
    <w:rsid w:val="00A31BAA"/>
    <w:rsid w:val="00A3513E"/>
    <w:rsid w:val="00A42F49"/>
    <w:rsid w:val="00A44201"/>
    <w:rsid w:val="00A50C83"/>
    <w:rsid w:val="00A537E0"/>
    <w:rsid w:val="00A75F04"/>
    <w:rsid w:val="00A9572D"/>
    <w:rsid w:val="00A975E7"/>
    <w:rsid w:val="00AA1224"/>
    <w:rsid w:val="00AA4528"/>
    <w:rsid w:val="00AA66C7"/>
    <w:rsid w:val="00AB4619"/>
    <w:rsid w:val="00AB525B"/>
    <w:rsid w:val="00AB5698"/>
    <w:rsid w:val="00AC0432"/>
    <w:rsid w:val="00AC1D67"/>
    <w:rsid w:val="00AC4BCB"/>
    <w:rsid w:val="00AD27DF"/>
    <w:rsid w:val="00AD3F1A"/>
    <w:rsid w:val="00B00550"/>
    <w:rsid w:val="00B24C1F"/>
    <w:rsid w:val="00B277E5"/>
    <w:rsid w:val="00B508D6"/>
    <w:rsid w:val="00B52FE8"/>
    <w:rsid w:val="00B537BC"/>
    <w:rsid w:val="00B540F6"/>
    <w:rsid w:val="00B55137"/>
    <w:rsid w:val="00B614A2"/>
    <w:rsid w:val="00B63926"/>
    <w:rsid w:val="00B77372"/>
    <w:rsid w:val="00B804EF"/>
    <w:rsid w:val="00B81DDA"/>
    <w:rsid w:val="00B85EBD"/>
    <w:rsid w:val="00BA160F"/>
    <w:rsid w:val="00BA4E8B"/>
    <w:rsid w:val="00BA6425"/>
    <w:rsid w:val="00BA6BF3"/>
    <w:rsid w:val="00BA7C91"/>
    <w:rsid w:val="00BB14FC"/>
    <w:rsid w:val="00BB3278"/>
    <w:rsid w:val="00BB4A9A"/>
    <w:rsid w:val="00BB5C0C"/>
    <w:rsid w:val="00BC4ADF"/>
    <w:rsid w:val="00BC5A10"/>
    <w:rsid w:val="00BC6527"/>
    <w:rsid w:val="00BD0EFD"/>
    <w:rsid w:val="00BD2785"/>
    <w:rsid w:val="00BD491D"/>
    <w:rsid w:val="00BD4E49"/>
    <w:rsid w:val="00BE067F"/>
    <w:rsid w:val="00BE56AA"/>
    <w:rsid w:val="00BE59DB"/>
    <w:rsid w:val="00BF70D7"/>
    <w:rsid w:val="00C03F11"/>
    <w:rsid w:val="00C075D7"/>
    <w:rsid w:val="00C07F94"/>
    <w:rsid w:val="00C25583"/>
    <w:rsid w:val="00C26351"/>
    <w:rsid w:val="00C53DA6"/>
    <w:rsid w:val="00C5414D"/>
    <w:rsid w:val="00C60321"/>
    <w:rsid w:val="00C63763"/>
    <w:rsid w:val="00C67FC4"/>
    <w:rsid w:val="00C7244A"/>
    <w:rsid w:val="00C811CF"/>
    <w:rsid w:val="00C848EA"/>
    <w:rsid w:val="00C86465"/>
    <w:rsid w:val="00C8767F"/>
    <w:rsid w:val="00C911C1"/>
    <w:rsid w:val="00C94FC7"/>
    <w:rsid w:val="00C95FDF"/>
    <w:rsid w:val="00CA1066"/>
    <w:rsid w:val="00CB1E5D"/>
    <w:rsid w:val="00CB2127"/>
    <w:rsid w:val="00CB224A"/>
    <w:rsid w:val="00CB36FB"/>
    <w:rsid w:val="00CB6AA7"/>
    <w:rsid w:val="00CC086B"/>
    <w:rsid w:val="00CC1A8A"/>
    <w:rsid w:val="00CC67EF"/>
    <w:rsid w:val="00CC755F"/>
    <w:rsid w:val="00CF0660"/>
    <w:rsid w:val="00CF2EE0"/>
    <w:rsid w:val="00CF4815"/>
    <w:rsid w:val="00D0277F"/>
    <w:rsid w:val="00D11517"/>
    <w:rsid w:val="00D16390"/>
    <w:rsid w:val="00D27E48"/>
    <w:rsid w:val="00D30E58"/>
    <w:rsid w:val="00D33DA3"/>
    <w:rsid w:val="00D36CF5"/>
    <w:rsid w:val="00D4005D"/>
    <w:rsid w:val="00D46334"/>
    <w:rsid w:val="00D56E27"/>
    <w:rsid w:val="00D6257B"/>
    <w:rsid w:val="00D70526"/>
    <w:rsid w:val="00D760D5"/>
    <w:rsid w:val="00D83627"/>
    <w:rsid w:val="00D85256"/>
    <w:rsid w:val="00DB0571"/>
    <w:rsid w:val="00DB1F70"/>
    <w:rsid w:val="00DC6201"/>
    <w:rsid w:val="00DD13F4"/>
    <w:rsid w:val="00DE2B14"/>
    <w:rsid w:val="00DF4F94"/>
    <w:rsid w:val="00E118EC"/>
    <w:rsid w:val="00E13B71"/>
    <w:rsid w:val="00E15305"/>
    <w:rsid w:val="00E177C9"/>
    <w:rsid w:val="00E2425F"/>
    <w:rsid w:val="00E325E3"/>
    <w:rsid w:val="00E41470"/>
    <w:rsid w:val="00E42C3A"/>
    <w:rsid w:val="00E43B50"/>
    <w:rsid w:val="00E44260"/>
    <w:rsid w:val="00E50E4C"/>
    <w:rsid w:val="00E54BA2"/>
    <w:rsid w:val="00E54DB4"/>
    <w:rsid w:val="00E72F62"/>
    <w:rsid w:val="00E831BE"/>
    <w:rsid w:val="00E92E7B"/>
    <w:rsid w:val="00E96C21"/>
    <w:rsid w:val="00E97758"/>
    <w:rsid w:val="00E97C55"/>
    <w:rsid w:val="00EA1ABA"/>
    <w:rsid w:val="00EA666C"/>
    <w:rsid w:val="00EB169C"/>
    <w:rsid w:val="00EB479A"/>
    <w:rsid w:val="00EE6F94"/>
    <w:rsid w:val="00EF3E90"/>
    <w:rsid w:val="00EF53A8"/>
    <w:rsid w:val="00EF5D56"/>
    <w:rsid w:val="00F026D5"/>
    <w:rsid w:val="00F036EF"/>
    <w:rsid w:val="00F03E28"/>
    <w:rsid w:val="00F04456"/>
    <w:rsid w:val="00F10822"/>
    <w:rsid w:val="00F17934"/>
    <w:rsid w:val="00F22C10"/>
    <w:rsid w:val="00F250D8"/>
    <w:rsid w:val="00F264DD"/>
    <w:rsid w:val="00F33A6A"/>
    <w:rsid w:val="00F40520"/>
    <w:rsid w:val="00F41E30"/>
    <w:rsid w:val="00F46AC7"/>
    <w:rsid w:val="00F65FFE"/>
    <w:rsid w:val="00F67CBC"/>
    <w:rsid w:val="00F703DE"/>
    <w:rsid w:val="00F72AB1"/>
    <w:rsid w:val="00F74714"/>
    <w:rsid w:val="00F7535F"/>
    <w:rsid w:val="00F805AB"/>
    <w:rsid w:val="00F81046"/>
    <w:rsid w:val="00F83625"/>
    <w:rsid w:val="00F8675B"/>
    <w:rsid w:val="00F87048"/>
    <w:rsid w:val="00F90417"/>
    <w:rsid w:val="00F913A3"/>
    <w:rsid w:val="00F95040"/>
    <w:rsid w:val="00FA0D2B"/>
    <w:rsid w:val="00FA5F84"/>
    <w:rsid w:val="00FB3FED"/>
    <w:rsid w:val="00FB59AE"/>
    <w:rsid w:val="00FD2D18"/>
    <w:rsid w:val="00FF426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3E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HeadingBase"/>
    <w:next w:val="Normal"/>
    <w:link w:val="Heading1Char"/>
    <w:qFormat/>
    <w:rsid w:val="006457CC"/>
    <w:pPr>
      <w:spacing w:before="720" w:after="3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aliases w:val="Heading 2 DSDN,h2,Attribute Heading 2,body,H2,Section,h2.H2,h2 main heading,2m,h 2,B Sub/Bold,B Sub/Bold1,B Sub/Bold2,B Sub/Bold11,h2 main heading1,h2 main heading2,B Sub/Bold3,B Sub/Bold12,h2 main heading3,B Sub/Bold4,B Sub/Bold13,Para2,Top 2"/>
    <w:basedOn w:val="HeadingBase"/>
    <w:next w:val="Normal"/>
    <w:link w:val="Heading2Char"/>
    <w:qFormat/>
    <w:rsid w:val="006457CC"/>
    <w:pPr>
      <w:spacing w:before="360" w:after="240"/>
      <w:outlineLvl w:val="1"/>
    </w:pPr>
    <w:rPr>
      <w:rFonts w:ascii="Calibri" w:hAnsi="Calibri" w:cs="Arial"/>
      <w:bCs/>
      <w:iCs/>
      <w:color w:val="000000"/>
      <w:sz w:val="28"/>
      <w:szCs w:val="28"/>
    </w:rPr>
  </w:style>
  <w:style w:type="paragraph" w:styleId="Heading3">
    <w:name w:val="heading 3"/>
    <w:aliases w:val="H3,H31,h3,H32,H33,H311,Subhead B,Heading C,h3 sub heading,sub Italic,proj3,proj31,proj32,proj33,proj34,proj35,proj36,proj37,proj38,proj39,proj310,proj311,proj312,proj321,proj331,proj341,proj351,proj361,proj371,proj381,proj391,proj3101,Head 3,3"/>
    <w:basedOn w:val="OutlineNumbered1"/>
    <w:next w:val="Normal"/>
    <w:link w:val="Heading3Char"/>
    <w:qFormat/>
    <w:rsid w:val="00F83625"/>
    <w:pPr>
      <w:numPr>
        <w:numId w:val="0"/>
      </w:numPr>
      <w:outlineLvl w:val="2"/>
    </w:pPr>
    <w:rPr>
      <w:rFonts w:ascii="Calibri" w:hAnsi="Calibri" w:cstheme="minorHAnsi"/>
      <w:i/>
      <w:sz w:val="28"/>
      <w:szCs w:val="28"/>
    </w:rPr>
  </w:style>
  <w:style w:type="paragraph" w:styleId="Heading4">
    <w:name w:val="heading 4"/>
    <w:aliases w:val="h4,h4 sub sub heading,H4"/>
    <w:basedOn w:val="HeadingBase"/>
    <w:next w:val="Normal"/>
    <w:link w:val="Heading4Char"/>
    <w:qFormat/>
    <w:rsid w:val="006457CC"/>
    <w:pPr>
      <w:spacing w:before="120" w:after="120"/>
      <w:outlineLvl w:val="3"/>
    </w:pPr>
    <w:rPr>
      <w:rFonts w:ascii="Calibri" w:hAnsi="Calibri"/>
      <w:b/>
      <w:bCs/>
      <w:i/>
      <w:color w:val="000000"/>
      <w:sz w:val="22"/>
      <w:szCs w:val="22"/>
    </w:rPr>
  </w:style>
  <w:style w:type="paragraph" w:styleId="Heading5">
    <w:name w:val="heading 5"/>
    <w:aliases w:val="Para5"/>
    <w:basedOn w:val="HeadingBase"/>
    <w:next w:val="Normal"/>
    <w:link w:val="Heading5Char"/>
    <w:qFormat/>
    <w:rsid w:val="00A537E0"/>
    <w:pPr>
      <w:spacing w:after="120"/>
      <w:outlineLvl w:val="4"/>
    </w:pPr>
    <w:rPr>
      <w:b/>
      <w:bCs/>
      <w:iCs/>
    </w:rPr>
  </w:style>
  <w:style w:type="paragraph" w:styleId="Heading6">
    <w:name w:val="heading 6"/>
    <w:aliases w:val="sub-dash,sd,5,Spare2,Heading 6(unused),Heading 6(unused)1"/>
    <w:basedOn w:val="HeadingBase"/>
    <w:next w:val="Normal"/>
    <w:link w:val="Heading6Char"/>
    <w:qFormat/>
    <w:rsid w:val="00A537E0"/>
    <w:pPr>
      <w:spacing w:after="120"/>
      <w:outlineLvl w:val="5"/>
    </w:pPr>
    <w:rPr>
      <w:rFonts w:ascii="Calibri" w:hAnsi="Calibri"/>
      <w:bCs/>
      <w:color w:val="000000"/>
      <w:szCs w:val="22"/>
    </w:rPr>
  </w:style>
  <w:style w:type="paragraph" w:styleId="Heading7">
    <w:name w:val="heading 7"/>
    <w:aliases w:val="Spare3,Heading 7(unused),Heading 7(unused)1"/>
    <w:basedOn w:val="HeadingBase"/>
    <w:next w:val="Normal"/>
    <w:link w:val="Heading7Char"/>
    <w:qFormat/>
    <w:rsid w:val="00A537E0"/>
    <w:pPr>
      <w:spacing w:after="120"/>
      <w:outlineLvl w:val="6"/>
    </w:pPr>
    <w:rPr>
      <w:szCs w:val="24"/>
    </w:rPr>
  </w:style>
  <w:style w:type="paragraph" w:styleId="Heading8">
    <w:name w:val="heading 8"/>
    <w:aliases w:val="Spare4,Heading 8(unused),Heading 8(unused)1"/>
    <w:basedOn w:val="HeadingBase"/>
    <w:next w:val="Normal"/>
    <w:link w:val="Heading8Char"/>
    <w:qFormat/>
    <w:rsid w:val="00A537E0"/>
    <w:pPr>
      <w:spacing w:after="120"/>
      <w:outlineLvl w:val="7"/>
    </w:pPr>
    <w:rPr>
      <w:iCs/>
      <w:szCs w:val="24"/>
    </w:rPr>
  </w:style>
  <w:style w:type="paragraph" w:styleId="Heading9">
    <w:name w:val="heading 9"/>
    <w:aliases w:val="Spare5,Heading 9(unused),Heading 9(unused)1"/>
    <w:basedOn w:val="HeadingBase"/>
    <w:next w:val="Normal"/>
    <w:link w:val="Heading9Char"/>
    <w:qFormat/>
    <w:rsid w:val="00A537E0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next w:val="Normal"/>
    <w:rsid w:val="00426CC1"/>
    <w:pPr>
      <w:keepNext/>
      <w:spacing w:after="0" w:line="240" w:lineRule="auto"/>
    </w:pPr>
    <w:rPr>
      <w:rFonts w:asciiTheme="majorHAnsi" w:eastAsia="Times New Roman" w:hAnsiTheme="majorHAnsi" w:cs="Times New Roman"/>
      <w:color w:val="002B54" w:themeColor="accent1"/>
      <w:sz w:val="20"/>
      <w:szCs w:val="20"/>
      <w:lang w:eastAsia="en-AU"/>
    </w:rPr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6457CC"/>
    <w:rPr>
      <w:rFonts w:ascii="Calibri" w:eastAsia="Times New Roman" w:hAnsi="Calibri" w:cs="Arial"/>
      <w:bCs/>
      <w:color w:val="000000"/>
      <w:kern w:val="32"/>
      <w:sz w:val="36"/>
      <w:szCs w:val="36"/>
      <w:lang w:eastAsia="en-AU"/>
    </w:rPr>
  </w:style>
  <w:style w:type="character" w:customStyle="1" w:styleId="Heading2Char">
    <w:name w:val="Heading 2 Char"/>
    <w:aliases w:val="Heading 2 DSDN Char,h2 Char,Attribute Heading 2 Char,body Char,H2 Char,Section Char,h2.H2 Char,h2 main heading Char,2m Char,h 2 Char,B Sub/Bold Char,B Sub/Bold1 Char,B Sub/Bold2 Char,B Sub/Bold11 Char,h2 main heading1 Char,Para2 Char"/>
    <w:basedOn w:val="DefaultParagraphFont"/>
    <w:link w:val="Heading2"/>
    <w:rsid w:val="006457CC"/>
    <w:rPr>
      <w:rFonts w:ascii="Calibri" w:eastAsia="Times New Roman" w:hAnsi="Calibri" w:cs="Arial"/>
      <w:bCs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aliases w:val="H3 Char,H31 Char,h3 Char,H32 Char,H33 Char,H311 Char,Subhead B Char,Heading C Char,h3 sub heading Char,sub Italic Char,proj3 Char,proj31 Char,proj32 Char,proj33 Char,proj34 Char,proj35 Char,proj36 Char,proj37 Char,proj38 Char,proj39 Char"/>
    <w:basedOn w:val="DefaultParagraphFont"/>
    <w:link w:val="Heading3"/>
    <w:rsid w:val="00F83625"/>
    <w:rPr>
      <w:rFonts w:ascii="Calibri" w:eastAsia="Times New Roman" w:hAnsi="Calibri" w:cstheme="minorHAnsi"/>
      <w:i/>
      <w:sz w:val="28"/>
      <w:szCs w:val="28"/>
      <w:lang w:eastAsia="en-AU"/>
    </w:rPr>
  </w:style>
  <w:style w:type="character" w:customStyle="1" w:styleId="Heading4Char">
    <w:name w:val="Heading 4 Char"/>
    <w:aliases w:val="h4 Char,h4 sub sub heading Char,H4 Char"/>
    <w:basedOn w:val="DefaultParagraphFont"/>
    <w:link w:val="Heading4"/>
    <w:rsid w:val="006457CC"/>
    <w:rPr>
      <w:rFonts w:ascii="Calibri" w:eastAsia="Times New Roman" w:hAnsi="Calibri" w:cs="Times New Roman"/>
      <w:b/>
      <w:bCs/>
      <w:i/>
      <w:color w:val="000000"/>
      <w:lang w:eastAsia="en-AU"/>
    </w:rPr>
  </w:style>
  <w:style w:type="character" w:customStyle="1" w:styleId="Heading5Char">
    <w:name w:val="Heading 5 Char"/>
    <w:aliases w:val="Para5 Char"/>
    <w:basedOn w:val="DefaultParagraphFont"/>
    <w:link w:val="Heading5"/>
    <w:rsid w:val="00BB3278"/>
    <w:rPr>
      <w:rFonts w:ascii="Calibri" w:eastAsia="Times New Roman" w:hAnsi="Calibri" w:cs="Times New Roman"/>
      <w:b/>
      <w:bCs/>
      <w:iCs/>
      <w:color w:val="000000"/>
      <w:sz w:val="20"/>
      <w:szCs w:val="20"/>
      <w:lang w:eastAsia="en-AU"/>
    </w:rPr>
  </w:style>
  <w:style w:type="character" w:customStyle="1" w:styleId="Heading6Char">
    <w:name w:val="Heading 6 Char"/>
    <w:aliases w:val="sub-dash Char,sd Char,5 Char,Spare2 Char,Heading 6(unused) Char,Heading 6(unused)1 Char"/>
    <w:basedOn w:val="DefaultParagraphFont"/>
    <w:link w:val="Heading6"/>
    <w:rsid w:val="00A537E0"/>
    <w:rPr>
      <w:rFonts w:ascii="Calibri" w:eastAsia="Times New Roman" w:hAnsi="Calibri" w:cs="Times New Roman"/>
      <w:bCs/>
      <w:color w:val="000000"/>
      <w:sz w:val="20"/>
      <w:lang w:eastAsia="en-AU"/>
    </w:rPr>
  </w:style>
  <w:style w:type="character" w:customStyle="1" w:styleId="Heading7Char">
    <w:name w:val="Heading 7 Char"/>
    <w:aliases w:val="Spare3 Char,Heading 7(unused) Char,Heading 7(unused)1 Char"/>
    <w:basedOn w:val="DefaultParagraphFont"/>
    <w:link w:val="Heading7"/>
    <w:rsid w:val="00BB3278"/>
    <w:rPr>
      <w:rFonts w:ascii="Calibri" w:eastAsia="Times New Roman" w:hAnsi="Calibri" w:cs="Times New Roman"/>
      <w:color w:val="000000"/>
      <w:sz w:val="20"/>
      <w:szCs w:val="24"/>
      <w:lang w:eastAsia="en-AU"/>
    </w:rPr>
  </w:style>
  <w:style w:type="character" w:customStyle="1" w:styleId="Heading8Char">
    <w:name w:val="Heading 8 Char"/>
    <w:aliases w:val="Spare4 Char,Heading 8(unused) Char,Heading 8(unused)1 Char"/>
    <w:basedOn w:val="DefaultParagraphFont"/>
    <w:link w:val="Heading8"/>
    <w:rsid w:val="00BB3278"/>
    <w:rPr>
      <w:rFonts w:ascii="Calibri" w:eastAsia="Times New Roman" w:hAnsi="Calibri" w:cs="Times New Roman"/>
      <w:iCs/>
      <w:color w:val="000000"/>
      <w:sz w:val="20"/>
      <w:szCs w:val="24"/>
      <w:lang w:eastAsia="en-AU"/>
    </w:rPr>
  </w:style>
  <w:style w:type="character" w:customStyle="1" w:styleId="Heading9Char">
    <w:name w:val="Heading 9 Char"/>
    <w:aliases w:val="Spare5 Char,Heading 9(unused) Char,Heading 9(unused)1 Char"/>
    <w:basedOn w:val="DefaultParagraphFont"/>
    <w:link w:val="Heading9"/>
    <w:rsid w:val="00BB3278"/>
    <w:rPr>
      <w:rFonts w:ascii="Calibri" w:eastAsia="Times New Roman" w:hAnsi="Calibri" w:cs="Arial"/>
      <w:color w:val="000000"/>
      <w:sz w:val="20"/>
      <w:lang w:eastAsia="en-AU"/>
    </w:rPr>
  </w:style>
  <w:style w:type="paragraph" w:customStyle="1" w:styleId="ChartGraphic">
    <w:name w:val="Chart Graphic"/>
    <w:basedOn w:val="HeadingBase"/>
    <w:next w:val="Normal"/>
    <w:rsid w:val="00B55137"/>
    <w:pPr>
      <w:jc w:val="center"/>
    </w:pPr>
  </w:style>
  <w:style w:type="paragraph" w:customStyle="1" w:styleId="TableGraphic">
    <w:name w:val="Table Graphic"/>
    <w:basedOn w:val="HeadingBase"/>
    <w:next w:val="Normal"/>
    <w:rsid w:val="00B55137"/>
  </w:style>
  <w:style w:type="paragraph" w:customStyle="1" w:styleId="AlphaParagraph">
    <w:name w:val="Alpha Paragraph"/>
    <w:basedOn w:val="Normal"/>
    <w:qFormat/>
    <w:rsid w:val="009D0790"/>
    <w:pPr>
      <w:numPr>
        <w:numId w:val="3"/>
      </w:numPr>
    </w:pPr>
  </w:style>
  <w:style w:type="paragraph" w:customStyle="1" w:styleId="AppendixHeading">
    <w:name w:val="Appendix Heading"/>
    <w:basedOn w:val="HeadingBase"/>
    <w:next w:val="Normal"/>
    <w:rsid w:val="006457CC"/>
    <w:pPr>
      <w:spacing w:before="720" w:after="360"/>
      <w:outlineLvl w:val="0"/>
    </w:pPr>
    <w:rPr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5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3278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customStyle="1" w:styleId="Bold">
    <w:name w:val="Bold"/>
    <w:basedOn w:val="DefaultParagraphFont"/>
    <w:rsid w:val="00B55137"/>
    <w:rPr>
      <w:b/>
    </w:rPr>
  </w:style>
  <w:style w:type="paragraph" w:customStyle="1" w:styleId="BoxTextBase">
    <w:name w:val="Box Text Base"/>
    <w:basedOn w:val="Normal"/>
    <w:rsid w:val="00B55137"/>
  </w:style>
  <w:style w:type="paragraph" w:customStyle="1" w:styleId="BoxBullet">
    <w:name w:val="Box Bullet"/>
    <w:basedOn w:val="BoxTextBase"/>
    <w:rsid w:val="005F5653"/>
    <w:pPr>
      <w:numPr>
        <w:numId w:val="2"/>
      </w:numPr>
    </w:pPr>
  </w:style>
  <w:style w:type="paragraph" w:customStyle="1" w:styleId="BoxDash">
    <w:name w:val="Box Dash"/>
    <w:basedOn w:val="Normal"/>
    <w:rsid w:val="005F5653"/>
    <w:pPr>
      <w:numPr>
        <w:ilvl w:val="1"/>
        <w:numId w:val="2"/>
      </w:numPr>
    </w:pPr>
  </w:style>
  <w:style w:type="paragraph" w:customStyle="1" w:styleId="BoxDoubleDot">
    <w:name w:val="Box Double Dot"/>
    <w:basedOn w:val="BoxTextBase"/>
    <w:rsid w:val="005F5653"/>
    <w:pPr>
      <w:numPr>
        <w:ilvl w:val="2"/>
        <w:numId w:val="2"/>
      </w:numPr>
    </w:pPr>
  </w:style>
  <w:style w:type="paragraph" w:customStyle="1" w:styleId="BoxHeading">
    <w:name w:val="Box Heading"/>
    <w:basedOn w:val="HeadingBase"/>
    <w:next w:val="Normal"/>
    <w:rsid w:val="00B55137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B55137"/>
  </w:style>
  <w:style w:type="paragraph" w:customStyle="1" w:styleId="Bullet">
    <w:name w:val="Bullet"/>
    <w:basedOn w:val="Normal"/>
    <w:link w:val="BulletChar"/>
    <w:rsid w:val="000F4833"/>
    <w:pPr>
      <w:numPr>
        <w:numId w:val="1"/>
      </w:numPr>
    </w:pPr>
  </w:style>
  <w:style w:type="paragraph" w:styleId="NormalIndent">
    <w:name w:val="Normal Indent"/>
    <w:basedOn w:val="Normal"/>
    <w:rsid w:val="00B55137"/>
    <w:pPr>
      <w:ind w:left="567"/>
    </w:pPr>
  </w:style>
  <w:style w:type="paragraph" w:customStyle="1" w:styleId="ChartandTableFootnoteAlpha">
    <w:name w:val="Chart and Table Footnote Alpha"/>
    <w:rsid w:val="009862D1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ChartMainHeading">
    <w:name w:val="Chart Main Heading"/>
    <w:basedOn w:val="HeadingBase"/>
    <w:next w:val="ChartGraphic"/>
    <w:rsid w:val="00B55137"/>
    <w:pPr>
      <w:spacing w:after="20"/>
      <w:jc w:val="center"/>
    </w:pPr>
    <w:rPr>
      <w:b/>
      <w:sz w:val="24"/>
    </w:rPr>
  </w:style>
  <w:style w:type="paragraph" w:customStyle="1" w:styleId="ChartorTableNote">
    <w:name w:val="Chart or Table Note"/>
    <w:next w:val="Normal"/>
    <w:rsid w:val="00B5513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ChartSecondHeading">
    <w:name w:val="Chart Second Heading"/>
    <w:basedOn w:val="HeadingBase"/>
    <w:next w:val="ChartGraphic"/>
    <w:rsid w:val="00B55137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B5513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460338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B55137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B55137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BB3278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B55137"/>
    <w:pPr>
      <w:spacing w:after="480"/>
      <w:jc w:val="center"/>
    </w:pPr>
    <w:rPr>
      <w:b/>
      <w:sz w:val="48"/>
    </w:rPr>
  </w:style>
  <w:style w:type="paragraph" w:customStyle="1" w:styleId="Dash">
    <w:name w:val="Dash"/>
    <w:basedOn w:val="Normal"/>
    <w:link w:val="DashChar"/>
    <w:rsid w:val="005F5653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5F5653"/>
    <w:pPr>
      <w:numPr>
        <w:ilvl w:val="2"/>
        <w:numId w:val="1"/>
      </w:numPr>
    </w:pPr>
  </w:style>
  <w:style w:type="paragraph" w:customStyle="1" w:styleId="Figuregraphic">
    <w:name w:val="Figure graphic"/>
    <w:basedOn w:val="Normal"/>
    <w:rsid w:val="00BB3278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BB3278"/>
    <w:pPr>
      <w:spacing w:after="20"/>
      <w:jc w:val="center"/>
    </w:pPr>
    <w:rPr>
      <w:rFonts w:ascii="Arial Bold" w:hAnsi="Arial Bold"/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BB3278"/>
    <w:pPr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B55137"/>
    <w:pPr>
      <w:spacing w:after="20"/>
    </w:pPr>
    <w:rPr>
      <w:b/>
      <w:sz w:val="22"/>
    </w:rPr>
  </w:style>
  <w:style w:type="paragraph" w:customStyle="1" w:styleId="FooterCentered">
    <w:name w:val="Footer Centered"/>
    <w:basedOn w:val="Footer"/>
    <w:rsid w:val="00B55137"/>
    <w:pPr>
      <w:jc w:val="center"/>
    </w:pPr>
  </w:style>
  <w:style w:type="paragraph" w:customStyle="1" w:styleId="FooterEven">
    <w:name w:val="Footer Even"/>
    <w:basedOn w:val="Footer"/>
    <w:rsid w:val="00B55137"/>
  </w:style>
  <w:style w:type="paragraph" w:customStyle="1" w:styleId="FooterOdd">
    <w:name w:val="Footer Odd"/>
    <w:basedOn w:val="Footer"/>
    <w:rsid w:val="00B55137"/>
    <w:pPr>
      <w:jc w:val="right"/>
    </w:pPr>
  </w:style>
  <w:style w:type="character" w:styleId="FootnoteReference">
    <w:name w:val="footnote reference"/>
    <w:basedOn w:val="DefaultParagraphFont"/>
    <w:rsid w:val="00B55137"/>
    <w:rPr>
      <w:vertAlign w:val="superscript"/>
    </w:rPr>
  </w:style>
  <w:style w:type="paragraph" w:styleId="FootnoteText">
    <w:name w:val="footnote text"/>
    <w:basedOn w:val="Normal"/>
    <w:link w:val="FootnoteTextChar"/>
    <w:rsid w:val="00B5513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B3278"/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character" w:customStyle="1" w:styleId="FramedFooter">
    <w:name w:val="Framed Footer"/>
    <w:rsid w:val="00B55137"/>
    <w:rPr>
      <w:rFonts w:ascii="Arial" w:hAnsi="Arial"/>
      <w:sz w:val="18"/>
    </w:rPr>
  </w:style>
  <w:style w:type="character" w:customStyle="1" w:styleId="FramedHeader">
    <w:name w:val="Framed Header"/>
    <w:basedOn w:val="DefaultParagraphFont"/>
    <w:rsid w:val="00B55137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HeadingBase"/>
    <w:link w:val="HeaderChar"/>
    <w:rsid w:val="00460338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HeaderEven">
    <w:name w:val="Header Even"/>
    <w:basedOn w:val="Header"/>
    <w:rsid w:val="00E54DB4"/>
  </w:style>
  <w:style w:type="paragraph" w:customStyle="1" w:styleId="HeaderOdd">
    <w:name w:val="Header Odd"/>
    <w:basedOn w:val="Header"/>
    <w:rsid w:val="00B55137"/>
    <w:pPr>
      <w:jc w:val="right"/>
    </w:pPr>
  </w:style>
  <w:style w:type="character" w:styleId="Hyperlink">
    <w:name w:val="Hyperlink"/>
    <w:basedOn w:val="DefaultParagraphFont"/>
    <w:uiPriority w:val="99"/>
    <w:rsid w:val="00B55137"/>
    <w:rPr>
      <w:color w:val="auto"/>
      <w:u w:val="none"/>
    </w:rPr>
  </w:style>
  <w:style w:type="character" w:customStyle="1" w:styleId="italic">
    <w:name w:val="italic"/>
    <w:basedOn w:val="DefaultParagraphFont"/>
    <w:rsid w:val="00B55137"/>
    <w:rPr>
      <w:i/>
    </w:rPr>
  </w:style>
  <w:style w:type="paragraph" w:styleId="NormalWeb">
    <w:name w:val="Normal (Web)"/>
    <w:basedOn w:val="Normal"/>
    <w:rsid w:val="00EE6F94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D46334"/>
    <w:rPr>
      <w:i/>
    </w:rPr>
  </w:style>
  <w:style w:type="paragraph" w:customStyle="1" w:styleId="OutlineNumbered1">
    <w:name w:val="Outline Numbered 1"/>
    <w:basedOn w:val="Normal"/>
    <w:link w:val="OutlineNumbered1Char"/>
    <w:rsid w:val="003E0E7B"/>
    <w:pPr>
      <w:numPr>
        <w:numId w:val="9"/>
      </w:numPr>
    </w:pPr>
  </w:style>
  <w:style w:type="paragraph" w:customStyle="1" w:styleId="OneLevelNumberedParagraph">
    <w:name w:val="One Level Numbered Paragraph"/>
    <w:basedOn w:val="Normal"/>
    <w:rsid w:val="003E0E7B"/>
    <w:pPr>
      <w:numPr>
        <w:numId w:val="8"/>
      </w:numPr>
    </w:pPr>
  </w:style>
  <w:style w:type="paragraph" w:customStyle="1" w:styleId="OutlineNumbered2">
    <w:name w:val="Outline Numbered 2"/>
    <w:basedOn w:val="Normal"/>
    <w:rsid w:val="003E0E7B"/>
    <w:pPr>
      <w:numPr>
        <w:ilvl w:val="1"/>
        <w:numId w:val="9"/>
      </w:numPr>
    </w:pPr>
  </w:style>
  <w:style w:type="paragraph" w:customStyle="1" w:styleId="OutlineNumbered3">
    <w:name w:val="Outline Numbered 3"/>
    <w:basedOn w:val="Normal"/>
    <w:rsid w:val="003E0E7B"/>
    <w:pPr>
      <w:numPr>
        <w:ilvl w:val="2"/>
        <w:numId w:val="9"/>
      </w:numPr>
    </w:pPr>
  </w:style>
  <w:style w:type="character" w:styleId="PageNumber">
    <w:name w:val="page number"/>
    <w:basedOn w:val="DefaultParagraphFont"/>
    <w:rsid w:val="00BB3278"/>
    <w:rPr>
      <w:rFonts w:ascii="Arial" w:hAnsi="Arial"/>
      <w:sz w:val="18"/>
    </w:rPr>
  </w:style>
  <w:style w:type="paragraph" w:customStyle="1" w:styleId="Principle">
    <w:name w:val="Principle"/>
    <w:basedOn w:val="Normal"/>
    <w:rsid w:val="00EE6F94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B55137"/>
    <w:rPr>
      <w:i/>
    </w:rPr>
  </w:style>
  <w:style w:type="paragraph" w:customStyle="1" w:styleId="RecommendationBullet">
    <w:name w:val="Recommendation Bullet"/>
    <w:basedOn w:val="RecommendationTextBase"/>
    <w:rsid w:val="00301A52"/>
    <w:pPr>
      <w:numPr>
        <w:numId w:val="10"/>
      </w:numPr>
    </w:pPr>
  </w:style>
  <w:style w:type="paragraph" w:customStyle="1" w:styleId="RecommendationDash">
    <w:name w:val="Recommendation Dash"/>
    <w:basedOn w:val="RecommendationTextBase"/>
    <w:rsid w:val="00301A52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TextBase"/>
    <w:rsid w:val="00301A52"/>
    <w:pPr>
      <w:numPr>
        <w:ilvl w:val="2"/>
        <w:numId w:val="10"/>
      </w:numPr>
    </w:pPr>
  </w:style>
  <w:style w:type="paragraph" w:customStyle="1" w:styleId="RecommendationHeading">
    <w:name w:val="Recommendation Heading"/>
    <w:basedOn w:val="HeadingBase"/>
    <w:next w:val="Normal"/>
    <w:rsid w:val="00B55137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B55137"/>
  </w:style>
  <w:style w:type="paragraph" w:customStyle="1" w:styleId="Romannumeral">
    <w:name w:val="Roman numeral"/>
    <w:basedOn w:val="Normal"/>
    <w:rsid w:val="009C7E17"/>
    <w:pPr>
      <w:numPr>
        <w:numId w:val="11"/>
      </w:numPr>
    </w:pPr>
  </w:style>
  <w:style w:type="paragraph" w:customStyle="1" w:styleId="SingleParagraph">
    <w:name w:val="Single Paragraph"/>
    <w:basedOn w:val="Normal"/>
    <w:rsid w:val="00B55137"/>
    <w:pPr>
      <w:spacing w:after="0"/>
    </w:pPr>
  </w:style>
  <w:style w:type="paragraph" w:customStyle="1" w:styleId="SingleParagraphIndent">
    <w:name w:val="Single Paragraph Indent"/>
    <w:basedOn w:val="SingleParagraph"/>
    <w:rsid w:val="00BB3278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B55137"/>
    <w:pPr>
      <w:spacing w:after="20"/>
    </w:pPr>
  </w:style>
  <w:style w:type="paragraph" w:customStyle="1" w:styleId="TableTextBase">
    <w:name w:val="Table Text Base"/>
    <w:rsid w:val="00BC4ADF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B55137"/>
    <w:pPr>
      <w:jc w:val="center"/>
    </w:pPr>
  </w:style>
  <w:style w:type="paragraph" w:customStyle="1" w:styleId="TableColumnHeadingBase">
    <w:name w:val="Table Column Heading Base"/>
    <w:basedOn w:val="Normal"/>
    <w:rsid w:val="00EE6F94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EE6F94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B55137"/>
    <w:pPr>
      <w:jc w:val="right"/>
    </w:pPr>
  </w:style>
  <w:style w:type="table" w:styleId="TableGrid">
    <w:name w:val="Table Grid"/>
    <w:basedOn w:val="TableNormal"/>
    <w:uiPriority w:val="59"/>
    <w:rsid w:val="00B5513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MainHeadingContd">
    <w:name w:val="Table Main Heading Contd"/>
    <w:basedOn w:val="HeadingBase"/>
    <w:next w:val="TableGraphic"/>
    <w:rsid w:val="00B55137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B55137"/>
    <w:pPr>
      <w:jc w:val="center"/>
    </w:pPr>
  </w:style>
  <w:style w:type="paragraph" w:customStyle="1" w:styleId="TableTextIndented">
    <w:name w:val="Table Text Indented"/>
    <w:basedOn w:val="TableTextBase"/>
    <w:rsid w:val="00B55137"/>
    <w:pPr>
      <w:ind w:left="284"/>
    </w:pPr>
  </w:style>
  <w:style w:type="paragraph" w:customStyle="1" w:styleId="TableTextLeft">
    <w:name w:val="Table Text Left"/>
    <w:basedOn w:val="TableTextBase"/>
    <w:rsid w:val="00BC4ADF"/>
  </w:style>
  <w:style w:type="paragraph" w:customStyle="1" w:styleId="TableTextRight">
    <w:name w:val="Table Text Right"/>
    <w:basedOn w:val="TableTextBase"/>
    <w:rsid w:val="00B55137"/>
    <w:pPr>
      <w:jc w:val="right"/>
    </w:pPr>
  </w:style>
  <w:style w:type="paragraph" w:styleId="TOC1">
    <w:name w:val="toc 1"/>
    <w:basedOn w:val="HeadingBase"/>
    <w:next w:val="Normal"/>
    <w:uiPriority w:val="39"/>
    <w:rsid w:val="00B55137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uiPriority w:val="39"/>
    <w:rsid w:val="00B55137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uiPriority w:val="39"/>
    <w:rsid w:val="00B55137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B55137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B551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customStyle="1" w:styleId="BoldandItalic">
    <w:name w:val="Bold and Italic"/>
    <w:basedOn w:val="DefaultParagraphFont"/>
    <w:rsid w:val="00B55137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B55137"/>
    <w:rPr>
      <w:b/>
      <w:bCs/>
    </w:rPr>
  </w:style>
  <w:style w:type="character" w:styleId="CommentReference">
    <w:name w:val="annotation reference"/>
    <w:basedOn w:val="DefaultParagraphFont"/>
    <w:semiHidden/>
    <w:rsid w:val="00B5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5137"/>
  </w:style>
  <w:style w:type="character" w:customStyle="1" w:styleId="CommentTextChar">
    <w:name w:val="Comment Text Char"/>
    <w:basedOn w:val="DefaultParagraphFont"/>
    <w:link w:val="Comment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137"/>
    <w:rPr>
      <w:rFonts w:ascii="Calibri" w:eastAsia="Times New Roman" w:hAnsi="Calibri" w:cs="Times New Roman"/>
      <w:b/>
      <w:bCs/>
      <w:color w:val="00000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55137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55137"/>
    <w:rPr>
      <w:rFonts w:ascii="Tahoma" w:eastAsia="Times New Roman" w:hAnsi="Tahoma" w:cs="Tahoma"/>
      <w:color w:val="000000"/>
      <w:szCs w:val="20"/>
      <w:shd w:val="clear" w:color="auto" w:fill="00CCFF"/>
      <w:lang w:eastAsia="en-AU"/>
    </w:rPr>
  </w:style>
  <w:style w:type="character" w:styleId="EndnoteReference">
    <w:name w:val="endnote reference"/>
    <w:basedOn w:val="DefaultParagraphFont"/>
    <w:semiHidden/>
    <w:rsid w:val="00B551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55137"/>
  </w:style>
  <w:style w:type="character" w:customStyle="1" w:styleId="EndnoteTextChar">
    <w:name w:val="Endnote Text Char"/>
    <w:basedOn w:val="DefaultParagraphFont"/>
    <w:link w:val="Endnote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styleId="FollowedHyperlink">
    <w:name w:val="FollowedHyperlink"/>
    <w:basedOn w:val="DefaultParagraphFont"/>
    <w:rsid w:val="00B55137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B551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551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551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551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551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551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551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551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551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5513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B55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B55137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3E0E7B"/>
    <w:pPr>
      <w:numPr>
        <w:numId w:val="5"/>
      </w:numPr>
    </w:pPr>
  </w:style>
  <w:style w:type="paragraph" w:customStyle="1" w:styleId="PictureCentred">
    <w:name w:val="Picture Centred"/>
    <w:basedOn w:val="Normal"/>
    <w:rsid w:val="00B55137"/>
    <w:pPr>
      <w:spacing w:before="120" w:line="240" w:lineRule="atLeast"/>
      <w:jc w:val="center"/>
    </w:pPr>
  </w:style>
  <w:style w:type="paragraph" w:customStyle="1" w:styleId="PictureLeft">
    <w:name w:val="Picture Left"/>
    <w:basedOn w:val="PictureCentred"/>
    <w:rsid w:val="00B55137"/>
    <w:pPr>
      <w:jc w:val="left"/>
    </w:pPr>
  </w:style>
  <w:style w:type="paragraph" w:customStyle="1" w:styleId="PictureIndent">
    <w:name w:val="Picture Indent"/>
    <w:basedOn w:val="PictureLeft"/>
    <w:rsid w:val="00B55137"/>
    <w:pPr>
      <w:ind w:left="284"/>
    </w:pPr>
  </w:style>
  <w:style w:type="paragraph" w:styleId="TableofAuthorities">
    <w:name w:val="table of authorities"/>
    <w:basedOn w:val="Normal"/>
    <w:next w:val="Normal"/>
    <w:rsid w:val="00B55137"/>
    <w:pPr>
      <w:ind w:left="200" w:hanging="200"/>
    </w:pPr>
  </w:style>
  <w:style w:type="paragraph" w:styleId="TableofFigures">
    <w:name w:val="table of figures"/>
    <w:basedOn w:val="Normal"/>
    <w:next w:val="Normal"/>
    <w:rsid w:val="00B55137"/>
  </w:style>
  <w:style w:type="paragraph" w:styleId="TOAHeading">
    <w:name w:val="toa heading"/>
    <w:basedOn w:val="Normal"/>
    <w:next w:val="Normal"/>
    <w:semiHidden/>
    <w:rsid w:val="00B55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5137"/>
    <w:pPr>
      <w:ind w:left="800"/>
    </w:pPr>
  </w:style>
  <w:style w:type="paragraph" w:styleId="TOC6">
    <w:name w:val="toc 6"/>
    <w:basedOn w:val="Normal"/>
    <w:next w:val="Normal"/>
    <w:autoRedefine/>
    <w:semiHidden/>
    <w:rsid w:val="00B55137"/>
    <w:pPr>
      <w:ind w:left="1000"/>
    </w:pPr>
  </w:style>
  <w:style w:type="paragraph" w:styleId="TOC7">
    <w:name w:val="toc 7"/>
    <w:basedOn w:val="Normal"/>
    <w:next w:val="Normal"/>
    <w:autoRedefine/>
    <w:semiHidden/>
    <w:rsid w:val="00B55137"/>
    <w:pPr>
      <w:ind w:left="1200"/>
    </w:pPr>
  </w:style>
  <w:style w:type="paragraph" w:styleId="TOC8">
    <w:name w:val="toc 8"/>
    <w:basedOn w:val="Normal"/>
    <w:next w:val="Normal"/>
    <w:autoRedefine/>
    <w:semiHidden/>
    <w:rsid w:val="00B55137"/>
    <w:pPr>
      <w:ind w:left="1400"/>
    </w:pPr>
  </w:style>
  <w:style w:type="paragraph" w:styleId="TOC9">
    <w:name w:val="toc 9"/>
    <w:basedOn w:val="Normal"/>
    <w:next w:val="Normal"/>
    <w:autoRedefine/>
    <w:semiHidden/>
    <w:rsid w:val="00B55137"/>
    <w:pPr>
      <w:ind w:left="1600"/>
    </w:pPr>
  </w:style>
  <w:style w:type="numbering" w:customStyle="1" w:styleId="BulletedList">
    <w:name w:val="Bulleted List"/>
    <w:uiPriority w:val="99"/>
    <w:rsid w:val="005F5653"/>
    <w:pPr>
      <w:numPr>
        <w:numId w:val="1"/>
      </w:numPr>
    </w:pPr>
  </w:style>
  <w:style w:type="numbering" w:customStyle="1" w:styleId="BoxBulletedList">
    <w:name w:val="Box Bulleted List"/>
    <w:uiPriority w:val="99"/>
    <w:rsid w:val="005F5653"/>
    <w:pPr>
      <w:numPr>
        <w:numId w:val="16"/>
      </w:numPr>
    </w:pPr>
  </w:style>
  <w:style w:type="numbering" w:customStyle="1" w:styleId="AlphaParagraphList">
    <w:name w:val="Alpha Paragraph List"/>
    <w:uiPriority w:val="99"/>
    <w:rsid w:val="009D0790"/>
    <w:pPr>
      <w:numPr>
        <w:numId w:val="3"/>
      </w:numPr>
    </w:pPr>
  </w:style>
  <w:style w:type="numbering" w:customStyle="1" w:styleId="OneLevelList">
    <w:name w:val="OneLevelList"/>
    <w:uiPriority w:val="99"/>
    <w:rsid w:val="003E0E7B"/>
    <w:pPr>
      <w:numPr>
        <w:numId w:val="4"/>
      </w:numPr>
    </w:pPr>
  </w:style>
  <w:style w:type="numbering" w:customStyle="1" w:styleId="RecommendationBulletList">
    <w:name w:val="RecommendationBulletList"/>
    <w:uiPriority w:val="99"/>
    <w:rsid w:val="00301A52"/>
    <w:pPr>
      <w:numPr>
        <w:numId w:val="6"/>
      </w:numPr>
    </w:pPr>
  </w:style>
  <w:style w:type="numbering" w:customStyle="1" w:styleId="RomanNumeralList">
    <w:name w:val="RomanNumeralList"/>
    <w:uiPriority w:val="99"/>
    <w:rsid w:val="009C7E17"/>
    <w:pPr>
      <w:numPr>
        <w:numId w:val="7"/>
      </w:numPr>
    </w:pPr>
  </w:style>
  <w:style w:type="numbering" w:customStyle="1" w:styleId="ChartandTableFootnoteAlphaList">
    <w:name w:val="ChartandTableFootnoteAlphaList"/>
    <w:uiPriority w:val="99"/>
    <w:rsid w:val="009862D1"/>
    <w:pPr>
      <w:numPr>
        <w:numId w:val="12"/>
      </w:numPr>
    </w:pPr>
  </w:style>
  <w:style w:type="paragraph" w:customStyle="1" w:styleId="TableTextBullet">
    <w:name w:val="Table Text Bullet"/>
    <w:basedOn w:val="TableTextBase"/>
    <w:rsid w:val="002271BB"/>
    <w:pPr>
      <w:numPr>
        <w:numId w:val="15"/>
      </w:numPr>
    </w:pPr>
  </w:style>
  <w:style w:type="numbering" w:customStyle="1" w:styleId="TableTestBulletList">
    <w:name w:val="Table Test Bullet List"/>
    <w:uiPriority w:val="99"/>
    <w:rsid w:val="00E177C9"/>
    <w:pPr>
      <w:numPr>
        <w:numId w:val="13"/>
      </w:numPr>
    </w:pPr>
  </w:style>
  <w:style w:type="numbering" w:customStyle="1" w:styleId="TableTextBulletList">
    <w:name w:val="Table Text Bullet List"/>
    <w:uiPriority w:val="99"/>
    <w:rsid w:val="005F3390"/>
    <w:pPr>
      <w:numPr>
        <w:numId w:val="14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2271BB"/>
    <w:pPr>
      <w:numPr>
        <w:numId w:val="0"/>
      </w:numPr>
      <w:spacing w:after="80" w:line="260" w:lineRule="exact"/>
    </w:pPr>
  </w:style>
  <w:style w:type="character" w:customStyle="1" w:styleId="OutlineNumbered1Char">
    <w:name w:val="Outline Numbered 1 Char"/>
    <w:basedOn w:val="DefaultParagraphFont"/>
    <w:link w:val="OutlineNumbered1"/>
    <w:rsid w:val="000F4833"/>
    <w:rPr>
      <w:rFonts w:eastAsia="Times New Roman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0F4833"/>
    <w:rPr>
      <w:rFonts w:eastAsia="Times New Roman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0F4833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2364"/>
    <w:pPr>
      <w:spacing w:before="200" w:after="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galHeading1">
    <w:name w:val="Legal Heading 1"/>
    <w:basedOn w:val="Heading1"/>
    <w:next w:val="Normal"/>
    <w:qFormat/>
    <w:rsid w:val="00F46AC7"/>
    <w:pPr>
      <w:keepLines/>
      <w:spacing w:before="480" w:after="0" w:line="280" w:lineRule="atLeast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eastAsia="zh-CN" w:bidi="th-TH"/>
    </w:rPr>
  </w:style>
  <w:style w:type="numbering" w:customStyle="1" w:styleId="LegalListStyle1">
    <w:name w:val="Legal List Style 1"/>
    <w:uiPriority w:val="99"/>
    <w:rsid w:val="00F46AC7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C31"/>
    <w:pPr>
      <w:keepLines/>
      <w:spacing w:before="480" w:after="0" w:line="276" w:lineRule="auto"/>
      <w:outlineLvl w:val="9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7832D7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table" w:styleId="LightShading-Accent1">
    <w:name w:val="Light Shading Accent 1"/>
    <w:basedOn w:val="TableNormal"/>
    <w:uiPriority w:val="60"/>
    <w:rsid w:val="00C94FC7"/>
    <w:pPr>
      <w:spacing w:after="0" w:line="240" w:lineRule="auto"/>
    </w:pPr>
    <w:rPr>
      <w:color w:val="001F3E" w:themeColor="accent1" w:themeShade="BF"/>
    </w:rPr>
    <w:tblPr>
      <w:tblStyleRowBandSize w:val="1"/>
      <w:tblStyleColBandSize w:val="1"/>
      <w:tblBorders>
        <w:top w:val="single" w:sz="8" w:space="0" w:color="002B54" w:themeColor="accent1"/>
        <w:bottom w:val="single" w:sz="8" w:space="0" w:color="002B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</w:style>
  <w:style w:type="paragraph" w:customStyle="1" w:styleId="tabletext">
    <w:name w:val="table text"/>
    <w:basedOn w:val="Normal"/>
    <w:rsid w:val="00A31BAA"/>
    <w:pPr>
      <w:spacing w:before="40" w:after="40" w:line="240" w:lineRule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semiHidden/>
    <w:rsid w:val="00A31BAA"/>
    <w:pPr>
      <w:spacing w:before="120" w:after="120" w:line="240" w:lineRule="auto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31BAA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customStyle="1" w:styleId="Referencingstyle">
    <w:name w:val="Referencing style"/>
    <w:basedOn w:val="DefaultParagraphFont"/>
    <w:rsid w:val="00F95040"/>
    <w:rPr>
      <w:b/>
      <w:i/>
      <w:sz w:val="18"/>
    </w:rPr>
  </w:style>
  <w:style w:type="paragraph" w:customStyle="1" w:styleId="base-text-paragraph">
    <w:name w:val="base-text-paragraph"/>
    <w:basedOn w:val="Normal"/>
    <w:link w:val="base-text-paragraphChar"/>
    <w:qFormat/>
    <w:rsid w:val="008C59E5"/>
    <w:pPr>
      <w:numPr>
        <w:ilvl w:val="1"/>
        <w:numId w:val="23"/>
      </w:numPr>
      <w:spacing w:before="120" w:after="120" w:line="240" w:lineRule="auto"/>
    </w:pPr>
    <w:rPr>
      <w:rFonts w:ascii="Times New Roman" w:hAnsi="Times New Roman"/>
    </w:rPr>
  </w:style>
  <w:style w:type="character" w:customStyle="1" w:styleId="base-text-paragraphChar">
    <w:name w:val="base-text-paragraph Char"/>
    <w:basedOn w:val="DefaultParagraphFont"/>
    <w:link w:val="base-text-paragraph"/>
    <w:rsid w:val="008C59E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ChapterHeading">
    <w:name w:val="Chapter Heading"/>
    <w:next w:val="Heading2"/>
    <w:rsid w:val="008C59E5"/>
    <w:pPr>
      <w:numPr>
        <w:numId w:val="23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numbering" w:customStyle="1" w:styleId="ChapterList">
    <w:name w:val="ChapterList"/>
    <w:uiPriority w:val="99"/>
    <w:rsid w:val="008C59E5"/>
    <w:pPr>
      <w:numPr>
        <w:numId w:val="25"/>
      </w:numPr>
    </w:pPr>
  </w:style>
  <w:style w:type="paragraph" w:customStyle="1" w:styleId="Diagram">
    <w:name w:val="Diagram"/>
    <w:basedOn w:val="Normal"/>
    <w:next w:val="Normal"/>
    <w:rsid w:val="008C59E5"/>
    <w:pPr>
      <w:keepNext/>
      <w:numPr>
        <w:ilvl w:val="2"/>
        <w:numId w:val="23"/>
      </w:numPr>
      <w:spacing w:after="0" w:line="240" w:lineRule="auto"/>
    </w:pPr>
    <w:rPr>
      <w:rFonts w:ascii="Times New Roman" w:hAnsi="Times New Roman"/>
      <w:b/>
    </w:rPr>
  </w:style>
  <w:style w:type="paragraph" w:customStyle="1" w:styleId="dotpoint">
    <w:name w:val="dot point"/>
    <w:basedOn w:val="Normal"/>
    <w:rsid w:val="008C59E5"/>
    <w:pPr>
      <w:numPr>
        <w:numId w:val="24"/>
      </w:numPr>
      <w:spacing w:before="120" w:after="120" w:line="240" w:lineRule="auto"/>
    </w:pPr>
    <w:rPr>
      <w:rFonts w:ascii="Times New Roman" w:hAnsi="Times New Roman"/>
    </w:rPr>
  </w:style>
  <w:style w:type="paragraph" w:customStyle="1" w:styleId="ExampleHeading">
    <w:name w:val="Example Heading"/>
    <w:basedOn w:val="Normal"/>
    <w:next w:val="Normal"/>
    <w:rsid w:val="008C59E5"/>
    <w:pPr>
      <w:keepNext/>
      <w:numPr>
        <w:ilvl w:val="3"/>
        <w:numId w:val="23"/>
      </w:numPr>
      <w:spacing w:before="120" w:after="120" w:line="240" w:lineRule="auto"/>
    </w:pPr>
    <w:rPr>
      <w:rFonts w:ascii="Times New Roman" w:hAnsi="Times New Roman"/>
      <w:b/>
    </w:rPr>
  </w:style>
  <w:style w:type="paragraph" w:customStyle="1" w:styleId="TableHeadingoutsidetable">
    <w:name w:val="Table Heading (outside table)"/>
    <w:basedOn w:val="Heading4"/>
    <w:rsid w:val="008C59E5"/>
    <w:pPr>
      <w:numPr>
        <w:ilvl w:val="4"/>
        <w:numId w:val="23"/>
      </w:numPr>
      <w:tabs>
        <w:tab w:val="num" w:pos="360"/>
      </w:tabs>
      <w:spacing w:after="200"/>
      <w:ind w:left="0"/>
    </w:pPr>
    <w:rPr>
      <w:rFonts w:ascii="Times New Roman" w:hAnsi="Times New Roman"/>
      <w:b w:val="0"/>
      <w:bCs w:val="0"/>
      <w:i w:val="0"/>
      <w:i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udget Blue">
  <a:themeElements>
    <a:clrScheme name="Budget Blu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B54"/>
      </a:accent1>
      <a:accent2>
        <a:srgbClr val="CCD5DD"/>
      </a:accent2>
      <a:accent3>
        <a:srgbClr val="668098"/>
      </a:accent3>
      <a:accent4>
        <a:srgbClr val="99AABB"/>
      </a:accent4>
      <a:accent5>
        <a:srgbClr val="335576"/>
      </a:accent5>
      <a:accent6>
        <a:srgbClr val="7F7F7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F9A2-A71B-4736-857D-909DC1B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Disciplinary Body for Financial Advisers - Ready Reckoner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Disciplinary Body for Financial Advisers - Ready Reckoner</dc:title>
  <dc:subject/>
  <dc:creator/>
  <cp:keywords/>
  <cp:lastModifiedBy/>
  <cp:revision>1</cp:revision>
  <dcterms:created xsi:type="dcterms:W3CDTF">2021-04-14T00:40:00Z</dcterms:created>
  <dcterms:modified xsi:type="dcterms:W3CDTF">2021-04-14T00:41:00Z</dcterms:modified>
</cp:coreProperties>
</file>