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0353E" w14:textId="098614A7" w:rsidR="000E0B74" w:rsidRPr="006D0240" w:rsidRDefault="000E0B74" w:rsidP="008E6292"/>
    <w:p w14:paraId="39074FC9" w14:textId="77777777" w:rsidR="000E0B74" w:rsidRPr="006D0240" w:rsidRDefault="000E0B74" w:rsidP="001D4EAA">
      <w:pPr>
        <w:pStyle w:val="Crest"/>
        <w:spacing w:after="1320"/>
        <w:jc w:val="left"/>
      </w:pPr>
    </w:p>
    <w:p w14:paraId="688C97B3" w14:textId="4F174D4D" w:rsidR="000E0B74" w:rsidRPr="001D4EAA" w:rsidRDefault="008F1C13" w:rsidP="001D4EAA">
      <w:pPr>
        <w:pStyle w:val="Title"/>
      </w:pPr>
      <w:bookmarkStart w:id="0" w:name="_GoBack"/>
      <w:r>
        <w:t>Timeliness of processes under the National Access Regime</w:t>
      </w:r>
      <w:bookmarkEnd w:id="0"/>
      <w:r>
        <w:t xml:space="preserve"> </w:t>
      </w:r>
    </w:p>
    <w:p w14:paraId="74A4AB61" w14:textId="5D2DED8C" w:rsidR="000E0B74" w:rsidRPr="001D4EAA" w:rsidRDefault="008F1C13" w:rsidP="001D4EAA">
      <w:pPr>
        <w:pStyle w:val="Subtitle"/>
      </w:pPr>
      <w:r>
        <w:t xml:space="preserve">Consultation paper </w:t>
      </w:r>
    </w:p>
    <w:p w14:paraId="6C4FA404" w14:textId="534281DB" w:rsidR="00056880" w:rsidRDefault="008F1C13" w:rsidP="001D4EAA">
      <w:pPr>
        <w:pStyle w:val="ReportDate"/>
        <w:rPr>
          <w:rFonts w:ascii="Rockwell" w:hAnsi="Rockwell"/>
          <w:sz w:val="24"/>
        </w:rPr>
      </w:pPr>
      <w:r>
        <w:rPr>
          <w:rStyle w:val="ReportDateChar"/>
        </w:rPr>
        <w:t>March</w:t>
      </w:r>
      <w:r w:rsidR="00FE7E0F">
        <w:rPr>
          <w:rStyle w:val="ReportDateChar"/>
        </w:rPr>
        <w:t xml:space="preserve"> </w:t>
      </w:r>
      <w:r>
        <w:rPr>
          <w:rStyle w:val="ReportDateChar"/>
        </w:rPr>
        <w:t>2021</w:t>
      </w:r>
    </w:p>
    <w:p w14:paraId="26CFD320" w14:textId="77777777" w:rsidR="002F617F" w:rsidRDefault="002F617F"/>
    <w:p w14:paraId="3003D98A" w14:textId="77777777" w:rsidR="000E0B74" w:rsidRDefault="000E0B74" w:rsidP="000E0B74">
      <w:pPr>
        <w:rPr>
          <w:rFonts w:cs="Calibri"/>
          <w:sz w:val="20"/>
        </w:rPr>
      </w:pPr>
    </w:p>
    <w:p w14:paraId="1EBD461F"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5E37D592" w14:textId="4D7D8512" w:rsidR="000E0B74" w:rsidRDefault="000E0B74" w:rsidP="000E0B74">
      <w:pPr>
        <w:spacing w:before="240"/>
      </w:pPr>
      <w:r w:rsidRPr="00661BF0">
        <w:lastRenderedPageBreak/>
        <w:t xml:space="preserve">© Commonwealth of Australia </w:t>
      </w:r>
      <w:r w:rsidRPr="00DB2BA4">
        <w:t>20</w:t>
      </w:r>
      <w:r w:rsidR="00EF2FBF" w:rsidRPr="00DB2BA4">
        <w:t>2</w:t>
      </w:r>
      <w:r w:rsidR="00DB2BA4" w:rsidRPr="00DB2BA4">
        <w:t>1</w:t>
      </w:r>
    </w:p>
    <w:p w14:paraId="1F0938BA" w14:textId="5E83F278"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FD2069F" w14:textId="77777777" w:rsidR="000E0B74" w:rsidRDefault="000E0B74" w:rsidP="000E0B74">
      <w:pPr>
        <w:pStyle w:val="ChartGraphic"/>
        <w:jc w:val="left"/>
      </w:pPr>
      <w:r w:rsidRPr="00E56DFB">
        <w:rPr>
          <w:noProof/>
        </w:rPr>
        <w:drawing>
          <wp:inline distT="0" distB="0" distL="0" distR="0" wp14:anchorId="59016D0A" wp14:editId="26C1072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754CD70"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B5A2D10"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1D7F7D88"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EFF7F28" w14:textId="71599A19" w:rsidR="000E0B74" w:rsidRPr="00A13A11" w:rsidRDefault="000E0B74" w:rsidP="000E0B74">
      <w:pPr>
        <w:ind w:firstLine="720"/>
      </w:pPr>
      <w:r w:rsidRPr="002F1BC2">
        <w:rPr>
          <w:i/>
        </w:rPr>
        <w:t xml:space="preserve">Source: The </w:t>
      </w:r>
      <w:r w:rsidRPr="002F1BC2">
        <w:rPr>
          <w:i/>
          <w:iCs/>
        </w:rPr>
        <w:t>Australian Government the Treasury</w:t>
      </w:r>
      <w:r>
        <w:t>.</w:t>
      </w:r>
    </w:p>
    <w:p w14:paraId="6ABDF693" w14:textId="77777777" w:rsidR="000E0B74" w:rsidRPr="006627B4" w:rsidRDefault="000E0B74" w:rsidP="000E0B74">
      <w:pPr>
        <w:spacing w:before="240"/>
      </w:pPr>
      <w:r w:rsidRPr="00CC63CC">
        <w:rPr>
          <w:b/>
        </w:rPr>
        <w:t>Derivative</w:t>
      </w:r>
      <w:r w:rsidRPr="006627B4">
        <w:t xml:space="preserve"> </w:t>
      </w:r>
      <w:r w:rsidRPr="00CC63CC">
        <w:rPr>
          <w:b/>
        </w:rPr>
        <w:t>material</w:t>
      </w:r>
    </w:p>
    <w:p w14:paraId="14A94577"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CDA9476" w14:textId="0C55C71B" w:rsidR="000E0B74" w:rsidRPr="006627B4" w:rsidRDefault="000E0B74" w:rsidP="000E0B74">
      <w:pPr>
        <w:ind w:firstLine="720"/>
      </w:pPr>
      <w:r w:rsidRPr="002F1BC2">
        <w:rPr>
          <w:i/>
        </w:rPr>
        <w:t>Based on The Australian Government the Treasury data</w:t>
      </w:r>
      <w:r>
        <w:t>.</w:t>
      </w:r>
    </w:p>
    <w:p w14:paraId="287E4F7B" w14:textId="77777777" w:rsidR="000E0B74" w:rsidRPr="006627B4" w:rsidRDefault="000E0B74" w:rsidP="000E0B74">
      <w:pPr>
        <w:spacing w:before="240"/>
        <w:rPr>
          <w:b/>
        </w:rPr>
      </w:pPr>
      <w:r w:rsidRPr="006627B4">
        <w:rPr>
          <w:b/>
        </w:rPr>
        <w:t>Use of the Coat of Arms</w:t>
      </w:r>
    </w:p>
    <w:p w14:paraId="10BBE8A5"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13D8B5F2" w14:textId="77777777" w:rsidR="000E0B74" w:rsidRPr="006627B4" w:rsidRDefault="000E0B74" w:rsidP="000E0B74">
      <w:pPr>
        <w:spacing w:before="240"/>
        <w:rPr>
          <w:b/>
        </w:rPr>
      </w:pPr>
      <w:r>
        <w:rPr>
          <w:b/>
        </w:rPr>
        <w:t>Other u</w:t>
      </w:r>
      <w:r w:rsidRPr="006627B4">
        <w:rPr>
          <w:b/>
        </w:rPr>
        <w:t>ses</w:t>
      </w:r>
    </w:p>
    <w:p w14:paraId="7BC8BAA2" w14:textId="77777777" w:rsidR="000E0B74" w:rsidRPr="006627B4" w:rsidRDefault="000E0B74" w:rsidP="000E0B74">
      <w:r>
        <w:t>E</w:t>
      </w:r>
      <w:r w:rsidRPr="006627B4">
        <w:t>nquiries regarding this licence and any other use of this document are welcome at:</w:t>
      </w:r>
    </w:p>
    <w:p w14:paraId="5EACE21E"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296B901C" w14:textId="77777777"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1E845BA3" w14:textId="77777777" w:rsidR="000E0B74" w:rsidRPr="00354FBB" w:rsidRDefault="000E0B74" w:rsidP="00354FBB">
      <w:pPr>
        <w:pStyle w:val="Heading1"/>
      </w:pPr>
      <w:bookmarkStart w:id="1" w:name="_Toc65853609"/>
      <w:bookmarkStart w:id="2" w:name="_Toc65855311"/>
      <w:bookmarkStart w:id="3" w:name="_Toc65856061"/>
      <w:bookmarkStart w:id="4" w:name="_Toc67043658"/>
      <w:r w:rsidRPr="00354FBB">
        <w:lastRenderedPageBreak/>
        <w:t>Contents</w:t>
      </w:r>
      <w:bookmarkEnd w:id="1"/>
      <w:bookmarkEnd w:id="2"/>
      <w:bookmarkEnd w:id="3"/>
      <w:bookmarkEnd w:id="4"/>
    </w:p>
    <w:p w14:paraId="7684AD56" w14:textId="17F9A7BC" w:rsidR="00742DB3"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67043658" w:history="1">
        <w:r w:rsidR="00742DB3" w:rsidRPr="003913DA">
          <w:rPr>
            <w:rStyle w:val="Hyperlink"/>
          </w:rPr>
          <w:t>Contents</w:t>
        </w:r>
        <w:r w:rsidR="00742DB3">
          <w:rPr>
            <w:webHidden/>
          </w:rPr>
          <w:tab/>
        </w:r>
        <w:r w:rsidR="00742DB3">
          <w:rPr>
            <w:webHidden/>
          </w:rPr>
          <w:fldChar w:fldCharType="begin"/>
        </w:r>
        <w:r w:rsidR="00742DB3">
          <w:rPr>
            <w:webHidden/>
          </w:rPr>
          <w:instrText xml:space="preserve"> PAGEREF _Toc67043658 \h </w:instrText>
        </w:r>
        <w:r w:rsidR="00742DB3">
          <w:rPr>
            <w:webHidden/>
          </w:rPr>
        </w:r>
        <w:r w:rsidR="00742DB3">
          <w:rPr>
            <w:webHidden/>
          </w:rPr>
          <w:fldChar w:fldCharType="separate"/>
        </w:r>
        <w:r w:rsidR="00742DB3">
          <w:rPr>
            <w:webHidden/>
          </w:rPr>
          <w:t>iii</w:t>
        </w:r>
        <w:r w:rsidR="00742DB3">
          <w:rPr>
            <w:webHidden/>
          </w:rPr>
          <w:fldChar w:fldCharType="end"/>
        </w:r>
      </w:hyperlink>
    </w:p>
    <w:p w14:paraId="5AFAC104" w14:textId="5FA48F1E" w:rsidR="00742DB3" w:rsidRDefault="008A2E04">
      <w:pPr>
        <w:pStyle w:val="TOC1"/>
        <w:rPr>
          <w:rFonts w:asciiTheme="minorHAnsi" w:eastAsiaTheme="minorEastAsia" w:hAnsiTheme="minorHAnsi" w:cstheme="minorBidi"/>
          <w:b w:val="0"/>
          <w:color w:val="auto"/>
        </w:rPr>
      </w:pPr>
      <w:hyperlink w:anchor="_Toc67043659" w:history="1">
        <w:r w:rsidR="00742DB3" w:rsidRPr="003913DA">
          <w:rPr>
            <w:rStyle w:val="Hyperlink"/>
          </w:rPr>
          <w:t>Consultation Process</w:t>
        </w:r>
        <w:r w:rsidR="00742DB3">
          <w:rPr>
            <w:webHidden/>
          </w:rPr>
          <w:tab/>
        </w:r>
        <w:r w:rsidR="00742DB3">
          <w:rPr>
            <w:webHidden/>
          </w:rPr>
          <w:fldChar w:fldCharType="begin"/>
        </w:r>
        <w:r w:rsidR="00742DB3">
          <w:rPr>
            <w:webHidden/>
          </w:rPr>
          <w:instrText xml:space="preserve"> PAGEREF _Toc67043659 \h </w:instrText>
        </w:r>
        <w:r w:rsidR="00742DB3">
          <w:rPr>
            <w:webHidden/>
          </w:rPr>
        </w:r>
        <w:r w:rsidR="00742DB3">
          <w:rPr>
            <w:webHidden/>
          </w:rPr>
          <w:fldChar w:fldCharType="separate"/>
        </w:r>
        <w:r w:rsidR="00742DB3">
          <w:rPr>
            <w:webHidden/>
          </w:rPr>
          <w:t>1</w:t>
        </w:r>
        <w:r w:rsidR="00742DB3">
          <w:rPr>
            <w:webHidden/>
          </w:rPr>
          <w:fldChar w:fldCharType="end"/>
        </w:r>
      </w:hyperlink>
    </w:p>
    <w:p w14:paraId="60CB8B32" w14:textId="4713581A" w:rsidR="00742DB3" w:rsidRDefault="008A2E04">
      <w:pPr>
        <w:pStyle w:val="TOC2"/>
        <w:rPr>
          <w:rFonts w:asciiTheme="minorHAnsi" w:eastAsiaTheme="minorEastAsia" w:hAnsiTheme="minorHAnsi" w:cstheme="minorBidi"/>
          <w:color w:val="auto"/>
          <w:szCs w:val="22"/>
        </w:rPr>
      </w:pPr>
      <w:hyperlink w:anchor="_Toc67043660" w:history="1">
        <w:r w:rsidR="00742DB3" w:rsidRPr="003913DA">
          <w:rPr>
            <w:rStyle w:val="Hyperlink"/>
          </w:rPr>
          <w:t>Request for feedback and comments</w:t>
        </w:r>
        <w:r w:rsidR="00742DB3">
          <w:rPr>
            <w:webHidden/>
          </w:rPr>
          <w:tab/>
        </w:r>
        <w:r w:rsidR="00742DB3">
          <w:rPr>
            <w:webHidden/>
          </w:rPr>
          <w:fldChar w:fldCharType="begin"/>
        </w:r>
        <w:r w:rsidR="00742DB3">
          <w:rPr>
            <w:webHidden/>
          </w:rPr>
          <w:instrText xml:space="preserve"> PAGEREF _Toc67043660 \h </w:instrText>
        </w:r>
        <w:r w:rsidR="00742DB3">
          <w:rPr>
            <w:webHidden/>
          </w:rPr>
        </w:r>
        <w:r w:rsidR="00742DB3">
          <w:rPr>
            <w:webHidden/>
          </w:rPr>
          <w:fldChar w:fldCharType="separate"/>
        </w:r>
        <w:r w:rsidR="00742DB3">
          <w:rPr>
            <w:webHidden/>
          </w:rPr>
          <w:t>1</w:t>
        </w:r>
        <w:r w:rsidR="00742DB3">
          <w:rPr>
            <w:webHidden/>
          </w:rPr>
          <w:fldChar w:fldCharType="end"/>
        </w:r>
      </w:hyperlink>
    </w:p>
    <w:p w14:paraId="7BA7E7B5" w14:textId="26272BBA" w:rsidR="00742DB3" w:rsidRDefault="008A2E04">
      <w:pPr>
        <w:pStyle w:val="TOC1"/>
        <w:rPr>
          <w:rFonts w:asciiTheme="minorHAnsi" w:eastAsiaTheme="minorEastAsia" w:hAnsiTheme="minorHAnsi" w:cstheme="minorBidi"/>
          <w:b w:val="0"/>
          <w:color w:val="auto"/>
        </w:rPr>
      </w:pPr>
      <w:hyperlink w:anchor="_Toc67043661" w:history="1">
        <w:r w:rsidR="00742DB3" w:rsidRPr="003913DA">
          <w:rPr>
            <w:rStyle w:val="Hyperlink"/>
          </w:rPr>
          <w:t>Timeliness of processes under the National Access Regime</w:t>
        </w:r>
        <w:r w:rsidR="00742DB3">
          <w:rPr>
            <w:webHidden/>
          </w:rPr>
          <w:tab/>
        </w:r>
        <w:r w:rsidR="00742DB3">
          <w:rPr>
            <w:webHidden/>
          </w:rPr>
          <w:fldChar w:fldCharType="begin"/>
        </w:r>
        <w:r w:rsidR="00742DB3">
          <w:rPr>
            <w:webHidden/>
          </w:rPr>
          <w:instrText xml:space="preserve"> PAGEREF _Toc67043661 \h </w:instrText>
        </w:r>
        <w:r w:rsidR="00742DB3">
          <w:rPr>
            <w:webHidden/>
          </w:rPr>
        </w:r>
        <w:r w:rsidR="00742DB3">
          <w:rPr>
            <w:webHidden/>
          </w:rPr>
          <w:fldChar w:fldCharType="separate"/>
        </w:r>
        <w:r w:rsidR="00742DB3">
          <w:rPr>
            <w:webHidden/>
          </w:rPr>
          <w:t>2</w:t>
        </w:r>
        <w:r w:rsidR="00742DB3">
          <w:rPr>
            <w:webHidden/>
          </w:rPr>
          <w:fldChar w:fldCharType="end"/>
        </w:r>
      </w:hyperlink>
    </w:p>
    <w:p w14:paraId="73711631" w14:textId="7892C92D" w:rsidR="00742DB3" w:rsidRDefault="008A2E04">
      <w:pPr>
        <w:pStyle w:val="TOC2"/>
        <w:rPr>
          <w:rFonts w:asciiTheme="minorHAnsi" w:eastAsiaTheme="minorEastAsia" w:hAnsiTheme="minorHAnsi" w:cstheme="minorBidi"/>
          <w:color w:val="auto"/>
          <w:szCs w:val="22"/>
        </w:rPr>
      </w:pPr>
      <w:hyperlink w:anchor="_Toc67043662" w:history="1">
        <w:r w:rsidR="00742DB3" w:rsidRPr="003913DA">
          <w:rPr>
            <w:rStyle w:val="Hyperlink"/>
          </w:rPr>
          <w:t>Introduction</w:t>
        </w:r>
        <w:r w:rsidR="00742DB3">
          <w:rPr>
            <w:webHidden/>
          </w:rPr>
          <w:tab/>
        </w:r>
        <w:r w:rsidR="00742DB3">
          <w:rPr>
            <w:webHidden/>
          </w:rPr>
          <w:fldChar w:fldCharType="begin"/>
        </w:r>
        <w:r w:rsidR="00742DB3">
          <w:rPr>
            <w:webHidden/>
          </w:rPr>
          <w:instrText xml:space="preserve"> PAGEREF _Toc67043662 \h </w:instrText>
        </w:r>
        <w:r w:rsidR="00742DB3">
          <w:rPr>
            <w:webHidden/>
          </w:rPr>
        </w:r>
        <w:r w:rsidR="00742DB3">
          <w:rPr>
            <w:webHidden/>
          </w:rPr>
          <w:fldChar w:fldCharType="separate"/>
        </w:r>
        <w:r w:rsidR="00742DB3">
          <w:rPr>
            <w:webHidden/>
          </w:rPr>
          <w:t>2</w:t>
        </w:r>
        <w:r w:rsidR="00742DB3">
          <w:rPr>
            <w:webHidden/>
          </w:rPr>
          <w:fldChar w:fldCharType="end"/>
        </w:r>
      </w:hyperlink>
    </w:p>
    <w:p w14:paraId="546D575A" w14:textId="5EE4D874" w:rsidR="00742DB3" w:rsidRDefault="008A2E04">
      <w:pPr>
        <w:pStyle w:val="TOC3"/>
        <w:rPr>
          <w:rFonts w:asciiTheme="minorHAnsi" w:eastAsiaTheme="minorEastAsia" w:hAnsiTheme="minorHAnsi" w:cstheme="minorBidi"/>
          <w:color w:val="auto"/>
          <w:szCs w:val="22"/>
        </w:rPr>
      </w:pPr>
      <w:hyperlink w:anchor="_Toc67043663" w:history="1">
        <w:r w:rsidR="00742DB3" w:rsidRPr="003913DA">
          <w:rPr>
            <w:rStyle w:val="Hyperlink"/>
          </w:rPr>
          <w:t>National Access Regime</w:t>
        </w:r>
        <w:r w:rsidR="00742DB3">
          <w:rPr>
            <w:webHidden/>
          </w:rPr>
          <w:tab/>
        </w:r>
        <w:r w:rsidR="00742DB3">
          <w:rPr>
            <w:webHidden/>
          </w:rPr>
          <w:fldChar w:fldCharType="begin"/>
        </w:r>
        <w:r w:rsidR="00742DB3">
          <w:rPr>
            <w:webHidden/>
          </w:rPr>
          <w:instrText xml:space="preserve"> PAGEREF _Toc67043663 \h </w:instrText>
        </w:r>
        <w:r w:rsidR="00742DB3">
          <w:rPr>
            <w:webHidden/>
          </w:rPr>
        </w:r>
        <w:r w:rsidR="00742DB3">
          <w:rPr>
            <w:webHidden/>
          </w:rPr>
          <w:fldChar w:fldCharType="separate"/>
        </w:r>
        <w:r w:rsidR="00742DB3">
          <w:rPr>
            <w:webHidden/>
          </w:rPr>
          <w:t>2</w:t>
        </w:r>
        <w:r w:rsidR="00742DB3">
          <w:rPr>
            <w:webHidden/>
          </w:rPr>
          <w:fldChar w:fldCharType="end"/>
        </w:r>
      </w:hyperlink>
    </w:p>
    <w:p w14:paraId="01BCF3C9" w14:textId="4C27ADFE" w:rsidR="00742DB3" w:rsidRDefault="008A2E04">
      <w:pPr>
        <w:pStyle w:val="TOC2"/>
        <w:rPr>
          <w:rFonts w:asciiTheme="minorHAnsi" w:eastAsiaTheme="minorEastAsia" w:hAnsiTheme="minorHAnsi" w:cstheme="minorBidi"/>
          <w:color w:val="auto"/>
          <w:szCs w:val="22"/>
        </w:rPr>
      </w:pPr>
      <w:hyperlink w:anchor="_Toc67043664" w:history="1">
        <w:r w:rsidR="00742DB3" w:rsidRPr="003913DA">
          <w:rPr>
            <w:rStyle w:val="Hyperlink"/>
          </w:rPr>
          <w:t>Consultation Objectives</w:t>
        </w:r>
        <w:r w:rsidR="00742DB3">
          <w:rPr>
            <w:webHidden/>
          </w:rPr>
          <w:tab/>
        </w:r>
        <w:r w:rsidR="00742DB3">
          <w:rPr>
            <w:webHidden/>
          </w:rPr>
          <w:fldChar w:fldCharType="begin"/>
        </w:r>
        <w:r w:rsidR="00742DB3">
          <w:rPr>
            <w:webHidden/>
          </w:rPr>
          <w:instrText xml:space="preserve"> PAGEREF _Toc67043664 \h </w:instrText>
        </w:r>
        <w:r w:rsidR="00742DB3">
          <w:rPr>
            <w:webHidden/>
          </w:rPr>
        </w:r>
        <w:r w:rsidR="00742DB3">
          <w:rPr>
            <w:webHidden/>
          </w:rPr>
          <w:fldChar w:fldCharType="separate"/>
        </w:r>
        <w:r w:rsidR="00742DB3">
          <w:rPr>
            <w:webHidden/>
          </w:rPr>
          <w:t>3</w:t>
        </w:r>
        <w:r w:rsidR="00742DB3">
          <w:rPr>
            <w:webHidden/>
          </w:rPr>
          <w:fldChar w:fldCharType="end"/>
        </w:r>
      </w:hyperlink>
    </w:p>
    <w:p w14:paraId="48E12290" w14:textId="05088B13" w:rsidR="00742DB3" w:rsidRDefault="008A2E04">
      <w:pPr>
        <w:pStyle w:val="TOC2"/>
        <w:rPr>
          <w:rFonts w:asciiTheme="minorHAnsi" w:eastAsiaTheme="minorEastAsia" w:hAnsiTheme="minorHAnsi" w:cstheme="minorBidi"/>
          <w:color w:val="auto"/>
          <w:szCs w:val="22"/>
        </w:rPr>
      </w:pPr>
      <w:hyperlink w:anchor="_Toc67043665" w:history="1">
        <w:r w:rsidR="00742DB3" w:rsidRPr="003913DA">
          <w:rPr>
            <w:rStyle w:val="Hyperlink"/>
          </w:rPr>
          <w:t>Timeliness of declaration processes</w:t>
        </w:r>
        <w:r w:rsidR="00742DB3">
          <w:rPr>
            <w:webHidden/>
          </w:rPr>
          <w:tab/>
        </w:r>
        <w:r w:rsidR="00742DB3">
          <w:rPr>
            <w:webHidden/>
          </w:rPr>
          <w:fldChar w:fldCharType="begin"/>
        </w:r>
        <w:r w:rsidR="00742DB3">
          <w:rPr>
            <w:webHidden/>
          </w:rPr>
          <w:instrText xml:space="preserve"> PAGEREF _Toc67043665 \h </w:instrText>
        </w:r>
        <w:r w:rsidR="00742DB3">
          <w:rPr>
            <w:webHidden/>
          </w:rPr>
        </w:r>
        <w:r w:rsidR="00742DB3">
          <w:rPr>
            <w:webHidden/>
          </w:rPr>
          <w:fldChar w:fldCharType="separate"/>
        </w:r>
        <w:r w:rsidR="00742DB3">
          <w:rPr>
            <w:webHidden/>
          </w:rPr>
          <w:t>3</w:t>
        </w:r>
        <w:r w:rsidR="00742DB3">
          <w:rPr>
            <w:webHidden/>
          </w:rPr>
          <w:fldChar w:fldCharType="end"/>
        </w:r>
      </w:hyperlink>
    </w:p>
    <w:p w14:paraId="7FF7BF29" w14:textId="294ACD3B" w:rsidR="00742DB3" w:rsidRDefault="008A2E04">
      <w:pPr>
        <w:pStyle w:val="TOC2"/>
        <w:rPr>
          <w:rFonts w:asciiTheme="minorHAnsi" w:eastAsiaTheme="minorEastAsia" w:hAnsiTheme="minorHAnsi" w:cstheme="minorBidi"/>
          <w:color w:val="auto"/>
          <w:szCs w:val="22"/>
        </w:rPr>
      </w:pPr>
      <w:hyperlink w:anchor="_Toc67043666" w:history="1">
        <w:r w:rsidR="00742DB3" w:rsidRPr="003913DA">
          <w:rPr>
            <w:rStyle w:val="Hyperlink"/>
          </w:rPr>
          <w:t>Potential reforms</w:t>
        </w:r>
        <w:r w:rsidR="00742DB3">
          <w:rPr>
            <w:webHidden/>
          </w:rPr>
          <w:tab/>
        </w:r>
        <w:r w:rsidR="00742DB3">
          <w:rPr>
            <w:webHidden/>
          </w:rPr>
          <w:fldChar w:fldCharType="begin"/>
        </w:r>
        <w:r w:rsidR="00742DB3">
          <w:rPr>
            <w:webHidden/>
          </w:rPr>
          <w:instrText xml:space="preserve"> PAGEREF _Toc67043666 \h </w:instrText>
        </w:r>
        <w:r w:rsidR="00742DB3">
          <w:rPr>
            <w:webHidden/>
          </w:rPr>
        </w:r>
        <w:r w:rsidR="00742DB3">
          <w:rPr>
            <w:webHidden/>
          </w:rPr>
          <w:fldChar w:fldCharType="separate"/>
        </w:r>
        <w:r w:rsidR="00742DB3">
          <w:rPr>
            <w:webHidden/>
          </w:rPr>
          <w:t>4</w:t>
        </w:r>
        <w:r w:rsidR="00742DB3">
          <w:rPr>
            <w:webHidden/>
          </w:rPr>
          <w:fldChar w:fldCharType="end"/>
        </w:r>
      </w:hyperlink>
    </w:p>
    <w:p w14:paraId="5E6D785C" w14:textId="35B00FC0" w:rsidR="00742DB3" w:rsidRDefault="008A2E04">
      <w:pPr>
        <w:pStyle w:val="TOC3"/>
        <w:rPr>
          <w:rFonts w:asciiTheme="minorHAnsi" w:eastAsiaTheme="minorEastAsia" w:hAnsiTheme="minorHAnsi" w:cstheme="minorBidi"/>
          <w:color w:val="auto"/>
          <w:szCs w:val="22"/>
        </w:rPr>
      </w:pPr>
      <w:hyperlink w:anchor="_Toc67043667" w:history="1">
        <w:r w:rsidR="00742DB3" w:rsidRPr="003913DA">
          <w:rPr>
            <w:rStyle w:val="Hyperlink"/>
          </w:rPr>
          <w:t>Merits review</w:t>
        </w:r>
        <w:r w:rsidR="00742DB3">
          <w:rPr>
            <w:webHidden/>
          </w:rPr>
          <w:tab/>
        </w:r>
        <w:r w:rsidR="00742DB3">
          <w:rPr>
            <w:webHidden/>
          </w:rPr>
          <w:fldChar w:fldCharType="begin"/>
        </w:r>
        <w:r w:rsidR="00742DB3">
          <w:rPr>
            <w:webHidden/>
          </w:rPr>
          <w:instrText xml:space="preserve"> PAGEREF _Toc67043667 \h </w:instrText>
        </w:r>
        <w:r w:rsidR="00742DB3">
          <w:rPr>
            <w:webHidden/>
          </w:rPr>
        </w:r>
        <w:r w:rsidR="00742DB3">
          <w:rPr>
            <w:webHidden/>
          </w:rPr>
          <w:fldChar w:fldCharType="separate"/>
        </w:r>
        <w:r w:rsidR="00742DB3">
          <w:rPr>
            <w:webHidden/>
          </w:rPr>
          <w:t>4</w:t>
        </w:r>
        <w:r w:rsidR="00742DB3">
          <w:rPr>
            <w:webHidden/>
          </w:rPr>
          <w:fldChar w:fldCharType="end"/>
        </w:r>
      </w:hyperlink>
    </w:p>
    <w:p w14:paraId="28AF53FD" w14:textId="3E58FEE2" w:rsidR="00742DB3" w:rsidRDefault="008A2E04">
      <w:pPr>
        <w:pStyle w:val="TOC3"/>
        <w:rPr>
          <w:rFonts w:asciiTheme="minorHAnsi" w:eastAsiaTheme="minorEastAsia" w:hAnsiTheme="minorHAnsi" w:cstheme="minorBidi"/>
          <w:color w:val="auto"/>
          <w:szCs w:val="22"/>
        </w:rPr>
      </w:pPr>
      <w:hyperlink w:anchor="_Toc67043668" w:history="1">
        <w:r w:rsidR="00742DB3" w:rsidRPr="003913DA">
          <w:rPr>
            <w:rStyle w:val="Hyperlink"/>
          </w:rPr>
          <w:t>Repeat applications for declaration</w:t>
        </w:r>
        <w:r w:rsidR="00742DB3">
          <w:rPr>
            <w:webHidden/>
          </w:rPr>
          <w:tab/>
        </w:r>
        <w:r w:rsidR="00742DB3">
          <w:rPr>
            <w:webHidden/>
          </w:rPr>
          <w:fldChar w:fldCharType="begin"/>
        </w:r>
        <w:r w:rsidR="00742DB3">
          <w:rPr>
            <w:webHidden/>
          </w:rPr>
          <w:instrText xml:space="preserve"> PAGEREF _Toc67043668 \h </w:instrText>
        </w:r>
        <w:r w:rsidR="00742DB3">
          <w:rPr>
            <w:webHidden/>
          </w:rPr>
        </w:r>
        <w:r w:rsidR="00742DB3">
          <w:rPr>
            <w:webHidden/>
          </w:rPr>
          <w:fldChar w:fldCharType="separate"/>
        </w:r>
        <w:r w:rsidR="00742DB3">
          <w:rPr>
            <w:webHidden/>
          </w:rPr>
          <w:t>5</w:t>
        </w:r>
        <w:r w:rsidR="00742DB3">
          <w:rPr>
            <w:webHidden/>
          </w:rPr>
          <w:fldChar w:fldCharType="end"/>
        </w:r>
      </w:hyperlink>
    </w:p>
    <w:p w14:paraId="6935E055" w14:textId="7736FE89" w:rsidR="00742DB3" w:rsidRDefault="008A2E04">
      <w:pPr>
        <w:pStyle w:val="TOC3"/>
        <w:rPr>
          <w:rFonts w:asciiTheme="minorHAnsi" w:eastAsiaTheme="minorEastAsia" w:hAnsiTheme="minorHAnsi" w:cstheme="minorBidi"/>
          <w:color w:val="auto"/>
          <w:szCs w:val="22"/>
        </w:rPr>
      </w:pPr>
      <w:hyperlink w:anchor="_Toc67043669" w:history="1">
        <w:r w:rsidR="00742DB3" w:rsidRPr="003913DA">
          <w:rPr>
            <w:rStyle w:val="Hyperlink"/>
          </w:rPr>
          <w:t>Arbitration when service is no longer declared</w:t>
        </w:r>
        <w:r w:rsidR="00742DB3">
          <w:rPr>
            <w:webHidden/>
          </w:rPr>
          <w:tab/>
        </w:r>
        <w:r w:rsidR="00742DB3">
          <w:rPr>
            <w:webHidden/>
          </w:rPr>
          <w:fldChar w:fldCharType="begin"/>
        </w:r>
        <w:r w:rsidR="00742DB3">
          <w:rPr>
            <w:webHidden/>
          </w:rPr>
          <w:instrText xml:space="preserve"> PAGEREF _Toc67043669 \h </w:instrText>
        </w:r>
        <w:r w:rsidR="00742DB3">
          <w:rPr>
            <w:webHidden/>
          </w:rPr>
        </w:r>
        <w:r w:rsidR="00742DB3">
          <w:rPr>
            <w:webHidden/>
          </w:rPr>
          <w:fldChar w:fldCharType="separate"/>
        </w:r>
        <w:r w:rsidR="00742DB3">
          <w:rPr>
            <w:webHidden/>
          </w:rPr>
          <w:t>5</w:t>
        </w:r>
        <w:r w:rsidR="00742DB3">
          <w:rPr>
            <w:webHidden/>
          </w:rPr>
          <w:fldChar w:fldCharType="end"/>
        </w:r>
      </w:hyperlink>
    </w:p>
    <w:p w14:paraId="52EC0B66" w14:textId="13CFD731" w:rsidR="00742DB3" w:rsidRDefault="008A2E04">
      <w:pPr>
        <w:pStyle w:val="TOC2"/>
        <w:rPr>
          <w:rFonts w:asciiTheme="minorHAnsi" w:eastAsiaTheme="minorEastAsia" w:hAnsiTheme="minorHAnsi" w:cstheme="minorBidi"/>
          <w:color w:val="auto"/>
          <w:szCs w:val="22"/>
        </w:rPr>
      </w:pPr>
      <w:hyperlink w:anchor="_Toc67043670" w:history="1">
        <w:r w:rsidR="00742DB3" w:rsidRPr="003913DA">
          <w:rPr>
            <w:rStyle w:val="Hyperlink"/>
          </w:rPr>
          <w:t>Attachment A – Declaration process</w:t>
        </w:r>
        <w:r w:rsidR="00742DB3">
          <w:rPr>
            <w:webHidden/>
          </w:rPr>
          <w:tab/>
        </w:r>
        <w:r w:rsidR="00742DB3">
          <w:rPr>
            <w:webHidden/>
          </w:rPr>
          <w:fldChar w:fldCharType="begin"/>
        </w:r>
        <w:r w:rsidR="00742DB3">
          <w:rPr>
            <w:webHidden/>
          </w:rPr>
          <w:instrText xml:space="preserve"> PAGEREF _Toc67043670 \h </w:instrText>
        </w:r>
        <w:r w:rsidR="00742DB3">
          <w:rPr>
            <w:webHidden/>
          </w:rPr>
        </w:r>
        <w:r w:rsidR="00742DB3">
          <w:rPr>
            <w:webHidden/>
          </w:rPr>
          <w:fldChar w:fldCharType="separate"/>
        </w:r>
        <w:r w:rsidR="00742DB3">
          <w:rPr>
            <w:webHidden/>
          </w:rPr>
          <w:t>7</w:t>
        </w:r>
        <w:r w:rsidR="00742DB3">
          <w:rPr>
            <w:webHidden/>
          </w:rPr>
          <w:fldChar w:fldCharType="end"/>
        </w:r>
      </w:hyperlink>
    </w:p>
    <w:p w14:paraId="447E1ED2" w14:textId="277F2B60" w:rsidR="00742DB3" w:rsidRDefault="008A2E04">
      <w:pPr>
        <w:pStyle w:val="TOC3"/>
        <w:rPr>
          <w:rFonts w:asciiTheme="minorHAnsi" w:eastAsiaTheme="minorEastAsia" w:hAnsiTheme="minorHAnsi" w:cstheme="minorBidi"/>
          <w:color w:val="auto"/>
          <w:szCs w:val="22"/>
        </w:rPr>
      </w:pPr>
      <w:hyperlink w:anchor="_Toc67043671" w:history="1">
        <w:r w:rsidR="00742DB3" w:rsidRPr="003913DA">
          <w:rPr>
            <w:rStyle w:val="Hyperlink"/>
          </w:rPr>
          <w:t>Outline of the declaration process</w:t>
        </w:r>
        <w:r w:rsidR="00742DB3">
          <w:rPr>
            <w:webHidden/>
          </w:rPr>
          <w:tab/>
        </w:r>
        <w:r w:rsidR="00742DB3">
          <w:rPr>
            <w:webHidden/>
          </w:rPr>
          <w:fldChar w:fldCharType="begin"/>
        </w:r>
        <w:r w:rsidR="00742DB3">
          <w:rPr>
            <w:webHidden/>
          </w:rPr>
          <w:instrText xml:space="preserve"> PAGEREF _Toc67043671 \h </w:instrText>
        </w:r>
        <w:r w:rsidR="00742DB3">
          <w:rPr>
            <w:webHidden/>
          </w:rPr>
        </w:r>
        <w:r w:rsidR="00742DB3">
          <w:rPr>
            <w:webHidden/>
          </w:rPr>
          <w:fldChar w:fldCharType="separate"/>
        </w:r>
        <w:r w:rsidR="00742DB3">
          <w:rPr>
            <w:webHidden/>
          </w:rPr>
          <w:t>7</w:t>
        </w:r>
        <w:r w:rsidR="00742DB3">
          <w:rPr>
            <w:webHidden/>
          </w:rPr>
          <w:fldChar w:fldCharType="end"/>
        </w:r>
      </w:hyperlink>
    </w:p>
    <w:p w14:paraId="3571452B" w14:textId="49794414" w:rsidR="00742DB3" w:rsidRDefault="008A2E04">
      <w:pPr>
        <w:pStyle w:val="TOC3"/>
        <w:rPr>
          <w:rFonts w:asciiTheme="minorHAnsi" w:eastAsiaTheme="minorEastAsia" w:hAnsiTheme="minorHAnsi" w:cstheme="minorBidi"/>
          <w:color w:val="auto"/>
          <w:szCs w:val="22"/>
        </w:rPr>
      </w:pPr>
      <w:hyperlink w:anchor="_Toc67043672" w:history="1"/>
    </w:p>
    <w:p w14:paraId="1B6C1737" w14:textId="32267260"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1CC35BF8" w14:textId="77777777" w:rsidR="000E0B74" w:rsidRDefault="000E0B74" w:rsidP="00354FBB">
      <w:pPr>
        <w:pStyle w:val="Heading1"/>
      </w:pPr>
      <w:bookmarkStart w:id="5" w:name="_Toc65853610"/>
      <w:bookmarkStart w:id="6" w:name="_Toc65855312"/>
      <w:bookmarkStart w:id="7" w:name="_Toc65856062"/>
      <w:bookmarkStart w:id="8" w:name="_Toc67043659"/>
      <w:bookmarkStart w:id="9" w:name="_Toc432067103"/>
      <w:r>
        <w:lastRenderedPageBreak/>
        <w:t>Consultation Process</w:t>
      </w:r>
      <w:bookmarkEnd w:id="5"/>
      <w:bookmarkEnd w:id="6"/>
      <w:bookmarkEnd w:id="7"/>
      <w:bookmarkEnd w:id="8"/>
    </w:p>
    <w:p w14:paraId="0DABFB69" w14:textId="77777777" w:rsidR="000E0B74" w:rsidRDefault="000E0B74" w:rsidP="000E0B74">
      <w:pPr>
        <w:pStyle w:val="Heading2"/>
      </w:pPr>
      <w:bookmarkStart w:id="10" w:name="_Toc65853611"/>
      <w:bookmarkStart w:id="11" w:name="_Toc65855313"/>
      <w:bookmarkStart w:id="12" w:name="_Toc65856063"/>
      <w:bookmarkStart w:id="13" w:name="_Toc67043660"/>
      <w:r>
        <w:t>Request for feedback and comments</w:t>
      </w:r>
      <w:bookmarkEnd w:id="10"/>
      <w:bookmarkEnd w:id="11"/>
      <w:bookmarkEnd w:id="12"/>
      <w:bookmarkEnd w:id="13"/>
    </w:p>
    <w:p w14:paraId="19D8951B" w14:textId="4325FD77" w:rsidR="000E0B74" w:rsidRDefault="003D3F3C" w:rsidP="000E0B74">
      <w:r>
        <w:t xml:space="preserve">Interested parties are invited to comment on the issues raised in this </w:t>
      </w:r>
      <w:r w:rsidR="00DD7A05">
        <w:t>consultation paper.</w:t>
      </w:r>
    </w:p>
    <w:p w14:paraId="23798C9C" w14:textId="14ACB01C" w:rsidR="003D3F3C" w:rsidRDefault="003D3F3C" w:rsidP="000E0B74">
      <w:r>
        <w:t>While submissions may be lodged electronically or by post, electronic lodgement is preferred.</w:t>
      </w:r>
      <w:r w:rsidR="003A37BD">
        <w:t xml:space="preserve"> </w:t>
      </w:r>
    </w:p>
    <w:p w14:paraId="2118BACD" w14:textId="77777777" w:rsidR="003A37BD" w:rsidRDefault="003D3F3C" w:rsidP="000E0B74">
      <w:r>
        <w:t xml:space="preserve">All information (including name and address details) contained in formal submissions </w:t>
      </w:r>
      <w:r w:rsidR="00BF1412">
        <w:t>will</w:t>
      </w:r>
      <w:r>
        <w:t xml:space="preserve"> be made available to the public on the Australian Treasury website, unless you indicate that you would like all or part of your submission to remain </w:t>
      </w:r>
      <w:r w:rsidR="003A37BD">
        <w:t>in confidence</w:t>
      </w:r>
      <w:r>
        <w:t xml:space="preserve">. Automatically generated confidentiality statements in emails do not suffice for this purpose. Respondents who would like part of their submission to remain </w:t>
      </w:r>
      <w:r w:rsidR="003A37BD">
        <w:t>in confidence</w:t>
      </w:r>
      <w:r>
        <w:t xml:space="preserve"> should provide this information marked as such in a separate attachment.</w:t>
      </w:r>
      <w:r w:rsidR="003A37BD">
        <w:t xml:space="preserve"> </w:t>
      </w:r>
    </w:p>
    <w:p w14:paraId="5B7D50E0" w14:textId="0DA57F7E" w:rsidR="003D3F3C" w:rsidRDefault="003D3F3C" w:rsidP="000E0B74">
      <w:r>
        <w:t xml:space="preserve">Legal requirements, such as those imposed by the </w:t>
      </w:r>
      <w:r w:rsidRPr="00226FEE">
        <w:rPr>
          <w:i/>
        </w:rPr>
        <w:t>Freedom of Information Act 1982</w:t>
      </w:r>
      <w:r>
        <w:t>, may affect confidentiality of your submission.</w:t>
      </w:r>
    </w:p>
    <w:p w14:paraId="358F5503" w14:textId="5F6B28BB" w:rsidR="00BF1412" w:rsidRDefault="00BF1412" w:rsidP="000E0B74">
      <w:r>
        <w:t xml:space="preserve">View Treasury’s </w:t>
      </w:r>
      <w:hyperlink r:id="rId23" w:history="1">
        <w:r w:rsidR="00C119D4">
          <w:rPr>
            <w:rStyle w:val="Hyperlink"/>
          </w:rPr>
          <w:t>S</w:t>
        </w:r>
        <w:r w:rsidRPr="00BF1412">
          <w:rPr>
            <w:rStyle w:val="Hyperlink"/>
          </w:rPr>
          <w:t xml:space="preserve">ubmission </w:t>
        </w:r>
        <w:r w:rsidR="00C119D4">
          <w:rPr>
            <w:rStyle w:val="Hyperlink"/>
          </w:rPr>
          <w:t>G</w:t>
        </w:r>
        <w:r w:rsidRPr="00BF1412">
          <w:rPr>
            <w:rStyle w:val="Hyperlink"/>
          </w:rPr>
          <w:t>uidelines</w:t>
        </w:r>
      </w:hyperlink>
      <w:r>
        <w:t xml:space="preserve"> for further information.</w:t>
      </w:r>
    </w:p>
    <w:p w14:paraId="06941CE3" w14:textId="77777777" w:rsidR="003D3F3C" w:rsidRDefault="003D3F3C" w:rsidP="000E0B74"/>
    <w:p w14:paraId="24DCFBDC" w14:textId="1A1113F3" w:rsidR="000E0B74" w:rsidRDefault="000E0B74" w:rsidP="00257AEE">
      <w:pPr>
        <w:pStyle w:val="Heading3noTOC"/>
      </w:pPr>
      <w:r>
        <w:t xml:space="preserve">Closing date for submissions: </w:t>
      </w:r>
      <w:sdt>
        <w:sdtPr>
          <w:rPr>
            <w:rStyle w:val="Heading3Char"/>
          </w:rPr>
          <w:id w:val="1454836312"/>
          <w:placeholder>
            <w:docPart w:val="D20A2E4E7FA54D27A8C51FECFDCEBB29"/>
          </w:placeholder>
          <w:date w:fullDate="2021-04-19T00:00:00Z">
            <w:dateFormat w:val="dd MMMM yyyy"/>
            <w:lid w:val="en-AU"/>
            <w:storeMappedDataAs w:val="dateTime"/>
            <w:calendar w:val="gregorian"/>
          </w:date>
        </w:sdtPr>
        <w:sdtEndPr>
          <w:rPr>
            <w:rStyle w:val="DefaultParagraphFont"/>
            <w:rFonts w:cs="Calibri"/>
          </w:rPr>
        </w:sdtEndPr>
        <w:sdtContent>
          <w:r w:rsidR="00056A72">
            <w:rPr>
              <w:rStyle w:val="Heading3Char"/>
            </w:rPr>
            <w:t>1</w:t>
          </w:r>
          <w:r w:rsidR="00490B5F">
            <w:rPr>
              <w:rStyle w:val="Heading3Char"/>
            </w:rPr>
            <w:t>9</w:t>
          </w:r>
          <w:r w:rsidR="00056A72">
            <w:rPr>
              <w:rStyle w:val="Heading3Char"/>
            </w:rPr>
            <w:t xml:space="preserve"> April 2021</w:t>
          </w:r>
        </w:sdtContent>
      </w:sdt>
    </w:p>
    <w:tbl>
      <w:tblPr>
        <w:tblStyle w:val="TableGrid"/>
        <w:tblW w:w="0" w:type="auto"/>
        <w:tblLook w:val="04A0" w:firstRow="1" w:lastRow="0" w:firstColumn="1" w:lastColumn="0" w:noHBand="0" w:noVBand="1"/>
      </w:tblPr>
      <w:tblGrid>
        <w:gridCol w:w="1515"/>
        <w:gridCol w:w="7555"/>
      </w:tblGrid>
      <w:tr w:rsidR="000E0B74" w:rsidRPr="00B85F47" w14:paraId="2394EFA5" w14:textId="77777777" w:rsidTr="00B85F47">
        <w:tc>
          <w:tcPr>
            <w:tcW w:w="1526" w:type="dxa"/>
            <w:shd w:val="clear" w:color="auto" w:fill="auto"/>
          </w:tcPr>
          <w:p w14:paraId="4CB6F299"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2185C2F5" w14:textId="4F12C858" w:rsidR="000E0B74" w:rsidRPr="00DB2BA4" w:rsidRDefault="00DB2BA4" w:rsidP="00DB2BA4">
            <w:pPr>
              <w:pStyle w:val="SingleParagraph"/>
              <w:spacing w:before="120"/>
              <w:rPr>
                <w:rFonts w:cs="Arial"/>
                <w:sz w:val="22"/>
                <w:szCs w:val="22"/>
              </w:rPr>
            </w:pPr>
            <w:r w:rsidRPr="00DB2BA4">
              <w:rPr>
                <w:rFonts w:cs="Arial"/>
                <w:sz w:val="22"/>
                <w:szCs w:val="22"/>
              </w:rPr>
              <w:t>NARconsultation@treasury.gov.au</w:t>
            </w:r>
          </w:p>
        </w:tc>
      </w:tr>
      <w:tr w:rsidR="000E0B74" w:rsidRPr="00B85F47" w14:paraId="64F4CF70" w14:textId="77777777" w:rsidTr="00B85F47">
        <w:tc>
          <w:tcPr>
            <w:tcW w:w="1526" w:type="dxa"/>
            <w:shd w:val="clear" w:color="auto" w:fill="auto"/>
          </w:tcPr>
          <w:p w14:paraId="23BA6117" w14:textId="77777777" w:rsidR="000E0B74" w:rsidRPr="00B85F47" w:rsidRDefault="000E0B74" w:rsidP="0017089D">
            <w:pPr>
              <w:rPr>
                <w:sz w:val="22"/>
                <w:szCs w:val="22"/>
              </w:rPr>
            </w:pPr>
            <w:r w:rsidRPr="00B85F47">
              <w:rPr>
                <w:sz w:val="22"/>
                <w:szCs w:val="22"/>
              </w:rPr>
              <w:t>Mail</w:t>
            </w:r>
          </w:p>
          <w:p w14:paraId="402B6228" w14:textId="77777777" w:rsidR="008D7F38" w:rsidRPr="00B85F47" w:rsidRDefault="008D7F38" w:rsidP="0017089D">
            <w:pPr>
              <w:rPr>
                <w:sz w:val="22"/>
                <w:szCs w:val="22"/>
              </w:rPr>
            </w:pPr>
          </w:p>
          <w:p w14:paraId="5B617837" w14:textId="77777777" w:rsidR="008D7F38" w:rsidRPr="00B85F47" w:rsidRDefault="008D7F38" w:rsidP="0017089D">
            <w:pPr>
              <w:rPr>
                <w:sz w:val="22"/>
                <w:szCs w:val="22"/>
              </w:rPr>
            </w:pPr>
          </w:p>
        </w:tc>
        <w:tc>
          <w:tcPr>
            <w:tcW w:w="7654" w:type="dxa"/>
            <w:shd w:val="clear" w:color="auto" w:fill="auto"/>
          </w:tcPr>
          <w:p w14:paraId="454DAE19" w14:textId="6C352B72" w:rsidR="000E0B74" w:rsidRPr="008C5334" w:rsidRDefault="00DB2BA4" w:rsidP="00DB2BA4">
            <w:pPr>
              <w:pStyle w:val="SingleParagraph"/>
              <w:spacing w:before="120"/>
              <w:rPr>
                <w:rFonts w:cs="Arial"/>
                <w:sz w:val="22"/>
                <w:szCs w:val="22"/>
              </w:rPr>
            </w:pPr>
            <w:r w:rsidRPr="00DB2BA4">
              <w:rPr>
                <w:rFonts w:cs="Arial"/>
                <w:sz w:val="22"/>
                <w:szCs w:val="22"/>
              </w:rPr>
              <w:t>Competition Unit</w:t>
            </w:r>
          </w:p>
          <w:p w14:paraId="501CBFEF" w14:textId="59DA659B" w:rsidR="000E0B74" w:rsidRPr="008C5334" w:rsidRDefault="008C5334" w:rsidP="0017089D">
            <w:pPr>
              <w:pStyle w:val="SingleParagraph"/>
              <w:rPr>
                <w:rFonts w:cs="Arial"/>
                <w:sz w:val="22"/>
                <w:szCs w:val="22"/>
              </w:rPr>
            </w:pPr>
            <w:r w:rsidRPr="008C5334">
              <w:rPr>
                <w:rFonts w:cs="Arial"/>
                <w:sz w:val="22"/>
                <w:szCs w:val="22"/>
              </w:rPr>
              <w:t>Market Conduct Division</w:t>
            </w:r>
          </w:p>
          <w:p w14:paraId="79FC1F45" w14:textId="77777777" w:rsidR="000E0B74" w:rsidRPr="008C5334" w:rsidRDefault="000E0B74" w:rsidP="0017089D">
            <w:pPr>
              <w:pStyle w:val="SingleParagraph"/>
              <w:rPr>
                <w:rFonts w:cs="Arial"/>
                <w:sz w:val="22"/>
                <w:szCs w:val="22"/>
              </w:rPr>
            </w:pPr>
            <w:r w:rsidRPr="008C5334">
              <w:rPr>
                <w:rFonts w:cs="Arial"/>
                <w:sz w:val="22"/>
                <w:szCs w:val="22"/>
              </w:rPr>
              <w:t>The Treasury</w:t>
            </w:r>
          </w:p>
          <w:p w14:paraId="58488609" w14:textId="77777777" w:rsidR="000E0B74" w:rsidRPr="008C5334" w:rsidRDefault="000E0B74" w:rsidP="0017089D">
            <w:pPr>
              <w:pStyle w:val="SingleParagraph"/>
              <w:rPr>
                <w:rFonts w:cs="Arial"/>
                <w:sz w:val="22"/>
                <w:szCs w:val="22"/>
              </w:rPr>
            </w:pPr>
            <w:r w:rsidRPr="008C5334">
              <w:rPr>
                <w:rFonts w:cs="Arial"/>
                <w:sz w:val="22"/>
                <w:szCs w:val="22"/>
              </w:rPr>
              <w:t>Langton Crescent</w:t>
            </w:r>
          </w:p>
          <w:p w14:paraId="714AFDBA" w14:textId="77777777" w:rsidR="000E0B74" w:rsidRPr="00DB2BA4" w:rsidRDefault="000E0B74" w:rsidP="0017089D">
            <w:pPr>
              <w:pStyle w:val="SingleParagraph"/>
              <w:rPr>
                <w:rFonts w:cs="Arial"/>
                <w:sz w:val="22"/>
                <w:szCs w:val="22"/>
              </w:rPr>
            </w:pPr>
            <w:r w:rsidRPr="00DB2BA4">
              <w:rPr>
                <w:rFonts w:cs="Arial"/>
                <w:sz w:val="22"/>
                <w:szCs w:val="22"/>
              </w:rPr>
              <w:t>PARKES ACT 2600</w:t>
            </w:r>
          </w:p>
        </w:tc>
      </w:tr>
      <w:tr w:rsidR="000E0B74" w:rsidRPr="00B85F47" w14:paraId="7489B983" w14:textId="77777777" w:rsidTr="00B85F47">
        <w:tc>
          <w:tcPr>
            <w:tcW w:w="1526" w:type="dxa"/>
            <w:shd w:val="clear" w:color="auto" w:fill="auto"/>
          </w:tcPr>
          <w:p w14:paraId="1EC6FA18"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52752E9A" w14:textId="4B38C744" w:rsidR="000E0B74" w:rsidRPr="00B85F47" w:rsidRDefault="000E0B74" w:rsidP="00226FEE">
            <w:pPr>
              <w:rPr>
                <w:sz w:val="22"/>
                <w:szCs w:val="22"/>
              </w:rPr>
            </w:pPr>
            <w:r w:rsidRPr="00B85F47">
              <w:rPr>
                <w:rFonts w:cs="Arial"/>
                <w:sz w:val="22"/>
                <w:szCs w:val="22"/>
              </w:rPr>
              <w:t xml:space="preserve">Enquiries </w:t>
            </w:r>
            <w:r w:rsidR="00226FEE">
              <w:rPr>
                <w:rFonts w:cs="Arial"/>
                <w:sz w:val="22"/>
                <w:szCs w:val="22"/>
              </w:rPr>
              <w:t xml:space="preserve">should be </w:t>
            </w:r>
            <w:r w:rsidRPr="00B85F47">
              <w:rPr>
                <w:rFonts w:cs="Arial"/>
                <w:sz w:val="22"/>
                <w:szCs w:val="22"/>
              </w:rPr>
              <w:t>directed to</w:t>
            </w:r>
            <w:r w:rsidR="00DD7A05">
              <w:rPr>
                <w:rFonts w:cs="Arial"/>
                <w:sz w:val="22"/>
                <w:szCs w:val="22"/>
              </w:rPr>
              <w:t xml:space="preserve"> NARconsultation@treasury.gov.au</w:t>
            </w:r>
          </w:p>
        </w:tc>
      </w:tr>
      <w:tr w:rsidR="000E0B74" w:rsidRPr="00B85F47" w14:paraId="4BF05154" w14:textId="77777777" w:rsidTr="00B85F47">
        <w:tc>
          <w:tcPr>
            <w:tcW w:w="1526" w:type="dxa"/>
            <w:shd w:val="clear" w:color="auto" w:fill="auto"/>
          </w:tcPr>
          <w:p w14:paraId="629EC22F" w14:textId="6055A7CA" w:rsidR="000E0B74" w:rsidRPr="00B85F47" w:rsidRDefault="000E0B74" w:rsidP="0017089D">
            <w:pPr>
              <w:rPr>
                <w:sz w:val="22"/>
                <w:szCs w:val="22"/>
              </w:rPr>
            </w:pPr>
          </w:p>
        </w:tc>
        <w:tc>
          <w:tcPr>
            <w:tcW w:w="7654" w:type="dxa"/>
            <w:shd w:val="clear" w:color="auto" w:fill="auto"/>
          </w:tcPr>
          <w:p w14:paraId="7F8C7EFB" w14:textId="22099D43" w:rsidR="000E0B74" w:rsidRPr="00B85F47" w:rsidRDefault="000E0B74" w:rsidP="0017089D">
            <w:pPr>
              <w:rPr>
                <w:sz w:val="22"/>
                <w:szCs w:val="22"/>
              </w:rPr>
            </w:pPr>
          </w:p>
        </w:tc>
      </w:tr>
    </w:tbl>
    <w:bookmarkEnd w:id="9"/>
    <w:p w14:paraId="348BBCB2" w14:textId="77777777" w:rsidR="00A16E03" w:rsidRDefault="00A16E03" w:rsidP="00A16E03">
      <w:r>
        <w:t>The principles outlined in this paper have not received Government approval and are not yet law. As a consequence, this paper is merely a guide as to how the principles might operate.</w:t>
      </w:r>
    </w:p>
    <w:p w14:paraId="6FD2D772" w14:textId="77777777" w:rsidR="008D7F38" w:rsidRPr="008D7F38" w:rsidRDefault="008D7F38" w:rsidP="008D7F38"/>
    <w:p w14:paraId="06A02801" w14:textId="77777777" w:rsidR="00E10D39" w:rsidRDefault="00E10D39">
      <w:pPr>
        <w:spacing w:before="0" w:after="160" w:line="259" w:lineRule="auto"/>
        <w:rPr>
          <w:rFonts w:cs="Arial"/>
          <w:color w:val="004A7F"/>
          <w:kern w:val="32"/>
          <w:sz w:val="48"/>
          <w:szCs w:val="36"/>
        </w:rPr>
      </w:pPr>
      <w:r>
        <w:br w:type="page"/>
      </w:r>
    </w:p>
    <w:p w14:paraId="492B5DF1" w14:textId="2A2A60B9" w:rsidR="000E0B74" w:rsidRDefault="008C5334" w:rsidP="00354FBB">
      <w:pPr>
        <w:pStyle w:val="Heading1"/>
      </w:pPr>
      <w:bookmarkStart w:id="14" w:name="_Toc65853612"/>
      <w:bookmarkStart w:id="15" w:name="_Toc65855314"/>
      <w:bookmarkStart w:id="16" w:name="_Toc65856064"/>
      <w:bookmarkStart w:id="17" w:name="_Toc67043661"/>
      <w:r>
        <w:lastRenderedPageBreak/>
        <w:t>Timeliness of processes under the National Access Regime</w:t>
      </w:r>
      <w:bookmarkEnd w:id="14"/>
      <w:bookmarkEnd w:id="15"/>
      <w:bookmarkEnd w:id="16"/>
      <w:bookmarkEnd w:id="17"/>
    </w:p>
    <w:p w14:paraId="1FBFCD81" w14:textId="1B042EFE" w:rsidR="000E0B74" w:rsidRDefault="000E0B74" w:rsidP="000E0B74">
      <w:pPr>
        <w:pStyle w:val="Heading2"/>
      </w:pPr>
      <w:bookmarkStart w:id="18" w:name="_Toc65853613"/>
      <w:bookmarkStart w:id="19" w:name="_Toc65855315"/>
      <w:bookmarkStart w:id="20" w:name="_Toc65856065"/>
      <w:bookmarkStart w:id="21" w:name="_Toc67043662"/>
      <w:bookmarkStart w:id="22" w:name="_Toc306887371"/>
      <w:bookmarkStart w:id="23" w:name="_Toc432064635"/>
      <w:r>
        <w:t>Introduction</w:t>
      </w:r>
      <w:bookmarkEnd w:id="18"/>
      <w:bookmarkEnd w:id="19"/>
      <w:bookmarkEnd w:id="20"/>
      <w:bookmarkEnd w:id="21"/>
      <w:r w:rsidR="006B36CF">
        <w:t xml:space="preserve"> </w:t>
      </w:r>
      <w:bookmarkEnd w:id="22"/>
      <w:bookmarkEnd w:id="23"/>
    </w:p>
    <w:p w14:paraId="0EC4486F" w14:textId="2DCDC9C5" w:rsidR="007A02E6" w:rsidRDefault="007A02E6" w:rsidP="008E38A9">
      <w:r>
        <w:t xml:space="preserve">The National Access Regime exists to promote the economically efficient operation </w:t>
      </w:r>
      <w:r w:rsidR="00742DB3">
        <w:t xml:space="preserve">of </w:t>
      </w:r>
      <w:r>
        <w:t>and investment in infrastructure.</w:t>
      </w:r>
    </w:p>
    <w:p w14:paraId="040D4828" w14:textId="7AE043BD" w:rsidR="005576FC" w:rsidRDefault="005576FC" w:rsidP="00F1579D">
      <w:r>
        <w:t>Prominent examples of lengthy processes under the National Access Regime (NAR) include th</w:t>
      </w:r>
      <w:r w:rsidR="0033467E">
        <w:t xml:space="preserve">ose relating to </w:t>
      </w:r>
      <w:r w:rsidR="00F1579D">
        <w:t>a number of</w:t>
      </w:r>
      <w:r w:rsidR="0033467E">
        <w:t xml:space="preserve"> </w:t>
      </w:r>
      <w:r>
        <w:t>Pilbara railways</w:t>
      </w:r>
      <w:r w:rsidR="009F6090">
        <w:t>, Sydney Airport</w:t>
      </w:r>
      <w:r>
        <w:t xml:space="preserve"> and the Port of Newcastle.</w:t>
      </w:r>
    </w:p>
    <w:p w14:paraId="70EF5367" w14:textId="09A3E39F" w:rsidR="005576FC" w:rsidRDefault="005576FC" w:rsidP="005576FC">
      <w:r>
        <w:t>Unnecessarily prolonged processes, or a lack of timeliness in regulatory decision making, may increase regulatory uncertainty and diminish or delay business investment. It may also impose a range of costs, both directly on parties involved, and on government in administering the regime.</w:t>
      </w:r>
    </w:p>
    <w:p w14:paraId="0848A3BA" w14:textId="0A8D2A91" w:rsidR="00400783" w:rsidRDefault="00400783" w:rsidP="005576FC">
      <w:r>
        <w:t xml:space="preserve">This consultation paper seeks views on </w:t>
      </w:r>
      <w:r w:rsidR="00FF7B3C">
        <w:t xml:space="preserve">potential </w:t>
      </w:r>
      <w:r>
        <w:t>options to streamline and add greater certainty to decisions under the NAR, including:</w:t>
      </w:r>
    </w:p>
    <w:p w14:paraId="1EB624D1" w14:textId="5445A059" w:rsidR="00400783" w:rsidRDefault="00FF7B3C" w:rsidP="00FF7B3C">
      <w:pPr>
        <w:pStyle w:val="Bullet"/>
      </w:pPr>
      <w:r>
        <w:t>r</w:t>
      </w:r>
      <w:r w:rsidR="00400783">
        <w:t>eform</w:t>
      </w:r>
      <w:r>
        <w:t>s to the</w:t>
      </w:r>
      <w:r w:rsidR="00400783">
        <w:t xml:space="preserve"> </w:t>
      </w:r>
      <w:r>
        <w:t xml:space="preserve">timeframe for, or availability of, </w:t>
      </w:r>
      <w:r w:rsidR="00400783">
        <w:t>merits review</w:t>
      </w:r>
      <w:r w:rsidR="00547EAB">
        <w:t xml:space="preserve"> </w:t>
      </w:r>
      <w:r>
        <w:t xml:space="preserve">of Ministerial decisions on </w:t>
      </w:r>
      <w:r w:rsidR="00547EAB">
        <w:t xml:space="preserve">declaration </w:t>
      </w:r>
      <w:r>
        <w:t xml:space="preserve">or ACCC decisions on </w:t>
      </w:r>
      <w:r w:rsidR="00547EAB">
        <w:t>arbitration</w:t>
      </w:r>
      <w:r w:rsidR="002737DE">
        <w:t>;</w:t>
      </w:r>
      <w:r>
        <w:t xml:space="preserve"> </w:t>
      </w:r>
    </w:p>
    <w:p w14:paraId="4CF767CD" w14:textId="0E2556FE" w:rsidR="00547EAB" w:rsidRDefault="00547EAB" w:rsidP="00FF7B3C">
      <w:pPr>
        <w:pStyle w:val="Bullet"/>
      </w:pPr>
      <w:r>
        <w:t>the scope for parties to lodge repeat applications for declaration or revocation</w:t>
      </w:r>
      <w:r w:rsidR="002737DE">
        <w:t>;</w:t>
      </w:r>
      <w:r>
        <w:t xml:space="preserve"> and</w:t>
      </w:r>
    </w:p>
    <w:p w14:paraId="0B7BD7FE" w14:textId="6AE9E819" w:rsidR="00547EAB" w:rsidRDefault="00547EAB" w:rsidP="00FF7B3C">
      <w:pPr>
        <w:pStyle w:val="Bullet"/>
      </w:pPr>
      <w:r>
        <w:t>whether arbitration proceedings and determinations should cease if declaration is revoked.</w:t>
      </w:r>
    </w:p>
    <w:p w14:paraId="13BE34A5" w14:textId="612C1227" w:rsidR="007A02E6" w:rsidRPr="009F1CDA" w:rsidRDefault="009F1CDA" w:rsidP="00AE1367">
      <w:pPr>
        <w:pStyle w:val="Heading3"/>
      </w:pPr>
      <w:bookmarkStart w:id="24" w:name="_Toc67043663"/>
      <w:r w:rsidRPr="009F1CDA">
        <w:t>National Access Regime</w:t>
      </w:r>
      <w:bookmarkEnd w:id="24"/>
    </w:p>
    <w:p w14:paraId="554F36F9" w14:textId="629B46B1" w:rsidR="00B94B2D" w:rsidRDefault="00764124" w:rsidP="00E10D39">
      <w:r>
        <w:t xml:space="preserve">Part IIIA of the </w:t>
      </w:r>
      <w:r w:rsidRPr="00B94B2D">
        <w:rPr>
          <w:i/>
        </w:rPr>
        <w:t>Competition and Consumer Act 2010</w:t>
      </w:r>
      <w:r>
        <w:t xml:space="preserve"> (Cth) </w:t>
      </w:r>
      <w:r w:rsidR="00C61E82">
        <w:t xml:space="preserve">(the CCA) </w:t>
      </w:r>
      <w:r>
        <w:t xml:space="preserve">establishes the </w:t>
      </w:r>
      <w:r w:rsidR="00901860">
        <w:t>NAR</w:t>
      </w:r>
      <w:r w:rsidR="006B36CF">
        <w:t xml:space="preserve"> </w:t>
      </w:r>
      <w:r>
        <w:t>to facilitate third party access to services</w:t>
      </w:r>
      <w:r w:rsidR="00B31809">
        <w:t xml:space="preserve"> provided by means of infrastructure facilities</w:t>
      </w:r>
      <w:r w:rsidR="00EF5ECD">
        <w:t xml:space="preserve"> </w:t>
      </w:r>
      <w:r w:rsidR="00A32874">
        <w:t xml:space="preserve">which </w:t>
      </w:r>
      <w:r>
        <w:t xml:space="preserve">meet </w:t>
      </w:r>
      <w:r w:rsidR="00B31809">
        <w:t>certain</w:t>
      </w:r>
      <w:r w:rsidR="00E42465">
        <w:t xml:space="preserve"> legislative</w:t>
      </w:r>
      <w:r w:rsidR="00B31809">
        <w:t xml:space="preserve"> </w:t>
      </w:r>
      <w:r>
        <w:t xml:space="preserve">criteria. </w:t>
      </w:r>
    </w:p>
    <w:p w14:paraId="1BBB0E19" w14:textId="2CE73AA6" w:rsidR="002A0069" w:rsidRDefault="00F9155F" w:rsidP="00056569">
      <w:r>
        <w:t>Among other things, t</w:t>
      </w:r>
      <w:r w:rsidR="004C0DA8">
        <w:t xml:space="preserve">he NAR </w:t>
      </w:r>
      <w:r w:rsidR="00056569">
        <w:t>enable</w:t>
      </w:r>
      <w:r>
        <w:t>s</w:t>
      </w:r>
      <w:r w:rsidR="004C0DA8">
        <w:t>:</w:t>
      </w:r>
    </w:p>
    <w:p w14:paraId="6ADD468A" w14:textId="15D2DCD9" w:rsidR="00F9155F" w:rsidRDefault="00B34FAB" w:rsidP="00AE1367">
      <w:pPr>
        <w:pStyle w:val="ListParagraph"/>
        <w:numPr>
          <w:ilvl w:val="0"/>
          <w:numId w:val="27"/>
        </w:numPr>
        <w:ind w:left="357" w:hanging="357"/>
        <w:contextualSpacing w:val="0"/>
      </w:pPr>
      <w:r>
        <w:t>t</w:t>
      </w:r>
      <w:r w:rsidR="00056569">
        <w:t>he designat</w:t>
      </w:r>
      <w:r>
        <w:t>ed</w:t>
      </w:r>
      <w:r w:rsidR="00056569">
        <w:t xml:space="preserve"> Minister to ‘declare’ infrastructure services</w:t>
      </w:r>
      <w:r w:rsidR="00F9155F">
        <w:t>, and to revoke declarations,</w:t>
      </w:r>
      <w:r>
        <w:t xml:space="preserve"> following a recommendation by the National Competition Council</w:t>
      </w:r>
      <w:r w:rsidR="00F9155F">
        <w:t xml:space="preserve"> (NCC)</w:t>
      </w:r>
      <w:r w:rsidR="002B1B92">
        <w:t xml:space="preserve">, </w:t>
      </w:r>
      <w:r w:rsidR="004C3DD2">
        <w:t>(Division 2)</w:t>
      </w:r>
      <w:r w:rsidR="00056569">
        <w:t>;</w:t>
      </w:r>
      <w:r w:rsidR="00F9155F">
        <w:t xml:space="preserve"> </w:t>
      </w:r>
    </w:p>
    <w:p w14:paraId="5079CCD1" w14:textId="1BCDC276" w:rsidR="00B34FAB" w:rsidRDefault="00F9155F" w:rsidP="00AE1367">
      <w:pPr>
        <w:pStyle w:val="ListParagraph"/>
        <w:numPr>
          <w:ilvl w:val="0"/>
          <w:numId w:val="27"/>
        </w:numPr>
        <w:ind w:left="357" w:hanging="357"/>
        <w:contextualSpacing w:val="0"/>
      </w:pPr>
      <w:r>
        <w:t>a</w:t>
      </w:r>
      <w:r w:rsidR="004C3DD2">
        <w:t>ccess</w:t>
      </w:r>
      <w:r>
        <w:t xml:space="preserve"> by infrastructure users</w:t>
      </w:r>
      <w:r w:rsidR="004C3DD2">
        <w:t xml:space="preserve"> to declared services (Division 3)</w:t>
      </w:r>
      <w:r w:rsidR="002B1B92">
        <w:t>;</w:t>
      </w:r>
    </w:p>
    <w:p w14:paraId="1910573D" w14:textId="0AAFA952" w:rsidR="002B1B92" w:rsidRDefault="002B1B92" w:rsidP="00AE1367">
      <w:pPr>
        <w:pStyle w:val="ListParagraph"/>
        <w:numPr>
          <w:ilvl w:val="1"/>
          <w:numId w:val="27"/>
        </w:numPr>
        <w:ind w:left="717"/>
        <w:contextualSpacing w:val="0"/>
      </w:pPr>
      <w:r>
        <w:t xml:space="preserve">if a service is declared and an </w:t>
      </w:r>
      <w:r w:rsidR="00AA48BD">
        <w:t xml:space="preserve">infrastructure </w:t>
      </w:r>
      <w:r w:rsidR="00CF2281">
        <w:t xml:space="preserve">user </w:t>
      </w:r>
      <w:r>
        <w:t xml:space="preserve">is unable to agree terms of access with the </w:t>
      </w:r>
      <w:r w:rsidR="00CF2281">
        <w:t>infrastructure owner</w:t>
      </w:r>
      <w:r w:rsidR="00DE39E2">
        <w:t>/operator</w:t>
      </w:r>
      <w:r>
        <w:t>, they can request that the Australian Competition and Consumer Commission (ACCC) arbitrate the dispute.</w:t>
      </w:r>
    </w:p>
    <w:p w14:paraId="1787C9A7" w14:textId="6F087063" w:rsidR="00D132C6" w:rsidRDefault="008D5B8C" w:rsidP="002D2F35">
      <w:r>
        <w:t>Declaration and arbitration decisions</w:t>
      </w:r>
      <w:r w:rsidR="008C6E6F">
        <w:t>, and decisions not to revoke declaration</w:t>
      </w:r>
      <w:r w:rsidR="002A06F0">
        <w:t>,</w:t>
      </w:r>
      <w:r w:rsidR="001557B2">
        <w:t xml:space="preserve"> </w:t>
      </w:r>
      <w:r w:rsidR="00B6563C">
        <w:t xml:space="preserve">may be </w:t>
      </w:r>
      <w:r>
        <w:t xml:space="preserve">subject to merits review by </w:t>
      </w:r>
      <w:r w:rsidR="00D132C6">
        <w:t xml:space="preserve">the </w:t>
      </w:r>
      <w:r>
        <w:t xml:space="preserve">Australian Competition </w:t>
      </w:r>
      <w:r w:rsidR="00D132C6">
        <w:t>Tribunal</w:t>
      </w:r>
      <w:r w:rsidR="009F6090">
        <w:t xml:space="preserve"> (Tribunal)</w:t>
      </w:r>
      <w:r w:rsidR="001557B2">
        <w:t xml:space="preserve">. </w:t>
      </w:r>
      <w:r w:rsidR="002E3A4C">
        <w:t xml:space="preserve">A party may </w:t>
      </w:r>
      <w:r w:rsidR="002D15F3">
        <w:t xml:space="preserve">also </w:t>
      </w:r>
      <w:r w:rsidR="002E3A4C">
        <w:t xml:space="preserve">seek </w:t>
      </w:r>
      <w:r w:rsidR="001557B2">
        <w:t>judicial review by the Federal Court</w:t>
      </w:r>
      <w:r w:rsidR="002E3A4C">
        <w:t xml:space="preserve"> of decisions made under the NAR</w:t>
      </w:r>
      <w:r w:rsidR="00D132C6">
        <w:t xml:space="preserve">. </w:t>
      </w:r>
    </w:p>
    <w:p w14:paraId="703EE45B" w14:textId="0A41398A" w:rsidR="002E1C16" w:rsidRDefault="002E1C16" w:rsidP="002D2F35">
      <w:r>
        <w:t xml:space="preserve">Designated Ministers must make decisions on recommendations of the NCC within 60 days of receipt </w:t>
      </w:r>
      <w:r w:rsidR="0079643E">
        <w:t xml:space="preserve">or else they are </w:t>
      </w:r>
      <w:r>
        <w:t>deemed to have decided in accordance with the NCC’s recommendation.</w:t>
      </w:r>
    </w:p>
    <w:p w14:paraId="4CD1466C" w14:textId="5AE17D15" w:rsidR="002E1C16" w:rsidRPr="00AC6C90" w:rsidRDefault="00950D10" w:rsidP="002D2F35">
      <w:r>
        <w:t xml:space="preserve">The </w:t>
      </w:r>
      <w:r w:rsidR="002E1C16">
        <w:t xml:space="preserve">NCC, ACCC and Tribunal are generally required to make decisions or recommendations within a specified period, generally 180 days, unless extended by ‘clockstoppers’. </w:t>
      </w:r>
      <w:r w:rsidR="00A424B4">
        <w:t xml:space="preserve">If the NCC or Tribunal are unable to </w:t>
      </w:r>
      <w:r w:rsidR="00E43734">
        <w:t>make a decision within the relevant</w:t>
      </w:r>
      <w:r w:rsidR="00A424B4">
        <w:t xml:space="preserve"> period, they are able extend the period </w:t>
      </w:r>
      <w:r w:rsidR="00E43734">
        <w:t xml:space="preserve">by notice to the Minister, </w:t>
      </w:r>
      <w:r w:rsidR="00A424B4">
        <w:t xml:space="preserve">and </w:t>
      </w:r>
      <w:r w:rsidR="00E43734">
        <w:t>must</w:t>
      </w:r>
      <w:r w:rsidR="00D95E22">
        <w:t xml:space="preserve"> publish </w:t>
      </w:r>
      <w:r w:rsidR="00A424B4">
        <w:t xml:space="preserve">notice of </w:t>
      </w:r>
      <w:r w:rsidR="00D95E22">
        <w:t xml:space="preserve">having done </w:t>
      </w:r>
      <w:r w:rsidR="00A424B4">
        <w:t xml:space="preserve">so. </w:t>
      </w:r>
      <w:r w:rsidR="002E1C16">
        <w:t>If the ACCC does not make an arbitration determination within th</w:t>
      </w:r>
      <w:r w:rsidR="00327922">
        <w:t>e relevant</w:t>
      </w:r>
      <w:r w:rsidR="002E1C16">
        <w:t xml:space="preserve"> period, it is deemed to have preserved the status quo between the parties. </w:t>
      </w:r>
    </w:p>
    <w:p w14:paraId="6FEE13DF" w14:textId="4E8640BD" w:rsidR="007D1CD6" w:rsidRPr="00382A83" w:rsidRDefault="007D1CD6" w:rsidP="00612677">
      <w:pPr>
        <w:pStyle w:val="Heading2"/>
      </w:pPr>
      <w:bookmarkStart w:id="25" w:name="_Toc67043664"/>
      <w:r w:rsidRPr="00382A83">
        <w:lastRenderedPageBreak/>
        <w:t>Consultation Objectives</w:t>
      </w:r>
      <w:bookmarkEnd w:id="25"/>
      <w:r w:rsidRPr="00382A83">
        <w:t xml:space="preserve"> </w:t>
      </w:r>
    </w:p>
    <w:p w14:paraId="74F3EF1B" w14:textId="1974BB2A" w:rsidR="00F47F83" w:rsidRDefault="005D4E67" w:rsidP="00F47F83">
      <w:r>
        <w:t xml:space="preserve">Consultation with interested parties will assist the </w:t>
      </w:r>
      <w:r w:rsidR="00F1579D">
        <w:t>G</w:t>
      </w:r>
      <w:r>
        <w:t>overnment to</w:t>
      </w:r>
      <w:r w:rsidR="00052B84">
        <w:t>:</w:t>
      </w:r>
    </w:p>
    <w:p w14:paraId="414E9479" w14:textId="743C62A9" w:rsidR="00F47F83" w:rsidRDefault="00F47F83" w:rsidP="00612677">
      <w:pPr>
        <w:pStyle w:val="ListParagraph"/>
        <w:numPr>
          <w:ilvl w:val="0"/>
          <w:numId w:val="31"/>
        </w:numPr>
        <w:ind w:left="426" w:hanging="426"/>
      </w:pPr>
      <w:r>
        <w:t xml:space="preserve">determine whether the </w:t>
      </w:r>
      <w:r w:rsidR="009F6090">
        <w:t xml:space="preserve">length of time </w:t>
      </w:r>
      <w:r>
        <w:t>processes under the NAR can take is appropriate and consistent with the NAR’s efficiency objective, and</w:t>
      </w:r>
    </w:p>
    <w:p w14:paraId="1302859C" w14:textId="7F65F824" w:rsidR="00F1579D" w:rsidRDefault="00F47F83" w:rsidP="00612677">
      <w:pPr>
        <w:pStyle w:val="ListParagraph"/>
        <w:numPr>
          <w:ilvl w:val="0"/>
          <w:numId w:val="31"/>
        </w:numPr>
        <w:ind w:left="426" w:hanging="426"/>
      </w:pPr>
      <w:r>
        <w:t>i</w:t>
      </w:r>
      <w:r w:rsidR="005D4E67" w:rsidRPr="004568A7">
        <w:t xml:space="preserve">dentify </w:t>
      </w:r>
      <w:r w:rsidR="00DA7CE6">
        <w:t xml:space="preserve">potential </w:t>
      </w:r>
      <w:r w:rsidR="00B5623F">
        <w:t>reform options</w:t>
      </w:r>
      <w:r w:rsidR="005D4E67" w:rsidRPr="004568A7">
        <w:t xml:space="preserve"> </w:t>
      </w:r>
      <w:r w:rsidR="00D17B22">
        <w:t xml:space="preserve">for </w:t>
      </w:r>
      <w:r w:rsidR="005D4E67" w:rsidRPr="004568A7">
        <w:t>improv</w:t>
      </w:r>
      <w:r w:rsidR="00D17B22">
        <w:t>ing</w:t>
      </w:r>
      <w:r w:rsidR="005D4E67" w:rsidRPr="004568A7" w:rsidDel="003E1B90">
        <w:t xml:space="preserve"> </w:t>
      </w:r>
      <w:r w:rsidR="005D4E67" w:rsidRPr="004568A7">
        <w:t xml:space="preserve">the </w:t>
      </w:r>
      <w:r w:rsidR="00F1579D">
        <w:t xml:space="preserve">timeliness </w:t>
      </w:r>
      <w:r w:rsidR="0053514E">
        <w:t xml:space="preserve">of </w:t>
      </w:r>
      <w:r w:rsidR="00683F8E">
        <w:t xml:space="preserve">declaration and arbitration processes under </w:t>
      </w:r>
      <w:r w:rsidR="0069745B">
        <w:t>Division</w:t>
      </w:r>
      <w:r w:rsidR="009F6090">
        <w:t>s</w:t>
      </w:r>
      <w:r w:rsidR="0069745B">
        <w:t xml:space="preserve"> 2 and 3 of </w:t>
      </w:r>
      <w:r w:rsidR="0053514E">
        <w:t>the NAR</w:t>
      </w:r>
      <w:r w:rsidR="00F1579D">
        <w:t>.</w:t>
      </w:r>
    </w:p>
    <w:p w14:paraId="4013EC4F" w14:textId="74C8147C" w:rsidR="00F1579D" w:rsidRDefault="00F1579D" w:rsidP="00382A83">
      <w:r>
        <w:t xml:space="preserve">This examination </w:t>
      </w:r>
      <w:r w:rsidR="00651AFA">
        <w:t xml:space="preserve">is limited to NAR processes and </w:t>
      </w:r>
      <w:r>
        <w:t>does not extend to</w:t>
      </w:r>
      <w:r w:rsidR="00E71238">
        <w:t xml:space="preserve"> the </w:t>
      </w:r>
      <w:r w:rsidR="00651AFA">
        <w:t>substance of how</w:t>
      </w:r>
      <w:r w:rsidR="00E71238">
        <w:t xml:space="preserve"> decisions </w:t>
      </w:r>
      <w:r w:rsidR="00651AFA">
        <w:t xml:space="preserve">are </w:t>
      </w:r>
      <w:r w:rsidR="00E71238">
        <w:t>taken under the NAR</w:t>
      </w:r>
      <w:r w:rsidR="00651AFA">
        <w:t>, including</w:t>
      </w:r>
      <w:r>
        <w:t>:</w:t>
      </w:r>
    </w:p>
    <w:p w14:paraId="08B5F5BD" w14:textId="527197D1" w:rsidR="00F1579D" w:rsidRDefault="00F1579D" w:rsidP="00D95E22">
      <w:pPr>
        <w:pStyle w:val="ListParagraph"/>
        <w:numPr>
          <w:ilvl w:val="0"/>
          <w:numId w:val="27"/>
        </w:numPr>
        <w:ind w:left="357" w:hanging="357"/>
        <w:contextualSpacing w:val="0"/>
      </w:pPr>
      <w:r>
        <w:t>the declaration criteria in section 44CA, which were reformed in 2017 to ensure they were consistent with the intent of the NAR;</w:t>
      </w:r>
      <w:r w:rsidR="00651AFA">
        <w:t xml:space="preserve"> and</w:t>
      </w:r>
    </w:p>
    <w:p w14:paraId="5505202E" w14:textId="77777777" w:rsidR="00D17B22" w:rsidRDefault="00E71238" w:rsidP="00D95E22">
      <w:pPr>
        <w:pStyle w:val="ListParagraph"/>
        <w:numPr>
          <w:ilvl w:val="0"/>
          <w:numId w:val="27"/>
        </w:numPr>
        <w:spacing w:after="240"/>
        <w:ind w:left="357" w:hanging="357"/>
        <w:contextualSpacing w:val="0"/>
      </w:pPr>
      <w:r>
        <w:t xml:space="preserve">the </w:t>
      </w:r>
      <w:r w:rsidR="00651AFA">
        <w:t xml:space="preserve">factors and </w:t>
      </w:r>
      <w:r>
        <w:t>principles underpinning how arbitration</w:t>
      </w:r>
      <w:r w:rsidR="00651AFA">
        <w:t xml:space="preserve"> determinations are made</w:t>
      </w:r>
      <w:r>
        <w:t xml:space="preserve">. </w:t>
      </w:r>
    </w:p>
    <w:p w14:paraId="4DD8AA61" w14:textId="11788CE3" w:rsidR="005D4E67" w:rsidRPr="004568A7" w:rsidRDefault="00A41FA0" w:rsidP="00D95E22">
      <w:pPr>
        <w:spacing w:before="0" w:after="160" w:line="259" w:lineRule="auto"/>
      </w:pPr>
      <w:r>
        <w:t xml:space="preserve">The examination </w:t>
      </w:r>
      <w:r w:rsidR="00BC7C5D">
        <w:t xml:space="preserve">only </w:t>
      </w:r>
      <w:r>
        <w:t>extend</w:t>
      </w:r>
      <w:r w:rsidR="00BC7C5D">
        <w:t>s</w:t>
      </w:r>
      <w:r>
        <w:t xml:space="preserve"> to Divisions 1 (Definitions) and 8 (Miscellaneous)</w:t>
      </w:r>
      <w:r w:rsidR="009F6090">
        <w:t xml:space="preserve"> of Pa</w:t>
      </w:r>
      <w:r w:rsidR="00E11DA8">
        <w:t>rt IIIA of the CCA</w:t>
      </w:r>
      <w:r>
        <w:t xml:space="preserve"> </w:t>
      </w:r>
      <w:r w:rsidR="00DA64EE">
        <w:t xml:space="preserve">to the extent they are </w:t>
      </w:r>
      <w:r>
        <w:t>relevant to Division</w:t>
      </w:r>
      <w:r w:rsidR="00C06F32">
        <w:t>s</w:t>
      </w:r>
      <w:r>
        <w:t xml:space="preserve"> 2 and 3. It does not extend to Divisions 2AA, 2A, 2B, 2C, 4, 5, 6, 6A, 6B and 7.</w:t>
      </w:r>
    </w:p>
    <w:p w14:paraId="7B5BAC28" w14:textId="77777777" w:rsidR="00602161" w:rsidRDefault="00602161" w:rsidP="00612677">
      <w:pPr>
        <w:pStyle w:val="Heading2"/>
      </w:pPr>
      <w:bookmarkStart w:id="26" w:name="_Toc67043665"/>
      <w:bookmarkStart w:id="27" w:name="_Toc306887372"/>
      <w:bookmarkStart w:id="28" w:name="_Toc432064636"/>
      <w:bookmarkStart w:id="29" w:name="_Toc65853624"/>
      <w:bookmarkStart w:id="30" w:name="_Toc65855321"/>
      <w:bookmarkStart w:id="31" w:name="_Toc65856073"/>
      <w:r>
        <w:t xml:space="preserve">Timeliness of </w:t>
      </w:r>
      <w:r w:rsidRPr="00804407">
        <w:t>declaration process</w:t>
      </w:r>
      <w:r>
        <w:t>es</w:t>
      </w:r>
      <w:bookmarkEnd w:id="26"/>
      <w:r w:rsidRPr="00804407">
        <w:t xml:space="preserve"> </w:t>
      </w:r>
      <w:r>
        <w:t xml:space="preserve"> </w:t>
      </w:r>
    </w:p>
    <w:p w14:paraId="06E877F7" w14:textId="77777777" w:rsidR="00602161" w:rsidRDefault="00602161" w:rsidP="00602161">
      <w:pPr>
        <w:pStyle w:val="NormalWeb"/>
        <w:spacing w:before="0" w:beforeAutospacing="0" w:after="120" w:afterAutospacing="0"/>
        <w:rPr>
          <w:rFonts w:ascii="Calibri" w:hAnsi="Calibri" w:cs="Calibri"/>
          <w:sz w:val="22"/>
          <w:szCs w:val="22"/>
        </w:rPr>
      </w:pPr>
      <w:r>
        <w:rPr>
          <w:rFonts w:ascii="Calibri" w:hAnsi="Calibri" w:cs="Calibri"/>
          <w:sz w:val="22"/>
          <w:szCs w:val="22"/>
        </w:rPr>
        <w:t xml:space="preserve">An examination of past declaration processes indicates that declaration applications can take a number of years to be resolved. </w:t>
      </w:r>
    </w:p>
    <w:p w14:paraId="1F4EF4E8" w14:textId="6437FE75" w:rsidR="00602161" w:rsidRDefault="00602161" w:rsidP="00602161">
      <w:pPr>
        <w:pStyle w:val="NormalWeb"/>
        <w:spacing w:before="0" w:beforeAutospacing="0" w:after="120" w:afterAutospacing="0"/>
        <w:rPr>
          <w:rFonts w:ascii="Calibri" w:hAnsi="Calibri" w:cs="Calibri"/>
          <w:sz w:val="22"/>
          <w:szCs w:val="22"/>
        </w:rPr>
      </w:pPr>
      <w:r>
        <w:rPr>
          <w:rFonts w:ascii="Calibri" w:hAnsi="Calibri" w:cs="Calibri"/>
          <w:sz w:val="22"/>
          <w:szCs w:val="22"/>
        </w:rPr>
        <w:t>Parties have tended to seek review of the Minister’s decision (or deemed decision) on declaration in the Tribunal. It has frequently been the case that a party will then seek judicial review of the Tribunal’s decision by the Federal Court of Australia</w:t>
      </w:r>
      <w:r w:rsidR="00380813">
        <w:rPr>
          <w:rFonts w:ascii="Calibri" w:hAnsi="Calibri" w:cs="Calibri"/>
          <w:sz w:val="22"/>
          <w:szCs w:val="22"/>
        </w:rPr>
        <w:t xml:space="preserve"> </w:t>
      </w:r>
      <w:r w:rsidR="00380813" w:rsidRPr="0012472E">
        <w:rPr>
          <w:rFonts w:ascii="Calibri" w:hAnsi="Calibri" w:cs="Calibri"/>
          <w:sz w:val="22"/>
          <w:szCs w:val="22"/>
        </w:rPr>
        <w:t>(Federal Court)</w:t>
      </w:r>
      <w:r>
        <w:rPr>
          <w:rFonts w:ascii="Calibri" w:hAnsi="Calibri" w:cs="Calibri"/>
          <w:sz w:val="22"/>
          <w:szCs w:val="22"/>
        </w:rPr>
        <w:t xml:space="preserve">. </w:t>
      </w:r>
    </w:p>
    <w:p w14:paraId="33162845" w14:textId="3E02ACEB" w:rsidR="00602161" w:rsidRDefault="00602161" w:rsidP="00602161">
      <w:pPr>
        <w:pStyle w:val="NormalWeb"/>
        <w:spacing w:before="0" w:beforeAutospacing="0" w:after="120" w:afterAutospacing="0"/>
        <w:rPr>
          <w:rFonts w:ascii="Calibri" w:hAnsi="Calibri" w:cs="Calibri"/>
          <w:sz w:val="22"/>
          <w:szCs w:val="22"/>
        </w:rPr>
      </w:pPr>
      <w:r>
        <w:rPr>
          <w:rFonts w:ascii="Calibri" w:hAnsi="Calibri" w:cs="Calibri"/>
          <w:sz w:val="22"/>
          <w:szCs w:val="22"/>
        </w:rPr>
        <w:t>Some examples are discussed below.</w:t>
      </w:r>
    </w:p>
    <w:p w14:paraId="7413BD8C" w14:textId="77777777" w:rsidR="00602161" w:rsidRDefault="00602161" w:rsidP="00602161">
      <w:pPr>
        <w:pStyle w:val="Heading3noTOC"/>
      </w:pPr>
      <w:r>
        <w:t>Pilbara R</w:t>
      </w:r>
      <w:r w:rsidRPr="0073127D">
        <w:t xml:space="preserve">ailway Decisions </w:t>
      </w:r>
    </w:p>
    <w:p w14:paraId="345BA5F0" w14:textId="07B07FE0" w:rsidR="00602161" w:rsidRPr="00417DA6" w:rsidRDefault="00602161" w:rsidP="00602161">
      <w:pPr>
        <w:rPr>
          <w:color w:val="008569" w:themeColor="accent3"/>
          <w:sz w:val="28"/>
          <w:szCs w:val="24"/>
        </w:rPr>
      </w:pPr>
      <w:r>
        <w:t>The Pilbara Railways applications are an example of lengthy declaration proceedings. Between June 2004 and January 2008, parties applied for declaration of services provided by means of four railways located in the Pilbara region of Western Australia, in order to facilitate the export of iron ore:</w:t>
      </w:r>
    </w:p>
    <w:p w14:paraId="3AF9A840" w14:textId="046FD34D" w:rsidR="00602161" w:rsidRPr="00D042F5" w:rsidRDefault="00602161" w:rsidP="00602161">
      <w:pPr>
        <w:pStyle w:val="Bullet"/>
        <w:numPr>
          <w:ilvl w:val="0"/>
          <w:numId w:val="1"/>
        </w:numPr>
        <w:ind w:left="284" w:hanging="284"/>
      </w:pPr>
      <w:r>
        <w:t xml:space="preserve">The </w:t>
      </w:r>
      <w:r w:rsidRPr="00D042F5">
        <w:t xml:space="preserve">Mt Newman Railway application commenced in June 2004 and was </w:t>
      </w:r>
      <w:r>
        <w:t>finalised in June 2010, around six years later.</w:t>
      </w:r>
    </w:p>
    <w:p w14:paraId="16B884B5" w14:textId="6041245A" w:rsidR="00602161" w:rsidRPr="00D042F5" w:rsidRDefault="00602161" w:rsidP="00602161">
      <w:pPr>
        <w:pStyle w:val="Bullet"/>
        <w:numPr>
          <w:ilvl w:val="0"/>
          <w:numId w:val="1"/>
        </w:numPr>
        <w:ind w:left="284" w:hanging="284"/>
      </w:pPr>
      <w:r>
        <w:t xml:space="preserve">The </w:t>
      </w:r>
      <w:r w:rsidRPr="00D042F5">
        <w:t xml:space="preserve">Goldsworthy Railway application commenced in November 2007 and </w:t>
      </w:r>
      <w:r>
        <w:t xml:space="preserve">was </w:t>
      </w:r>
      <w:r w:rsidRPr="00D042F5">
        <w:t>finalised in June 2010</w:t>
      </w:r>
      <w:r>
        <w:t xml:space="preserve">, over 2.5 years later. </w:t>
      </w:r>
    </w:p>
    <w:p w14:paraId="3FC7C4FB" w14:textId="743FDD3A" w:rsidR="00602161" w:rsidRPr="00D042F5" w:rsidRDefault="00602161" w:rsidP="00602161">
      <w:pPr>
        <w:pStyle w:val="Bullet"/>
        <w:numPr>
          <w:ilvl w:val="0"/>
          <w:numId w:val="1"/>
        </w:numPr>
        <w:ind w:left="284" w:hanging="284"/>
      </w:pPr>
      <w:r>
        <w:t xml:space="preserve">The </w:t>
      </w:r>
      <w:r w:rsidRPr="00D042F5">
        <w:t xml:space="preserve">Hamersley </w:t>
      </w:r>
      <w:r>
        <w:t xml:space="preserve">and Robe </w:t>
      </w:r>
      <w:r w:rsidRPr="00D042F5">
        <w:t>Railway application</w:t>
      </w:r>
      <w:r>
        <w:t>s</w:t>
      </w:r>
      <w:r w:rsidRPr="00D042F5">
        <w:t xml:space="preserve"> commenced in November 2007 </w:t>
      </w:r>
      <w:r>
        <w:t xml:space="preserve">and January 2008 respectively, </w:t>
      </w:r>
      <w:r w:rsidRPr="00D042F5">
        <w:t xml:space="preserve">and </w:t>
      </w:r>
      <w:r>
        <w:t xml:space="preserve">were </w:t>
      </w:r>
      <w:r w:rsidRPr="00D042F5">
        <w:t>finalised in February 2013</w:t>
      </w:r>
      <w:r>
        <w:t>, over 5 years later.</w:t>
      </w:r>
      <w:r w:rsidRPr="00D042F5">
        <w:t xml:space="preserve"> </w:t>
      </w:r>
    </w:p>
    <w:p w14:paraId="6DDCB7FC" w14:textId="37768F7B" w:rsidR="00602161" w:rsidRPr="002F1777" w:rsidRDefault="00602161" w:rsidP="00602161">
      <w:pPr>
        <w:pStyle w:val="Bullet"/>
        <w:numPr>
          <w:ilvl w:val="0"/>
          <w:numId w:val="0"/>
        </w:numPr>
        <w:spacing w:before="280" w:after="200"/>
      </w:pPr>
      <w:r w:rsidRPr="002D151F">
        <w:t xml:space="preserve">In each case, </w:t>
      </w:r>
      <w:r>
        <w:t>the Minister’s decision or deemed decision was the subject of an application to the Tribunal for review. In respect of some of the railways, findings of the NCC and decisions of the Tribunal, were also challenged in the courts.</w:t>
      </w:r>
      <w:r w:rsidR="00160EE3">
        <w:t xml:space="preserve"> In the case of </w:t>
      </w:r>
      <w:r w:rsidR="00F6525B">
        <w:t xml:space="preserve">the Mt Newman and Goldsworthy </w:t>
      </w:r>
      <w:r w:rsidR="00160EE3">
        <w:t xml:space="preserve">railways, the Minister’s decision </w:t>
      </w:r>
      <w:r w:rsidR="00F6525B">
        <w:t xml:space="preserve">(or deemed decision, in the case of Mt Newman railway) </w:t>
      </w:r>
      <w:r w:rsidR="00160EE3">
        <w:t>was ultimately affirmed by the Tribunal, while the Minister’s decisions in the case of Hamersley and Robe railways were ultimately set aside by the Tribunal</w:t>
      </w:r>
      <w:r w:rsidR="009B634A">
        <w:t xml:space="preserve"> following High Court appeals</w:t>
      </w:r>
      <w:r w:rsidR="00160EE3">
        <w:t>.</w:t>
      </w:r>
    </w:p>
    <w:p w14:paraId="478B207A" w14:textId="77777777" w:rsidR="00602161" w:rsidRPr="00417DA6" w:rsidRDefault="00602161" w:rsidP="00602161">
      <w:pPr>
        <w:pStyle w:val="Heading3noTOC"/>
      </w:pPr>
      <w:r>
        <w:lastRenderedPageBreak/>
        <w:t>Sydney Airport</w:t>
      </w:r>
    </w:p>
    <w:p w14:paraId="3F69D1BF" w14:textId="4593D1DA" w:rsidR="00602161" w:rsidRDefault="00602161" w:rsidP="00602161">
      <w:pPr>
        <w:pStyle w:val="Bullet"/>
        <w:numPr>
          <w:ilvl w:val="0"/>
          <w:numId w:val="0"/>
        </w:numPr>
      </w:pPr>
      <w:r>
        <w:t>The October 2002 application by Virgin Blue Airlines Pty Ltd (Virgin) for declaration of airside services at Sydney Airport</w:t>
      </w:r>
      <w:r>
        <w:rPr>
          <w:rStyle w:val="FootnoteReference"/>
        </w:rPr>
        <w:footnoteReference w:id="2"/>
      </w:r>
      <w:r>
        <w:t xml:space="preserve"> took almost 4.5 years to resolve, involving review by the Tribunal, an application to the </w:t>
      </w:r>
      <w:r w:rsidR="00D54A98">
        <w:t xml:space="preserve">Federal Court </w:t>
      </w:r>
      <w:r>
        <w:t>for judicial review of the Tribunal’s decision, and an application for special leave to appeal to the High Court</w:t>
      </w:r>
      <w:r w:rsidR="00D54A98">
        <w:t xml:space="preserve"> of Australia (High Court)</w:t>
      </w:r>
      <w:r>
        <w:t xml:space="preserve">. While the Tribunal decided in December 2005 to </w:t>
      </w:r>
      <w:r w:rsidR="00F6525B">
        <w:t xml:space="preserve">set aside the Minister’s decision and </w:t>
      </w:r>
      <w:r>
        <w:t xml:space="preserve">declare the services for 5 years, declaration was not finally resolved until March 2007, when the High Court dismissed Sydney Airport Corporation Limited’s application for special leave to appeal the Federal Court’s decision in the matter. </w:t>
      </w:r>
    </w:p>
    <w:p w14:paraId="59A055AA" w14:textId="77777777" w:rsidR="00602161" w:rsidRPr="00417DA6" w:rsidRDefault="00602161" w:rsidP="00602161">
      <w:pPr>
        <w:pStyle w:val="Heading3noTOC"/>
      </w:pPr>
      <w:r>
        <w:t xml:space="preserve">Port of Newcastle </w:t>
      </w:r>
    </w:p>
    <w:p w14:paraId="77034D52" w14:textId="77777777" w:rsidR="00602161" w:rsidRDefault="00602161" w:rsidP="00602161">
      <w:r>
        <w:t>Whether s</w:t>
      </w:r>
      <w:r w:rsidRPr="00676F6E">
        <w:t xml:space="preserve">ervices at the </w:t>
      </w:r>
      <w:r>
        <w:t xml:space="preserve">Port of Newcastle should be declared has been the subject of recommendations by the NCC to the designated Minister three times in recent years. </w:t>
      </w:r>
    </w:p>
    <w:p w14:paraId="54BA3893" w14:textId="5116F28E" w:rsidR="00602161" w:rsidRDefault="00602161" w:rsidP="00602161">
      <w:r>
        <w:t xml:space="preserve">In May 2015, Glencore Coal Pty Ltd (Glencore) applied to the NCC for declaration of certain services provided by Port of Newcastle Operations Pty Ltd (PNO). In January 2016, the then Acting Treasurer, the Hon. Mathias Cormann, decided not to declare the service. In May 2016 the Tribunal decided that the service should be declared. PNO applied to the Federal Court for judicial review of the Tribunal’s decision, and subsequently sought special leave to appeal the Federal Court’s decision </w:t>
      </w:r>
      <w:r w:rsidR="009B634A">
        <w:t>not to set aside the Tribunal’s decision in</w:t>
      </w:r>
      <w:r>
        <w:t xml:space="preserve"> the High Court. That application was dismissed in March 2018, almost 3 years after Glencore’s declaration application. </w:t>
      </w:r>
    </w:p>
    <w:p w14:paraId="07194DED" w14:textId="20CAF29B" w:rsidR="00602161" w:rsidRDefault="00602161" w:rsidP="00602161">
      <w:r>
        <w:t>Following 2017 reforms to the declaration criteria</w:t>
      </w:r>
      <w:r w:rsidR="00701361">
        <w:t xml:space="preserve"> which </w:t>
      </w:r>
      <w:r w:rsidR="006E4066">
        <w:t>sought to clarify the intent of the regime</w:t>
      </w:r>
      <w:r>
        <w:t>, PNO applied in July 2018 to the NCC for a recommendation that the declaration be revoked. The Minister was deemed to have decided to revoke the declaration, in accordance with the NCC’s recommendation, in September 2019.</w:t>
      </w:r>
    </w:p>
    <w:p w14:paraId="70CF2D80" w14:textId="77777777" w:rsidR="00602161" w:rsidRDefault="00602161" w:rsidP="00602161">
      <w:r>
        <w:t>Subsequently in July 2020, New South Wales Minerals Council applied for declaration of certain shipping channel services at the Port of Newcastle. The NCC recommended in December 2020 that the Treasurer not declare the services. The Treasurer announced his decision not to declare those services in February 2021.</w:t>
      </w:r>
    </w:p>
    <w:p w14:paraId="352AD242" w14:textId="4C5B12E5" w:rsidR="000E0B74" w:rsidRDefault="00020805" w:rsidP="000E0B74">
      <w:pPr>
        <w:pStyle w:val="Heading2"/>
      </w:pPr>
      <w:bookmarkStart w:id="32" w:name="_Toc67043666"/>
      <w:r>
        <w:t>Potential reform</w:t>
      </w:r>
      <w:bookmarkEnd w:id="27"/>
      <w:bookmarkEnd w:id="28"/>
      <w:bookmarkEnd w:id="29"/>
      <w:bookmarkEnd w:id="30"/>
      <w:bookmarkEnd w:id="31"/>
      <w:r w:rsidR="008E6D0E">
        <w:t>s</w:t>
      </w:r>
      <w:bookmarkEnd w:id="32"/>
    </w:p>
    <w:p w14:paraId="7DC680BE" w14:textId="65850386" w:rsidR="004A706E" w:rsidRDefault="003C640A" w:rsidP="00D60AE5">
      <w:pPr>
        <w:pStyle w:val="Heading3"/>
      </w:pPr>
      <w:bookmarkStart w:id="33" w:name="_Toc65856074"/>
      <w:bookmarkStart w:id="34" w:name="_Toc67043667"/>
      <w:r>
        <w:rPr>
          <w:color w:val="008569" w:themeColor="accent3"/>
          <w:szCs w:val="24"/>
        </w:rPr>
        <w:t xml:space="preserve">Merits </w:t>
      </w:r>
      <w:r w:rsidR="008E6D0E">
        <w:rPr>
          <w:color w:val="008569" w:themeColor="accent3"/>
          <w:szCs w:val="24"/>
        </w:rPr>
        <w:t>r</w:t>
      </w:r>
      <w:r>
        <w:rPr>
          <w:color w:val="008569" w:themeColor="accent3"/>
          <w:szCs w:val="24"/>
        </w:rPr>
        <w:t>eview</w:t>
      </w:r>
      <w:bookmarkEnd w:id="33"/>
      <w:bookmarkEnd w:id="34"/>
    </w:p>
    <w:p w14:paraId="0EFC8B06" w14:textId="5DDEB4CC" w:rsidR="00D95B7B" w:rsidRDefault="00642856" w:rsidP="00642856">
      <w:r>
        <w:t>Under the NAR, m</w:t>
      </w:r>
      <w:r w:rsidR="00D95B7B">
        <w:t>erits review</w:t>
      </w:r>
      <w:r>
        <w:t xml:space="preserve"> </w:t>
      </w:r>
      <w:r w:rsidR="00A323DA">
        <w:t>enable</w:t>
      </w:r>
      <w:r w:rsidR="003C5F63">
        <w:t>s</w:t>
      </w:r>
      <w:r w:rsidR="00A323DA">
        <w:t xml:space="preserve"> parties to </w:t>
      </w:r>
      <w:r w:rsidR="00646E13">
        <w:t xml:space="preserve">seek review of the substance of declaration and arbitration decisions with which they </w:t>
      </w:r>
      <w:r w:rsidR="00356B4E">
        <w:t>disagree</w:t>
      </w:r>
      <w:r>
        <w:t xml:space="preserve">. This </w:t>
      </w:r>
      <w:r w:rsidR="00646E13">
        <w:t>impose</w:t>
      </w:r>
      <w:r>
        <w:t>s</w:t>
      </w:r>
      <w:r w:rsidR="00646E13">
        <w:t xml:space="preserve"> a discipline on original decision-makers to ensure their decisions are reasonable, </w:t>
      </w:r>
      <w:r w:rsidR="000F59AF">
        <w:t xml:space="preserve">and </w:t>
      </w:r>
      <w:r w:rsidR="00646E13">
        <w:t>based on sound economic</w:t>
      </w:r>
      <w:r w:rsidR="007E6A60">
        <w:t xml:space="preserve"> principles and an accurate understanding of the relevant </w:t>
      </w:r>
      <w:r w:rsidR="00646E13">
        <w:t>facts.</w:t>
      </w:r>
      <w:r w:rsidR="00A323DA">
        <w:t xml:space="preserve"> </w:t>
      </w:r>
    </w:p>
    <w:p w14:paraId="3A014CB6" w14:textId="04A6B4A4" w:rsidR="000F59AF" w:rsidRDefault="0094585B" w:rsidP="00E10D39">
      <w:r>
        <w:t xml:space="preserve">However, </w:t>
      </w:r>
      <w:r w:rsidR="00894979">
        <w:t xml:space="preserve">under the NAR, parties have historically </w:t>
      </w:r>
      <w:r w:rsidR="004B6C9C">
        <w:t xml:space="preserve">displayed </w:t>
      </w:r>
      <w:r w:rsidR="00894979">
        <w:t xml:space="preserve">a strong desire to take matters </w:t>
      </w:r>
      <w:r w:rsidR="00356B4E">
        <w:t>to the courts</w:t>
      </w:r>
      <w:r w:rsidR="00894979">
        <w:t>, that is, the existence of merits review has typically not provided a resolution of matters.</w:t>
      </w:r>
      <w:r w:rsidR="00356B4E">
        <w:t xml:space="preserve"> </w:t>
      </w:r>
    </w:p>
    <w:p w14:paraId="1BAEBD25" w14:textId="326E2E80" w:rsidR="00356B4E" w:rsidRDefault="00356B4E" w:rsidP="00E10D39">
      <w:r>
        <w:t>Given this, a question arises as to whether, on balance, merits review is warranted.</w:t>
      </w:r>
      <w:r w:rsidR="000F59AF">
        <w:t xml:space="preserve"> Removing merits review would eliminate a six-month step in the process and also result in decisions </w:t>
      </w:r>
      <w:r w:rsidR="00CA4DCB">
        <w:t xml:space="preserve">that are </w:t>
      </w:r>
      <w:r w:rsidR="000F59AF">
        <w:t xml:space="preserve">overturned by </w:t>
      </w:r>
      <w:r w:rsidR="00DA66E8">
        <w:t>a court</w:t>
      </w:r>
      <w:r w:rsidR="000F59AF">
        <w:t xml:space="preserve"> </w:t>
      </w:r>
      <w:r w:rsidR="00CA4DCB">
        <w:t xml:space="preserve">on judicial review grounds </w:t>
      </w:r>
      <w:r w:rsidR="000F59AF">
        <w:t>being returned to the original decision maker rather than the Tribunal, which may be more appropriate.</w:t>
      </w:r>
    </w:p>
    <w:p w14:paraId="597763CF" w14:textId="43CAECF2" w:rsidR="00894979" w:rsidRDefault="00356CB6" w:rsidP="00E10D39">
      <w:r>
        <w:t>Alternatively, the timeframe for merits review could be shortened.</w:t>
      </w:r>
      <w:r w:rsidR="00356B4E">
        <w:t xml:space="preserve"> </w:t>
      </w:r>
    </w:p>
    <w:p w14:paraId="1B953DA2" w14:textId="26329241" w:rsidR="004B6C9C" w:rsidRDefault="007F7700" w:rsidP="00E10D39">
      <w:r>
        <w:lastRenderedPageBreak/>
        <w:t xml:space="preserve">Interested parties’ </w:t>
      </w:r>
      <w:r w:rsidR="004B6C9C">
        <w:t>views are sought on the following options:</w:t>
      </w:r>
    </w:p>
    <w:p w14:paraId="5ADAF1DF" w14:textId="3C51EE05" w:rsidR="004A6029" w:rsidRDefault="00606757" w:rsidP="00E10D39">
      <w:r w:rsidRPr="00676F6E">
        <w:rPr>
          <w:u w:val="single"/>
        </w:rPr>
        <w:t>O</w:t>
      </w:r>
      <w:r w:rsidR="004B6C9C" w:rsidRPr="00676F6E">
        <w:rPr>
          <w:u w:val="single"/>
        </w:rPr>
        <w:t>ption</w:t>
      </w:r>
      <w:r w:rsidRPr="00676F6E">
        <w:rPr>
          <w:u w:val="single"/>
        </w:rPr>
        <w:t xml:space="preserve"> </w:t>
      </w:r>
      <w:r w:rsidR="00934037">
        <w:rPr>
          <w:u w:val="single"/>
        </w:rPr>
        <w:t>1</w:t>
      </w:r>
      <w:r w:rsidR="00522A9D">
        <w:t xml:space="preserve">: Remove the </w:t>
      </w:r>
      <w:r w:rsidR="004B6C9C">
        <w:t xml:space="preserve">ability </w:t>
      </w:r>
      <w:r w:rsidR="00522A9D">
        <w:t xml:space="preserve">for parties to seek merits review of </w:t>
      </w:r>
      <w:r w:rsidR="00342148">
        <w:t>the Minister</w:t>
      </w:r>
      <w:r w:rsidR="006E4066">
        <w:t xml:space="preserve">’s </w:t>
      </w:r>
      <w:r w:rsidR="002B2E1E">
        <w:t xml:space="preserve">decision on </w:t>
      </w:r>
      <w:r w:rsidR="00522A9D">
        <w:t xml:space="preserve">declaration </w:t>
      </w:r>
      <w:r w:rsidR="00E57C98">
        <w:t>by</w:t>
      </w:r>
      <w:r w:rsidR="00522A9D">
        <w:t xml:space="preserve"> the Australian Competition Tribunal</w:t>
      </w:r>
      <w:r w:rsidR="004B6C9C">
        <w:t>.</w:t>
      </w:r>
    </w:p>
    <w:p w14:paraId="766FD680" w14:textId="07A56353" w:rsidR="00342148" w:rsidRDefault="00342148" w:rsidP="00E10D39">
      <w:r w:rsidRPr="00676F6E">
        <w:rPr>
          <w:u w:val="single"/>
        </w:rPr>
        <w:t xml:space="preserve">Option </w:t>
      </w:r>
      <w:r>
        <w:rPr>
          <w:u w:val="single"/>
        </w:rPr>
        <w:t>2</w:t>
      </w:r>
      <w:r>
        <w:t xml:space="preserve">: Remove the ability for parties to seek merits review of ACCC arbitration </w:t>
      </w:r>
      <w:r w:rsidR="002B2E1E">
        <w:t xml:space="preserve">determinations </w:t>
      </w:r>
      <w:r>
        <w:t>by the Australian Competition Tribunal.</w:t>
      </w:r>
    </w:p>
    <w:p w14:paraId="7303E726" w14:textId="62A9571D" w:rsidR="00934037" w:rsidRDefault="00934037" w:rsidP="00E10D39">
      <w:r w:rsidRPr="00676F6E">
        <w:rPr>
          <w:u w:val="single"/>
        </w:rPr>
        <w:t>O</w:t>
      </w:r>
      <w:r w:rsidR="004B6C9C" w:rsidRPr="00676F6E">
        <w:rPr>
          <w:u w:val="single"/>
        </w:rPr>
        <w:t>ption</w:t>
      </w:r>
      <w:r w:rsidRPr="00676F6E">
        <w:rPr>
          <w:u w:val="single"/>
        </w:rPr>
        <w:t xml:space="preserve"> </w:t>
      </w:r>
      <w:r w:rsidR="00342148">
        <w:rPr>
          <w:u w:val="single"/>
        </w:rPr>
        <w:t>3</w:t>
      </w:r>
      <w:r>
        <w:t xml:space="preserve">: Impose </w:t>
      </w:r>
      <w:r w:rsidR="004B6C9C">
        <w:t>shorter</w:t>
      </w:r>
      <w:r>
        <w:t xml:space="preserve"> time limits on merits review processes for declaration and arbitration decisions. </w:t>
      </w:r>
    </w:p>
    <w:p w14:paraId="2CAD66BC" w14:textId="35385CF6" w:rsidR="004A6029" w:rsidRDefault="004A6029" w:rsidP="003A56FB">
      <w:pPr>
        <w:pStyle w:val="Heading3"/>
        <w:rPr>
          <w:color w:val="008569" w:themeColor="accent3"/>
          <w:szCs w:val="24"/>
        </w:rPr>
      </w:pPr>
      <w:bookmarkStart w:id="35" w:name="_Toc65856075"/>
      <w:bookmarkStart w:id="36" w:name="_Toc67043668"/>
      <w:r>
        <w:rPr>
          <w:color w:val="008569" w:themeColor="accent3"/>
          <w:szCs w:val="24"/>
        </w:rPr>
        <w:t xml:space="preserve">Repeat </w:t>
      </w:r>
      <w:r w:rsidR="008E6D0E">
        <w:rPr>
          <w:color w:val="008569" w:themeColor="accent3"/>
          <w:szCs w:val="24"/>
        </w:rPr>
        <w:t>applications for declaration</w:t>
      </w:r>
      <w:bookmarkEnd w:id="35"/>
      <w:bookmarkEnd w:id="36"/>
    </w:p>
    <w:p w14:paraId="088F04A5" w14:textId="2335DCFA" w:rsidR="005727BA" w:rsidRDefault="003646A3" w:rsidP="00FE74A6">
      <w:r>
        <w:t>T</w:t>
      </w:r>
      <w:r w:rsidR="000977E7">
        <w:t>he NAR</w:t>
      </w:r>
      <w:r>
        <w:t xml:space="preserve"> permits infrastructure users to initiate </w:t>
      </w:r>
      <w:r w:rsidR="00836EA4">
        <w:t xml:space="preserve">a new </w:t>
      </w:r>
      <w:r>
        <w:t>declaration process</w:t>
      </w:r>
      <w:r w:rsidR="00836EA4">
        <w:t xml:space="preserve"> for infrastructure that has previously been subject to a decision to refuse declaration or where a declaration has been revoked, where there has been no change in the facts or law.</w:t>
      </w:r>
      <w:r w:rsidR="005727BA">
        <w:t xml:space="preserve"> A</w:t>
      </w:r>
      <w:r w:rsidR="00FB2791">
        <w:t xml:space="preserve">n issue </w:t>
      </w:r>
      <w:r w:rsidR="005727BA">
        <w:t xml:space="preserve">arises as to whether this </w:t>
      </w:r>
      <w:r w:rsidR="00FB2791">
        <w:t xml:space="preserve">unnecessarily </w:t>
      </w:r>
      <w:r w:rsidR="005727BA">
        <w:t xml:space="preserve">contributes to </w:t>
      </w:r>
      <w:r w:rsidR="00FB2791">
        <w:t>the length of NAR process</w:t>
      </w:r>
      <w:r w:rsidR="00662EAD">
        <w:t>es</w:t>
      </w:r>
      <w:r w:rsidR="00FB2791">
        <w:t xml:space="preserve"> in relation to the same infrastructure.</w:t>
      </w:r>
    </w:p>
    <w:p w14:paraId="011B3A4D" w14:textId="67B785AA" w:rsidR="0010040A" w:rsidRDefault="0010040A" w:rsidP="00FE74A6">
      <w:r>
        <w:t>Limiting the ability to bring new applications in these circumstances would increase certainty for infrastructure owners</w:t>
      </w:r>
      <w:r w:rsidR="00DE39E2">
        <w:t>/operators</w:t>
      </w:r>
      <w:r w:rsidR="00417354">
        <w:t xml:space="preserve"> that they would not be subjected to the cost and time of engaging with potentially unnecessary regulatory processes.</w:t>
      </w:r>
    </w:p>
    <w:p w14:paraId="0A8A8956" w14:textId="0BF9EACF" w:rsidR="00502B80" w:rsidRDefault="00F04C55" w:rsidP="00FE74A6">
      <w:r>
        <w:t>I</w:t>
      </w:r>
      <w:r w:rsidR="00BF30B2">
        <w:t xml:space="preserve">t </w:t>
      </w:r>
      <w:r>
        <w:t>w</w:t>
      </w:r>
      <w:r w:rsidR="0010040A">
        <w:t>ould also</w:t>
      </w:r>
      <w:r>
        <w:t xml:space="preserve"> require the</w:t>
      </w:r>
      <w:r w:rsidR="0010040A">
        <w:t xml:space="preserve"> </w:t>
      </w:r>
      <w:r w:rsidR="00BF30B2">
        <w:t>introduc</w:t>
      </w:r>
      <w:r>
        <w:t>tion of</w:t>
      </w:r>
      <w:r w:rsidR="00BF30B2">
        <w:t xml:space="preserve"> a new test to the declaration process</w:t>
      </w:r>
      <w:r w:rsidR="00502B80">
        <w:t>, potentially to be applied by the N</w:t>
      </w:r>
      <w:r w:rsidR="005B7152">
        <w:t>CC</w:t>
      </w:r>
      <w:r w:rsidR="00502B80">
        <w:t xml:space="preserve"> upon receiving an application</w:t>
      </w:r>
      <w:r>
        <w:t xml:space="preserve">. </w:t>
      </w:r>
    </w:p>
    <w:p w14:paraId="7E1106A5" w14:textId="24377EEF" w:rsidR="006E3319" w:rsidRDefault="00F04C55" w:rsidP="00FE74A6">
      <w:r>
        <w:t xml:space="preserve">One option would be to allow declaration applications </w:t>
      </w:r>
      <w:r w:rsidR="00091B59">
        <w:t xml:space="preserve">where there has been a previous decision in respect of the infrastructure in question </w:t>
      </w:r>
      <w:r w:rsidR="00417354">
        <w:t xml:space="preserve">only </w:t>
      </w:r>
      <w:r w:rsidR="00BF30B2">
        <w:t>w</w:t>
      </w:r>
      <w:r>
        <w:t>here</w:t>
      </w:r>
      <w:r w:rsidR="00BF30B2">
        <w:t xml:space="preserve"> there has been a material change in circumstances</w:t>
      </w:r>
      <w:r>
        <w:t xml:space="preserve"> since </w:t>
      </w:r>
      <w:r w:rsidR="00091B59">
        <w:t>that</w:t>
      </w:r>
      <w:r>
        <w:t xml:space="preserve"> previous decision. </w:t>
      </w:r>
      <w:r w:rsidR="006E3319">
        <w:t>Another option would be that a period of time could be specified – for example, ten years – before a further application could be made with respect to that infrastructure</w:t>
      </w:r>
      <w:r w:rsidR="005A75A2">
        <w:t xml:space="preserve"> facility</w:t>
      </w:r>
      <w:r w:rsidR="006E3319">
        <w:t>.</w:t>
      </w:r>
    </w:p>
    <w:p w14:paraId="0C9CFE54" w14:textId="7882C131" w:rsidR="00502B80" w:rsidRDefault="00F6622E" w:rsidP="00FE74A6">
      <w:r>
        <w:t xml:space="preserve">Both </w:t>
      </w:r>
      <w:r w:rsidR="006E3319">
        <w:t>option</w:t>
      </w:r>
      <w:r>
        <w:t>s</w:t>
      </w:r>
      <w:r w:rsidR="006E3319">
        <w:t xml:space="preserve"> ha</w:t>
      </w:r>
      <w:r>
        <w:t>ve</w:t>
      </w:r>
      <w:r w:rsidR="006E3319">
        <w:t xml:space="preserve"> potential </w:t>
      </w:r>
      <w:r w:rsidR="00EF47EE">
        <w:t>advantages and disadvantages</w:t>
      </w:r>
      <w:r w:rsidR="006E3319">
        <w:t xml:space="preserve">. A test such as a material change of circumstances </w:t>
      </w:r>
      <w:r w:rsidR="00585681">
        <w:t>would</w:t>
      </w:r>
      <w:r w:rsidR="00BF30B2">
        <w:t xml:space="preserve"> itself be </w:t>
      </w:r>
      <w:r w:rsidR="00F04C55">
        <w:t xml:space="preserve">general in nature and therefore </w:t>
      </w:r>
      <w:r w:rsidR="00612E1E">
        <w:t xml:space="preserve">potentially </w:t>
      </w:r>
      <w:r w:rsidR="00F04C55">
        <w:t>prone to result in litigation</w:t>
      </w:r>
      <w:r w:rsidR="00612E1E">
        <w:t xml:space="preserve"> about whether it has been satisfied or not</w:t>
      </w:r>
      <w:r w:rsidR="00F04C55">
        <w:t xml:space="preserve">. </w:t>
      </w:r>
      <w:r w:rsidR="006E3319">
        <w:t>P</w:t>
      </w:r>
      <w:r w:rsidR="00F04C55">
        <w:t>revent</w:t>
      </w:r>
      <w:r w:rsidR="006E3319">
        <w:t>ing</w:t>
      </w:r>
      <w:r w:rsidR="00F04C55">
        <w:t xml:space="preserve"> applications for declaration </w:t>
      </w:r>
      <w:r w:rsidR="006E3319">
        <w:t xml:space="preserve">for a specified period </w:t>
      </w:r>
      <w:r w:rsidR="00EF47EE">
        <w:t xml:space="preserve">of time </w:t>
      </w:r>
      <w:r w:rsidR="006E3319">
        <w:t xml:space="preserve">may mean that </w:t>
      </w:r>
      <w:r w:rsidR="00EF47EE">
        <w:t xml:space="preserve">an </w:t>
      </w:r>
      <w:r w:rsidR="006E3319">
        <w:t>applicatio</w:t>
      </w:r>
      <w:r w:rsidR="00EF47EE">
        <w:t>n</w:t>
      </w:r>
      <w:r w:rsidR="006E3319">
        <w:t xml:space="preserve"> for declaration </w:t>
      </w:r>
      <w:r w:rsidR="00EF47EE">
        <w:t>could not be considered before that period expired, notwithstanding that t</w:t>
      </w:r>
      <w:r w:rsidR="00F04C55">
        <w:t xml:space="preserve">here </w:t>
      </w:r>
      <w:r w:rsidR="00EF47EE">
        <w:t xml:space="preserve">had been </w:t>
      </w:r>
      <w:r w:rsidR="00F04C55">
        <w:t>a material change of circumstances</w:t>
      </w:r>
      <w:r w:rsidR="001B6D21">
        <w:t xml:space="preserve"> with the potential to change whether the declaration criteria would be satisfied</w:t>
      </w:r>
      <w:r w:rsidR="00585681">
        <w:t>.</w:t>
      </w:r>
    </w:p>
    <w:p w14:paraId="2020DEC7" w14:textId="66AD9810" w:rsidR="0010040A" w:rsidRDefault="007C5CFF" w:rsidP="00FE74A6">
      <w:r>
        <w:t>Requests for r</w:t>
      </w:r>
      <w:r w:rsidR="00FA0369">
        <w:t xml:space="preserve">evocation </w:t>
      </w:r>
      <w:r>
        <w:t xml:space="preserve">of declaration </w:t>
      </w:r>
      <w:r w:rsidR="00FA0369">
        <w:t xml:space="preserve">may </w:t>
      </w:r>
      <w:r w:rsidR="00F91D4E">
        <w:t xml:space="preserve">also commence </w:t>
      </w:r>
      <w:r w:rsidR="00FA0369">
        <w:t>without a material change in circumstances</w:t>
      </w:r>
      <w:r w:rsidR="007F074D">
        <w:t>. S</w:t>
      </w:r>
      <w:r w:rsidR="00F91D4E">
        <w:t>imilar issues arise to those outlined above for declaration applications – for example, infrastructure users may be subject to the time</w:t>
      </w:r>
      <w:r>
        <w:t>,</w:t>
      </w:r>
      <w:r w:rsidR="00F91D4E">
        <w:t xml:space="preserve"> cost </w:t>
      </w:r>
      <w:r>
        <w:t xml:space="preserve">and uncertainty </w:t>
      </w:r>
      <w:r w:rsidR="00F91D4E">
        <w:t xml:space="preserve">of potentially unnecessary regulatory processes. </w:t>
      </w:r>
    </w:p>
    <w:p w14:paraId="2C821C1A" w14:textId="533C1B1F" w:rsidR="00F91D4E" w:rsidRDefault="007F7700" w:rsidP="00F91D4E">
      <w:r>
        <w:t>Interested parties’</w:t>
      </w:r>
      <w:r w:rsidR="00F91D4E">
        <w:t xml:space="preserve"> views are sought on the following options:</w:t>
      </w:r>
    </w:p>
    <w:p w14:paraId="2A9B733E" w14:textId="157FF0F8" w:rsidR="000977E7" w:rsidRDefault="00DF7943" w:rsidP="004563C2">
      <w:r w:rsidRPr="00DF7943">
        <w:rPr>
          <w:u w:val="single"/>
        </w:rPr>
        <w:t>O</w:t>
      </w:r>
      <w:r w:rsidR="007B2773" w:rsidRPr="00DF7943">
        <w:rPr>
          <w:u w:val="single"/>
        </w:rPr>
        <w:t>ption</w:t>
      </w:r>
      <w:r w:rsidRPr="00DF7943">
        <w:rPr>
          <w:u w:val="single"/>
        </w:rPr>
        <w:t xml:space="preserve"> </w:t>
      </w:r>
      <w:r w:rsidR="00342148">
        <w:rPr>
          <w:u w:val="single"/>
        </w:rPr>
        <w:t>4</w:t>
      </w:r>
      <w:r>
        <w:t xml:space="preserve">: </w:t>
      </w:r>
      <w:r w:rsidR="007B2773">
        <w:t>L</w:t>
      </w:r>
      <w:r w:rsidR="00A4404C">
        <w:t xml:space="preserve">imit </w:t>
      </w:r>
      <w:r w:rsidR="007B2773">
        <w:t xml:space="preserve">new applications for declaration for infrastructure </w:t>
      </w:r>
      <w:r w:rsidR="00DC6BBE">
        <w:t>for which declaration has previously been refused,</w:t>
      </w:r>
      <w:r w:rsidR="007B2773">
        <w:t xml:space="preserve"> or </w:t>
      </w:r>
      <w:r w:rsidR="00DC6BBE">
        <w:t xml:space="preserve">where a declaration has been revoked, </w:t>
      </w:r>
      <w:r w:rsidR="00A4404C">
        <w:t>unless there has been a material change of circumstances</w:t>
      </w:r>
      <w:r w:rsidR="00F91D4E">
        <w:t>, or a specified period of time has passed</w:t>
      </w:r>
      <w:r w:rsidR="007B2773">
        <w:t>.</w:t>
      </w:r>
    </w:p>
    <w:p w14:paraId="6F0D9741" w14:textId="684C101D" w:rsidR="00A4404C" w:rsidRDefault="007B2773" w:rsidP="00305DD8">
      <w:pPr>
        <w:pStyle w:val="Bullet"/>
        <w:numPr>
          <w:ilvl w:val="0"/>
          <w:numId w:val="0"/>
        </w:numPr>
      </w:pPr>
      <w:r w:rsidRPr="00305DD8">
        <w:rPr>
          <w:u w:val="single"/>
        </w:rPr>
        <w:t xml:space="preserve">Option </w:t>
      </w:r>
      <w:r w:rsidR="00342148">
        <w:rPr>
          <w:u w:val="single"/>
        </w:rPr>
        <w:t>5</w:t>
      </w:r>
      <w:r>
        <w:t>: L</w:t>
      </w:r>
      <w:r w:rsidR="00A4404C">
        <w:t xml:space="preserve">imit </w:t>
      </w:r>
      <w:r w:rsidR="00B86BBE">
        <w:t xml:space="preserve">requests for </w:t>
      </w:r>
      <w:r w:rsidR="00DC6BBE">
        <w:t xml:space="preserve">revocation to where there has been </w:t>
      </w:r>
      <w:r w:rsidR="00A4404C">
        <w:t>a material change of circumstances</w:t>
      </w:r>
      <w:r w:rsidR="00DC6BBE">
        <w:t xml:space="preserve"> since the decision to declare </w:t>
      </w:r>
      <w:r w:rsidR="001B6D21">
        <w:t>the services</w:t>
      </w:r>
      <w:r w:rsidR="00F91D4E">
        <w:t xml:space="preserve">, or a specified period </w:t>
      </w:r>
      <w:r w:rsidR="00062597">
        <w:t xml:space="preserve">of time </w:t>
      </w:r>
      <w:r w:rsidR="00F91D4E">
        <w:t>has passed</w:t>
      </w:r>
      <w:r w:rsidR="00A4404C">
        <w:t>.</w:t>
      </w:r>
    </w:p>
    <w:p w14:paraId="3EABB80A" w14:textId="54AB31E5" w:rsidR="00FC7570" w:rsidRPr="003A56FB" w:rsidRDefault="00FC7570" w:rsidP="003A56FB">
      <w:pPr>
        <w:pStyle w:val="Heading3"/>
        <w:rPr>
          <w:color w:val="008569" w:themeColor="accent3"/>
          <w:szCs w:val="24"/>
        </w:rPr>
      </w:pPr>
      <w:bookmarkStart w:id="37" w:name="_Toc65856076"/>
      <w:bookmarkStart w:id="38" w:name="_Toc67043669"/>
      <w:r w:rsidRPr="003A56FB">
        <w:rPr>
          <w:color w:val="008569" w:themeColor="accent3"/>
          <w:szCs w:val="24"/>
        </w:rPr>
        <w:t>Arbitration when service is no longer declared</w:t>
      </w:r>
      <w:bookmarkEnd w:id="37"/>
      <w:bookmarkEnd w:id="38"/>
    </w:p>
    <w:p w14:paraId="167DBBAB" w14:textId="03FDBD77" w:rsidR="00E76BE8" w:rsidRDefault="00CD39E4" w:rsidP="00FE74A6">
      <w:r>
        <w:t>Currently if a declaration is revoked, any arbitration process that has begun</w:t>
      </w:r>
      <w:r w:rsidR="001F24AB">
        <w:t xml:space="preserve">, or arbitration determination </w:t>
      </w:r>
      <w:r>
        <w:t xml:space="preserve">that has </w:t>
      </w:r>
      <w:r w:rsidR="007012E7">
        <w:t xml:space="preserve">been </w:t>
      </w:r>
      <w:r w:rsidR="001F24AB">
        <w:t>made</w:t>
      </w:r>
      <w:r w:rsidR="006942B2">
        <w:t>,</w:t>
      </w:r>
      <w:r>
        <w:t xml:space="preserve"> prior to the revocation </w:t>
      </w:r>
      <w:r w:rsidR="007F2F65">
        <w:t>will continue</w:t>
      </w:r>
      <w:r w:rsidR="00E76BE8">
        <w:t xml:space="preserve"> (section 44I(4) of the CCA)</w:t>
      </w:r>
      <w:r>
        <w:t>.</w:t>
      </w:r>
    </w:p>
    <w:p w14:paraId="027010D1" w14:textId="417743BF" w:rsidR="00E76BE8" w:rsidRDefault="009E1051" w:rsidP="00FE74A6">
      <w:r>
        <w:lastRenderedPageBreak/>
        <w:t>It is arguably</w:t>
      </w:r>
      <w:r w:rsidR="006942B2">
        <w:t xml:space="preserve"> </w:t>
      </w:r>
      <w:r w:rsidR="00E76BE8">
        <w:t xml:space="preserve">inappropriate for infrastructure to be subject to an arbitration determination under the NAR after </w:t>
      </w:r>
      <w:r w:rsidR="00C61E82">
        <w:t>the infrastructure</w:t>
      </w:r>
      <w:r w:rsidR="00E76BE8">
        <w:t xml:space="preserve"> </w:t>
      </w:r>
      <w:r w:rsidR="00C61E82">
        <w:t xml:space="preserve">has been found to </w:t>
      </w:r>
      <w:r w:rsidR="00E76BE8">
        <w:t xml:space="preserve">no longer </w:t>
      </w:r>
      <w:r w:rsidR="00C61E82">
        <w:t xml:space="preserve">meet the declaration criteria set out in </w:t>
      </w:r>
      <w:r w:rsidR="00E76BE8">
        <w:t xml:space="preserve">the </w:t>
      </w:r>
      <w:r w:rsidR="0012472E">
        <w:t>r</w:t>
      </w:r>
      <w:r w:rsidR="00B36A72">
        <w:t>egime</w:t>
      </w:r>
      <w:r w:rsidR="00E76BE8">
        <w:t>. This concern is exacerbated by the potential for this situation to extend for several years.</w:t>
      </w:r>
    </w:p>
    <w:p w14:paraId="26715C1A" w14:textId="34169908" w:rsidR="009E1051" w:rsidRDefault="004160F6" w:rsidP="00FE74A6">
      <w:r>
        <w:t>On the other hand</w:t>
      </w:r>
      <w:r w:rsidR="00E66935">
        <w:t xml:space="preserve">, </w:t>
      </w:r>
      <w:r w:rsidR="009E1051">
        <w:t xml:space="preserve">establishing a process </w:t>
      </w:r>
      <w:r>
        <w:t>under which</w:t>
      </w:r>
      <w:r w:rsidR="009E1051">
        <w:t xml:space="preserve"> </w:t>
      </w:r>
      <w:r>
        <w:t>an arbitration decision would term</w:t>
      </w:r>
      <w:r w:rsidR="00723EBA">
        <w:t xml:space="preserve">inate upon revocation </w:t>
      </w:r>
      <w:r w:rsidR="00A730F5">
        <w:t xml:space="preserve">of the declaration </w:t>
      </w:r>
      <w:r w:rsidR="00723EBA">
        <w:t>c</w:t>
      </w:r>
      <w:r>
        <w:t>ould create uncertainty for infrastructure users</w:t>
      </w:r>
      <w:r w:rsidR="00B37356">
        <w:t xml:space="preserve">. This is because whether and when </w:t>
      </w:r>
      <w:r>
        <w:t xml:space="preserve">a revocation </w:t>
      </w:r>
      <w:r w:rsidR="00B37356">
        <w:t xml:space="preserve">decision might </w:t>
      </w:r>
      <w:r>
        <w:t xml:space="preserve">be </w:t>
      </w:r>
      <w:r w:rsidR="00B37356">
        <w:t xml:space="preserve">made in the future would be </w:t>
      </w:r>
      <w:r>
        <w:t xml:space="preserve">unknown at the time </w:t>
      </w:r>
      <w:r w:rsidR="0078145A">
        <w:t>o</w:t>
      </w:r>
      <w:r w:rsidR="00654900">
        <w:t xml:space="preserve">f </w:t>
      </w:r>
      <w:r>
        <w:t>declaration. Th</w:t>
      </w:r>
      <w:r w:rsidR="00723EBA">
        <w:t>is</w:t>
      </w:r>
      <w:r w:rsidR="00C95BAF">
        <w:t xml:space="preserve"> risk of revocation </w:t>
      </w:r>
      <w:r>
        <w:t xml:space="preserve">may reduce investment incentives for infrastructure users, to the extent that those incentives rely on </w:t>
      </w:r>
      <w:r w:rsidR="00090CB1">
        <w:t>an</w:t>
      </w:r>
      <w:r>
        <w:t xml:space="preserve"> arbitration de</w:t>
      </w:r>
      <w:r w:rsidR="001C781D">
        <w:t>termination</w:t>
      </w:r>
      <w:r>
        <w:t>.</w:t>
      </w:r>
      <w:r w:rsidR="00C95BAF">
        <w:t xml:space="preserve"> This risk may be reduced </w:t>
      </w:r>
      <w:r w:rsidR="0075304E">
        <w:t xml:space="preserve">somewhat </w:t>
      </w:r>
      <w:r w:rsidR="00C95BAF">
        <w:t>if revocation processes could only be commenced after a material change in circumstances or a specified period of time had passed.</w:t>
      </w:r>
    </w:p>
    <w:p w14:paraId="59E92CE2" w14:textId="23E93311" w:rsidR="008E6D0E" w:rsidRDefault="007F7700" w:rsidP="008E6D0E">
      <w:r>
        <w:t xml:space="preserve">Interested parties’ </w:t>
      </w:r>
      <w:r w:rsidR="008E6D0E">
        <w:t>views are sought on the following option:</w:t>
      </w:r>
    </w:p>
    <w:p w14:paraId="77510F58" w14:textId="49132750" w:rsidR="00A44AE0" w:rsidRDefault="008E6D0E" w:rsidP="005560D8">
      <w:pPr>
        <w:rPr>
          <w:u w:val="single"/>
        </w:rPr>
      </w:pPr>
      <w:r>
        <w:rPr>
          <w:u w:val="single"/>
        </w:rPr>
        <w:t>Option</w:t>
      </w:r>
      <w:r w:rsidR="00A80F14" w:rsidRPr="00A80F14">
        <w:rPr>
          <w:u w:val="single"/>
        </w:rPr>
        <w:t xml:space="preserve"> </w:t>
      </w:r>
      <w:r w:rsidR="00342148">
        <w:rPr>
          <w:u w:val="single"/>
        </w:rPr>
        <w:t>6</w:t>
      </w:r>
      <w:r w:rsidR="00A80F14" w:rsidRPr="00A80F14">
        <w:rPr>
          <w:u w:val="single"/>
        </w:rPr>
        <w:t>:</w:t>
      </w:r>
      <w:r w:rsidR="00A80F14" w:rsidRPr="005560D8">
        <w:t xml:space="preserve"> </w:t>
      </w:r>
      <w:r w:rsidR="00FA5BF9" w:rsidRPr="005560D8">
        <w:t xml:space="preserve">Provide </w:t>
      </w:r>
      <w:r w:rsidR="00FA5BF9">
        <w:t xml:space="preserve">for arbitration proceedings </w:t>
      </w:r>
      <w:r>
        <w:t xml:space="preserve">and </w:t>
      </w:r>
      <w:r w:rsidR="00FA5BF9">
        <w:t>arbitration determination</w:t>
      </w:r>
      <w:r>
        <w:t xml:space="preserve">s </w:t>
      </w:r>
      <w:r w:rsidR="00EE1838">
        <w:t xml:space="preserve">under the NAR </w:t>
      </w:r>
      <w:r>
        <w:t>to terminate</w:t>
      </w:r>
      <w:r w:rsidR="00FA5BF9">
        <w:t xml:space="preserve"> if </w:t>
      </w:r>
      <w:r>
        <w:t xml:space="preserve">the </w:t>
      </w:r>
      <w:r w:rsidR="00A80F14">
        <w:t xml:space="preserve">declaration </w:t>
      </w:r>
      <w:r w:rsidR="00FA5BF9">
        <w:t xml:space="preserve">of the </w:t>
      </w:r>
      <w:r>
        <w:t xml:space="preserve">relevant </w:t>
      </w:r>
      <w:r w:rsidR="00FA5BF9">
        <w:t xml:space="preserve">infrastructure </w:t>
      </w:r>
      <w:r w:rsidR="00EE1838">
        <w:t xml:space="preserve">service </w:t>
      </w:r>
      <w:r>
        <w:t>is revoked.</w:t>
      </w:r>
    </w:p>
    <w:p w14:paraId="0E12A4DF" w14:textId="3AEA50D2" w:rsidR="00A44AE0" w:rsidRPr="00612677" w:rsidRDefault="00A44AE0">
      <w:pPr>
        <w:spacing w:before="0" w:after="160" w:line="259" w:lineRule="auto"/>
      </w:pPr>
      <w:r w:rsidRPr="00612677">
        <w:br w:type="page"/>
      </w:r>
    </w:p>
    <w:p w14:paraId="4DC803FD" w14:textId="4458E659" w:rsidR="00A44AE0" w:rsidRDefault="00A44AE0" w:rsidP="00A44AE0">
      <w:pPr>
        <w:pStyle w:val="Heading2"/>
      </w:pPr>
      <w:bookmarkStart w:id="39" w:name="_Toc65853625"/>
      <w:bookmarkStart w:id="40" w:name="_Toc65855322"/>
      <w:bookmarkStart w:id="41" w:name="_Toc65856077"/>
      <w:bookmarkStart w:id="42" w:name="_Toc67043670"/>
      <w:r>
        <w:lastRenderedPageBreak/>
        <w:t>A</w:t>
      </w:r>
      <w:r w:rsidR="005E6AC3">
        <w:t>ttachment A</w:t>
      </w:r>
      <w:bookmarkEnd w:id="39"/>
      <w:bookmarkEnd w:id="40"/>
      <w:bookmarkEnd w:id="41"/>
      <w:r w:rsidR="00555A14">
        <w:t xml:space="preserve"> – Declaration process</w:t>
      </w:r>
      <w:bookmarkEnd w:id="42"/>
      <w:r w:rsidR="00555A14">
        <w:t xml:space="preserve"> </w:t>
      </w:r>
    </w:p>
    <w:bookmarkStart w:id="43" w:name="_Toc67043671"/>
    <w:bookmarkStart w:id="44" w:name="_Toc65856078"/>
    <w:p w14:paraId="4AE25826" w14:textId="4E18C8E7" w:rsidR="008759F6" w:rsidRDefault="00F2066C" w:rsidP="008759F6">
      <w:pPr>
        <w:pStyle w:val="Heading3"/>
      </w:pPr>
      <w:r>
        <w:rPr>
          <w:noProof/>
        </w:rPr>
        <mc:AlternateContent>
          <mc:Choice Requires="wpg">
            <w:drawing>
              <wp:anchor distT="0" distB="0" distL="114300" distR="114300" simplePos="0" relativeHeight="251658240" behindDoc="0" locked="0" layoutInCell="1" allowOverlap="1" wp14:anchorId="7E562942" wp14:editId="688B73BF">
                <wp:simplePos x="0" y="0"/>
                <wp:positionH relativeFrom="margin">
                  <wp:align>left</wp:align>
                </wp:positionH>
                <wp:positionV relativeFrom="paragraph">
                  <wp:posOffset>335915</wp:posOffset>
                </wp:positionV>
                <wp:extent cx="6424295" cy="8267708"/>
                <wp:effectExtent l="0" t="0" r="14605" b="19050"/>
                <wp:wrapNone/>
                <wp:docPr id="29" name="Group 29"/>
                <wp:cNvGraphicFramePr/>
                <a:graphic xmlns:a="http://schemas.openxmlformats.org/drawingml/2006/main">
                  <a:graphicData uri="http://schemas.microsoft.com/office/word/2010/wordprocessingGroup">
                    <wpg:wgp>
                      <wpg:cNvGrpSpPr/>
                      <wpg:grpSpPr>
                        <a:xfrm>
                          <a:off x="0" y="0"/>
                          <a:ext cx="6424295" cy="8267708"/>
                          <a:chOff x="0" y="0"/>
                          <a:chExt cx="6424551" cy="6820572"/>
                        </a:xfrm>
                      </wpg:grpSpPr>
                      <wps:wsp>
                        <wps:cNvPr id="30" name="Text Box 30"/>
                        <wps:cNvSpPr txBox="1"/>
                        <wps:spPr>
                          <a:xfrm>
                            <a:off x="11876" y="0"/>
                            <a:ext cx="6412675" cy="62939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BC2EFF2" w14:textId="7AE80208" w:rsidR="00B91248" w:rsidRPr="00157DBD" w:rsidRDefault="00B91248" w:rsidP="0034239A">
                              <w:pPr>
                                <w:jc w:val="center"/>
                                <w:rPr>
                                  <w:sz w:val="24"/>
                                  <w:szCs w:val="24"/>
                                </w:rPr>
                              </w:pPr>
                              <w:r w:rsidRPr="00157DBD">
                                <w:rPr>
                                  <w:sz w:val="24"/>
                                  <w:szCs w:val="24"/>
                                </w:rPr>
                                <w:t>Any person can apply to the NCC for a recommendation to ‘declare’ a service under the National Access Regime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1096901"/>
                            <a:ext cx="4251325" cy="593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7BE72A" w14:textId="01059DE1" w:rsidR="00B91248" w:rsidRPr="00157DBD" w:rsidRDefault="00B91248" w:rsidP="0034239A">
                              <w:pPr>
                                <w:jc w:val="center"/>
                                <w:rPr>
                                  <w:sz w:val="24"/>
                                  <w:szCs w:val="24"/>
                                </w:rPr>
                              </w:pPr>
                              <w:r>
                                <w:rPr>
                                  <w:sz w:val="24"/>
                                  <w:szCs w:val="24"/>
                                </w:rPr>
                                <w:t>The NCC must recommend to the Minister that the service be declared or not be declared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876" y="2208810"/>
                            <a:ext cx="4251366" cy="10678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C5FFE56" w14:textId="77777777" w:rsidR="00B91248" w:rsidRPr="00FE6349" w:rsidRDefault="00B91248" w:rsidP="0034239A">
                              <w:pPr>
                                <w:spacing w:after="160" w:line="259" w:lineRule="auto"/>
                                <w:jc w:val="center"/>
                                <w:rPr>
                                  <w:sz w:val="24"/>
                                  <w:szCs w:val="24"/>
                                </w:rPr>
                              </w:pPr>
                              <w:r w:rsidRPr="00FE6349">
                                <w:rPr>
                                  <w:sz w:val="24"/>
                                  <w:szCs w:val="24"/>
                                </w:rPr>
                                <w:t>The Minister decides to declare, or not to declare, the service</w:t>
                              </w:r>
                              <w:r w:rsidRPr="00FE6349">
                                <w:rPr>
                                  <w:sz w:val="24"/>
                                  <w:szCs w:val="24"/>
                                </w:rPr>
                                <w:br/>
                              </w:r>
                              <w:r w:rsidRPr="00FE6349">
                                <w:rPr>
                                  <w:sz w:val="24"/>
                                  <w:szCs w:val="24"/>
                                </w:rPr>
                                <w:br/>
                              </w:r>
                              <w:r w:rsidRPr="00FE6349">
                                <w:rPr>
                                  <w:i/>
                                  <w:iCs/>
                                  <w:sz w:val="24"/>
                                  <w:szCs w:val="24"/>
                                </w:rPr>
                                <w:t>If they do not publish their decision within 60 days of receiving the recommendation, Minister is deemed to make a decision in accordance with the recommendation</w:t>
                              </w:r>
                            </w:p>
                            <w:p w14:paraId="39AD1F68" w14:textId="77777777" w:rsidR="00B91248" w:rsidRPr="00157DBD" w:rsidRDefault="00B91248" w:rsidP="001644B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3711774"/>
                            <a:ext cx="4263241" cy="65716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19A9D7E" w14:textId="77777777" w:rsidR="00B91248" w:rsidRPr="00FE6349" w:rsidRDefault="00B91248" w:rsidP="0034239A">
                              <w:pPr>
                                <w:spacing w:after="160" w:line="259" w:lineRule="auto"/>
                                <w:jc w:val="center"/>
                                <w:rPr>
                                  <w:sz w:val="24"/>
                                  <w:szCs w:val="24"/>
                                </w:rPr>
                              </w:pPr>
                              <w:r w:rsidRPr="00FE6349">
                                <w:rPr>
                                  <w:sz w:val="24"/>
                                  <w:szCs w:val="24"/>
                                </w:rPr>
                                <w:t>If a service is declared, and an access seeker and the provider are unable to agree on terms of access, a party can ask the ACCC to arbitrate</w:t>
                              </w:r>
                            </w:p>
                            <w:p w14:paraId="6398B3E7" w14:textId="77777777" w:rsidR="00B91248" w:rsidRPr="00157DBD" w:rsidRDefault="00B91248" w:rsidP="001644B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35626" y="4884480"/>
                            <a:ext cx="4262755" cy="39179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43A898B" w14:textId="0ECE39C8" w:rsidR="00B91248" w:rsidRPr="00157DBD" w:rsidRDefault="00B91248" w:rsidP="0034239A">
                              <w:pPr>
                                <w:jc w:val="center"/>
                                <w:rPr>
                                  <w:sz w:val="24"/>
                                  <w:szCs w:val="24"/>
                                </w:rPr>
                              </w:pPr>
                              <w:r>
                                <w:rPr>
                                  <w:sz w:val="24"/>
                                  <w:szCs w:val="24"/>
                                </w:rPr>
                                <w:t>The ACCC makes an arbitration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angle 35"/>
                        <wps:cNvSpPr/>
                        <wps:spPr>
                          <a:xfrm>
                            <a:off x="4817521" y="1975520"/>
                            <a:ext cx="1379220" cy="1201003"/>
                          </a:xfrm>
                          <a:prstGeom prst="rect">
                            <a:avLst/>
                          </a:prstGeom>
                          <a:solidFill>
                            <a:sysClr val="window" lastClr="FFFFFF"/>
                          </a:solidFill>
                          <a:ln w="25400" cap="flat" cmpd="sng" algn="ctr">
                            <a:solidFill>
                              <a:srgbClr val="3A6FAF"/>
                            </a:solidFill>
                            <a:prstDash val="solid"/>
                          </a:ln>
                          <a:effectLst/>
                        </wps:spPr>
                        <wps:txbx>
                          <w:txbxContent>
                            <w:p w14:paraId="04BB9788" w14:textId="77777777" w:rsidR="00B91248" w:rsidRPr="009F249D" w:rsidRDefault="00B91248" w:rsidP="001644B6">
                              <w:pPr>
                                <w:jc w:val="center"/>
                                <w:rPr>
                                  <w:sz w:val="24"/>
                                  <w:szCs w:val="24"/>
                                </w:rPr>
                              </w:pPr>
                              <w:r w:rsidRPr="009F249D">
                                <w:rPr>
                                  <w:sz w:val="24"/>
                                  <w:szCs w:val="24"/>
                                </w:rPr>
                                <w:t>A party may apply to the Tribunal for review of the Minister’s decision or deemed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801663" y="3449574"/>
                            <a:ext cx="1379220" cy="1783720"/>
                          </a:xfrm>
                          <a:prstGeom prst="rect">
                            <a:avLst/>
                          </a:prstGeom>
                          <a:solidFill>
                            <a:sysClr val="window" lastClr="FFFFFF"/>
                          </a:solidFill>
                          <a:ln w="25400" cap="flat" cmpd="sng" algn="ctr">
                            <a:solidFill>
                              <a:srgbClr val="3A6FAF"/>
                            </a:solidFill>
                            <a:prstDash val="solid"/>
                          </a:ln>
                          <a:effectLst/>
                        </wps:spPr>
                        <wps:txbx>
                          <w:txbxContent>
                            <w:p w14:paraId="2BB0DD9A" w14:textId="77777777" w:rsidR="00B91248" w:rsidRPr="009F249D" w:rsidRDefault="00B91248" w:rsidP="001644B6">
                              <w:pPr>
                                <w:jc w:val="center"/>
                                <w:rPr>
                                  <w:sz w:val="24"/>
                                  <w:szCs w:val="24"/>
                                </w:rPr>
                              </w:pPr>
                              <w:r w:rsidRPr="009F249D">
                                <w:rPr>
                                  <w:sz w:val="24"/>
                                  <w:szCs w:val="24"/>
                                </w:rPr>
                                <w:t xml:space="preserve">A party to the arbitration may apply to the Tribunal for review of the ACCC’s determination. </w:t>
                              </w:r>
                            </w:p>
                            <w:p w14:paraId="3B322254" w14:textId="77777777" w:rsidR="00B91248" w:rsidRPr="009F249D" w:rsidRDefault="00B91248" w:rsidP="001644B6">
                              <w:pPr>
                                <w:jc w:val="center"/>
                                <w:rPr>
                                  <w:sz w:val="24"/>
                                  <w:szCs w:val="24"/>
                                </w:rPr>
                              </w:pPr>
                              <w:r w:rsidRPr="009F249D">
                                <w:rPr>
                                  <w:sz w:val="24"/>
                                  <w:szCs w:val="24"/>
                                </w:rPr>
                                <w:t>The Tribunal re-arbitrates the dispute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822601" y="5579040"/>
                            <a:ext cx="1379220" cy="1241532"/>
                          </a:xfrm>
                          <a:prstGeom prst="rect">
                            <a:avLst/>
                          </a:prstGeom>
                          <a:solidFill>
                            <a:sysClr val="window" lastClr="FFFFFF"/>
                          </a:solidFill>
                          <a:ln w="25400" cap="flat" cmpd="sng" algn="ctr">
                            <a:solidFill>
                              <a:srgbClr val="3A6FAF"/>
                            </a:solidFill>
                            <a:prstDash val="solid"/>
                          </a:ln>
                          <a:effectLst/>
                        </wps:spPr>
                        <wps:txbx>
                          <w:txbxContent>
                            <w:p w14:paraId="0D5BD200" w14:textId="77777777" w:rsidR="00B91248" w:rsidRPr="009F249D" w:rsidRDefault="00B91248" w:rsidP="001644B6">
                              <w:pPr>
                                <w:jc w:val="center"/>
                                <w:rPr>
                                  <w:sz w:val="24"/>
                                  <w:szCs w:val="24"/>
                                </w:rPr>
                              </w:pPr>
                              <w:r w:rsidRPr="009F249D">
                                <w:rPr>
                                  <w:sz w:val="24"/>
                                  <w:szCs w:val="24"/>
                                </w:rPr>
                                <w:t>A party may appeal the Tribunal’s arbitration decision to the Federal Court on a question of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Graphic 38"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6200000">
                            <a:off x="866899" y="653143"/>
                            <a:ext cx="462915" cy="462915"/>
                          </a:xfrm>
                          <a:prstGeom prst="rect">
                            <a:avLst/>
                          </a:prstGeom>
                        </pic:spPr>
                      </pic:pic>
                      <pic:pic xmlns:pic="http://schemas.openxmlformats.org/drawingml/2006/picture">
                        <pic:nvPicPr>
                          <pic:cNvPr id="39" name="Graphic 39"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6200000">
                            <a:off x="866899" y="1726117"/>
                            <a:ext cx="462915" cy="462915"/>
                          </a:xfrm>
                          <a:prstGeom prst="rect">
                            <a:avLst/>
                          </a:prstGeom>
                        </pic:spPr>
                      </pic:pic>
                      <pic:pic xmlns:pic="http://schemas.openxmlformats.org/drawingml/2006/picture">
                        <pic:nvPicPr>
                          <pic:cNvPr id="40" name="Graphic 40"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6200000">
                            <a:off x="855024" y="3276052"/>
                            <a:ext cx="462915" cy="462915"/>
                          </a:xfrm>
                          <a:prstGeom prst="rect">
                            <a:avLst/>
                          </a:prstGeom>
                        </pic:spPr>
                      </pic:pic>
                      <pic:pic xmlns:pic="http://schemas.openxmlformats.org/drawingml/2006/picture">
                        <pic:nvPicPr>
                          <pic:cNvPr id="41" name="Graphic 41"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6200000">
                            <a:off x="843148" y="4405101"/>
                            <a:ext cx="462915" cy="462915"/>
                          </a:xfrm>
                          <a:prstGeom prst="rect">
                            <a:avLst/>
                          </a:prstGeom>
                        </pic:spPr>
                      </pic:pic>
                      <pic:pic xmlns:pic="http://schemas.openxmlformats.org/drawingml/2006/picture">
                        <pic:nvPicPr>
                          <pic:cNvPr id="42" name="Graphic 42"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8955426">
                            <a:off x="4131646" y="3215603"/>
                            <a:ext cx="803982" cy="434240"/>
                          </a:xfrm>
                          <a:prstGeom prst="rect">
                            <a:avLst/>
                          </a:prstGeom>
                        </pic:spPr>
                      </pic:pic>
                      <pic:pic xmlns:pic="http://schemas.openxmlformats.org/drawingml/2006/picture">
                        <pic:nvPicPr>
                          <pic:cNvPr id="43" name="Graphic 43"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0800000">
                            <a:off x="4324522" y="4880389"/>
                            <a:ext cx="462915" cy="462915"/>
                          </a:xfrm>
                          <a:prstGeom prst="rect">
                            <a:avLst/>
                          </a:prstGeom>
                        </pic:spPr>
                      </pic:pic>
                    </wpg:wgp>
                  </a:graphicData>
                </a:graphic>
                <wp14:sizeRelV relativeFrom="margin">
                  <wp14:pctHeight>0</wp14:pctHeight>
                </wp14:sizeRelV>
              </wp:anchor>
            </w:drawing>
          </mc:Choice>
          <mc:Fallback>
            <w:pict>
              <v:group w14:anchorId="7E562942" id="Group 29" o:spid="_x0000_s1026" style="position:absolute;margin-left:0;margin-top:26.45pt;width:505.85pt;height:651pt;z-index:251658240;mso-position-horizontal:left;mso-position-horizontal-relative:margin;mso-height-relative:margin" coordsize="64245,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">
                <v:shapetype id="_x0000_t202" coordsize="21600,21600" o:spt="202" path="m,l,21600r21600,l21600,xe">
                  <v:stroke joinstyle="miter"/>
                  <v:path gradientshapeok="t" o:connecttype="rect"/>
                </v:shapetype>
                <v:shape id="Text Box 30" o:spid="_x0000_s1027" type="#_x0000_t202" style="position:absolute;left:118;width:64127;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" fillcolor="white [3201]" strokecolor="#3a6faf [3205]" strokeweight="2pt">
                  <v:textbox>
                    <w:txbxContent>
                      <w:p w14:paraId="3BC2EFF2" w14:textId="7AE80208" w:rsidR="00B91248" w:rsidRPr="00157DBD" w:rsidRDefault="00B91248" w:rsidP="0034239A">
                        <w:pPr>
                          <w:jc w:val="center"/>
                          <w:rPr>
                            <w:sz w:val="24"/>
                            <w:szCs w:val="24"/>
                          </w:rPr>
                        </w:pPr>
                        <w:r w:rsidRPr="00157DBD">
                          <w:rPr>
                            <w:sz w:val="24"/>
                            <w:szCs w:val="24"/>
                          </w:rPr>
                          <w:t>Any person can apply to the NCC for a recommendation to ‘declare’ a service under the National Access Regime</w:t>
                        </w:r>
                      </w:p>
                    </w:txbxContent>
                  </v:textbox>
                </v:shape>
                <v:shape id="Text Box 31" o:spid="_x0000_s1028" type="#_x0000_t202" style="position:absolute;top:10969;width:4251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" fillcolor="white [3201]" strokecolor="#3a6faf [3205]" strokeweight="2pt">
                  <v:textbox>
                    <w:txbxContent>
                      <w:p w14:paraId="407BE72A" w14:textId="01059DE1" w:rsidR="00B91248" w:rsidRPr="00157DBD" w:rsidRDefault="00B91248" w:rsidP="0034239A">
                        <w:pPr>
                          <w:jc w:val="center"/>
                          <w:rPr>
                            <w:sz w:val="24"/>
                            <w:szCs w:val="24"/>
                          </w:rPr>
                        </w:pPr>
                        <w:r>
                          <w:rPr>
                            <w:sz w:val="24"/>
                            <w:szCs w:val="24"/>
                          </w:rPr>
                          <w:t>The NCC must recommend to the Minister that the service be declared or not be declared</w:t>
                        </w:r>
                      </w:p>
                    </w:txbxContent>
                  </v:textbox>
                </v:shape>
                <v:shape id="Text Box 32" o:spid="_x0000_s1029" type="#_x0000_t202" style="position:absolute;left:118;top:22088;width:42514;height:10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" fillcolor="white [3201]" strokecolor="#3a6faf [3205]" strokeweight="2pt">
                  <v:textbox>
                    <w:txbxContent>
                      <w:p w14:paraId="6C5FFE56" w14:textId="77777777" w:rsidR="00B91248" w:rsidRPr="00FE6349" w:rsidRDefault="00B91248" w:rsidP="0034239A">
                        <w:pPr>
                          <w:spacing w:after="160" w:line="259" w:lineRule="auto"/>
                          <w:jc w:val="center"/>
                          <w:rPr>
                            <w:sz w:val="24"/>
                            <w:szCs w:val="24"/>
                          </w:rPr>
                        </w:pPr>
                        <w:r w:rsidRPr="00FE6349">
                          <w:rPr>
                            <w:sz w:val="24"/>
                            <w:szCs w:val="24"/>
                          </w:rPr>
                          <w:t>The Minister decides to declare, or not to declare, the service</w:t>
                        </w:r>
                        <w:r w:rsidRPr="00FE6349">
                          <w:rPr>
                            <w:sz w:val="24"/>
                            <w:szCs w:val="24"/>
                          </w:rPr>
                          <w:br/>
                        </w:r>
                        <w:r w:rsidRPr="00FE6349">
                          <w:rPr>
                            <w:sz w:val="24"/>
                            <w:szCs w:val="24"/>
                          </w:rPr>
                          <w:br/>
                        </w:r>
                        <w:r w:rsidRPr="00FE6349">
                          <w:rPr>
                            <w:i/>
                            <w:iCs/>
                            <w:sz w:val="24"/>
                            <w:szCs w:val="24"/>
                          </w:rPr>
                          <w:t>If they do not publish their decision within 60 days of receiving the recommendation, Minister is deemed to make a decision in accordance with the recommendation</w:t>
                        </w:r>
                      </w:p>
                      <w:p w14:paraId="39AD1F68" w14:textId="77777777" w:rsidR="00B91248" w:rsidRPr="00157DBD" w:rsidRDefault="00B91248" w:rsidP="001644B6">
                        <w:pPr>
                          <w:rPr>
                            <w:sz w:val="24"/>
                            <w:szCs w:val="24"/>
                          </w:rPr>
                        </w:pPr>
                      </w:p>
                    </w:txbxContent>
                  </v:textbox>
                </v:shape>
                <v:shape id="Text Box 33" o:spid="_x0000_s1030" type="#_x0000_t202" style="position:absolute;top:37117;width:4263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" fillcolor="white [3201]" strokecolor="#3a6faf [3205]" strokeweight="2pt">
                  <v:textbox>
                    <w:txbxContent>
                      <w:p w14:paraId="419A9D7E" w14:textId="77777777" w:rsidR="00B91248" w:rsidRPr="00FE6349" w:rsidRDefault="00B91248" w:rsidP="0034239A">
                        <w:pPr>
                          <w:spacing w:after="160" w:line="259" w:lineRule="auto"/>
                          <w:jc w:val="center"/>
                          <w:rPr>
                            <w:sz w:val="24"/>
                            <w:szCs w:val="24"/>
                          </w:rPr>
                        </w:pPr>
                        <w:r w:rsidRPr="00FE6349">
                          <w:rPr>
                            <w:sz w:val="24"/>
                            <w:szCs w:val="24"/>
                          </w:rPr>
                          <w:t>If a service is declared, and an access seeker and the provider are unable to agree on terms of access, a party can ask the ACCC to arbitrate</w:t>
                        </w:r>
                      </w:p>
                      <w:p w14:paraId="6398B3E7" w14:textId="77777777" w:rsidR="00B91248" w:rsidRPr="00157DBD" w:rsidRDefault="00B91248" w:rsidP="001644B6">
                        <w:pPr>
                          <w:rPr>
                            <w:sz w:val="24"/>
                            <w:szCs w:val="24"/>
                          </w:rPr>
                        </w:pPr>
                      </w:p>
                    </w:txbxContent>
                  </v:textbox>
                </v:shape>
                <v:shape id="Text Box 34" o:spid="_x0000_s1031" type="#_x0000_t202" style="position:absolute;left:356;top:48844;width:4262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" fillcolor="white [3201]" strokecolor="#3a6faf [3205]" strokeweight="2pt">
                  <v:textbox>
                    <w:txbxContent>
                      <w:p w14:paraId="743A898B" w14:textId="0ECE39C8" w:rsidR="00B91248" w:rsidRPr="00157DBD" w:rsidRDefault="00B91248" w:rsidP="0034239A">
                        <w:pPr>
                          <w:jc w:val="center"/>
                          <w:rPr>
                            <w:sz w:val="24"/>
                            <w:szCs w:val="24"/>
                          </w:rPr>
                        </w:pPr>
                        <w:r>
                          <w:rPr>
                            <w:sz w:val="24"/>
                            <w:szCs w:val="24"/>
                          </w:rPr>
                          <w:t>The ACCC makes an arbitration decision</w:t>
                        </w:r>
                      </w:p>
                    </w:txbxContent>
                  </v:textbox>
                </v:shape>
                <v:rect id="Rectangle 35" o:spid="_x0000_s1032" style="position:absolute;left:48175;top:19755;width:13792;height:1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" fillcolor="window" strokecolor="#3a6faf" strokeweight="2pt">
                  <v:textbox>
                    <w:txbxContent>
                      <w:p w14:paraId="04BB9788" w14:textId="77777777" w:rsidR="00B91248" w:rsidRPr="009F249D" w:rsidRDefault="00B91248" w:rsidP="001644B6">
                        <w:pPr>
                          <w:jc w:val="center"/>
                          <w:rPr>
                            <w:sz w:val="24"/>
                            <w:szCs w:val="24"/>
                          </w:rPr>
                        </w:pPr>
                        <w:r w:rsidRPr="009F249D">
                          <w:rPr>
                            <w:sz w:val="24"/>
                            <w:szCs w:val="24"/>
                          </w:rPr>
                          <w:t>A party may apply to the Tribunal for review of the Minister’s decision or deemed decision</w:t>
                        </w:r>
                      </w:p>
                    </w:txbxContent>
                  </v:textbox>
                </v:rect>
                <v:rect id="Rectangle 36" o:spid="_x0000_s1033" style="position:absolute;left:48016;top:34495;width:13792;height:1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" fillcolor="window" strokecolor="#3a6faf" strokeweight="2pt">
                  <v:textbox>
                    <w:txbxContent>
                      <w:p w14:paraId="2BB0DD9A" w14:textId="77777777" w:rsidR="00B91248" w:rsidRPr="009F249D" w:rsidRDefault="00B91248" w:rsidP="001644B6">
                        <w:pPr>
                          <w:jc w:val="center"/>
                          <w:rPr>
                            <w:sz w:val="24"/>
                            <w:szCs w:val="24"/>
                          </w:rPr>
                        </w:pPr>
                        <w:r w:rsidRPr="009F249D">
                          <w:rPr>
                            <w:sz w:val="24"/>
                            <w:szCs w:val="24"/>
                          </w:rPr>
                          <w:t xml:space="preserve">A party to the arbitration may apply to the Tribunal for review of the ACCC’s determination. </w:t>
                        </w:r>
                      </w:p>
                      <w:p w14:paraId="3B322254" w14:textId="77777777" w:rsidR="00B91248" w:rsidRPr="009F249D" w:rsidRDefault="00B91248" w:rsidP="001644B6">
                        <w:pPr>
                          <w:jc w:val="center"/>
                          <w:rPr>
                            <w:sz w:val="24"/>
                            <w:szCs w:val="24"/>
                          </w:rPr>
                        </w:pPr>
                        <w:r w:rsidRPr="009F249D">
                          <w:rPr>
                            <w:sz w:val="24"/>
                            <w:szCs w:val="24"/>
                          </w:rPr>
                          <w:t>The Tribunal re-arbitrates the dispute</w:t>
                        </w:r>
                      </w:p>
                    </w:txbxContent>
                  </v:textbox>
                </v:rect>
                <v:rect id="Rectangle 37" o:spid="_x0000_s1034" style="position:absolute;left:48226;top:55790;width:13792;height:1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" fillcolor="window" strokecolor="#3a6faf" strokeweight="2pt">
                  <v:textbox>
                    <w:txbxContent>
                      <w:p w14:paraId="0D5BD200" w14:textId="77777777" w:rsidR="00B91248" w:rsidRPr="009F249D" w:rsidRDefault="00B91248" w:rsidP="001644B6">
                        <w:pPr>
                          <w:jc w:val="center"/>
                          <w:rPr>
                            <w:sz w:val="24"/>
                            <w:szCs w:val="24"/>
                          </w:rPr>
                        </w:pPr>
                        <w:r w:rsidRPr="009F249D">
                          <w:rPr>
                            <w:sz w:val="24"/>
                            <w:szCs w:val="24"/>
                          </w:rPr>
                          <w:t>A party may appeal the Tribunal’s arbitration decision to the Federal Court on a question of law</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8" o:spid="_x0000_s1035" type="#_x0000_t75" alt="Line arrow Straight" style="position:absolute;left:8668;top:6531;width:4629;height:46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">
                  <v:imagedata r:id="rId28" o:title="Line arrow Straight"/>
                  <v:path arrowok="t"/>
                </v:shape>
                <v:shape id="Graphic 39" o:spid="_x0000_s1036" type="#_x0000_t75" alt="Line arrow Straight" style="position:absolute;left:8668;top:17261;width:4629;height:46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">
                  <v:imagedata r:id="rId28" o:title="Line arrow Straight"/>
                  <v:path arrowok="t"/>
                </v:shape>
                <v:shape id="Graphic 40" o:spid="_x0000_s1037" type="#_x0000_t75" alt="Line arrow Straight" style="position:absolute;left:8550;top:32760;width:4629;height:46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">
                  <v:imagedata r:id="rId28" o:title="Line arrow Straight"/>
                  <v:path arrowok="t"/>
                </v:shape>
                <v:shape id="Graphic 41" o:spid="_x0000_s1038" type="#_x0000_t75" alt="Line arrow Straight" style="position:absolute;left:8431;top:44051;width:4629;height:46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">
                  <v:imagedata r:id="rId28" o:title="Line arrow Straight"/>
                  <v:path arrowok="t"/>
                </v:shape>
                <v:shape id="Graphic 42" o:spid="_x0000_s1039" type="#_x0000_t75" alt="Line arrow Straight" style="position:absolute;left:41316;top:32156;width:8040;height:4342;rotation:-28885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">
                  <v:imagedata r:id="rId28" o:title="Line arrow Straight"/>
                  <v:path arrowok="t"/>
                </v:shape>
                <v:shape id="Graphic 43" o:spid="_x0000_s1040" type="#_x0000_t75" alt="Line arrow Straight" style="position:absolute;left:43245;top:48803;width:4629;height:463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">
                  <v:imagedata r:id="rId28" o:title="Line arrow Straight"/>
                  <v:path arrowok="t"/>
                </v:shape>
                <w10:wrap anchorx="margin"/>
              </v:group>
            </w:pict>
          </mc:Fallback>
        </mc:AlternateContent>
      </w:r>
      <w:r w:rsidR="002E1C16">
        <w:t>Outline of the declaration process</w:t>
      </w:r>
      <w:bookmarkEnd w:id="43"/>
      <w:r w:rsidR="001B41BB">
        <w:t xml:space="preserve"> </w:t>
      </w:r>
    </w:p>
    <w:p w14:paraId="54FA7ED7" w14:textId="77777777" w:rsidR="0034239A" w:rsidRPr="0034239A" w:rsidRDefault="0034239A" w:rsidP="0034239A"/>
    <w:p w14:paraId="4CE3A43A" w14:textId="65140A74" w:rsidR="001644B6" w:rsidRPr="008759F6" w:rsidRDefault="001644B6" w:rsidP="008759F6"/>
    <w:p w14:paraId="3146D308" w14:textId="531EC46B" w:rsidR="00E77C0D" w:rsidRDefault="00E77C0D" w:rsidP="00247730"/>
    <w:p w14:paraId="6EEEA29B" w14:textId="130DEC57" w:rsidR="00E77C0D" w:rsidRDefault="00E77C0D" w:rsidP="00247730"/>
    <w:p w14:paraId="5F04111C" w14:textId="4A7D6A21" w:rsidR="00E77C0D" w:rsidRDefault="00E77C0D" w:rsidP="00247730"/>
    <w:p w14:paraId="079594A4" w14:textId="2D177EBA" w:rsidR="002E1C16" w:rsidRDefault="002E1C16" w:rsidP="003A56FB">
      <w:pPr>
        <w:pStyle w:val="Heading3"/>
        <w:rPr>
          <w:color w:val="008569" w:themeColor="accent3"/>
          <w:szCs w:val="24"/>
        </w:rPr>
      </w:pPr>
    </w:p>
    <w:p w14:paraId="6590A2C5" w14:textId="77777777" w:rsidR="002E1C16" w:rsidRDefault="002E1C16" w:rsidP="003A56FB">
      <w:pPr>
        <w:pStyle w:val="Heading3"/>
        <w:rPr>
          <w:color w:val="008569" w:themeColor="accent3"/>
          <w:szCs w:val="24"/>
        </w:rPr>
      </w:pPr>
    </w:p>
    <w:p w14:paraId="4DEDBD17" w14:textId="1CB69247" w:rsidR="002E1C16" w:rsidRDefault="002E1C16" w:rsidP="003A56FB">
      <w:pPr>
        <w:pStyle w:val="Heading3"/>
        <w:rPr>
          <w:color w:val="008569" w:themeColor="accent3"/>
          <w:szCs w:val="24"/>
        </w:rPr>
      </w:pPr>
    </w:p>
    <w:p w14:paraId="3578EB3C" w14:textId="77777777" w:rsidR="002E1C16" w:rsidRDefault="002E1C16" w:rsidP="003A56FB">
      <w:pPr>
        <w:pStyle w:val="Heading3"/>
        <w:rPr>
          <w:color w:val="008569" w:themeColor="accent3"/>
          <w:szCs w:val="24"/>
        </w:rPr>
      </w:pPr>
    </w:p>
    <w:p w14:paraId="3BE0FD60" w14:textId="4A9A2E98" w:rsidR="002E1C16" w:rsidRDefault="009F249D" w:rsidP="003A56FB">
      <w:pPr>
        <w:pStyle w:val="Heading3"/>
        <w:rPr>
          <w:color w:val="008569" w:themeColor="accent3"/>
          <w:szCs w:val="24"/>
        </w:rPr>
      </w:pPr>
      <w:bookmarkStart w:id="45" w:name="_Toc66202473"/>
      <w:bookmarkStart w:id="46" w:name="_Toc66204542"/>
      <w:bookmarkStart w:id="47" w:name="_Toc66469812"/>
      <w:bookmarkStart w:id="48" w:name="_Toc67043672"/>
      <w:r>
        <w:rPr>
          <w:noProof/>
        </w:rPr>
        <w:drawing>
          <wp:anchor distT="0" distB="0" distL="114300" distR="114300" simplePos="0" relativeHeight="251658242" behindDoc="0" locked="0" layoutInCell="1" allowOverlap="1" wp14:anchorId="17FA6D2A" wp14:editId="2EED4096">
            <wp:simplePos x="0" y="0"/>
            <wp:positionH relativeFrom="column">
              <wp:posOffset>4324350</wp:posOffset>
            </wp:positionH>
            <wp:positionV relativeFrom="paragraph">
              <wp:posOffset>285750</wp:posOffset>
            </wp:positionV>
            <wp:extent cx="462897" cy="462909"/>
            <wp:effectExtent l="0" t="0" r="0" b="0"/>
            <wp:wrapNone/>
            <wp:docPr id="53" name="Graphic 5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0800000">
                      <a:off x="0" y="0"/>
                      <a:ext cx="462897" cy="462909"/>
                    </a:xfrm>
                    <a:prstGeom prst="rect">
                      <a:avLst/>
                    </a:prstGeom>
                  </pic:spPr>
                </pic:pic>
              </a:graphicData>
            </a:graphic>
          </wp:anchor>
        </w:drawing>
      </w:r>
      <w:bookmarkEnd w:id="45"/>
      <w:bookmarkEnd w:id="46"/>
      <w:bookmarkEnd w:id="47"/>
      <w:bookmarkEnd w:id="48"/>
    </w:p>
    <w:p w14:paraId="6034CFB7" w14:textId="77777777" w:rsidR="002E1C16" w:rsidRDefault="002E1C16" w:rsidP="003A56FB">
      <w:pPr>
        <w:pStyle w:val="Heading3"/>
        <w:rPr>
          <w:color w:val="008569" w:themeColor="accent3"/>
          <w:szCs w:val="24"/>
        </w:rPr>
      </w:pPr>
    </w:p>
    <w:bookmarkEnd w:id="44"/>
    <w:p w14:paraId="7D5578C9" w14:textId="2E0620CF" w:rsidR="00A44AE0" w:rsidRPr="00676F6E" w:rsidRDefault="00F2066C" w:rsidP="00612677">
      <w:pPr>
        <w:keepNext/>
        <w:spacing w:before="360"/>
        <w:outlineLvl w:val="1"/>
        <w:rPr>
          <w:rFonts w:cs="Calibri"/>
          <w:color w:val="00818F" w:themeColor="accent5"/>
          <w:kern w:val="32"/>
          <w:sz w:val="28"/>
          <w:szCs w:val="26"/>
        </w:rPr>
      </w:pPr>
      <w:r>
        <w:rPr>
          <w:noProof/>
        </w:rPr>
        <w:drawing>
          <wp:anchor distT="0" distB="0" distL="114300" distR="114300" simplePos="0" relativeHeight="251658241" behindDoc="0" locked="0" layoutInCell="1" allowOverlap="1" wp14:anchorId="086DEBA4" wp14:editId="5C65767C">
            <wp:simplePos x="0" y="0"/>
            <wp:positionH relativeFrom="margin">
              <wp:posOffset>5331782</wp:posOffset>
            </wp:positionH>
            <wp:positionV relativeFrom="paragraph">
              <wp:posOffset>2865269</wp:posOffset>
            </wp:positionV>
            <wp:extent cx="400046" cy="400056"/>
            <wp:effectExtent l="0" t="317" r="0" b="318"/>
            <wp:wrapNone/>
            <wp:docPr id="13" name="Graphic 4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Line arrow Straigh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6200000">
                      <a:off x="0" y="0"/>
                      <a:ext cx="400046" cy="400056"/>
                    </a:xfrm>
                    <a:prstGeom prst="rect">
                      <a:avLst/>
                    </a:prstGeom>
                  </pic:spPr>
                </pic:pic>
              </a:graphicData>
            </a:graphic>
            <wp14:sizeRelH relativeFrom="margin">
              <wp14:pctWidth>0</wp14:pctWidth>
            </wp14:sizeRelH>
            <wp14:sizeRelV relativeFrom="margin">
              <wp14:pctHeight>0</wp14:pctHeight>
            </wp14:sizeRelV>
          </wp:anchor>
        </w:drawing>
      </w:r>
    </w:p>
    <w:sectPr w:rsidR="00A44AE0" w:rsidRPr="00676F6E" w:rsidSect="00E1136B">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B0D2E" w14:textId="77777777" w:rsidR="00B91248" w:rsidRDefault="00B91248">
      <w:pPr>
        <w:spacing w:before="0" w:after="0"/>
      </w:pPr>
      <w:r>
        <w:separator/>
      </w:r>
    </w:p>
  </w:endnote>
  <w:endnote w:type="continuationSeparator" w:id="0">
    <w:p w14:paraId="50640ECD" w14:textId="77777777" w:rsidR="00B91248" w:rsidRDefault="00B91248">
      <w:pPr>
        <w:spacing w:before="0" w:after="0"/>
      </w:pPr>
      <w:r>
        <w:continuationSeparator/>
      </w:r>
    </w:p>
  </w:endnote>
  <w:endnote w:type="continuationNotice" w:id="1">
    <w:p w14:paraId="5EFF87EF" w14:textId="77777777" w:rsidR="00B91248" w:rsidRDefault="00B912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j-l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507A" w14:textId="77777777" w:rsidR="00B91248" w:rsidRPr="00E77C89" w:rsidRDefault="00B91248"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41A4" w14:textId="77777777" w:rsidR="00B91248" w:rsidRPr="00E77C89" w:rsidRDefault="00B91248" w:rsidP="0017089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7754D" w14:textId="1BA57DB3" w:rsidR="00B91248" w:rsidRPr="00E1136B" w:rsidRDefault="00B91248" w:rsidP="00E1136B">
    <w:pPr>
      <w:pStyle w:val="Footer"/>
    </w:pPr>
    <w:r>
      <w:fldChar w:fldCharType="begin"/>
    </w:r>
    <w:r>
      <w:instrText xml:space="preserve"> PAGE   \* MERGEFORMAT </w:instrText>
    </w:r>
    <w:r>
      <w:fldChar w:fldCharType="separate"/>
    </w:r>
    <w:r w:rsidR="008A2E04">
      <w:rPr>
        <w:noProof/>
      </w:rPr>
      <w:t>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D0D2" w14:textId="77777777" w:rsidR="00B91248" w:rsidRDefault="00B91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A1EDC" w14:textId="77777777" w:rsidR="00B91248" w:rsidRDefault="00B91248">
      <w:pPr>
        <w:spacing w:before="0" w:after="0"/>
      </w:pPr>
      <w:r>
        <w:separator/>
      </w:r>
    </w:p>
  </w:footnote>
  <w:footnote w:type="continuationSeparator" w:id="0">
    <w:p w14:paraId="143A87C6" w14:textId="77777777" w:rsidR="00B91248" w:rsidRDefault="00B91248">
      <w:pPr>
        <w:spacing w:before="0" w:after="0"/>
      </w:pPr>
      <w:r>
        <w:continuationSeparator/>
      </w:r>
    </w:p>
  </w:footnote>
  <w:footnote w:type="continuationNotice" w:id="1">
    <w:p w14:paraId="1334553A" w14:textId="77777777" w:rsidR="00B91248" w:rsidRDefault="00B91248">
      <w:pPr>
        <w:spacing w:before="0" w:after="0"/>
      </w:pPr>
    </w:p>
  </w:footnote>
  <w:footnote w:id="2">
    <w:p w14:paraId="57116E60" w14:textId="0F60B2CE" w:rsidR="00B91248" w:rsidRDefault="00B91248" w:rsidP="00602161">
      <w:pPr>
        <w:pStyle w:val="FootnoteText"/>
      </w:pPr>
      <w:r>
        <w:rPr>
          <w:rStyle w:val="FootnoteReference"/>
        </w:rPr>
        <w:footnoteRef/>
      </w:r>
      <w:r>
        <w:t xml:space="preserve"> Virgin initially applied for declaration of both airside services and domestic terminal services at Sydney Airport, but subsequently withdrew its application in respect of domestic terminal services after reaching agreement with Sydney Airport Corporation Limited.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53DE6" w14:textId="77777777" w:rsidR="00B91248" w:rsidRDefault="00B91248">
    <w:pPr>
      <w:pStyle w:val="Header"/>
    </w:pPr>
    <w:r>
      <w:rPr>
        <w:noProof/>
      </w:rPr>
      <w:drawing>
        <wp:anchor distT="0" distB="0" distL="114300" distR="114300" simplePos="0" relativeHeight="251658240" behindDoc="1" locked="0" layoutInCell="1" allowOverlap="1" wp14:anchorId="35D5BE44" wp14:editId="63F1176F">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7E4F0" w14:textId="77777777" w:rsidR="00B91248" w:rsidRPr="001F3912" w:rsidRDefault="00B91248"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F9CD" w14:textId="77777777" w:rsidR="00B91248" w:rsidRPr="001F3912" w:rsidRDefault="00B91248" w:rsidP="0017089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D0D9" w14:textId="77777777" w:rsidR="00B91248" w:rsidRPr="001F3912" w:rsidRDefault="00B91248" w:rsidP="0017089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B917" w14:textId="34251166" w:rsidR="00B91248" w:rsidRPr="001F3912" w:rsidRDefault="008A2E04" w:rsidP="001606CF">
    <w:pPr>
      <w:pStyle w:val="Header"/>
    </w:pPr>
    <w:r>
      <w:fldChar w:fldCharType="begin"/>
    </w:r>
    <w:r>
      <w:instrText xml:space="preserve"> STYLEREF  Title  \* MERGEFORMAT </w:instrText>
    </w:r>
    <w:r>
      <w:fldChar w:fldCharType="separate"/>
    </w:r>
    <w:r>
      <w:rPr>
        <w:noProof/>
      </w:rPr>
      <w:t>Timeliness of processes under the National Access Regime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D930C" w14:textId="77777777" w:rsidR="00B91248" w:rsidRDefault="00B91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A323F60"/>
    <w:multiLevelType w:val="hybridMultilevel"/>
    <w:tmpl w:val="BCD271BC"/>
    <w:lvl w:ilvl="0" w:tplc="0C090001">
      <w:start w:val="1"/>
      <w:numFmt w:val="bullet"/>
      <w:lvlText w:val=""/>
      <w:lvlJc w:val="left"/>
      <w:pPr>
        <w:ind w:left="720" w:hanging="360"/>
      </w:pPr>
      <w:rPr>
        <w:rFonts w:ascii="Symbol" w:hAnsi="Symbol" w:hint="default"/>
      </w:rPr>
    </w:lvl>
    <w:lvl w:ilvl="1" w:tplc="B6CE925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4D6FB5"/>
    <w:multiLevelType w:val="multilevel"/>
    <w:tmpl w:val="767CE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CD3837"/>
    <w:multiLevelType w:val="hybridMultilevel"/>
    <w:tmpl w:val="865E68F8"/>
    <w:lvl w:ilvl="0" w:tplc="036E05A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27B4C"/>
    <w:multiLevelType w:val="multilevel"/>
    <w:tmpl w:val="63BA44AE"/>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463A27"/>
    <w:multiLevelType w:val="hybridMultilevel"/>
    <w:tmpl w:val="46F4956C"/>
    <w:lvl w:ilvl="0" w:tplc="C01ECAFE">
      <w:start w:val="1"/>
      <w:numFmt w:val="bullet"/>
      <w:lvlText w:val="•"/>
      <w:lvlJc w:val="left"/>
      <w:pPr>
        <w:tabs>
          <w:tab w:val="num" w:pos="720"/>
        </w:tabs>
        <w:ind w:left="720" w:hanging="360"/>
      </w:pPr>
      <w:rPr>
        <w:rFonts w:ascii="+mj-lt" w:hAnsi="+mj-lt" w:hint="default"/>
      </w:rPr>
    </w:lvl>
    <w:lvl w:ilvl="1" w:tplc="E8F6EBA6" w:tentative="1">
      <w:start w:val="1"/>
      <w:numFmt w:val="bullet"/>
      <w:lvlText w:val="•"/>
      <w:lvlJc w:val="left"/>
      <w:pPr>
        <w:tabs>
          <w:tab w:val="num" w:pos="1440"/>
        </w:tabs>
        <w:ind w:left="1440" w:hanging="360"/>
      </w:pPr>
      <w:rPr>
        <w:rFonts w:ascii="+mj-lt" w:hAnsi="+mj-lt" w:hint="default"/>
      </w:rPr>
    </w:lvl>
    <w:lvl w:ilvl="2" w:tplc="BD9A5298" w:tentative="1">
      <w:start w:val="1"/>
      <w:numFmt w:val="bullet"/>
      <w:lvlText w:val="•"/>
      <w:lvlJc w:val="left"/>
      <w:pPr>
        <w:tabs>
          <w:tab w:val="num" w:pos="2160"/>
        </w:tabs>
        <w:ind w:left="2160" w:hanging="360"/>
      </w:pPr>
      <w:rPr>
        <w:rFonts w:ascii="+mj-lt" w:hAnsi="+mj-lt" w:hint="default"/>
      </w:rPr>
    </w:lvl>
    <w:lvl w:ilvl="3" w:tplc="F0D23EC8" w:tentative="1">
      <w:start w:val="1"/>
      <w:numFmt w:val="bullet"/>
      <w:lvlText w:val="•"/>
      <w:lvlJc w:val="left"/>
      <w:pPr>
        <w:tabs>
          <w:tab w:val="num" w:pos="2880"/>
        </w:tabs>
        <w:ind w:left="2880" w:hanging="360"/>
      </w:pPr>
      <w:rPr>
        <w:rFonts w:ascii="+mj-lt" w:hAnsi="+mj-lt" w:hint="default"/>
      </w:rPr>
    </w:lvl>
    <w:lvl w:ilvl="4" w:tplc="07CA3982" w:tentative="1">
      <w:start w:val="1"/>
      <w:numFmt w:val="bullet"/>
      <w:lvlText w:val="•"/>
      <w:lvlJc w:val="left"/>
      <w:pPr>
        <w:tabs>
          <w:tab w:val="num" w:pos="3600"/>
        </w:tabs>
        <w:ind w:left="3600" w:hanging="360"/>
      </w:pPr>
      <w:rPr>
        <w:rFonts w:ascii="+mj-lt" w:hAnsi="+mj-lt" w:hint="default"/>
      </w:rPr>
    </w:lvl>
    <w:lvl w:ilvl="5" w:tplc="802A48CC" w:tentative="1">
      <w:start w:val="1"/>
      <w:numFmt w:val="bullet"/>
      <w:lvlText w:val="•"/>
      <w:lvlJc w:val="left"/>
      <w:pPr>
        <w:tabs>
          <w:tab w:val="num" w:pos="4320"/>
        </w:tabs>
        <w:ind w:left="4320" w:hanging="360"/>
      </w:pPr>
      <w:rPr>
        <w:rFonts w:ascii="+mj-lt" w:hAnsi="+mj-lt" w:hint="default"/>
      </w:rPr>
    </w:lvl>
    <w:lvl w:ilvl="6" w:tplc="2142214E" w:tentative="1">
      <w:start w:val="1"/>
      <w:numFmt w:val="bullet"/>
      <w:lvlText w:val="•"/>
      <w:lvlJc w:val="left"/>
      <w:pPr>
        <w:tabs>
          <w:tab w:val="num" w:pos="5040"/>
        </w:tabs>
        <w:ind w:left="5040" w:hanging="360"/>
      </w:pPr>
      <w:rPr>
        <w:rFonts w:ascii="+mj-lt" w:hAnsi="+mj-lt" w:hint="default"/>
      </w:rPr>
    </w:lvl>
    <w:lvl w:ilvl="7" w:tplc="236EA054" w:tentative="1">
      <w:start w:val="1"/>
      <w:numFmt w:val="bullet"/>
      <w:lvlText w:val="•"/>
      <w:lvlJc w:val="left"/>
      <w:pPr>
        <w:tabs>
          <w:tab w:val="num" w:pos="5760"/>
        </w:tabs>
        <w:ind w:left="5760" w:hanging="360"/>
      </w:pPr>
      <w:rPr>
        <w:rFonts w:ascii="+mj-lt" w:hAnsi="+mj-lt" w:hint="default"/>
      </w:rPr>
    </w:lvl>
    <w:lvl w:ilvl="8" w:tplc="258A69AC" w:tentative="1">
      <w:start w:val="1"/>
      <w:numFmt w:val="bullet"/>
      <w:lvlText w:val="•"/>
      <w:lvlJc w:val="left"/>
      <w:pPr>
        <w:tabs>
          <w:tab w:val="num" w:pos="6480"/>
        </w:tabs>
        <w:ind w:left="6480" w:hanging="360"/>
      </w:pPr>
      <w:rPr>
        <w:rFonts w:ascii="+mj-lt" w:hAnsi="+mj-lt" w:hint="default"/>
      </w:rPr>
    </w:lvl>
  </w:abstractNum>
  <w:abstractNum w:abstractNumId="12"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D71FF9"/>
    <w:multiLevelType w:val="hybridMultilevel"/>
    <w:tmpl w:val="A1EE9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0D2021"/>
    <w:multiLevelType w:val="multilevel"/>
    <w:tmpl w:val="72F8140E"/>
    <w:numStyleLink w:val="OutlineList"/>
  </w:abstractNum>
  <w:abstractNum w:abstractNumId="17" w15:restartNumberingAfterBreak="0">
    <w:nsid w:val="67212D8A"/>
    <w:multiLevelType w:val="multilevel"/>
    <w:tmpl w:val="6878556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8CA609F"/>
    <w:multiLevelType w:val="hybridMultilevel"/>
    <w:tmpl w:val="EF3A3B7A"/>
    <w:lvl w:ilvl="0" w:tplc="B6CE925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A21A11"/>
    <w:multiLevelType w:val="hybridMultilevel"/>
    <w:tmpl w:val="2166A6DA"/>
    <w:lvl w:ilvl="0" w:tplc="E4E6F1E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F01760"/>
    <w:multiLevelType w:val="hybridMultilevel"/>
    <w:tmpl w:val="D9B45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B16110"/>
    <w:multiLevelType w:val="multilevel"/>
    <w:tmpl w:val="7AFA27D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680" w:hanging="360"/>
      </w:pPr>
    </w:lvl>
    <w:lvl w:ilvl="4">
      <w:start w:val="1"/>
      <w:numFmt w:val="lowerLetter"/>
      <w:lvlText w:val="(%5)"/>
      <w:lvlJc w:val="left"/>
      <w:pPr>
        <w:ind w:left="3040" w:hanging="360"/>
      </w:pPr>
    </w:lvl>
    <w:lvl w:ilvl="5">
      <w:start w:val="1"/>
      <w:numFmt w:val="lowerRoman"/>
      <w:lvlText w:val="(%6)"/>
      <w:lvlJc w:val="left"/>
      <w:pPr>
        <w:ind w:left="3400" w:hanging="360"/>
      </w:pPr>
    </w:lvl>
    <w:lvl w:ilvl="6">
      <w:start w:val="1"/>
      <w:numFmt w:val="decimal"/>
      <w:lvlText w:val="%7."/>
      <w:lvlJc w:val="left"/>
      <w:pPr>
        <w:ind w:left="3760" w:hanging="360"/>
      </w:pPr>
    </w:lvl>
    <w:lvl w:ilvl="7">
      <w:start w:val="1"/>
      <w:numFmt w:val="lowerLetter"/>
      <w:lvlText w:val="%8."/>
      <w:lvlJc w:val="left"/>
      <w:pPr>
        <w:ind w:left="4120" w:hanging="360"/>
      </w:pPr>
    </w:lvl>
    <w:lvl w:ilvl="8">
      <w:start w:val="1"/>
      <w:numFmt w:val="lowerRoman"/>
      <w:lvlText w:val="%9."/>
      <w:lvlJc w:val="left"/>
      <w:pPr>
        <w:ind w:left="4480" w:hanging="360"/>
      </w:pPr>
    </w:lvl>
  </w:abstractNum>
  <w:abstractNum w:abstractNumId="2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2"/>
  </w:num>
  <w:num w:numId="2">
    <w:abstractNumId w:val="1"/>
  </w:num>
  <w:num w:numId="3">
    <w:abstractNumId w:val="14"/>
  </w:num>
  <w:num w:numId="4">
    <w:abstractNumId w:val="5"/>
  </w:num>
  <w:num w:numId="5">
    <w:abstractNumId w:val="6"/>
  </w:num>
  <w:num w:numId="6">
    <w:abstractNumId w:val="16"/>
  </w:num>
  <w:num w:numId="7">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7"/>
  </w:num>
  <w:num w:numId="9">
    <w:abstractNumId w:val="3"/>
  </w:num>
  <w:num w:numId="10">
    <w:abstractNumId w:val="10"/>
  </w:num>
  <w:num w:numId="11">
    <w:abstractNumId w:val="22"/>
  </w:num>
  <w:num w:numId="12">
    <w:abstractNumId w:val="16"/>
  </w:num>
  <w:num w:numId="13">
    <w:abstractNumId w:val="10"/>
  </w:num>
  <w:num w:numId="14">
    <w:abstractNumId w:val="13"/>
  </w:num>
  <w:num w:numId="15">
    <w:abstractNumId w:val="8"/>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4"/>
    <w:lvlOverride w:ilvl="1">
      <w:lvl w:ilvl="1">
        <w:numFmt w:val="bullet"/>
        <w:lvlText w:val=""/>
        <w:lvlJc w:val="left"/>
        <w:pPr>
          <w:tabs>
            <w:tab w:val="num" w:pos="1440"/>
          </w:tabs>
          <w:ind w:left="1440" w:hanging="360"/>
        </w:pPr>
        <w:rPr>
          <w:rFonts w:ascii="Symbol" w:hAnsi="Symbol" w:hint="default"/>
          <w:sz w:val="20"/>
        </w:rPr>
      </w:lvl>
    </w:lvlOverride>
  </w:num>
  <w:num w:numId="20">
    <w:abstractNumId w:val="17"/>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7"/>
  </w:num>
  <w:num w:numId="25">
    <w:abstractNumId w:val="17"/>
  </w:num>
  <w:num w:numId="26">
    <w:abstractNumId w:val="11"/>
  </w:num>
  <w:num w:numId="27">
    <w:abstractNumId w:val="2"/>
  </w:num>
  <w:num w:numId="28">
    <w:abstractNumId w:val="18"/>
  </w:num>
  <w:num w:numId="29">
    <w:abstractNumId w:val="17"/>
  </w:num>
  <w:num w:numId="30">
    <w:abstractNumId w:val="19"/>
  </w:num>
  <w:num w:numId="31">
    <w:abstractNumId w:val="1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2C5"/>
    <w:rsid w:val="000000B4"/>
    <w:rsid w:val="00001879"/>
    <w:rsid w:val="000034A1"/>
    <w:rsid w:val="00004A66"/>
    <w:rsid w:val="00005B25"/>
    <w:rsid w:val="000066F0"/>
    <w:rsid w:val="00006C98"/>
    <w:rsid w:val="00007016"/>
    <w:rsid w:val="00011725"/>
    <w:rsid w:val="00011C48"/>
    <w:rsid w:val="00012C62"/>
    <w:rsid w:val="00020367"/>
    <w:rsid w:val="00020805"/>
    <w:rsid w:val="00021767"/>
    <w:rsid w:val="000217DD"/>
    <w:rsid w:val="00022672"/>
    <w:rsid w:val="00024281"/>
    <w:rsid w:val="0002544D"/>
    <w:rsid w:val="00026A05"/>
    <w:rsid w:val="00027ABA"/>
    <w:rsid w:val="00030CA6"/>
    <w:rsid w:val="000315C4"/>
    <w:rsid w:val="00036DAC"/>
    <w:rsid w:val="00037A7B"/>
    <w:rsid w:val="000415F0"/>
    <w:rsid w:val="00041A8B"/>
    <w:rsid w:val="0004274D"/>
    <w:rsid w:val="000439F2"/>
    <w:rsid w:val="00044C0A"/>
    <w:rsid w:val="0004571D"/>
    <w:rsid w:val="0004579C"/>
    <w:rsid w:val="00047F65"/>
    <w:rsid w:val="00050D76"/>
    <w:rsid w:val="00052B84"/>
    <w:rsid w:val="00053454"/>
    <w:rsid w:val="0005346A"/>
    <w:rsid w:val="0005393C"/>
    <w:rsid w:val="00053B4B"/>
    <w:rsid w:val="00056569"/>
    <w:rsid w:val="00056880"/>
    <w:rsid w:val="00056A72"/>
    <w:rsid w:val="00057710"/>
    <w:rsid w:val="00062597"/>
    <w:rsid w:val="00067196"/>
    <w:rsid w:val="000675D1"/>
    <w:rsid w:val="000709E0"/>
    <w:rsid w:val="0007102C"/>
    <w:rsid w:val="00072352"/>
    <w:rsid w:val="00073303"/>
    <w:rsid w:val="00073521"/>
    <w:rsid w:val="00073E3A"/>
    <w:rsid w:val="00075500"/>
    <w:rsid w:val="000763FE"/>
    <w:rsid w:val="000775DE"/>
    <w:rsid w:val="00080025"/>
    <w:rsid w:val="000804EA"/>
    <w:rsid w:val="00080E8E"/>
    <w:rsid w:val="000858F2"/>
    <w:rsid w:val="00085E51"/>
    <w:rsid w:val="00086904"/>
    <w:rsid w:val="00087FAF"/>
    <w:rsid w:val="00090CB1"/>
    <w:rsid w:val="00091B59"/>
    <w:rsid w:val="000928EA"/>
    <w:rsid w:val="000965B9"/>
    <w:rsid w:val="000977E7"/>
    <w:rsid w:val="00097E49"/>
    <w:rsid w:val="000B2B9D"/>
    <w:rsid w:val="000B3A54"/>
    <w:rsid w:val="000C19FC"/>
    <w:rsid w:val="000C5F40"/>
    <w:rsid w:val="000C72EA"/>
    <w:rsid w:val="000C7537"/>
    <w:rsid w:val="000E0B74"/>
    <w:rsid w:val="000E30C9"/>
    <w:rsid w:val="000E3828"/>
    <w:rsid w:val="000E4AE3"/>
    <w:rsid w:val="000F0BF8"/>
    <w:rsid w:val="000F22EC"/>
    <w:rsid w:val="000F251D"/>
    <w:rsid w:val="000F2B53"/>
    <w:rsid w:val="000F311B"/>
    <w:rsid w:val="000F4342"/>
    <w:rsid w:val="000F43CA"/>
    <w:rsid w:val="000F59AF"/>
    <w:rsid w:val="000F5F13"/>
    <w:rsid w:val="000F7517"/>
    <w:rsid w:val="000F75AD"/>
    <w:rsid w:val="000F792C"/>
    <w:rsid w:val="000F7B69"/>
    <w:rsid w:val="0010040A"/>
    <w:rsid w:val="00100F08"/>
    <w:rsid w:val="00100F2E"/>
    <w:rsid w:val="001043D1"/>
    <w:rsid w:val="00105ED3"/>
    <w:rsid w:val="001064F6"/>
    <w:rsid w:val="00110041"/>
    <w:rsid w:val="00114622"/>
    <w:rsid w:val="001164D5"/>
    <w:rsid w:val="00121B86"/>
    <w:rsid w:val="0012472E"/>
    <w:rsid w:val="00125AB7"/>
    <w:rsid w:val="00130A42"/>
    <w:rsid w:val="00130C9C"/>
    <w:rsid w:val="00131EF8"/>
    <w:rsid w:val="0013240C"/>
    <w:rsid w:val="00133D9B"/>
    <w:rsid w:val="0014091C"/>
    <w:rsid w:val="0014523D"/>
    <w:rsid w:val="00145B68"/>
    <w:rsid w:val="0015041B"/>
    <w:rsid w:val="001507C3"/>
    <w:rsid w:val="00150F47"/>
    <w:rsid w:val="0015118D"/>
    <w:rsid w:val="00155172"/>
    <w:rsid w:val="00155685"/>
    <w:rsid w:val="001557B2"/>
    <w:rsid w:val="001606CF"/>
    <w:rsid w:val="00160EE3"/>
    <w:rsid w:val="0016128D"/>
    <w:rsid w:val="00161A1F"/>
    <w:rsid w:val="00163C01"/>
    <w:rsid w:val="001644B6"/>
    <w:rsid w:val="00166522"/>
    <w:rsid w:val="0017089D"/>
    <w:rsid w:val="00175402"/>
    <w:rsid w:val="001808D5"/>
    <w:rsid w:val="001814BD"/>
    <w:rsid w:val="0018161B"/>
    <w:rsid w:val="00184D65"/>
    <w:rsid w:val="00185EBA"/>
    <w:rsid w:val="00190554"/>
    <w:rsid w:val="0019101A"/>
    <w:rsid w:val="00192E73"/>
    <w:rsid w:val="00193BD4"/>
    <w:rsid w:val="001952D5"/>
    <w:rsid w:val="001955A1"/>
    <w:rsid w:val="001968C6"/>
    <w:rsid w:val="00197852"/>
    <w:rsid w:val="001A1DED"/>
    <w:rsid w:val="001A3DB0"/>
    <w:rsid w:val="001A441D"/>
    <w:rsid w:val="001B24AD"/>
    <w:rsid w:val="001B29BF"/>
    <w:rsid w:val="001B41BB"/>
    <w:rsid w:val="001B4E90"/>
    <w:rsid w:val="001B6D21"/>
    <w:rsid w:val="001C1018"/>
    <w:rsid w:val="001C2542"/>
    <w:rsid w:val="001C258F"/>
    <w:rsid w:val="001C358D"/>
    <w:rsid w:val="001C5C63"/>
    <w:rsid w:val="001C781D"/>
    <w:rsid w:val="001C7FEA"/>
    <w:rsid w:val="001D003F"/>
    <w:rsid w:val="001D29B5"/>
    <w:rsid w:val="001D4A32"/>
    <w:rsid w:val="001D4EAA"/>
    <w:rsid w:val="001D542C"/>
    <w:rsid w:val="001D672E"/>
    <w:rsid w:val="001E156E"/>
    <w:rsid w:val="001E77BB"/>
    <w:rsid w:val="001F07A6"/>
    <w:rsid w:val="001F24AB"/>
    <w:rsid w:val="001F3502"/>
    <w:rsid w:val="00200601"/>
    <w:rsid w:val="0021081C"/>
    <w:rsid w:val="00211209"/>
    <w:rsid w:val="0022190E"/>
    <w:rsid w:val="002226BD"/>
    <w:rsid w:val="0022295C"/>
    <w:rsid w:val="002245BE"/>
    <w:rsid w:val="00224E4C"/>
    <w:rsid w:val="00226FEE"/>
    <w:rsid w:val="00231049"/>
    <w:rsid w:val="002314D2"/>
    <w:rsid w:val="00231E9D"/>
    <w:rsid w:val="00231F47"/>
    <w:rsid w:val="002361A2"/>
    <w:rsid w:val="002372A6"/>
    <w:rsid w:val="002400A6"/>
    <w:rsid w:val="0024184F"/>
    <w:rsid w:val="00242069"/>
    <w:rsid w:val="00244626"/>
    <w:rsid w:val="002458F6"/>
    <w:rsid w:val="00246825"/>
    <w:rsid w:val="00247730"/>
    <w:rsid w:val="00254777"/>
    <w:rsid w:val="002549AD"/>
    <w:rsid w:val="00255481"/>
    <w:rsid w:val="0025570C"/>
    <w:rsid w:val="00256035"/>
    <w:rsid w:val="00257565"/>
    <w:rsid w:val="00257AEE"/>
    <w:rsid w:val="002602E8"/>
    <w:rsid w:val="00261FB8"/>
    <w:rsid w:val="00263B6C"/>
    <w:rsid w:val="00265E8D"/>
    <w:rsid w:val="00266191"/>
    <w:rsid w:val="0027018F"/>
    <w:rsid w:val="0027118F"/>
    <w:rsid w:val="002737DE"/>
    <w:rsid w:val="00274878"/>
    <w:rsid w:val="002755B4"/>
    <w:rsid w:val="0027590B"/>
    <w:rsid w:val="00285969"/>
    <w:rsid w:val="0028708A"/>
    <w:rsid w:val="00287DB6"/>
    <w:rsid w:val="00292D6A"/>
    <w:rsid w:val="002940EC"/>
    <w:rsid w:val="0029704C"/>
    <w:rsid w:val="002A0069"/>
    <w:rsid w:val="002A06F0"/>
    <w:rsid w:val="002A144D"/>
    <w:rsid w:val="002A17B2"/>
    <w:rsid w:val="002A4F34"/>
    <w:rsid w:val="002A686F"/>
    <w:rsid w:val="002A7748"/>
    <w:rsid w:val="002B1B92"/>
    <w:rsid w:val="002B2E1E"/>
    <w:rsid w:val="002B3829"/>
    <w:rsid w:val="002B4CB8"/>
    <w:rsid w:val="002B4D4D"/>
    <w:rsid w:val="002B5084"/>
    <w:rsid w:val="002B5C39"/>
    <w:rsid w:val="002B6E64"/>
    <w:rsid w:val="002C0B7B"/>
    <w:rsid w:val="002C33EF"/>
    <w:rsid w:val="002C42DE"/>
    <w:rsid w:val="002C5843"/>
    <w:rsid w:val="002C58B6"/>
    <w:rsid w:val="002C7F6C"/>
    <w:rsid w:val="002D151F"/>
    <w:rsid w:val="002D15F3"/>
    <w:rsid w:val="002D2F35"/>
    <w:rsid w:val="002D3C0C"/>
    <w:rsid w:val="002D488F"/>
    <w:rsid w:val="002D4BE3"/>
    <w:rsid w:val="002D6C1A"/>
    <w:rsid w:val="002E1327"/>
    <w:rsid w:val="002E1C16"/>
    <w:rsid w:val="002E3A4C"/>
    <w:rsid w:val="002E3ED0"/>
    <w:rsid w:val="002E675B"/>
    <w:rsid w:val="002E6C50"/>
    <w:rsid w:val="002E7F62"/>
    <w:rsid w:val="002F02E5"/>
    <w:rsid w:val="002F1777"/>
    <w:rsid w:val="002F617F"/>
    <w:rsid w:val="002F6549"/>
    <w:rsid w:val="0030068E"/>
    <w:rsid w:val="003022A9"/>
    <w:rsid w:val="00305DD8"/>
    <w:rsid w:val="00311907"/>
    <w:rsid w:val="003122F4"/>
    <w:rsid w:val="003123A0"/>
    <w:rsid w:val="00316AA0"/>
    <w:rsid w:val="00317DC3"/>
    <w:rsid w:val="00321755"/>
    <w:rsid w:val="00322C54"/>
    <w:rsid w:val="003268D5"/>
    <w:rsid w:val="00326F0F"/>
    <w:rsid w:val="00327922"/>
    <w:rsid w:val="003319DF"/>
    <w:rsid w:val="00332F5E"/>
    <w:rsid w:val="0033467E"/>
    <w:rsid w:val="00334B03"/>
    <w:rsid w:val="00342148"/>
    <w:rsid w:val="0034239A"/>
    <w:rsid w:val="00344779"/>
    <w:rsid w:val="003470F6"/>
    <w:rsid w:val="003475AA"/>
    <w:rsid w:val="0034796C"/>
    <w:rsid w:val="00350FA7"/>
    <w:rsid w:val="0035210F"/>
    <w:rsid w:val="00352BE1"/>
    <w:rsid w:val="00353FA6"/>
    <w:rsid w:val="00354D27"/>
    <w:rsid w:val="00354FBB"/>
    <w:rsid w:val="00356B4E"/>
    <w:rsid w:val="00356B50"/>
    <w:rsid w:val="00356CB6"/>
    <w:rsid w:val="0036281E"/>
    <w:rsid w:val="003646A3"/>
    <w:rsid w:val="003655CE"/>
    <w:rsid w:val="003735FB"/>
    <w:rsid w:val="003746CB"/>
    <w:rsid w:val="00380813"/>
    <w:rsid w:val="00381D41"/>
    <w:rsid w:val="00382A83"/>
    <w:rsid w:val="003839F0"/>
    <w:rsid w:val="003858A6"/>
    <w:rsid w:val="00385C68"/>
    <w:rsid w:val="00386035"/>
    <w:rsid w:val="00386AC3"/>
    <w:rsid w:val="00387365"/>
    <w:rsid w:val="00392DCC"/>
    <w:rsid w:val="003A0DC3"/>
    <w:rsid w:val="003A37BD"/>
    <w:rsid w:val="003A56FB"/>
    <w:rsid w:val="003A73EA"/>
    <w:rsid w:val="003B0203"/>
    <w:rsid w:val="003B1EFC"/>
    <w:rsid w:val="003B22A2"/>
    <w:rsid w:val="003B41F6"/>
    <w:rsid w:val="003B46C3"/>
    <w:rsid w:val="003B5611"/>
    <w:rsid w:val="003B5DF2"/>
    <w:rsid w:val="003C27E8"/>
    <w:rsid w:val="003C3975"/>
    <w:rsid w:val="003C592B"/>
    <w:rsid w:val="003C5F63"/>
    <w:rsid w:val="003C640A"/>
    <w:rsid w:val="003C6FC4"/>
    <w:rsid w:val="003D3160"/>
    <w:rsid w:val="003D38CA"/>
    <w:rsid w:val="003D3F3C"/>
    <w:rsid w:val="003D526E"/>
    <w:rsid w:val="003D5425"/>
    <w:rsid w:val="003E0D38"/>
    <w:rsid w:val="003E368C"/>
    <w:rsid w:val="003E38B0"/>
    <w:rsid w:val="003E3905"/>
    <w:rsid w:val="003E4D87"/>
    <w:rsid w:val="003F2055"/>
    <w:rsid w:val="003F3072"/>
    <w:rsid w:val="003F5309"/>
    <w:rsid w:val="003F71F2"/>
    <w:rsid w:val="00400783"/>
    <w:rsid w:val="004019CA"/>
    <w:rsid w:val="00401EC9"/>
    <w:rsid w:val="0040514E"/>
    <w:rsid w:val="00411BD9"/>
    <w:rsid w:val="004153AC"/>
    <w:rsid w:val="00415A18"/>
    <w:rsid w:val="004160F6"/>
    <w:rsid w:val="00416762"/>
    <w:rsid w:val="00417354"/>
    <w:rsid w:val="00417B89"/>
    <w:rsid w:val="00417DA6"/>
    <w:rsid w:val="00421351"/>
    <w:rsid w:val="00424344"/>
    <w:rsid w:val="004308DC"/>
    <w:rsid w:val="0043151A"/>
    <w:rsid w:val="00431C3F"/>
    <w:rsid w:val="0043420F"/>
    <w:rsid w:val="00436711"/>
    <w:rsid w:val="00440BF2"/>
    <w:rsid w:val="00440EE7"/>
    <w:rsid w:val="004425F8"/>
    <w:rsid w:val="004436C7"/>
    <w:rsid w:val="0044423D"/>
    <w:rsid w:val="00445265"/>
    <w:rsid w:val="004454E5"/>
    <w:rsid w:val="004455B3"/>
    <w:rsid w:val="00445841"/>
    <w:rsid w:val="00445BCA"/>
    <w:rsid w:val="004475AD"/>
    <w:rsid w:val="00451B0D"/>
    <w:rsid w:val="00452026"/>
    <w:rsid w:val="00454F35"/>
    <w:rsid w:val="004559CE"/>
    <w:rsid w:val="004563C2"/>
    <w:rsid w:val="00456DBB"/>
    <w:rsid w:val="0045783B"/>
    <w:rsid w:val="0046175B"/>
    <w:rsid w:val="004644D4"/>
    <w:rsid w:val="004707D8"/>
    <w:rsid w:val="004708E8"/>
    <w:rsid w:val="00473995"/>
    <w:rsid w:val="00473AF1"/>
    <w:rsid w:val="004748BD"/>
    <w:rsid w:val="00475B7B"/>
    <w:rsid w:val="00475F4D"/>
    <w:rsid w:val="00482AD1"/>
    <w:rsid w:val="00483049"/>
    <w:rsid w:val="00485527"/>
    <w:rsid w:val="004867B5"/>
    <w:rsid w:val="00490B5F"/>
    <w:rsid w:val="00492FCB"/>
    <w:rsid w:val="00493839"/>
    <w:rsid w:val="004938D1"/>
    <w:rsid w:val="00493BDD"/>
    <w:rsid w:val="00494706"/>
    <w:rsid w:val="004950A1"/>
    <w:rsid w:val="004951A8"/>
    <w:rsid w:val="0049627D"/>
    <w:rsid w:val="004A077D"/>
    <w:rsid w:val="004A2028"/>
    <w:rsid w:val="004A6029"/>
    <w:rsid w:val="004A706E"/>
    <w:rsid w:val="004A726E"/>
    <w:rsid w:val="004A7BC2"/>
    <w:rsid w:val="004B0B6C"/>
    <w:rsid w:val="004B1860"/>
    <w:rsid w:val="004B2813"/>
    <w:rsid w:val="004B3DE6"/>
    <w:rsid w:val="004B5791"/>
    <w:rsid w:val="004B6C9C"/>
    <w:rsid w:val="004C0DA8"/>
    <w:rsid w:val="004C2505"/>
    <w:rsid w:val="004C2698"/>
    <w:rsid w:val="004C3DD2"/>
    <w:rsid w:val="004C6BC7"/>
    <w:rsid w:val="004C71E4"/>
    <w:rsid w:val="004D1B1C"/>
    <w:rsid w:val="004D2B25"/>
    <w:rsid w:val="004D3036"/>
    <w:rsid w:val="004D568E"/>
    <w:rsid w:val="004D730D"/>
    <w:rsid w:val="004D7A80"/>
    <w:rsid w:val="004E2E15"/>
    <w:rsid w:val="004E31F2"/>
    <w:rsid w:val="004E39F3"/>
    <w:rsid w:val="004E48CD"/>
    <w:rsid w:val="004E5FA4"/>
    <w:rsid w:val="004E60C6"/>
    <w:rsid w:val="004F1164"/>
    <w:rsid w:val="004F20D0"/>
    <w:rsid w:val="004F6A6F"/>
    <w:rsid w:val="005027BC"/>
    <w:rsid w:val="00502B80"/>
    <w:rsid w:val="00502EC4"/>
    <w:rsid w:val="00502FBB"/>
    <w:rsid w:val="00507997"/>
    <w:rsid w:val="00513986"/>
    <w:rsid w:val="00516785"/>
    <w:rsid w:val="00517091"/>
    <w:rsid w:val="00517A7B"/>
    <w:rsid w:val="00522A9D"/>
    <w:rsid w:val="0052419D"/>
    <w:rsid w:val="005274B6"/>
    <w:rsid w:val="00527CB3"/>
    <w:rsid w:val="005301F8"/>
    <w:rsid w:val="00530AAC"/>
    <w:rsid w:val="00530B38"/>
    <w:rsid w:val="00531067"/>
    <w:rsid w:val="005312FC"/>
    <w:rsid w:val="00533679"/>
    <w:rsid w:val="0053514E"/>
    <w:rsid w:val="0053603D"/>
    <w:rsid w:val="00537BC0"/>
    <w:rsid w:val="005433F8"/>
    <w:rsid w:val="005458D9"/>
    <w:rsid w:val="00547EAB"/>
    <w:rsid w:val="00551E72"/>
    <w:rsid w:val="00553992"/>
    <w:rsid w:val="00553EF3"/>
    <w:rsid w:val="005546A5"/>
    <w:rsid w:val="00555A14"/>
    <w:rsid w:val="005560D8"/>
    <w:rsid w:val="00556B3F"/>
    <w:rsid w:val="005576FC"/>
    <w:rsid w:val="0056121E"/>
    <w:rsid w:val="005617E7"/>
    <w:rsid w:val="005633BC"/>
    <w:rsid w:val="005641C0"/>
    <w:rsid w:val="005658A4"/>
    <w:rsid w:val="005671EC"/>
    <w:rsid w:val="00571906"/>
    <w:rsid w:val="005727BA"/>
    <w:rsid w:val="005733B0"/>
    <w:rsid w:val="00580AE7"/>
    <w:rsid w:val="00582272"/>
    <w:rsid w:val="005842F5"/>
    <w:rsid w:val="00585681"/>
    <w:rsid w:val="00585B58"/>
    <w:rsid w:val="005868DE"/>
    <w:rsid w:val="00587826"/>
    <w:rsid w:val="00593CA1"/>
    <w:rsid w:val="00597D34"/>
    <w:rsid w:val="005A40B6"/>
    <w:rsid w:val="005A659B"/>
    <w:rsid w:val="005A66E6"/>
    <w:rsid w:val="005A75A2"/>
    <w:rsid w:val="005B2D1D"/>
    <w:rsid w:val="005B386A"/>
    <w:rsid w:val="005B417E"/>
    <w:rsid w:val="005B4FCA"/>
    <w:rsid w:val="005B7152"/>
    <w:rsid w:val="005C04B1"/>
    <w:rsid w:val="005C1722"/>
    <w:rsid w:val="005C5423"/>
    <w:rsid w:val="005C5F7F"/>
    <w:rsid w:val="005C71EA"/>
    <w:rsid w:val="005D2E0B"/>
    <w:rsid w:val="005D35DB"/>
    <w:rsid w:val="005D3B37"/>
    <w:rsid w:val="005D4382"/>
    <w:rsid w:val="005D487B"/>
    <w:rsid w:val="005D4E67"/>
    <w:rsid w:val="005D5C6E"/>
    <w:rsid w:val="005D69B6"/>
    <w:rsid w:val="005D70A3"/>
    <w:rsid w:val="005D76E2"/>
    <w:rsid w:val="005E003F"/>
    <w:rsid w:val="005E0E1E"/>
    <w:rsid w:val="005E46DB"/>
    <w:rsid w:val="005E6AC3"/>
    <w:rsid w:val="005F3403"/>
    <w:rsid w:val="005F7A50"/>
    <w:rsid w:val="006003E5"/>
    <w:rsid w:val="00601354"/>
    <w:rsid w:val="00602161"/>
    <w:rsid w:val="0060595B"/>
    <w:rsid w:val="00605AFD"/>
    <w:rsid w:val="00606757"/>
    <w:rsid w:val="00607C7C"/>
    <w:rsid w:val="006123D4"/>
    <w:rsid w:val="00612677"/>
    <w:rsid w:val="00612E1E"/>
    <w:rsid w:val="0061574A"/>
    <w:rsid w:val="00616E4B"/>
    <w:rsid w:val="00617C1D"/>
    <w:rsid w:val="00626B9C"/>
    <w:rsid w:val="00630AEF"/>
    <w:rsid w:val="00637C14"/>
    <w:rsid w:val="00642856"/>
    <w:rsid w:val="006433BC"/>
    <w:rsid w:val="00645F7B"/>
    <w:rsid w:val="0064623B"/>
    <w:rsid w:val="00646E13"/>
    <w:rsid w:val="00646FAD"/>
    <w:rsid w:val="00647FDF"/>
    <w:rsid w:val="00651AFA"/>
    <w:rsid w:val="006521CF"/>
    <w:rsid w:val="00653266"/>
    <w:rsid w:val="00654900"/>
    <w:rsid w:val="00656356"/>
    <w:rsid w:val="00662EAD"/>
    <w:rsid w:val="00663412"/>
    <w:rsid w:val="0066644C"/>
    <w:rsid w:val="00666B47"/>
    <w:rsid w:val="00672A04"/>
    <w:rsid w:val="006736AD"/>
    <w:rsid w:val="006755BF"/>
    <w:rsid w:val="00676F6E"/>
    <w:rsid w:val="006779A6"/>
    <w:rsid w:val="006800D9"/>
    <w:rsid w:val="00681EF0"/>
    <w:rsid w:val="00683F8E"/>
    <w:rsid w:val="00684CFE"/>
    <w:rsid w:val="00685480"/>
    <w:rsid w:val="00686165"/>
    <w:rsid w:val="00687BA1"/>
    <w:rsid w:val="00690940"/>
    <w:rsid w:val="00690F71"/>
    <w:rsid w:val="00691CB5"/>
    <w:rsid w:val="00693163"/>
    <w:rsid w:val="006942B2"/>
    <w:rsid w:val="0069467F"/>
    <w:rsid w:val="0069745B"/>
    <w:rsid w:val="006A2DC7"/>
    <w:rsid w:val="006A6EE1"/>
    <w:rsid w:val="006B36CF"/>
    <w:rsid w:val="006B5E7C"/>
    <w:rsid w:val="006B655C"/>
    <w:rsid w:val="006B6AFA"/>
    <w:rsid w:val="006C0DC9"/>
    <w:rsid w:val="006C2883"/>
    <w:rsid w:val="006C645D"/>
    <w:rsid w:val="006D0A76"/>
    <w:rsid w:val="006D22F0"/>
    <w:rsid w:val="006D35A6"/>
    <w:rsid w:val="006D42C7"/>
    <w:rsid w:val="006D5FB1"/>
    <w:rsid w:val="006D6CCF"/>
    <w:rsid w:val="006E171D"/>
    <w:rsid w:val="006E3319"/>
    <w:rsid w:val="006E35E6"/>
    <w:rsid w:val="006E3CC3"/>
    <w:rsid w:val="006E4066"/>
    <w:rsid w:val="006E582C"/>
    <w:rsid w:val="006F089C"/>
    <w:rsid w:val="006F5822"/>
    <w:rsid w:val="006F656C"/>
    <w:rsid w:val="006F72D2"/>
    <w:rsid w:val="006F78B6"/>
    <w:rsid w:val="00700805"/>
    <w:rsid w:val="00700EB9"/>
    <w:rsid w:val="007012E7"/>
    <w:rsid w:val="00701361"/>
    <w:rsid w:val="00701381"/>
    <w:rsid w:val="00702BA8"/>
    <w:rsid w:val="00703126"/>
    <w:rsid w:val="00703710"/>
    <w:rsid w:val="00705047"/>
    <w:rsid w:val="00706C91"/>
    <w:rsid w:val="00706F02"/>
    <w:rsid w:val="00707014"/>
    <w:rsid w:val="00711B98"/>
    <w:rsid w:val="00712EA4"/>
    <w:rsid w:val="00713E38"/>
    <w:rsid w:val="00714D20"/>
    <w:rsid w:val="007159CA"/>
    <w:rsid w:val="00717340"/>
    <w:rsid w:val="00721245"/>
    <w:rsid w:val="00722009"/>
    <w:rsid w:val="007231DB"/>
    <w:rsid w:val="00723EBA"/>
    <w:rsid w:val="0073127D"/>
    <w:rsid w:val="00732CDB"/>
    <w:rsid w:val="00733CB0"/>
    <w:rsid w:val="00734A6A"/>
    <w:rsid w:val="00741223"/>
    <w:rsid w:val="00742DB3"/>
    <w:rsid w:val="00745A87"/>
    <w:rsid w:val="007460AF"/>
    <w:rsid w:val="007478D4"/>
    <w:rsid w:val="00751790"/>
    <w:rsid w:val="00751916"/>
    <w:rsid w:val="00752D10"/>
    <w:rsid w:val="0075304E"/>
    <w:rsid w:val="00753586"/>
    <w:rsid w:val="007542B9"/>
    <w:rsid w:val="00755559"/>
    <w:rsid w:val="00757816"/>
    <w:rsid w:val="007623EE"/>
    <w:rsid w:val="00764124"/>
    <w:rsid w:val="00764B98"/>
    <w:rsid w:val="00764C52"/>
    <w:rsid w:val="00766BD5"/>
    <w:rsid w:val="0076762F"/>
    <w:rsid w:val="00770D88"/>
    <w:rsid w:val="007719E8"/>
    <w:rsid w:val="0077225D"/>
    <w:rsid w:val="007739DC"/>
    <w:rsid w:val="007766D8"/>
    <w:rsid w:val="0078145A"/>
    <w:rsid w:val="00782BDF"/>
    <w:rsid w:val="0078489E"/>
    <w:rsid w:val="0078509F"/>
    <w:rsid w:val="00790500"/>
    <w:rsid w:val="007906C8"/>
    <w:rsid w:val="00790B4B"/>
    <w:rsid w:val="00791891"/>
    <w:rsid w:val="0079225C"/>
    <w:rsid w:val="00792746"/>
    <w:rsid w:val="00792FCC"/>
    <w:rsid w:val="00793A56"/>
    <w:rsid w:val="00793BC6"/>
    <w:rsid w:val="00794499"/>
    <w:rsid w:val="00794813"/>
    <w:rsid w:val="0079643E"/>
    <w:rsid w:val="00796D90"/>
    <w:rsid w:val="00797F89"/>
    <w:rsid w:val="007A02E6"/>
    <w:rsid w:val="007A3FCA"/>
    <w:rsid w:val="007A58CD"/>
    <w:rsid w:val="007B197E"/>
    <w:rsid w:val="007B19EF"/>
    <w:rsid w:val="007B1A39"/>
    <w:rsid w:val="007B2295"/>
    <w:rsid w:val="007B2773"/>
    <w:rsid w:val="007B2DEC"/>
    <w:rsid w:val="007B4B15"/>
    <w:rsid w:val="007B617E"/>
    <w:rsid w:val="007B75F1"/>
    <w:rsid w:val="007C5028"/>
    <w:rsid w:val="007C5CFF"/>
    <w:rsid w:val="007C5E04"/>
    <w:rsid w:val="007C6AA8"/>
    <w:rsid w:val="007C6FEE"/>
    <w:rsid w:val="007D1C1F"/>
    <w:rsid w:val="007D1CD6"/>
    <w:rsid w:val="007D2B04"/>
    <w:rsid w:val="007D3529"/>
    <w:rsid w:val="007D4A55"/>
    <w:rsid w:val="007D5AA6"/>
    <w:rsid w:val="007D5F6D"/>
    <w:rsid w:val="007D7B3F"/>
    <w:rsid w:val="007D7FE9"/>
    <w:rsid w:val="007E1CB2"/>
    <w:rsid w:val="007E2516"/>
    <w:rsid w:val="007E2AB9"/>
    <w:rsid w:val="007E44F7"/>
    <w:rsid w:val="007E4C70"/>
    <w:rsid w:val="007E6456"/>
    <w:rsid w:val="007E6A60"/>
    <w:rsid w:val="007E6ED6"/>
    <w:rsid w:val="007F074D"/>
    <w:rsid w:val="007F10BB"/>
    <w:rsid w:val="007F2F65"/>
    <w:rsid w:val="007F3BC7"/>
    <w:rsid w:val="007F4F60"/>
    <w:rsid w:val="007F6AE0"/>
    <w:rsid w:val="007F7700"/>
    <w:rsid w:val="007F78A7"/>
    <w:rsid w:val="007F7F11"/>
    <w:rsid w:val="00802CC3"/>
    <w:rsid w:val="00803F8F"/>
    <w:rsid w:val="00804407"/>
    <w:rsid w:val="00805FC4"/>
    <w:rsid w:val="00810809"/>
    <w:rsid w:val="008110DA"/>
    <w:rsid w:val="008113D5"/>
    <w:rsid w:val="008130C7"/>
    <w:rsid w:val="00813BEF"/>
    <w:rsid w:val="00815A75"/>
    <w:rsid w:val="0082034A"/>
    <w:rsid w:val="0082159C"/>
    <w:rsid w:val="00830094"/>
    <w:rsid w:val="008311BF"/>
    <w:rsid w:val="00833406"/>
    <w:rsid w:val="00834243"/>
    <w:rsid w:val="0083449E"/>
    <w:rsid w:val="0083488C"/>
    <w:rsid w:val="0083560F"/>
    <w:rsid w:val="008361B4"/>
    <w:rsid w:val="00836EA4"/>
    <w:rsid w:val="00843E3D"/>
    <w:rsid w:val="008440C4"/>
    <w:rsid w:val="00851281"/>
    <w:rsid w:val="00852694"/>
    <w:rsid w:val="00855618"/>
    <w:rsid w:val="00857268"/>
    <w:rsid w:val="00857969"/>
    <w:rsid w:val="008616BE"/>
    <w:rsid w:val="00865083"/>
    <w:rsid w:val="00870F06"/>
    <w:rsid w:val="0087404C"/>
    <w:rsid w:val="008759F6"/>
    <w:rsid w:val="00875D78"/>
    <w:rsid w:val="00876DF4"/>
    <w:rsid w:val="00876DFB"/>
    <w:rsid w:val="00877667"/>
    <w:rsid w:val="00880A77"/>
    <w:rsid w:val="00880DF3"/>
    <w:rsid w:val="00884DAD"/>
    <w:rsid w:val="00891686"/>
    <w:rsid w:val="0089201D"/>
    <w:rsid w:val="00893778"/>
    <w:rsid w:val="00894979"/>
    <w:rsid w:val="00894B65"/>
    <w:rsid w:val="00894C3B"/>
    <w:rsid w:val="00895950"/>
    <w:rsid w:val="008A1187"/>
    <w:rsid w:val="008A245E"/>
    <w:rsid w:val="008A2E04"/>
    <w:rsid w:val="008A41D1"/>
    <w:rsid w:val="008A42B4"/>
    <w:rsid w:val="008A46D0"/>
    <w:rsid w:val="008A57F8"/>
    <w:rsid w:val="008A5B93"/>
    <w:rsid w:val="008B1499"/>
    <w:rsid w:val="008B442F"/>
    <w:rsid w:val="008B4FAF"/>
    <w:rsid w:val="008B76A3"/>
    <w:rsid w:val="008C050D"/>
    <w:rsid w:val="008C5334"/>
    <w:rsid w:val="008C6E6F"/>
    <w:rsid w:val="008D0C7D"/>
    <w:rsid w:val="008D1705"/>
    <w:rsid w:val="008D24DC"/>
    <w:rsid w:val="008D30B7"/>
    <w:rsid w:val="008D339F"/>
    <w:rsid w:val="008D5B8C"/>
    <w:rsid w:val="008D6AB0"/>
    <w:rsid w:val="008D7354"/>
    <w:rsid w:val="008D7963"/>
    <w:rsid w:val="008D7F38"/>
    <w:rsid w:val="008E0536"/>
    <w:rsid w:val="008E2A8B"/>
    <w:rsid w:val="008E38A9"/>
    <w:rsid w:val="008E4F15"/>
    <w:rsid w:val="008E4F39"/>
    <w:rsid w:val="008E5810"/>
    <w:rsid w:val="008E6292"/>
    <w:rsid w:val="008E6939"/>
    <w:rsid w:val="008E6D0E"/>
    <w:rsid w:val="008F1C13"/>
    <w:rsid w:val="008F4982"/>
    <w:rsid w:val="008F5A12"/>
    <w:rsid w:val="008F5F84"/>
    <w:rsid w:val="008F67EA"/>
    <w:rsid w:val="0090040E"/>
    <w:rsid w:val="00901860"/>
    <w:rsid w:val="00901CDF"/>
    <w:rsid w:val="00905608"/>
    <w:rsid w:val="00906256"/>
    <w:rsid w:val="009124B4"/>
    <w:rsid w:val="009127AC"/>
    <w:rsid w:val="00913CD0"/>
    <w:rsid w:val="0091438F"/>
    <w:rsid w:val="00914EB2"/>
    <w:rsid w:val="00925AA5"/>
    <w:rsid w:val="00925D44"/>
    <w:rsid w:val="009306A0"/>
    <w:rsid w:val="00930F6E"/>
    <w:rsid w:val="00931FB8"/>
    <w:rsid w:val="0093215E"/>
    <w:rsid w:val="009333BE"/>
    <w:rsid w:val="00934037"/>
    <w:rsid w:val="0094019D"/>
    <w:rsid w:val="00942C11"/>
    <w:rsid w:val="009449E8"/>
    <w:rsid w:val="00944BB3"/>
    <w:rsid w:val="0094585B"/>
    <w:rsid w:val="009504CE"/>
    <w:rsid w:val="00950D10"/>
    <w:rsid w:val="00951336"/>
    <w:rsid w:val="00952A60"/>
    <w:rsid w:val="00963D0D"/>
    <w:rsid w:val="009648B8"/>
    <w:rsid w:val="00970E50"/>
    <w:rsid w:val="009732EC"/>
    <w:rsid w:val="00974923"/>
    <w:rsid w:val="00974D92"/>
    <w:rsid w:val="009821CE"/>
    <w:rsid w:val="00982261"/>
    <w:rsid w:val="009852CF"/>
    <w:rsid w:val="0098788A"/>
    <w:rsid w:val="00990004"/>
    <w:rsid w:val="00992234"/>
    <w:rsid w:val="009A04F9"/>
    <w:rsid w:val="009A33F4"/>
    <w:rsid w:val="009A5125"/>
    <w:rsid w:val="009A5F58"/>
    <w:rsid w:val="009A658F"/>
    <w:rsid w:val="009A668A"/>
    <w:rsid w:val="009A789B"/>
    <w:rsid w:val="009B19AD"/>
    <w:rsid w:val="009B3B24"/>
    <w:rsid w:val="009B3BD1"/>
    <w:rsid w:val="009B3ECF"/>
    <w:rsid w:val="009B634A"/>
    <w:rsid w:val="009B6564"/>
    <w:rsid w:val="009B79B7"/>
    <w:rsid w:val="009C359E"/>
    <w:rsid w:val="009C6368"/>
    <w:rsid w:val="009C713F"/>
    <w:rsid w:val="009E1051"/>
    <w:rsid w:val="009E1208"/>
    <w:rsid w:val="009E267A"/>
    <w:rsid w:val="009E54D2"/>
    <w:rsid w:val="009F1CDA"/>
    <w:rsid w:val="009F249D"/>
    <w:rsid w:val="009F37A4"/>
    <w:rsid w:val="009F4414"/>
    <w:rsid w:val="009F50FD"/>
    <w:rsid w:val="009F6090"/>
    <w:rsid w:val="00A002C5"/>
    <w:rsid w:val="00A01D6C"/>
    <w:rsid w:val="00A023B2"/>
    <w:rsid w:val="00A02A82"/>
    <w:rsid w:val="00A07330"/>
    <w:rsid w:val="00A1295B"/>
    <w:rsid w:val="00A12CBE"/>
    <w:rsid w:val="00A14937"/>
    <w:rsid w:val="00A16E03"/>
    <w:rsid w:val="00A20A37"/>
    <w:rsid w:val="00A22316"/>
    <w:rsid w:val="00A245CB"/>
    <w:rsid w:val="00A249BF"/>
    <w:rsid w:val="00A24C5A"/>
    <w:rsid w:val="00A260CD"/>
    <w:rsid w:val="00A26D3F"/>
    <w:rsid w:val="00A32147"/>
    <w:rsid w:val="00A323DA"/>
    <w:rsid w:val="00A32874"/>
    <w:rsid w:val="00A36106"/>
    <w:rsid w:val="00A36559"/>
    <w:rsid w:val="00A36703"/>
    <w:rsid w:val="00A3749B"/>
    <w:rsid w:val="00A412B3"/>
    <w:rsid w:val="00A41FA0"/>
    <w:rsid w:val="00A424B4"/>
    <w:rsid w:val="00A42D1F"/>
    <w:rsid w:val="00A43BA7"/>
    <w:rsid w:val="00A4404C"/>
    <w:rsid w:val="00A44AE0"/>
    <w:rsid w:val="00A44B65"/>
    <w:rsid w:val="00A461D3"/>
    <w:rsid w:val="00A508BA"/>
    <w:rsid w:val="00A51FF0"/>
    <w:rsid w:val="00A52359"/>
    <w:rsid w:val="00A54167"/>
    <w:rsid w:val="00A54FBE"/>
    <w:rsid w:val="00A601B5"/>
    <w:rsid w:val="00A60E32"/>
    <w:rsid w:val="00A62E42"/>
    <w:rsid w:val="00A641D7"/>
    <w:rsid w:val="00A64A71"/>
    <w:rsid w:val="00A64C60"/>
    <w:rsid w:val="00A667DD"/>
    <w:rsid w:val="00A6725B"/>
    <w:rsid w:val="00A7248E"/>
    <w:rsid w:val="00A730F5"/>
    <w:rsid w:val="00A76170"/>
    <w:rsid w:val="00A80655"/>
    <w:rsid w:val="00A80F14"/>
    <w:rsid w:val="00A84DE5"/>
    <w:rsid w:val="00A87303"/>
    <w:rsid w:val="00A90095"/>
    <w:rsid w:val="00AA48BD"/>
    <w:rsid w:val="00AA57FD"/>
    <w:rsid w:val="00AA5A0B"/>
    <w:rsid w:val="00AB31E2"/>
    <w:rsid w:val="00AB4015"/>
    <w:rsid w:val="00AB4E12"/>
    <w:rsid w:val="00AB62B1"/>
    <w:rsid w:val="00AB6634"/>
    <w:rsid w:val="00AC1D03"/>
    <w:rsid w:val="00AC1FE3"/>
    <w:rsid w:val="00AC4928"/>
    <w:rsid w:val="00AC630B"/>
    <w:rsid w:val="00AC6C90"/>
    <w:rsid w:val="00AC7BAC"/>
    <w:rsid w:val="00AD17EB"/>
    <w:rsid w:val="00AD26AE"/>
    <w:rsid w:val="00AD4256"/>
    <w:rsid w:val="00AD4461"/>
    <w:rsid w:val="00AD6CA2"/>
    <w:rsid w:val="00AE0E09"/>
    <w:rsid w:val="00AE1367"/>
    <w:rsid w:val="00AE2F90"/>
    <w:rsid w:val="00AE345E"/>
    <w:rsid w:val="00AE6EB7"/>
    <w:rsid w:val="00AF0779"/>
    <w:rsid w:val="00AF0FD1"/>
    <w:rsid w:val="00AF3F07"/>
    <w:rsid w:val="00AF61E1"/>
    <w:rsid w:val="00B03D41"/>
    <w:rsid w:val="00B05544"/>
    <w:rsid w:val="00B063F8"/>
    <w:rsid w:val="00B11FB9"/>
    <w:rsid w:val="00B1343D"/>
    <w:rsid w:val="00B15209"/>
    <w:rsid w:val="00B166C9"/>
    <w:rsid w:val="00B22C9C"/>
    <w:rsid w:val="00B25742"/>
    <w:rsid w:val="00B26988"/>
    <w:rsid w:val="00B3149D"/>
    <w:rsid w:val="00B31809"/>
    <w:rsid w:val="00B320FA"/>
    <w:rsid w:val="00B324A2"/>
    <w:rsid w:val="00B3391E"/>
    <w:rsid w:val="00B34FAB"/>
    <w:rsid w:val="00B36A72"/>
    <w:rsid w:val="00B37356"/>
    <w:rsid w:val="00B37EDD"/>
    <w:rsid w:val="00B4281A"/>
    <w:rsid w:val="00B43C74"/>
    <w:rsid w:val="00B45E1A"/>
    <w:rsid w:val="00B46D05"/>
    <w:rsid w:val="00B47A27"/>
    <w:rsid w:val="00B50235"/>
    <w:rsid w:val="00B50C2E"/>
    <w:rsid w:val="00B53E3E"/>
    <w:rsid w:val="00B5623F"/>
    <w:rsid w:val="00B60711"/>
    <w:rsid w:val="00B63523"/>
    <w:rsid w:val="00B64C60"/>
    <w:rsid w:val="00B6563C"/>
    <w:rsid w:val="00B66055"/>
    <w:rsid w:val="00B770FF"/>
    <w:rsid w:val="00B82EF9"/>
    <w:rsid w:val="00B84894"/>
    <w:rsid w:val="00B85F47"/>
    <w:rsid w:val="00B86BBE"/>
    <w:rsid w:val="00B87927"/>
    <w:rsid w:val="00B91248"/>
    <w:rsid w:val="00B92619"/>
    <w:rsid w:val="00B943D8"/>
    <w:rsid w:val="00B94B2D"/>
    <w:rsid w:val="00B95E20"/>
    <w:rsid w:val="00B97266"/>
    <w:rsid w:val="00B97815"/>
    <w:rsid w:val="00B97ADA"/>
    <w:rsid w:val="00BA0C78"/>
    <w:rsid w:val="00BA2DFA"/>
    <w:rsid w:val="00BA42DD"/>
    <w:rsid w:val="00BA7A62"/>
    <w:rsid w:val="00BB36BB"/>
    <w:rsid w:val="00BB6C26"/>
    <w:rsid w:val="00BC2672"/>
    <w:rsid w:val="00BC328D"/>
    <w:rsid w:val="00BC5494"/>
    <w:rsid w:val="00BC7C5D"/>
    <w:rsid w:val="00BD3C5F"/>
    <w:rsid w:val="00BD4B36"/>
    <w:rsid w:val="00BD5650"/>
    <w:rsid w:val="00BD57ED"/>
    <w:rsid w:val="00BE0DEC"/>
    <w:rsid w:val="00BE330E"/>
    <w:rsid w:val="00BE56CC"/>
    <w:rsid w:val="00BE617E"/>
    <w:rsid w:val="00BE7864"/>
    <w:rsid w:val="00BF04CD"/>
    <w:rsid w:val="00BF1412"/>
    <w:rsid w:val="00BF1C2E"/>
    <w:rsid w:val="00BF30B2"/>
    <w:rsid w:val="00BF5FF5"/>
    <w:rsid w:val="00C02B5A"/>
    <w:rsid w:val="00C02FDD"/>
    <w:rsid w:val="00C038A4"/>
    <w:rsid w:val="00C054BC"/>
    <w:rsid w:val="00C06F32"/>
    <w:rsid w:val="00C108A2"/>
    <w:rsid w:val="00C119D4"/>
    <w:rsid w:val="00C15A13"/>
    <w:rsid w:val="00C16BBB"/>
    <w:rsid w:val="00C17FBB"/>
    <w:rsid w:val="00C20CB0"/>
    <w:rsid w:val="00C24092"/>
    <w:rsid w:val="00C27420"/>
    <w:rsid w:val="00C27520"/>
    <w:rsid w:val="00C30297"/>
    <w:rsid w:val="00C3388C"/>
    <w:rsid w:val="00C364F4"/>
    <w:rsid w:val="00C427F7"/>
    <w:rsid w:val="00C50E0F"/>
    <w:rsid w:val="00C51150"/>
    <w:rsid w:val="00C53670"/>
    <w:rsid w:val="00C5450A"/>
    <w:rsid w:val="00C548D0"/>
    <w:rsid w:val="00C54E4E"/>
    <w:rsid w:val="00C57E44"/>
    <w:rsid w:val="00C61E82"/>
    <w:rsid w:val="00C646C0"/>
    <w:rsid w:val="00C663AB"/>
    <w:rsid w:val="00C67165"/>
    <w:rsid w:val="00C6751D"/>
    <w:rsid w:val="00C714B8"/>
    <w:rsid w:val="00C73509"/>
    <w:rsid w:val="00C7600A"/>
    <w:rsid w:val="00C76CA1"/>
    <w:rsid w:val="00C76F72"/>
    <w:rsid w:val="00C84C96"/>
    <w:rsid w:val="00C85314"/>
    <w:rsid w:val="00C85CE7"/>
    <w:rsid w:val="00C9047E"/>
    <w:rsid w:val="00C924ED"/>
    <w:rsid w:val="00C957AE"/>
    <w:rsid w:val="00C95BAF"/>
    <w:rsid w:val="00CA07DD"/>
    <w:rsid w:val="00CA1075"/>
    <w:rsid w:val="00CA2156"/>
    <w:rsid w:val="00CA29A5"/>
    <w:rsid w:val="00CA46D6"/>
    <w:rsid w:val="00CA4BC0"/>
    <w:rsid w:val="00CA4DCB"/>
    <w:rsid w:val="00CA5FB5"/>
    <w:rsid w:val="00CB2E59"/>
    <w:rsid w:val="00CB3C3A"/>
    <w:rsid w:val="00CB6F3D"/>
    <w:rsid w:val="00CC02F3"/>
    <w:rsid w:val="00CC0410"/>
    <w:rsid w:val="00CC20A7"/>
    <w:rsid w:val="00CC2695"/>
    <w:rsid w:val="00CC559D"/>
    <w:rsid w:val="00CD0F96"/>
    <w:rsid w:val="00CD15FD"/>
    <w:rsid w:val="00CD2452"/>
    <w:rsid w:val="00CD36D4"/>
    <w:rsid w:val="00CD39E4"/>
    <w:rsid w:val="00CD42A2"/>
    <w:rsid w:val="00CD573B"/>
    <w:rsid w:val="00CD5C5E"/>
    <w:rsid w:val="00CD654B"/>
    <w:rsid w:val="00CD66C0"/>
    <w:rsid w:val="00CD6BD4"/>
    <w:rsid w:val="00CD6E50"/>
    <w:rsid w:val="00CD6E53"/>
    <w:rsid w:val="00CE223E"/>
    <w:rsid w:val="00CE3515"/>
    <w:rsid w:val="00CE3715"/>
    <w:rsid w:val="00CE40BD"/>
    <w:rsid w:val="00CE5B0C"/>
    <w:rsid w:val="00CF2281"/>
    <w:rsid w:val="00CF547C"/>
    <w:rsid w:val="00D042F5"/>
    <w:rsid w:val="00D04E3F"/>
    <w:rsid w:val="00D116BC"/>
    <w:rsid w:val="00D132C6"/>
    <w:rsid w:val="00D145F5"/>
    <w:rsid w:val="00D14884"/>
    <w:rsid w:val="00D15859"/>
    <w:rsid w:val="00D15AE6"/>
    <w:rsid w:val="00D17B22"/>
    <w:rsid w:val="00D21608"/>
    <w:rsid w:val="00D2391B"/>
    <w:rsid w:val="00D30E88"/>
    <w:rsid w:val="00D343DB"/>
    <w:rsid w:val="00D351A4"/>
    <w:rsid w:val="00D355F0"/>
    <w:rsid w:val="00D41E4B"/>
    <w:rsid w:val="00D44FC0"/>
    <w:rsid w:val="00D45AF8"/>
    <w:rsid w:val="00D51C05"/>
    <w:rsid w:val="00D526AC"/>
    <w:rsid w:val="00D53C88"/>
    <w:rsid w:val="00D53DD8"/>
    <w:rsid w:val="00D547D6"/>
    <w:rsid w:val="00D54A98"/>
    <w:rsid w:val="00D559F0"/>
    <w:rsid w:val="00D56EA8"/>
    <w:rsid w:val="00D575C6"/>
    <w:rsid w:val="00D57A3A"/>
    <w:rsid w:val="00D60AE5"/>
    <w:rsid w:val="00D60B13"/>
    <w:rsid w:val="00D81016"/>
    <w:rsid w:val="00D825E0"/>
    <w:rsid w:val="00D82890"/>
    <w:rsid w:val="00D8355C"/>
    <w:rsid w:val="00D83BD9"/>
    <w:rsid w:val="00D850DA"/>
    <w:rsid w:val="00D863E0"/>
    <w:rsid w:val="00D9060C"/>
    <w:rsid w:val="00D95B7B"/>
    <w:rsid w:val="00D95E22"/>
    <w:rsid w:val="00D95FB9"/>
    <w:rsid w:val="00DA1288"/>
    <w:rsid w:val="00DA62CF"/>
    <w:rsid w:val="00DA64EE"/>
    <w:rsid w:val="00DA66E8"/>
    <w:rsid w:val="00DA686B"/>
    <w:rsid w:val="00DA6A3A"/>
    <w:rsid w:val="00DA6B51"/>
    <w:rsid w:val="00DA7CE6"/>
    <w:rsid w:val="00DB2BA4"/>
    <w:rsid w:val="00DB40BE"/>
    <w:rsid w:val="00DB4579"/>
    <w:rsid w:val="00DB696D"/>
    <w:rsid w:val="00DB7431"/>
    <w:rsid w:val="00DB7F09"/>
    <w:rsid w:val="00DC00E8"/>
    <w:rsid w:val="00DC1E04"/>
    <w:rsid w:val="00DC2415"/>
    <w:rsid w:val="00DC2B9E"/>
    <w:rsid w:val="00DC57D1"/>
    <w:rsid w:val="00DC6BBE"/>
    <w:rsid w:val="00DC6BE3"/>
    <w:rsid w:val="00DC6CDC"/>
    <w:rsid w:val="00DD04F5"/>
    <w:rsid w:val="00DD4AC2"/>
    <w:rsid w:val="00DD5130"/>
    <w:rsid w:val="00DD7A05"/>
    <w:rsid w:val="00DE34D6"/>
    <w:rsid w:val="00DE39E2"/>
    <w:rsid w:val="00DE474B"/>
    <w:rsid w:val="00DE61DB"/>
    <w:rsid w:val="00DF0576"/>
    <w:rsid w:val="00DF1190"/>
    <w:rsid w:val="00DF1266"/>
    <w:rsid w:val="00DF77C6"/>
    <w:rsid w:val="00DF7943"/>
    <w:rsid w:val="00E00EFB"/>
    <w:rsid w:val="00E017DC"/>
    <w:rsid w:val="00E017E8"/>
    <w:rsid w:val="00E0205C"/>
    <w:rsid w:val="00E055B4"/>
    <w:rsid w:val="00E10553"/>
    <w:rsid w:val="00E10C54"/>
    <w:rsid w:val="00E10D39"/>
    <w:rsid w:val="00E1136B"/>
    <w:rsid w:val="00E11D68"/>
    <w:rsid w:val="00E11DA8"/>
    <w:rsid w:val="00E13C19"/>
    <w:rsid w:val="00E14266"/>
    <w:rsid w:val="00E1500F"/>
    <w:rsid w:val="00E1632B"/>
    <w:rsid w:val="00E1784C"/>
    <w:rsid w:val="00E21136"/>
    <w:rsid w:val="00E22D51"/>
    <w:rsid w:val="00E249E6"/>
    <w:rsid w:val="00E3071A"/>
    <w:rsid w:val="00E3321D"/>
    <w:rsid w:val="00E34CD7"/>
    <w:rsid w:val="00E35117"/>
    <w:rsid w:val="00E35FA1"/>
    <w:rsid w:val="00E375CB"/>
    <w:rsid w:val="00E37653"/>
    <w:rsid w:val="00E40E62"/>
    <w:rsid w:val="00E42465"/>
    <w:rsid w:val="00E43734"/>
    <w:rsid w:val="00E43D9C"/>
    <w:rsid w:val="00E50E7C"/>
    <w:rsid w:val="00E51545"/>
    <w:rsid w:val="00E53767"/>
    <w:rsid w:val="00E55326"/>
    <w:rsid w:val="00E56789"/>
    <w:rsid w:val="00E57C98"/>
    <w:rsid w:val="00E61C86"/>
    <w:rsid w:val="00E62094"/>
    <w:rsid w:val="00E645B2"/>
    <w:rsid w:val="00E6594B"/>
    <w:rsid w:val="00E66935"/>
    <w:rsid w:val="00E6717A"/>
    <w:rsid w:val="00E70136"/>
    <w:rsid w:val="00E711D7"/>
    <w:rsid w:val="00E71238"/>
    <w:rsid w:val="00E739FC"/>
    <w:rsid w:val="00E7471F"/>
    <w:rsid w:val="00E76BE8"/>
    <w:rsid w:val="00E77C0D"/>
    <w:rsid w:val="00E82C5B"/>
    <w:rsid w:val="00E845E0"/>
    <w:rsid w:val="00E85EAA"/>
    <w:rsid w:val="00E902B0"/>
    <w:rsid w:val="00E902E8"/>
    <w:rsid w:val="00E9143E"/>
    <w:rsid w:val="00E9388E"/>
    <w:rsid w:val="00E93A27"/>
    <w:rsid w:val="00E97051"/>
    <w:rsid w:val="00E9719B"/>
    <w:rsid w:val="00EA060E"/>
    <w:rsid w:val="00EA2405"/>
    <w:rsid w:val="00EA52FB"/>
    <w:rsid w:val="00EA66EB"/>
    <w:rsid w:val="00EA7048"/>
    <w:rsid w:val="00EB030F"/>
    <w:rsid w:val="00EB1346"/>
    <w:rsid w:val="00EB14F5"/>
    <w:rsid w:val="00EB46B8"/>
    <w:rsid w:val="00EC45A4"/>
    <w:rsid w:val="00EC6B16"/>
    <w:rsid w:val="00ED0110"/>
    <w:rsid w:val="00ED06F9"/>
    <w:rsid w:val="00ED28C3"/>
    <w:rsid w:val="00EE0213"/>
    <w:rsid w:val="00EE0AAE"/>
    <w:rsid w:val="00EE0AE8"/>
    <w:rsid w:val="00EE1838"/>
    <w:rsid w:val="00EE21DB"/>
    <w:rsid w:val="00EE2ED4"/>
    <w:rsid w:val="00EE58CF"/>
    <w:rsid w:val="00EE677F"/>
    <w:rsid w:val="00EE6A38"/>
    <w:rsid w:val="00EF1F20"/>
    <w:rsid w:val="00EF2DA5"/>
    <w:rsid w:val="00EF2FBF"/>
    <w:rsid w:val="00EF47EE"/>
    <w:rsid w:val="00EF52ED"/>
    <w:rsid w:val="00EF5ECD"/>
    <w:rsid w:val="00EF6106"/>
    <w:rsid w:val="00F0082D"/>
    <w:rsid w:val="00F0157B"/>
    <w:rsid w:val="00F038EA"/>
    <w:rsid w:val="00F03F31"/>
    <w:rsid w:val="00F041C8"/>
    <w:rsid w:val="00F04C55"/>
    <w:rsid w:val="00F07C90"/>
    <w:rsid w:val="00F15037"/>
    <w:rsid w:val="00F1579D"/>
    <w:rsid w:val="00F20469"/>
    <w:rsid w:val="00F204CC"/>
    <w:rsid w:val="00F2066C"/>
    <w:rsid w:val="00F206CF"/>
    <w:rsid w:val="00F225BF"/>
    <w:rsid w:val="00F27D32"/>
    <w:rsid w:val="00F31A55"/>
    <w:rsid w:val="00F31E51"/>
    <w:rsid w:val="00F3204F"/>
    <w:rsid w:val="00F35130"/>
    <w:rsid w:val="00F40917"/>
    <w:rsid w:val="00F45478"/>
    <w:rsid w:val="00F475DC"/>
    <w:rsid w:val="00F47691"/>
    <w:rsid w:val="00F47F83"/>
    <w:rsid w:val="00F50AD0"/>
    <w:rsid w:val="00F5102B"/>
    <w:rsid w:val="00F616D6"/>
    <w:rsid w:val="00F6525B"/>
    <w:rsid w:val="00F6585D"/>
    <w:rsid w:val="00F6622E"/>
    <w:rsid w:val="00F66B9F"/>
    <w:rsid w:val="00F67D05"/>
    <w:rsid w:val="00F71A0E"/>
    <w:rsid w:val="00F73A15"/>
    <w:rsid w:val="00F76121"/>
    <w:rsid w:val="00F763D9"/>
    <w:rsid w:val="00F77F1A"/>
    <w:rsid w:val="00F80488"/>
    <w:rsid w:val="00F80E73"/>
    <w:rsid w:val="00F814F9"/>
    <w:rsid w:val="00F818FE"/>
    <w:rsid w:val="00F84110"/>
    <w:rsid w:val="00F86190"/>
    <w:rsid w:val="00F8773C"/>
    <w:rsid w:val="00F9155F"/>
    <w:rsid w:val="00F91D4E"/>
    <w:rsid w:val="00F92279"/>
    <w:rsid w:val="00FA0369"/>
    <w:rsid w:val="00FA12D1"/>
    <w:rsid w:val="00FA47F7"/>
    <w:rsid w:val="00FA5BF9"/>
    <w:rsid w:val="00FA65D1"/>
    <w:rsid w:val="00FA7575"/>
    <w:rsid w:val="00FB2791"/>
    <w:rsid w:val="00FB4EDD"/>
    <w:rsid w:val="00FB64AA"/>
    <w:rsid w:val="00FC63B6"/>
    <w:rsid w:val="00FC6ADA"/>
    <w:rsid w:val="00FC7570"/>
    <w:rsid w:val="00FD1406"/>
    <w:rsid w:val="00FD190F"/>
    <w:rsid w:val="00FD2715"/>
    <w:rsid w:val="00FD43DC"/>
    <w:rsid w:val="00FD5494"/>
    <w:rsid w:val="00FD6A79"/>
    <w:rsid w:val="00FD7885"/>
    <w:rsid w:val="00FE05A9"/>
    <w:rsid w:val="00FE4599"/>
    <w:rsid w:val="00FE60CB"/>
    <w:rsid w:val="00FE74A6"/>
    <w:rsid w:val="00FE7E0F"/>
    <w:rsid w:val="00FF4023"/>
    <w:rsid w:val="00FF58A5"/>
    <w:rsid w:val="00FF6604"/>
    <w:rsid w:val="00FF78DD"/>
    <w:rsid w:val="00FF7B3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775436F3"/>
  <w15:docId w15:val="{4E9C7E5B-2DEB-4D43-9B77-615E5B79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20"/>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20"/>
      </w:numPr>
      <w:spacing w:before="0"/>
    </w:pPr>
  </w:style>
  <w:style w:type="paragraph" w:customStyle="1" w:styleId="DoubleDot">
    <w:name w:val="Double Dot"/>
    <w:basedOn w:val="Normal"/>
    <w:qFormat/>
    <w:rsid w:val="000E0B74"/>
    <w:pPr>
      <w:numPr>
        <w:ilvl w:val="2"/>
        <w:numId w:val="20"/>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21"/>
      </w:numPr>
      <w:tabs>
        <w:tab w:val="num" w:pos="851"/>
      </w:tabs>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21"/>
      </w:numPr>
      <w:tabs>
        <w:tab w:val="num" w:pos="1134"/>
      </w:tabs>
      <w:spacing w:before="0"/>
    </w:pPr>
  </w:style>
  <w:style w:type="paragraph" w:customStyle="1" w:styleId="OutlineNumbered3">
    <w:name w:val="Outline Numbered 3"/>
    <w:basedOn w:val="Normal"/>
    <w:rsid w:val="000E0B74"/>
    <w:pPr>
      <w:numPr>
        <w:ilvl w:val="2"/>
        <w:numId w:val="21"/>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styleId="ListParagraph">
    <w:name w:val="List Paragraph"/>
    <w:basedOn w:val="Normal"/>
    <w:uiPriority w:val="34"/>
    <w:qFormat/>
    <w:rsid w:val="00FE74A6"/>
    <w:pPr>
      <w:ind w:left="720"/>
      <w:contextualSpacing/>
    </w:pPr>
  </w:style>
  <w:style w:type="character" w:customStyle="1" w:styleId="BulletChar">
    <w:name w:val="Bullet Char"/>
    <w:aliases w:val="Body Char,b + line Char,b + line Char Char,b Char,b Char Char,b1 Char,level 1 Char,CV text Char,Dot pt Char,F5 List Paragraph Char,L Char,List Paragraph1 Char,List Paragraph11 Char,Number Char,Recommendation Char,Bullet + line Char"/>
    <w:basedOn w:val="DefaultParagraphFont"/>
    <w:link w:val="Bullet"/>
    <w:rsid w:val="007B75F1"/>
    <w:rPr>
      <w:rFonts w:ascii="Calibri" w:eastAsia="Times New Roman" w:hAnsi="Calibri" w:cs="Times New Roman"/>
      <w:szCs w:val="20"/>
      <w:lang w:eastAsia="en-AU"/>
    </w:rPr>
  </w:style>
  <w:style w:type="character" w:customStyle="1" w:styleId="DashChar">
    <w:name w:val="Dash Char"/>
    <w:basedOn w:val="DefaultParagraphFont"/>
    <w:link w:val="Dash"/>
    <w:rsid w:val="007B75F1"/>
    <w:rPr>
      <w:rFonts w:ascii="Calibri" w:eastAsia="Times New Roman" w:hAnsi="Calibri" w:cs="Times New Roman"/>
      <w:szCs w:val="20"/>
      <w:lang w:eastAsia="en-AU"/>
    </w:rPr>
  </w:style>
  <w:style w:type="character" w:styleId="Strong">
    <w:name w:val="Strong"/>
    <w:basedOn w:val="DefaultParagraphFont"/>
    <w:uiPriority w:val="22"/>
    <w:qFormat/>
    <w:rsid w:val="007B75F1"/>
    <w:rPr>
      <w:b/>
      <w:bCs/>
    </w:rPr>
  </w:style>
  <w:style w:type="character" w:styleId="CommentReference">
    <w:name w:val="annotation reference"/>
    <w:basedOn w:val="DefaultParagraphFont"/>
    <w:uiPriority w:val="99"/>
    <w:semiHidden/>
    <w:unhideWhenUsed/>
    <w:rsid w:val="00797F89"/>
    <w:rPr>
      <w:sz w:val="16"/>
      <w:szCs w:val="16"/>
    </w:rPr>
  </w:style>
  <w:style w:type="paragraph" w:styleId="CommentText">
    <w:name w:val="annotation text"/>
    <w:basedOn w:val="Normal"/>
    <w:link w:val="CommentTextChar"/>
    <w:uiPriority w:val="99"/>
    <w:unhideWhenUsed/>
    <w:rsid w:val="00797F89"/>
    <w:rPr>
      <w:sz w:val="20"/>
    </w:rPr>
  </w:style>
  <w:style w:type="character" w:customStyle="1" w:styleId="CommentTextChar">
    <w:name w:val="Comment Text Char"/>
    <w:basedOn w:val="DefaultParagraphFont"/>
    <w:link w:val="CommentText"/>
    <w:uiPriority w:val="99"/>
    <w:rsid w:val="00797F89"/>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97F89"/>
    <w:rPr>
      <w:b/>
      <w:bCs/>
    </w:rPr>
  </w:style>
  <w:style w:type="character" w:customStyle="1" w:styleId="CommentSubjectChar">
    <w:name w:val="Comment Subject Char"/>
    <w:basedOn w:val="CommentTextChar"/>
    <w:link w:val="CommentSubject"/>
    <w:uiPriority w:val="99"/>
    <w:semiHidden/>
    <w:rsid w:val="00797F89"/>
    <w:rPr>
      <w:rFonts w:ascii="Calibri" w:eastAsia="Times New Roman" w:hAnsi="Calibri" w:cs="Times New Roman"/>
      <w:b/>
      <w:bCs/>
      <w:sz w:val="20"/>
      <w:szCs w:val="20"/>
      <w:lang w:eastAsia="en-AU"/>
    </w:rPr>
  </w:style>
  <w:style w:type="paragraph" w:styleId="Revision">
    <w:name w:val="Revision"/>
    <w:hidden/>
    <w:uiPriority w:val="99"/>
    <w:semiHidden/>
    <w:rsid w:val="00E9143E"/>
    <w:pPr>
      <w:spacing w:after="0" w:line="240" w:lineRule="auto"/>
    </w:pPr>
    <w:rPr>
      <w:rFonts w:ascii="Calibri" w:eastAsia="Times New Roman" w:hAnsi="Calibri" w:cs="Times New Roman"/>
      <w:szCs w:val="20"/>
      <w:lang w:eastAsia="en-AU"/>
    </w:rPr>
  </w:style>
  <w:style w:type="paragraph" w:customStyle="1" w:styleId="dotpoint">
    <w:name w:val="dot point"/>
    <w:basedOn w:val="Normal"/>
    <w:rsid w:val="005D4E67"/>
    <w:pPr>
      <w:tabs>
        <w:tab w:val="num" w:pos="568"/>
      </w:tabs>
      <w:ind w:left="568" w:hanging="284"/>
    </w:pPr>
    <w:rPr>
      <w:rFonts w:ascii="Times New Roman" w:hAnsi="Times New Roman"/>
    </w:rPr>
  </w:style>
  <w:style w:type="paragraph" w:styleId="NormalWeb">
    <w:name w:val="Normal (Web)"/>
    <w:basedOn w:val="Normal"/>
    <w:uiPriority w:val="99"/>
    <w:semiHidden/>
    <w:unhideWhenUsed/>
    <w:rsid w:val="00DD04F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7386">
      <w:bodyDiv w:val="1"/>
      <w:marLeft w:val="0"/>
      <w:marRight w:val="0"/>
      <w:marTop w:val="0"/>
      <w:marBottom w:val="0"/>
      <w:divBdr>
        <w:top w:val="none" w:sz="0" w:space="0" w:color="auto"/>
        <w:left w:val="none" w:sz="0" w:space="0" w:color="auto"/>
        <w:bottom w:val="none" w:sz="0" w:space="0" w:color="auto"/>
        <w:right w:val="none" w:sz="0" w:space="0" w:color="auto"/>
      </w:divBdr>
    </w:div>
    <w:div w:id="91979487">
      <w:bodyDiv w:val="1"/>
      <w:marLeft w:val="0"/>
      <w:marRight w:val="0"/>
      <w:marTop w:val="0"/>
      <w:marBottom w:val="0"/>
      <w:divBdr>
        <w:top w:val="none" w:sz="0" w:space="0" w:color="auto"/>
        <w:left w:val="none" w:sz="0" w:space="0" w:color="auto"/>
        <w:bottom w:val="none" w:sz="0" w:space="0" w:color="auto"/>
        <w:right w:val="none" w:sz="0" w:space="0" w:color="auto"/>
      </w:divBdr>
    </w:div>
    <w:div w:id="102187785">
      <w:bodyDiv w:val="1"/>
      <w:marLeft w:val="0"/>
      <w:marRight w:val="0"/>
      <w:marTop w:val="0"/>
      <w:marBottom w:val="0"/>
      <w:divBdr>
        <w:top w:val="none" w:sz="0" w:space="0" w:color="auto"/>
        <w:left w:val="none" w:sz="0" w:space="0" w:color="auto"/>
        <w:bottom w:val="none" w:sz="0" w:space="0" w:color="auto"/>
        <w:right w:val="none" w:sz="0" w:space="0" w:color="auto"/>
      </w:divBdr>
    </w:div>
    <w:div w:id="273101247">
      <w:bodyDiv w:val="1"/>
      <w:marLeft w:val="0"/>
      <w:marRight w:val="0"/>
      <w:marTop w:val="0"/>
      <w:marBottom w:val="0"/>
      <w:divBdr>
        <w:top w:val="none" w:sz="0" w:space="0" w:color="auto"/>
        <w:left w:val="none" w:sz="0" w:space="0" w:color="auto"/>
        <w:bottom w:val="none" w:sz="0" w:space="0" w:color="auto"/>
        <w:right w:val="none" w:sz="0" w:space="0" w:color="auto"/>
      </w:divBdr>
    </w:div>
    <w:div w:id="552279298">
      <w:bodyDiv w:val="1"/>
      <w:marLeft w:val="0"/>
      <w:marRight w:val="0"/>
      <w:marTop w:val="0"/>
      <w:marBottom w:val="0"/>
      <w:divBdr>
        <w:top w:val="none" w:sz="0" w:space="0" w:color="auto"/>
        <w:left w:val="none" w:sz="0" w:space="0" w:color="auto"/>
        <w:bottom w:val="none" w:sz="0" w:space="0" w:color="auto"/>
        <w:right w:val="none" w:sz="0" w:space="0" w:color="auto"/>
      </w:divBdr>
    </w:div>
    <w:div w:id="759453214">
      <w:bodyDiv w:val="1"/>
      <w:marLeft w:val="0"/>
      <w:marRight w:val="0"/>
      <w:marTop w:val="0"/>
      <w:marBottom w:val="0"/>
      <w:divBdr>
        <w:top w:val="none" w:sz="0" w:space="0" w:color="auto"/>
        <w:left w:val="none" w:sz="0" w:space="0" w:color="auto"/>
        <w:bottom w:val="none" w:sz="0" w:space="0" w:color="auto"/>
        <w:right w:val="none" w:sz="0" w:space="0" w:color="auto"/>
      </w:divBdr>
    </w:div>
    <w:div w:id="1058014937">
      <w:bodyDiv w:val="1"/>
      <w:marLeft w:val="0"/>
      <w:marRight w:val="0"/>
      <w:marTop w:val="0"/>
      <w:marBottom w:val="0"/>
      <w:divBdr>
        <w:top w:val="none" w:sz="0" w:space="0" w:color="auto"/>
        <w:left w:val="none" w:sz="0" w:space="0" w:color="auto"/>
        <w:bottom w:val="none" w:sz="0" w:space="0" w:color="auto"/>
        <w:right w:val="none" w:sz="0" w:space="0" w:color="auto"/>
      </w:divBdr>
    </w:div>
    <w:div w:id="1510100717">
      <w:bodyDiv w:val="1"/>
      <w:marLeft w:val="0"/>
      <w:marRight w:val="0"/>
      <w:marTop w:val="0"/>
      <w:marBottom w:val="0"/>
      <w:divBdr>
        <w:top w:val="none" w:sz="0" w:space="0" w:color="auto"/>
        <w:left w:val="none" w:sz="0" w:space="0" w:color="auto"/>
        <w:bottom w:val="none" w:sz="0" w:space="0" w:color="auto"/>
        <w:right w:val="none" w:sz="0" w:space="0" w:color="auto"/>
      </w:divBdr>
    </w:div>
    <w:div w:id="1708293461">
      <w:bodyDiv w:val="1"/>
      <w:marLeft w:val="0"/>
      <w:marRight w:val="0"/>
      <w:marTop w:val="0"/>
      <w:marBottom w:val="0"/>
      <w:divBdr>
        <w:top w:val="none" w:sz="0" w:space="0" w:color="auto"/>
        <w:left w:val="none" w:sz="0" w:space="0" w:color="auto"/>
        <w:bottom w:val="none" w:sz="0" w:space="0" w:color="auto"/>
        <w:right w:val="none" w:sz="0" w:space="0" w:color="auto"/>
      </w:divBdr>
    </w:div>
    <w:div w:id="1901284376">
      <w:bodyDiv w:val="1"/>
      <w:marLeft w:val="0"/>
      <w:marRight w:val="0"/>
      <w:marTop w:val="0"/>
      <w:marBottom w:val="0"/>
      <w:divBdr>
        <w:top w:val="none" w:sz="0" w:space="0" w:color="auto"/>
        <w:left w:val="none" w:sz="0" w:space="0" w:color="auto"/>
        <w:bottom w:val="none" w:sz="0" w:space="0" w:color="auto"/>
        <w:right w:val="none" w:sz="0" w:space="0" w:color="auto"/>
      </w:divBdr>
      <w:divsChild>
        <w:div w:id="18242748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https://treasury.gov.au/submission-guidelines" TargetMode="External"/><Relationship Id="rId28" Type="http://schemas.openxmlformats.org/officeDocument/2006/relationships/image" Target="media/image4.png"/><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image" Target="media/image4.svg"/><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0A2E4E7FA54D27A8C51FECFDCEBB29"/>
        <w:category>
          <w:name w:val="General"/>
          <w:gallery w:val="placeholder"/>
        </w:category>
        <w:types>
          <w:type w:val="bbPlcHdr"/>
        </w:types>
        <w:behaviors>
          <w:behavior w:val="content"/>
        </w:behaviors>
        <w:guid w:val="{A0F384A1-835F-4517-B3CE-7D83E5601A38}"/>
      </w:docPartPr>
      <w:docPartBody>
        <w:p w:rsidR="00F35B71" w:rsidRDefault="00F35B71">
          <w:pPr>
            <w:pStyle w:val="D20A2E4E7FA54D27A8C51FECFDCEBB29"/>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j-l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B71"/>
    <w:rsid w:val="0009412E"/>
    <w:rsid w:val="000C2FD3"/>
    <w:rsid w:val="00344269"/>
    <w:rsid w:val="00385AC6"/>
    <w:rsid w:val="003E493F"/>
    <w:rsid w:val="004161C1"/>
    <w:rsid w:val="00495E74"/>
    <w:rsid w:val="005821A9"/>
    <w:rsid w:val="00645E53"/>
    <w:rsid w:val="007377E9"/>
    <w:rsid w:val="007545D1"/>
    <w:rsid w:val="0076297A"/>
    <w:rsid w:val="008059A4"/>
    <w:rsid w:val="0081022D"/>
    <w:rsid w:val="00833256"/>
    <w:rsid w:val="00902B2D"/>
    <w:rsid w:val="0095342F"/>
    <w:rsid w:val="00AA04BF"/>
    <w:rsid w:val="00B762F3"/>
    <w:rsid w:val="00CB78A0"/>
    <w:rsid w:val="00D20E02"/>
    <w:rsid w:val="00E86961"/>
    <w:rsid w:val="00F35B71"/>
    <w:rsid w:val="00FD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625D7FDA3B409D866E9C702F959E73">
    <w:name w:val="8A625D7FDA3B409D866E9C702F959E73"/>
  </w:style>
  <w:style w:type="character" w:styleId="PlaceholderText">
    <w:name w:val="Placeholder Text"/>
    <w:basedOn w:val="DefaultParagraphFont"/>
    <w:uiPriority w:val="99"/>
    <w:semiHidden/>
    <w:rPr>
      <w:color w:val="808080"/>
    </w:rPr>
  </w:style>
  <w:style w:type="paragraph" w:customStyle="1" w:styleId="D20A2E4E7FA54D27A8C51FECFDCEBB29">
    <w:name w:val="D20A2E4E7FA54D27A8C51FECFDCEBB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36532" ma:contentTypeDescription="" ma:contentTypeScope="" ma:versionID="7bf5fd43e7ff5c8cc884fd27a8ef2d57">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16f59817d12c356334f63fdd4cbf933c"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2021MG-133-50324</_dlc_DocId>
    <_dlc_DocIdUrl xmlns="0f563589-9cf9-4143-b1eb-fb0534803d38">
      <Url>http://tweb/sites/mg/sbccpd/_layouts/15/DocIdRedir.aspx?ID=2021MG-133-50324</Url>
      <Description>2021MG-133-50324</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445A6-1710-443F-B538-ECE4669103D6}">
  <ds:schemaRefs>
    <ds:schemaRef ds:uri="http://schemas.microsoft.com/sharepoint/v3/contenttype/forms"/>
  </ds:schemaRefs>
</ds:datastoreItem>
</file>

<file path=customXml/itemProps2.xml><?xml version="1.0" encoding="utf-8"?>
<ds:datastoreItem xmlns:ds="http://schemas.openxmlformats.org/officeDocument/2006/customXml" ds:itemID="{A121D017-03F0-4522-A652-F965B67FE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214224-072C-4D21-ACC2-6B02ACF46C72}">
  <ds:schemaRefs>
    <ds:schemaRef ds:uri="office.server.policy"/>
  </ds:schemaRefs>
</ds:datastoreItem>
</file>

<file path=customXml/itemProps4.xml><?xml version="1.0" encoding="utf-8"?>
<ds:datastoreItem xmlns:ds="http://schemas.openxmlformats.org/officeDocument/2006/customXml" ds:itemID="{C74B4BC6-5782-45AD-8D0F-05A8F5C20921}">
  <ds:schemaRefs>
    <ds:schemaRef ds:uri="http://schemas.microsoft.com/sharepoint/events"/>
  </ds:schemaRefs>
</ds:datastoreItem>
</file>

<file path=customXml/itemProps5.xml><?xml version="1.0" encoding="utf-8"?>
<ds:datastoreItem xmlns:ds="http://schemas.openxmlformats.org/officeDocument/2006/customXml" ds:itemID="{BB2B8DD4-B878-422B-B4E6-F6379AE4A856}">
  <ds:schemaRef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d4dd4adf-ddb3-46a3-8d7c-fab3fb2a6bc7"/>
    <ds:schemaRef ds:uri="http://www.w3.org/XML/1998/namespace"/>
    <ds:schemaRef ds:uri="http://purl.org/dc/dcmitype/"/>
  </ds:schemaRefs>
</ds:datastoreItem>
</file>

<file path=customXml/itemProps6.xml><?xml version="1.0" encoding="utf-8"?>
<ds:datastoreItem xmlns:ds="http://schemas.openxmlformats.org/officeDocument/2006/customXml" ds:itemID="{3646B458-FAE8-4ED8-ABD4-8076AE9A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2</TotalTime>
  <Pages>10</Pages>
  <Words>2714</Words>
  <Characters>15474</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Timeliness of processes under the National Access Regime</vt:lpstr>
    </vt:vector>
  </TitlesOfParts>
  <Company>Australian Government - The Treasury</Company>
  <LinksUpToDate>false</LinksUpToDate>
  <CharactersWithSpaces>18152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Timeliness of processes under the National Access Regime</dc:title>
  <dc:subject>Consultation paper</dc:subject>
  <dc:creator>The Treasury</dc:creator>
  <cp:keywords/>
  <dc:description/>
  <cp:lastModifiedBy>Thomas, Deborah</cp:lastModifiedBy>
  <cp:revision>2</cp:revision>
  <cp:lastPrinted>2021-03-18T23:55:00Z</cp:lastPrinted>
  <dcterms:created xsi:type="dcterms:W3CDTF">2021-03-19T00:55:00Z</dcterms:created>
  <dcterms:modified xsi:type="dcterms:W3CDTF">2021-03-19T00:55:00Z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E93E5A90642C43F8F4B2FE5D0B7004289A83F926</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D2959F253A934F8381471D45F37D2946</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2020-08-10T08:00:03Z</vt:lpwstr>
  </property>
  <property fmtid="{D5CDD505-2E9C-101B-9397-08002B2CF9AE}" pid="19" name="PM_Hash_Version">
    <vt:lpwstr>2018.0</vt:lpwstr>
  </property>
  <property fmtid="{D5CDD505-2E9C-101B-9397-08002B2CF9AE}" pid="20" name="PM_Hash_Salt_Prev">
    <vt:lpwstr>C6564D04939879D2C0359FDA9245ADB3</vt:lpwstr>
  </property>
  <property fmtid="{D5CDD505-2E9C-101B-9397-08002B2CF9AE}" pid="21" name="PM_Hash_Salt">
    <vt:lpwstr>0B8D38DACDC7DEE4DABA1BEFDF8FDBBB</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0x010100E95D40E5DFEA714B90E88DB5CE07A6B500DDAFF7E1A29DE64F981B4EA50562BA75</vt:lpwstr>
  </property>
  <property fmtid="{D5CDD505-2E9C-101B-9397-08002B2CF9AE}" pid="25" name="TaxKeyword">
    <vt:lpwstr/>
  </property>
  <property fmtid="{D5CDD505-2E9C-101B-9397-08002B2CF9AE}" pid="26" name="TSYRecordClass">
    <vt:lpwstr>2;#TSY RA-9081 - Retain as national archives|bbf0bcde-1687-4ff2-bc57-f31b5d545d4b</vt:lpwstr>
  </property>
  <property fmtid="{D5CDD505-2E9C-101B-9397-08002B2CF9AE}" pid="27" name="_dlc_DocIdItemGuid">
    <vt:lpwstr>8df84beb-023e-42c1-b88c-3b73b89b2a59</vt:lpwstr>
  </property>
</Properties>
</file>