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41965" w14:textId="50F3C74D" w:rsidR="00B47D06" w:rsidRDefault="00F60FFD" w:rsidP="005A3602">
      <w:pPr>
        <w:spacing w:after="120" w:line="240" w:lineRule="auto"/>
        <w:jc w:val="both"/>
        <w:rPr>
          <w:rFonts w:ascii="Arial" w:eastAsia="Times New Roman" w:hAnsi="Arial" w:cs="Arial"/>
          <w:lang w:eastAsia="en-GB"/>
        </w:rPr>
      </w:pPr>
      <w:bookmarkStart w:id="0" w:name="_GoBack"/>
      <w:bookmarkEnd w:id="0"/>
      <w:r w:rsidRPr="00F60FFD">
        <w:rPr>
          <w:rFonts w:ascii="Arial" w:eastAsia="Times New Roman" w:hAnsi="Arial" w:cs="Arial"/>
          <w:lang w:eastAsia="en-GB"/>
        </w:rPr>
        <w:t xml:space="preserve">21 </w:t>
      </w:r>
      <w:r w:rsidR="002356BF" w:rsidRPr="00F60FFD">
        <w:rPr>
          <w:rFonts w:ascii="Arial" w:eastAsia="Times New Roman" w:hAnsi="Arial" w:cs="Arial"/>
          <w:lang w:eastAsia="en-GB"/>
        </w:rPr>
        <w:t>March 2021</w:t>
      </w:r>
      <w:r w:rsidR="008441B1" w:rsidRPr="008441B1">
        <w:rPr>
          <w:rFonts w:ascii="Arial" w:eastAsia="Times New Roman" w:hAnsi="Arial" w:cs="Arial"/>
          <w:lang w:eastAsia="en-GB"/>
        </w:rPr>
        <w:t xml:space="preserve"> </w:t>
      </w:r>
    </w:p>
    <w:p w14:paraId="70E31D51" w14:textId="77777777" w:rsidR="008441B1" w:rsidRDefault="008441B1" w:rsidP="008441B1">
      <w:pPr>
        <w:spacing w:after="0" w:line="240" w:lineRule="auto"/>
        <w:jc w:val="both"/>
        <w:rPr>
          <w:rFonts w:ascii="Arial" w:eastAsia="Times New Roman" w:hAnsi="Arial" w:cs="Arial"/>
          <w:lang w:eastAsia="en-GB"/>
        </w:rPr>
      </w:pPr>
    </w:p>
    <w:p w14:paraId="55ECF446" w14:textId="77777777" w:rsidR="002356BF" w:rsidRDefault="002356BF" w:rsidP="008441B1">
      <w:pPr>
        <w:spacing w:after="0" w:line="240" w:lineRule="auto"/>
        <w:jc w:val="both"/>
        <w:rPr>
          <w:rFonts w:ascii="Arial" w:eastAsia="Times New Roman" w:hAnsi="Arial" w:cs="Arial"/>
          <w:lang w:eastAsia="en-GB"/>
        </w:rPr>
      </w:pPr>
      <w:r w:rsidRPr="002356BF">
        <w:rPr>
          <w:rFonts w:ascii="Arial" w:eastAsia="Times New Roman" w:hAnsi="Arial" w:cs="Arial"/>
          <w:lang w:eastAsia="en-GB"/>
        </w:rPr>
        <w:t xml:space="preserve">Thresholds Working Group </w:t>
      </w:r>
    </w:p>
    <w:p w14:paraId="6031EF21" w14:textId="77777777" w:rsidR="002356BF" w:rsidRDefault="002356BF" w:rsidP="008441B1">
      <w:pPr>
        <w:spacing w:after="0" w:line="240" w:lineRule="auto"/>
        <w:jc w:val="both"/>
        <w:rPr>
          <w:rFonts w:ascii="Arial" w:eastAsia="Times New Roman" w:hAnsi="Arial" w:cs="Arial"/>
          <w:lang w:eastAsia="en-GB"/>
        </w:rPr>
      </w:pPr>
      <w:r w:rsidRPr="002356BF">
        <w:rPr>
          <w:rFonts w:ascii="Arial" w:eastAsia="Times New Roman" w:hAnsi="Arial" w:cs="Arial"/>
          <w:lang w:eastAsia="en-GB"/>
        </w:rPr>
        <w:t xml:space="preserve">C/- Not-for-profit Unit </w:t>
      </w:r>
    </w:p>
    <w:p w14:paraId="4BE86B9E" w14:textId="77777777" w:rsidR="002356BF" w:rsidRDefault="002356BF" w:rsidP="008441B1">
      <w:pPr>
        <w:spacing w:after="0" w:line="240" w:lineRule="auto"/>
        <w:jc w:val="both"/>
        <w:rPr>
          <w:rFonts w:ascii="Arial" w:eastAsia="Times New Roman" w:hAnsi="Arial" w:cs="Arial"/>
          <w:lang w:eastAsia="en-GB"/>
        </w:rPr>
      </w:pPr>
      <w:r w:rsidRPr="002356BF">
        <w:rPr>
          <w:rFonts w:ascii="Arial" w:eastAsia="Times New Roman" w:hAnsi="Arial" w:cs="Arial"/>
          <w:lang w:eastAsia="en-GB"/>
        </w:rPr>
        <w:t xml:space="preserve">Individuals and Indirect Tax Division </w:t>
      </w:r>
    </w:p>
    <w:p w14:paraId="122A492F" w14:textId="76AFA8B7" w:rsidR="00B47D06" w:rsidRPr="00B47D06" w:rsidRDefault="002356BF" w:rsidP="008441B1">
      <w:pPr>
        <w:spacing w:after="0" w:line="240" w:lineRule="auto"/>
        <w:jc w:val="both"/>
        <w:rPr>
          <w:rFonts w:ascii="Arial" w:eastAsia="Times New Roman" w:hAnsi="Arial" w:cs="Arial"/>
          <w:lang w:eastAsia="en-GB"/>
        </w:rPr>
      </w:pPr>
      <w:r w:rsidRPr="002356BF">
        <w:rPr>
          <w:rFonts w:ascii="Arial" w:eastAsia="Times New Roman" w:hAnsi="Arial" w:cs="Arial"/>
          <w:lang w:eastAsia="en-GB"/>
        </w:rPr>
        <w:t>The Treasury</w:t>
      </w:r>
    </w:p>
    <w:p w14:paraId="1E33C542" w14:textId="77777777" w:rsidR="008441B1" w:rsidRDefault="008441B1" w:rsidP="000D4B2A">
      <w:pPr>
        <w:spacing w:before="120" w:after="120" w:line="240" w:lineRule="auto"/>
        <w:jc w:val="both"/>
        <w:rPr>
          <w:rFonts w:ascii="Arial" w:hAnsi="Arial" w:cs="Arial"/>
        </w:rPr>
      </w:pPr>
    </w:p>
    <w:p w14:paraId="523017D5" w14:textId="46E85840" w:rsidR="00DA039E" w:rsidRDefault="00B47D06" w:rsidP="000D4B2A">
      <w:pPr>
        <w:spacing w:before="120" w:after="120" w:line="240" w:lineRule="auto"/>
        <w:jc w:val="both"/>
        <w:rPr>
          <w:rFonts w:ascii="Arial" w:eastAsia="Times New Roman" w:hAnsi="Arial" w:cs="Arial"/>
          <w:lang w:eastAsia="en-GB"/>
        </w:rPr>
      </w:pPr>
      <w:r w:rsidRPr="00B47D06">
        <w:rPr>
          <w:rFonts w:ascii="Arial" w:hAnsi="Arial" w:cs="Arial"/>
        </w:rPr>
        <w:t>(submitted by email:</w:t>
      </w:r>
      <w:r w:rsidR="002356BF" w:rsidRPr="002356BF">
        <w:t xml:space="preserve"> </w:t>
      </w:r>
      <w:hyperlink r:id="rId8" w:history="1">
        <w:r w:rsidR="00F60FFD" w:rsidRPr="008D38F6">
          <w:rPr>
            <w:rStyle w:val="Hyperlink"/>
            <w:rFonts w:ascii="Arial" w:hAnsi="Arial" w:cs="Arial"/>
          </w:rPr>
          <w:t>Thresholds@treasury.gov.au</w:t>
        </w:r>
      </w:hyperlink>
      <w:r w:rsidR="00F60FFD">
        <w:rPr>
          <w:rFonts w:ascii="Arial" w:hAnsi="Arial" w:cs="Arial"/>
        </w:rPr>
        <w:t>)</w:t>
      </w:r>
    </w:p>
    <w:p w14:paraId="5A541809" w14:textId="77777777" w:rsidR="000D4B2A" w:rsidRPr="007C2BDD" w:rsidRDefault="000D4B2A" w:rsidP="000D4B2A">
      <w:pPr>
        <w:spacing w:before="120" w:after="120" w:line="240" w:lineRule="auto"/>
        <w:jc w:val="both"/>
        <w:rPr>
          <w:rFonts w:ascii="Arial" w:eastAsia="Times New Roman" w:hAnsi="Arial" w:cs="Arial"/>
          <w:lang w:eastAsia="en-GB"/>
        </w:rPr>
      </w:pPr>
    </w:p>
    <w:p w14:paraId="6A3DE4C2" w14:textId="7B415D1B" w:rsidR="00985A4B" w:rsidRPr="000D4B2A" w:rsidRDefault="00F60FFD" w:rsidP="000D4B2A">
      <w:pPr>
        <w:pStyle w:val="Heading1"/>
        <w:spacing w:before="120" w:after="120" w:line="240" w:lineRule="auto"/>
        <w:jc w:val="both"/>
      </w:pPr>
      <w:r>
        <w:rPr>
          <w:b/>
          <w:bCs/>
        </w:rPr>
        <w:t>In</w:t>
      </w:r>
      <w:r w:rsidR="002356BF" w:rsidRPr="002356BF">
        <w:rPr>
          <w:b/>
          <w:bCs/>
        </w:rPr>
        <w:t>creasing financial reporting thresholds for ACNC</w:t>
      </w:r>
      <w:r w:rsidR="002356BF">
        <w:rPr>
          <w:b/>
          <w:bCs/>
        </w:rPr>
        <w:t>-</w:t>
      </w:r>
      <w:r w:rsidR="002356BF" w:rsidRPr="002356BF">
        <w:rPr>
          <w:b/>
          <w:bCs/>
        </w:rPr>
        <w:t>registered charities</w:t>
      </w:r>
    </w:p>
    <w:p w14:paraId="16079DD8" w14:textId="17464C30" w:rsidR="004E0C04" w:rsidRDefault="00AB7A20" w:rsidP="004E0C04">
      <w:pPr>
        <w:spacing w:before="200" w:after="0" w:line="240" w:lineRule="auto"/>
        <w:jc w:val="both"/>
        <w:rPr>
          <w:rFonts w:ascii="Arial" w:eastAsia="Times New Roman" w:hAnsi="Arial" w:cs="Arial"/>
          <w:lang w:eastAsia="en-GB"/>
        </w:rPr>
      </w:pPr>
      <w:r w:rsidRPr="00AB7A20">
        <w:rPr>
          <w:rFonts w:ascii="Arial" w:eastAsia="Times New Roman" w:hAnsi="Arial" w:cs="Arial"/>
          <w:lang w:eastAsia="en-GB"/>
        </w:rPr>
        <w:t>Justice Connect welcomes the opportunity to respond to</w:t>
      </w:r>
      <w:r>
        <w:rPr>
          <w:rFonts w:ascii="Arial" w:eastAsia="Times New Roman" w:hAnsi="Arial" w:cs="Arial"/>
          <w:lang w:eastAsia="en-GB"/>
        </w:rPr>
        <w:t xml:space="preserve"> </w:t>
      </w:r>
      <w:r w:rsidR="004E0C04">
        <w:rPr>
          <w:rFonts w:ascii="Arial" w:eastAsia="Times New Roman" w:hAnsi="Arial" w:cs="Arial"/>
          <w:lang w:eastAsia="en-GB"/>
        </w:rPr>
        <w:t xml:space="preserve">the Treasury’s consultation paper, </w:t>
      </w:r>
      <w:r w:rsidR="004E0C04" w:rsidRPr="004E0C04">
        <w:rPr>
          <w:rFonts w:ascii="Arial" w:eastAsia="Times New Roman" w:hAnsi="Arial" w:cs="Arial"/>
          <w:i/>
          <w:iCs/>
          <w:lang w:eastAsia="en-GB"/>
        </w:rPr>
        <w:t>Increasing financial reporting thresholds for ACNC-registered charities</w:t>
      </w:r>
      <w:r w:rsidR="004E0C04">
        <w:rPr>
          <w:rFonts w:ascii="Arial" w:eastAsia="Times New Roman" w:hAnsi="Arial" w:cs="Arial"/>
          <w:lang w:eastAsia="en-GB"/>
        </w:rPr>
        <w:t>.</w:t>
      </w:r>
    </w:p>
    <w:p w14:paraId="585D56FD" w14:textId="77777777" w:rsidR="00F60FFD" w:rsidRPr="008441B1" w:rsidRDefault="00F60FFD" w:rsidP="00F60FFD">
      <w:pPr>
        <w:spacing w:before="200" w:after="0" w:line="240" w:lineRule="auto"/>
        <w:jc w:val="both"/>
        <w:textAlignment w:val="baseline"/>
        <w:rPr>
          <w:rFonts w:ascii="Arial" w:hAnsi="Arial" w:cs="Arial"/>
          <w:lang w:eastAsia="en-GB"/>
        </w:rPr>
      </w:pPr>
      <w:r w:rsidRPr="2B7D9322">
        <w:rPr>
          <w:rFonts w:ascii="Arial" w:hAnsi="Arial" w:cs="Arial"/>
          <w:lang w:eastAsia="en-GB"/>
        </w:rPr>
        <w:t>In the face of huge unmet legal need, Justice Connect designs and delivers high-impact interventions to increase access to legal support and achieve social justice. We help those who would otherwise miss out on assistance, focusing on people disproportionately impacted by the law and the organisations that make our community thrive.   </w:t>
      </w:r>
    </w:p>
    <w:p w14:paraId="0FDF1E27" w14:textId="77777777" w:rsidR="00F60FFD" w:rsidRPr="008441B1" w:rsidRDefault="00F60FFD" w:rsidP="005A3602">
      <w:pPr>
        <w:spacing w:before="200" w:after="0" w:line="240" w:lineRule="auto"/>
        <w:jc w:val="both"/>
        <w:textAlignment w:val="baseline"/>
        <w:rPr>
          <w:rFonts w:ascii="Arial" w:hAnsi="Arial" w:cs="Arial"/>
          <w:lang w:eastAsia="en-GB"/>
        </w:rPr>
      </w:pPr>
      <w:r w:rsidRPr="008441B1">
        <w:rPr>
          <w:rFonts w:ascii="Arial" w:hAnsi="Arial" w:cs="Arial"/>
          <w:lang w:eastAsia="en-GB"/>
        </w:rPr>
        <w:t>We work to ensure people and organisations can access the right legal help at the right time, to avoid the negative impacts on their wellbeing or organisational health due to legal problems. We believe in a fair and just world, where communities are supported to engage with and fully participate in our legal system.  </w:t>
      </w:r>
    </w:p>
    <w:p w14:paraId="360AAE95" w14:textId="3F8AB4F8" w:rsidR="00F60FFD" w:rsidRPr="005A3602" w:rsidRDefault="00F60FFD" w:rsidP="005A3602">
      <w:pPr>
        <w:spacing w:before="200"/>
        <w:rPr>
          <w:lang w:eastAsia="en-GB"/>
        </w:rPr>
      </w:pPr>
      <w:r w:rsidRPr="008441B1">
        <w:rPr>
          <w:rFonts w:ascii="Arial" w:hAnsi="Arial" w:cs="Arial"/>
          <w:lang w:eastAsia="en-GB"/>
        </w:rPr>
        <w:t xml:space="preserve">We </w:t>
      </w:r>
      <w:r>
        <w:rPr>
          <w:rFonts w:ascii="Arial" w:hAnsi="Arial" w:cs="Arial"/>
          <w:lang w:eastAsia="en-GB"/>
        </w:rPr>
        <w:t xml:space="preserve">have been serving the community for more than 25 years. We </w:t>
      </w:r>
      <w:r w:rsidRPr="008441B1">
        <w:rPr>
          <w:rFonts w:ascii="Arial" w:hAnsi="Arial" w:cs="Arial"/>
          <w:lang w:eastAsia="en-GB"/>
        </w:rPr>
        <w:t xml:space="preserve">are a registered charity, operating </w:t>
      </w:r>
      <w:r>
        <w:rPr>
          <w:rFonts w:ascii="Arial" w:hAnsi="Arial" w:cs="Arial"/>
          <w:lang w:eastAsia="en-GB"/>
        </w:rPr>
        <w:t>nationally</w:t>
      </w:r>
      <w:r w:rsidRPr="008441B1">
        <w:rPr>
          <w:rFonts w:ascii="Arial" w:hAnsi="Arial" w:cs="Arial"/>
          <w:lang w:eastAsia="en-GB"/>
        </w:rPr>
        <w:t>.</w:t>
      </w:r>
    </w:p>
    <w:p w14:paraId="19D9C99A" w14:textId="0AC4AE3C" w:rsidR="00AB7A20" w:rsidRPr="000D4B2A" w:rsidRDefault="00AB7A20" w:rsidP="008441B1">
      <w:pPr>
        <w:pStyle w:val="Heading2"/>
        <w:spacing w:before="240" w:after="120" w:line="240" w:lineRule="auto"/>
        <w:jc w:val="both"/>
        <w:rPr>
          <w:b/>
          <w:bCs/>
        </w:rPr>
      </w:pPr>
      <w:r w:rsidRPr="005D02B1">
        <w:rPr>
          <w:b/>
          <w:bCs/>
        </w:rPr>
        <w:t>Our expertise – our Not-for-profit Law service</w:t>
      </w:r>
    </w:p>
    <w:p w14:paraId="56E175D4" w14:textId="77777777" w:rsidR="00F60FFD" w:rsidRDefault="00F60FFD" w:rsidP="00F60FFD">
      <w:pPr>
        <w:spacing w:before="120" w:after="120" w:line="240" w:lineRule="auto"/>
        <w:jc w:val="both"/>
        <w:rPr>
          <w:rFonts w:ascii="Arial" w:eastAsia="Times New Roman" w:hAnsi="Arial" w:cs="Arial"/>
          <w:lang w:eastAsia="en-GB"/>
        </w:rPr>
      </w:pPr>
      <w:r w:rsidRPr="3C3B564E">
        <w:rPr>
          <w:rFonts w:ascii="Arial" w:eastAsia="Times New Roman" w:hAnsi="Arial" w:cs="Arial"/>
          <w:lang w:eastAsia="en-GB"/>
        </w:rPr>
        <w:t xml:space="preserve">This submission draws on the experience of our specialist Not-for-profit Law service which provides free and low-cost legal assistance to not-for-profit community organisations and social enterprises, many of whom are registered charities. </w:t>
      </w:r>
    </w:p>
    <w:p w14:paraId="227220C2" w14:textId="716269DB" w:rsidR="00F60FFD" w:rsidRDefault="00F60FFD" w:rsidP="00F60FFD">
      <w:pPr>
        <w:spacing w:before="120" w:after="120" w:line="240" w:lineRule="auto"/>
        <w:jc w:val="both"/>
        <w:rPr>
          <w:rFonts w:ascii="Arial" w:eastAsia="Times New Roman" w:hAnsi="Arial" w:cs="Arial"/>
          <w:lang w:eastAsia="en-GB"/>
        </w:rPr>
      </w:pPr>
      <w:r w:rsidRPr="00555A5C">
        <w:rPr>
          <w:rFonts w:ascii="Arial" w:eastAsia="Times New Roman" w:hAnsi="Arial" w:cs="Arial"/>
          <w:b/>
          <w:bCs/>
          <w:lang w:eastAsia="en-GB"/>
        </w:rPr>
        <w:t>In the 2019/2020 financial year, we assisted more than 1,600 not-for-profit groups.</w:t>
      </w:r>
      <w:r w:rsidRPr="3C3B564E">
        <w:rPr>
          <w:rFonts w:ascii="Arial" w:eastAsia="Times New Roman" w:hAnsi="Arial" w:cs="Arial"/>
          <w:lang w:eastAsia="en-GB"/>
        </w:rPr>
        <w:t xml:space="preserve"> We help those involved in running not-for-profits and social enterprises navigate the full range of legal issues that arise during the lifecycle of their organisation, including charity reg</w:t>
      </w:r>
      <w:r>
        <w:rPr>
          <w:rFonts w:ascii="Arial" w:eastAsia="Times New Roman" w:hAnsi="Arial" w:cs="Arial"/>
          <w:lang w:eastAsia="en-GB"/>
        </w:rPr>
        <w:t>istration</w:t>
      </w:r>
      <w:r w:rsidR="00B128C8">
        <w:rPr>
          <w:rFonts w:ascii="Arial" w:eastAsia="Times New Roman" w:hAnsi="Arial" w:cs="Arial"/>
          <w:lang w:eastAsia="en-GB"/>
        </w:rPr>
        <w:t xml:space="preserve"> and fundraising compliance</w:t>
      </w:r>
      <w:r w:rsidRPr="00336107">
        <w:rPr>
          <w:rFonts w:ascii="Arial" w:eastAsia="Times New Roman" w:hAnsi="Arial" w:cs="Arial"/>
          <w:lang w:eastAsia="en-GB"/>
        </w:rPr>
        <w:t xml:space="preserve">. </w:t>
      </w:r>
    </w:p>
    <w:p w14:paraId="0F5F64AF" w14:textId="5D72D699" w:rsidR="00F60FFD" w:rsidRDefault="00F60FFD" w:rsidP="00F60FFD">
      <w:pPr>
        <w:spacing w:before="120" w:after="120" w:line="240" w:lineRule="auto"/>
        <w:jc w:val="both"/>
        <w:rPr>
          <w:rFonts w:ascii="Arial" w:eastAsia="Times New Roman" w:hAnsi="Arial" w:cs="Arial"/>
          <w:lang w:eastAsia="en-GB"/>
        </w:rPr>
      </w:pPr>
      <w:r>
        <w:rPr>
          <w:rFonts w:ascii="Arial" w:eastAsia="Times New Roman" w:hAnsi="Arial" w:cs="Arial"/>
          <w:lang w:eastAsia="en-GB"/>
        </w:rPr>
        <w:t xml:space="preserve">The focus of our legal advice service (delivered by in-house lawyers and via pro bono referrals) is on </w:t>
      </w:r>
      <w:r w:rsidRPr="009C6BCE">
        <w:rPr>
          <w:rFonts w:ascii="Arial" w:eastAsia="Times New Roman" w:hAnsi="Arial" w:cs="Arial"/>
          <w:b/>
          <w:bCs/>
          <w:lang w:eastAsia="en-GB"/>
        </w:rPr>
        <w:t xml:space="preserve">small volunteer-run </w:t>
      </w:r>
      <w:r w:rsidR="00E114FD">
        <w:rPr>
          <w:rFonts w:ascii="Arial" w:eastAsia="Times New Roman" w:hAnsi="Arial" w:cs="Arial"/>
          <w:b/>
          <w:bCs/>
          <w:lang w:eastAsia="en-GB"/>
        </w:rPr>
        <w:t>not-for-profits</w:t>
      </w:r>
      <w:r>
        <w:rPr>
          <w:rFonts w:ascii="Arial" w:eastAsia="Times New Roman" w:hAnsi="Arial" w:cs="Arial"/>
          <w:lang w:eastAsia="en-GB"/>
        </w:rPr>
        <w:t xml:space="preserve"> that would not otherwise be able to access this help. Many of these </w:t>
      </w:r>
      <w:r w:rsidR="00E114FD">
        <w:rPr>
          <w:rFonts w:ascii="Arial" w:eastAsia="Times New Roman" w:hAnsi="Arial" w:cs="Arial"/>
          <w:lang w:eastAsia="en-GB"/>
        </w:rPr>
        <w:t>groups</w:t>
      </w:r>
      <w:r>
        <w:rPr>
          <w:rFonts w:ascii="Arial" w:eastAsia="Times New Roman" w:hAnsi="Arial" w:cs="Arial"/>
          <w:lang w:eastAsia="en-GB"/>
        </w:rPr>
        <w:t xml:space="preserve"> are in regional, rural or remote communities. </w:t>
      </w:r>
    </w:p>
    <w:p w14:paraId="59A63582" w14:textId="77777777" w:rsidR="00F60FFD" w:rsidRDefault="00F60FFD" w:rsidP="00F60FFD">
      <w:pPr>
        <w:spacing w:before="120" w:after="120" w:line="240" w:lineRule="auto"/>
        <w:jc w:val="both"/>
        <w:rPr>
          <w:rFonts w:ascii="Arial" w:eastAsia="Times New Roman" w:hAnsi="Arial" w:cs="Arial"/>
          <w:lang w:eastAsia="en-GB"/>
        </w:rPr>
      </w:pPr>
      <w:r w:rsidRPr="00555A5C">
        <w:rPr>
          <w:rFonts w:ascii="Arial" w:eastAsia="Times New Roman" w:hAnsi="Arial" w:cs="Arial"/>
          <w:lang w:eastAsia="en-GB"/>
        </w:rPr>
        <w:lastRenderedPageBreak/>
        <w:t xml:space="preserve">We also deliver training, with governance being our most popular module – in the last financial year we </w:t>
      </w:r>
      <w:r w:rsidRPr="00555A5C">
        <w:rPr>
          <w:rFonts w:ascii="Arial" w:eastAsia="Times New Roman" w:hAnsi="Arial" w:cs="Arial"/>
          <w:b/>
          <w:bCs/>
          <w:lang w:eastAsia="en-GB"/>
        </w:rPr>
        <w:t xml:space="preserve">delivered 123 sessions </w:t>
      </w:r>
      <w:r>
        <w:rPr>
          <w:rFonts w:ascii="Arial" w:eastAsia="Times New Roman" w:hAnsi="Arial" w:cs="Arial"/>
          <w:b/>
          <w:bCs/>
          <w:lang w:eastAsia="en-GB"/>
        </w:rPr>
        <w:t>to</w:t>
      </w:r>
      <w:r w:rsidRPr="00555A5C">
        <w:rPr>
          <w:rFonts w:ascii="Arial" w:eastAsia="Times New Roman" w:hAnsi="Arial" w:cs="Arial"/>
          <w:b/>
          <w:bCs/>
          <w:lang w:eastAsia="en-GB"/>
        </w:rPr>
        <w:t xml:space="preserve"> 5,441 people</w:t>
      </w:r>
      <w:r w:rsidRPr="00336107">
        <w:rPr>
          <w:rFonts w:ascii="Arial" w:eastAsia="Times New Roman" w:hAnsi="Arial" w:cs="Arial"/>
          <w:lang w:eastAsia="en-GB"/>
        </w:rPr>
        <w:t>.</w:t>
      </w:r>
    </w:p>
    <w:p w14:paraId="585FB54F" w14:textId="77777777" w:rsidR="00F60FFD" w:rsidRDefault="00F60FFD" w:rsidP="00F60FFD">
      <w:pPr>
        <w:spacing w:before="120" w:after="120" w:line="240" w:lineRule="auto"/>
        <w:jc w:val="both"/>
        <w:rPr>
          <w:rFonts w:ascii="Arial" w:eastAsia="Times New Roman" w:hAnsi="Arial" w:cs="Arial"/>
          <w:lang w:eastAsia="en-GB"/>
        </w:rPr>
      </w:pPr>
      <w:r>
        <w:rPr>
          <w:rFonts w:ascii="Arial" w:eastAsia="Times New Roman" w:hAnsi="Arial" w:cs="Arial"/>
          <w:lang w:eastAsia="en-GB"/>
        </w:rPr>
        <w:t>Many of our staff hold volunteer board and committee positions so have firsthand experience of the challenges of keeping up with compliance in resource constrained organisations.</w:t>
      </w:r>
    </w:p>
    <w:p w14:paraId="25BA7E1F" w14:textId="2F0DB4BF" w:rsidR="002306C7" w:rsidRPr="005A3602" w:rsidRDefault="00F60FFD" w:rsidP="00047AFF">
      <w:pPr>
        <w:pStyle w:val="Heading2"/>
        <w:spacing w:before="240" w:after="240" w:line="240" w:lineRule="auto"/>
        <w:jc w:val="both"/>
        <w:rPr>
          <w:rFonts w:ascii="Arial" w:eastAsia="Times New Roman" w:hAnsi="Arial" w:cs="Arial"/>
          <w:lang w:eastAsia="en-GB"/>
        </w:rPr>
      </w:pPr>
      <w:r>
        <w:rPr>
          <w:rFonts w:ascii="Arial" w:eastAsia="Times New Roman" w:hAnsi="Arial" w:cs="Arial"/>
          <w:lang w:eastAsia="en-GB"/>
        </w:rPr>
        <w:t xml:space="preserve">Guiding principle: </w:t>
      </w:r>
      <w:r w:rsidRPr="005A3602">
        <w:rPr>
          <w:rFonts w:ascii="Arial" w:eastAsia="Times New Roman" w:hAnsi="Arial" w:cs="Arial"/>
          <w:lang w:eastAsia="en-GB"/>
        </w:rPr>
        <w:t>r</w:t>
      </w:r>
      <w:r w:rsidR="00E67CA3" w:rsidRPr="005A3602">
        <w:rPr>
          <w:rFonts w:ascii="Arial" w:eastAsia="Times New Roman" w:hAnsi="Arial" w:cs="Arial"/>
          <w:lang w:eastAsia="en-GB"/>
        </w:rPr>
        <w:t xml:space="preserve">eporting schemes must be aligned as </w:t>
      </w:r>
      <w:r w:rsidR="00A97D5A">
        <w:rPr>
          <w:rFonts w:ascii="Arial" w:eastAsia="Times New Roman" w:hAnsi="Arial" w:cs="Arial"/>
          <w:lang w:eastAsia="en-GB"/>
        </w:rPr>
        <w:t xml:space="preserve">the highest </w:t>
      </w:r>
      <w:r w:rsidR="00E67CA3" w:rsidRPr="005A3602">
        <w:rPr>
          <w:rFonts w:ascii="Arial" w:eastAsia="Times New Roman" w:hAnsi="Arial" w:cs="Arial"/>
          <w:lang w:eastAsia="en-GB"/>
        </w:rPr>
        <w:t>priority</w:t>
      </w:r>
    </w:p>
    <w:p w14:paraId="436C58DC" w14:textId="45E146A4" w:rsidR="001E64F7" w:rsidRDefault="00F17384" w:rsidP="005A3602">
      <w:pPr>
        <w:spacing w:after="240"/>
        <w:jc w:val="both"/>
        <w:rPr>
          <w:rFonts w:ascii="Arial" w:hAnsi="Arial" w:cs="Arial"/>
        </w:rPr>
      </w:pPr>
      <w:r>
        <w:rPr>
          <w:rFonts w:ascii="Arial" w:hAnsi="Arial" w:cs="Arial"/>
        </w:rPr>
        <w:t xml:space="preserve">Justice Connect is pleased </w:t>
      </w:r>
      <w:r w:rsidR="00835FE8">
        <w:rPr>
          <w:rFonts w:ascii="Arial" w:hAnsi="Arial" w:cs="Arial"/>
        </w:rPr>
        <w:t>t</w:t>
      </w:r>
      <w:r>
        <w:rPr>
          <w:rFonts w:ascii="Arial" w:hAnsi="Arial" w:cs="Arial"/>
        </w:rPr>
        <w:t xml:space="preserve">hat the Council on Federated Financial Relations has recognised the importance of </w:t>
      </w:r>
      <w:r w:rsidR="00F60FFD">
        <w:rPr>
          <w:rFonts w:ascii="Arial" w:hAnsi="Arial" w:cs="Arial"/>
        </w:rPr>
        <w:t xml:space="preserve">national </w:t>
      </w:r>
      <w:r>
        <w:rPr>
          <w:rFonts w:ascii="Arial" w:hAnsi="Arial" w:cs="Arial"/>
        </w:rPr>
        <w:t>harmonis</w:t>
      </w:r>
      <w:r w:rsidR="00F60FFD">
        <w:rPr>
          <w:rFonts w:ascii="Arial" w:hAnsi="Arial" w:cs="Arial"/>
        </w:rPr>
        <w:t xml:space="preserve">ation of the </w:t>
      </w:r>
      <w:r>
        <w:rPr>
          <w:rFonts w:ascii="Arial" w:hAnsi="Arial" w:cs="Arial"/>
        </w:rPr>
        <w:t>reporting requirements</w:t>
      </w:r>
      <w:r w:rsidR="00F60FFD">
        <w:rPr>
          <w:rFonts w:ascii="Arial" w:hAnsi="Arial" w:cs="Arial"/>
        </w:rPr>
        <w:t xml:space="preserve"> for charities</w:t>
      </w:r>
      <w:r>
        <w:rPr>
          <w:rFonts w:ascii="Arial" w:hAnsi="Arial" w:cs="Arial"/>
        </w:rPr>
        <w:t xml:space="preserve">. </w:t>
      </w:r>
      <w:r w:rsidR="001E64F7">
        <w:rPr>
          <w:rFonts w:ascii="Arial" w:hAnsi="Arial" w:cs="Arial"/>
        </w:rPr>
        <w:t xml:space="preserve">Charities structured as incorporated associations </w:t>
      </w:r>
      <w:r w:rsidR="002E14F1">
        <w:rPr>
          <w:rFonts w:ascii="Arial" w:hAnsi="Arial" w:cs="Arial"/>
        </w:rPr>
        <w:t>currently</w:t>
      </w:r>
      <w:r w:rsidR="00A97D5A">
        <w:rPr>
          <w:rFonts w:ascii="Arial" w:hAnsi="Arial" w:cs="Arial"/>
        </w:rPr>
        <w:t xml:space="preserve"> have </w:t>
      </w:r>
      <w:r w:rsidR="001E64F7">
        <w:rPr>
          <w:rFonts w:ascii="Arial" w:hAnsi="Arial" w:cs="Arial"/>
        </w:rPr>
        <w:t>duplicat</w:t>
      </w:r>
      <w:r w:rsidR="00842724">
        <w:rPr>
          <w:rFonts w:ascii="Arial" w:hAnsi="Arial" w:cs="Arial"/>
        </w:rPr>
        <w:t>ive</w:t>
      </w:r>
      <w:r w:rsidR="001E64F7">
        <w:rPr>
          <w:rFonts w:ascii="Arial" w:hAnsi="Arial" w:cs="Arial"/>
        </w:rPr>
        <w:t xml:space="preserve"> reporting requirements</w:t>
      </w:r>
      <w:r w:rsidR="00A97D5A">
        <w:rPr>
          <w:rFonts w:ascii="Arial" w:hAnsi="Arial" w:cs="Arial"/>
        </w:rPr>
        <w:t xml:space="preserve"> </w:t>
      </w:r>
      <w:r w:rsidR="00A97D5A" w:rsidRPr="00923332">
        <w:rPr>
          <w:rFonts w:ascii="Arial" w:hAnsi="Arial" w:cs="Arial"/>
        </w:rPr>
        <w:t>in some jurisdictions</w:t>
      </w:r>
      <w:r w:rsidR="001E64F7" w:rsidRPr="00923332">
        <w:rPr>
          <w:rFonts w:ascii="Arial" w:hAnsi="Arial" w:cs="Arial"/>
        </w:rPr>
        <w:t>.</w:t>
      </w:r>
    </w:p>
    <w:p w14:paraId="43D189A2" w14:textId="090FC1FF" w:rsidR="00835FE8" w:rsidRPr="005A3602" w:rsidRDefault="00E425EC" w:rsidP="005A3602">
      <w:pPr>
        <w:pBdr>
          <w:top w:val="single" w:sz="4" w:space="6" w:color="auto"/>
          <w:left w:val="single" w:sz="4" w:space="6" w:color="auto"/>
          <w:bottom w:val="single" w:sz="4" w:space="12" w:color="auto"/>
          <w:right w:val="single" w:sz="4" w:space="6" w:color="auto"/>
        </w:pBdr>
        <w:shd w:val="clear" w:color="auto" w:fill="DEEAF6" w:themeFill="accent1" w:themeFillTint="33"/>
        <w:spacing w:before="120" w:after="120" w:line="240" w:lineRule="auto"/>
        <w:jc w:val="both"/>
        <w:rPr>
          <w:rFonts w:ascii="Arial" w:eastAsia="Times New Roman" w:hAnsi="Arial" w:cs="Arial"/>
          <w:lang w:eastAsia="en-GB"/>
        </w:rPr>
      </w:pPr>
      <w:r w:rsidRPr="005A3602">
        <w:rPr>
          <w:rFonts w:ascii="Arial" w:eastAsia="Times New Roman" w:hAnsi="Arial" w:cs="Arial"/>
          <w:lang w:eastAsia="en-GB"/>
        </w:rPr>
        <w:t>In this submission we emphasise the following:</w:t>
      </w:r>
    </w:p>
    <w:p w14:paraId="7B6CA8F4" w14:textId="5B17DBDA" w:rsidR="001E64F7" w:rsidRPr="005A3602" w:rsidRDefault="00A97D5A" w:rsidP="005A3602">
      <w:pPr>
        <w:pBdr>
          <w:top w:val="single" w:sz="4" w:space="6" w:color="auto"/>
          <w:left w:val="single" w:sz="4" w:space="6" w:color="auto"/>
          <w:bottom w:val="single" w:sz="4" w:space="12" w:color="auto"/>
          <w:right w:val="single" w:sz="4" w:space="6" w:color="auto"/>
        </w:pBdr>
        <w:shd w:val="clear" w:color="auto" w:fill="DEEAF6" w:themeFill="accent1" w:themeFillTint="33"/>
        <w:spacing w:before="120" w:after="120" w:line="240" w:lineRule="auto"/>
        <w:jc w:val="both"/>
        <w:rPr>
          <w:rFonts w:ascii="Arial" w:eastAsia="Times New Roman" w:hAnsi="Arial" w:cs="Arial"/>
          <w:lang w:eastAsia="en-GB"/>
        </w:rPr>
      </w:pPr>
      <w:r>
        <w:rPr>
          <w:rFonts w:ascii="Arial" w:eastAsia="Times New Roman" w:hAnsi="Arial" w:cs="Arial"/>
          <w:lang w:eastAsia="en-GB"/>
        </w:rPr>
        <w:t xml:space="preserve">1. </w:t>
      </w:r>
      <w:r w:rsidR="00E114FD">
        <w:rPr>
          <w:rFonts w:ascii="Arial" w:eastAsia="Times New Roman" w:hAnsi="Arial" w:cs="Arial"/>
          <w:lang w:eastAsia="en-GB"/>
        </w:rPr>
        <w:t xml:space="preserve"> </w:t>
      </w:r>
      <w:r w:rsidR="00F60FFD" w:rsidRPr="00A97D5A">
        <w:rPr>
          <w:rFonts w:ascii="Arial" w:eastAsia="Times New Roman" w:hAnsi="Arial" w:cs="Arial"/>
          <w:b/>
          <w:bCs/>
          <w:lang w:eastAsia="en-GB"/>
        </w:rPr>
        <w:t>Before</w:t>
      </w:r>
      <w:r w:rsidR="00F60FFD" w:rsidRPr="005A3602">
        <w:rPr>
          <w:rFonts w:ascii="Arial" w:eastAsia="Times New Roman" w:hAnsi="Arial" w:cs="Arial"/>
          <w:lang w:eastAsia="en-GB"/>
        </w:rPr>
        <w:t xml:space="preserve"> </w:t>
      </w:r>
      <w:r w:rsidR="00F60FFD" w:rsidRPr="00A97D5A">
        <w:rPr>
          <w:rFonts w:ascii="Arial" w:eastAsia="Times New Roman" w:hAnsi="Arial" w:cs="Arial"/>
          <w:b/>
          <w:bCs/>
          <w:lang w:eastAsia="en-GB"/>
        </w:rPr>
        <w:t>the current Commonwealth financial r</w:t>
      </w:r>
      <w:r w:rsidR="001E64F7" w:rsidRPr="00A97D5A">
        <w:rPr>
          <w:rFonts w:ascii="Arial" w:eastAsia="Times New Roman" w:hAnsi="Arial" w:cs="Arial"/>
          <w:b/>
          <w:bCs/>
          <w:lang w:eastAsia="en-GB"/>
        </w:rPr>
        <w:t xml:space="preserve">eporting </w:t>
      </w:r>
      <w:r w:rsidR="00F60FFD" w:rsidRPr="00A97D5A">
        <w:rPr>
          <w:rFonts w:ascii="Arial" w:eastAsia="Times New Roman" w:hAnsi="Arial" w:cs="Arial"/>
          <w:b/>
          <w:bCs/>
          <w:lang w:eastAsia="en-GB"/>
        </w:rPr>
        <w:t xml:space="preserve">thresholds are increased, there should </w:t>
      </w:r>
      <w:r w:rsidR="001E64F7" w:rsidRPr="00A97D5A">
        <w:rPr>
          <w:rFonts w:ascii="Arial" w:eastAsia="Times New Roman" w:hAnsi="Arial" w:cs="Arial"/>
          <w:b/>
          <w:bCs/>
          <w:lang w:eastAsia="en-GB"/>
        </w:rPr>
        <w:t>fully align</w:t>
      </w:r>
      <w:r w:rsidR="00F60FFD" w:rsidRPr="00A97D5A">
        <w:rPr>
          <w:rFonts w:ascii="Arial" w:eastAsia="Times New Roman" w:hAnsi="Arial" w:cs="Arial"/>
          <w:b/>
          <w:bCs/>
          <w:lang w:eastAsia="en-GB"/>
        </w:rPr>
        <w:t>ment across all Australian governments</w:t>
      </w:r>
      <w:r w:rsidR="00F60FFD" w:rsidRPr="005A3602">
        <w:rPr>
          <w:rFonts w:ascii="Arial" w:eastAsia="Times New Roman" w:hAnsi="Arial" w:cs="Arial"/>
          <w:lang w:eastAsia="en-GB"/>
        </w:rPr>
        <w:t xml:space="preserve"> to ensure a </w:t>
      </w:r>
      <w:r w:rsidR="0038526D" w:rsidRPr="005A3602">
        <w:rPr>
          <w:rFonts w:ascii="Arial" w:eastAsia="Times New Roman" w:hAnsi="Arial" w:cs="Arial"/>
          <w:lang w:eastAsia="en-GB"/>
        </w:rPr>
        <w:t xml:space="preserve">‘report once, use often’ approach. Once </w:t>
      </w:r>
      <w:r w:rsidR="001E64F7" w:rsidRPr="005A3602">
        <w:rPr>
          <w:rFonts w:ascii="Arial" w:eastAsia="Times New Roman" w:hAnsi="Arial" w:cs="Arial"/>
          <w:lang w:eastAsia="en-GB"/>
        </w:rPr>
        <w:t xml:space="preserve">an </w:t>
      </w:r>
      <w:r w:rsidR="0038526D" w:rsidRPr="005A3602">
        <w:rPr>
          <w:rFonts w:ascii="Arial" w:eastAsia="Times New Roman" w:hAnsi="Arial" w:cs="Arial"/>
          <w:lang w:eastAsia="en-GB"/>
        </w:rPr>
        <w:t>entity</w:t>
      </w:r>
      <w:r w:rsidR="001E64F7" w:rsidRPr="005A3602">
        <w:rPr>
          <w:rFonts w:ascii="Arial" w:eastAsia="Times New Roman" w:hAnsi="Arial" w:cs="Arial"/>
          <w:lang w:eastAsia="en-GB"/>
        </w:rPr>
        <w:t xml:space="preserve"> is registered as charity it should </w:t>
      </w:r>
      <w:r w:rsidR="00E425EC" w:rsidRPr="005A3602">
        <w:rPr>
          <w:rFonts w:ascii="Arial" w:eastAsia="Times New Roman" w:hAnsi="Arial" w:cs="Arial"/>
          <w:lang w:eastAsia="en-GB"/>
        </w:rPr>
        <w:t xml:space="preserve">only </w:t>
      </w:r>
      <w:r w:rsidR="001E64F7" w:rsidRPr="005A3602">
        <w:rPr>
          <w:rFonts w:ascii="Arial" w:eastAsia="Times New Roman" w:hAnsi="Arial" w:cs="Arial"/>
          <w:lang w:eastAsia="en-GB"/>
        </w:rPr>
        <w:t>report to the ACNC</w:t>
      </w:r>
      <w:r w:rsidR="00F60FFD" w:rsidRPr="005A3602">
        <w:rPr>
          <w:rFonts w:ascii="Arial" w:eastAsia="Times New Roman" w:hAnsi="Arial" w:cs="Arial"/>
          <w:lang w:eastAsia="en-GB"/>
        </w:rPr>
        <w:t>, with the ACNC securely sharing data with other regulators</w:t>
      </w:r>
      <w:r w:rsidR="001E64F7" w:rsidRPr="005A3602">
        <w:rPr>
          <w:rFonts w:ascii="Arial" w:eastAsia="Times New Roman" w:hAnsi="Arial" w:cs="Arial"/>
          <w:lang w:eastAsia="en-GB"/>
        </w:rPr>
        <w:t>.</w:t>
      </w:r>
    </w:p>
    <w:p w14:paraId="49B41676" w14:textId="650F597B" w:rsidR="00E425EC" w:rsidRDefault="001E64F7" w:rsidP="005A3602">
      <w:pPr>
        <w:pBdr>
          <w:top w:val="single" w:sz="4" w:space="6" w:color="auto"/>
          <w:left w:val="single" w:sz="4" w:space="6" w:color="auto"/>
          <w:bottom w:val="single" w:sz="4" w:space="12" w:color="auto"/>
          <w:right w:val="single" w:sz="4" w:space="6" w:color="auto"/>
        </w:pBdr>
        <w:shd w:val="clear" w:color="auto" w:fill="DEEAF6" w:themeFill="accent1" w:themeFillTint="33"/>
        <w:spacing w:before="120" w:after="240" w:line="240" w:lineRule="auto"/>
        <w:jc w:val="both"/>
        <w:rPr>
          <w:rFonts w:ascii="Arial" w:eastAsia="Times New Roman" w:hAnsi="Arial" w:cs="Arial"/>
          <w:b/>
          <w:bCs/>
          <w:lang w:eastAsia="en-GB"/>
        </w:rPr>
      </w:pPr>
      <w:r w:rsidRPr="005A3602">
        <w:rPr>
          <w:rFonts w:ascii="Arial" w:eastAsia="Times New Roman" w:hAnsi="Arial" w:cs="Arial"/>
          <w:lang w:eastAsia="en-GB"/>
        </w:rPr>
        <w:t xml:space="preserve">2. </w:t>
      </w:r>
      <w:r w:rsidR="00A97D5A">
        <w:rPr>
          <w:rFonts w:ascii="Arial" w:eastAsia="Times New Roman" w:hAnsi="Arial" w:cs="Arial"/>
          <w:lang w:eastAsia="en-GB"/>
        </w:rPr>
        <w:t xml:space="preserve"> </w:t>
      </w:r>
      <w:r w:rsidR="00E425EC" w:rsidRPr="00A97D5A">
        <w:rPr>
          <w:rFonts w:ascii="Arial" w:eastAsia="Times New Roman" w:hAnsi="Arial" w:cs="Arial"/>
          <w:b/>
          <w:bCs/>
          <w:lang w:eastAsia="en-GB"/>
        </w:rPr>
        <w:t xml:space="preserve">A system should be set up to ensure that future changes to financial reporting thresholds </w:t>
      </w:r>
      <w:r w:rsidR="0038526D" w:rsidRPr="00A97D5A">
        <w:rPr>
          <w:rFonts w:ascii="Arial" w:eastAsia="Times New Roman" w:hAnsi="Arial" w:cs="Arial"/>
          <w:b/>
          <w:bCs/>
          <w:lang w:eastAsia="en-GB"/>
        </w:rPr>
        <w:t xml:space="preserve">are </w:t>
      </w:r>
      <w:r w:rsidR="00E425EC" w:rsidRPr="00A97D5A">
        <w:rPr>
          <w:rFonts w:ascii="Arial" w:eastAsia="Times New Roman" w:hAnsi="Arial" w:cs="Arial"/>
          <w:b/>
          <w:bCs/>
          <w:lang w:eastAsia="en-GB"/>
        </w:rPr>
        <w:t>made in a way that supports ongoing alignment</w:t>
      </w:r>
      <w:r w:rsidR="00E425EC">
        <w:rPr>
          <w:rFonts w:ascii="Arial" w:eastAsia="Times New Roman" w:hAnsi="Arial" w:cs="Arial"/>
          <w:b/>
          <w:bCs/>
          <w:lang w:eastAsia="en-GB"/>
        </w:rPr>
        <w:t xml:space="preserve">. </w:t>
      </w:r>
    </w:p>
    <w:p w14:paraId="23CDAFA0" w14:textId="1BFDDE06" w:rsidR="006870B2" w:rsidRPr="002356BF" w:rsidRDefault="006870B2" w:rsidP="005A3602">
      <w:pPr>
        <w:spacing w:before="240"/>
        <w:jc w:val="both"/>
        <w:rPr>
          <w:rFonts w:ascii="Arial" w:hAnsi="Arial" w:cs="Arial"/>
        </w:rPr>
      </w:pPr>
      <w:r>
        <w:rPr>
          <w:rFonts w:ascii="Arial" w:hAnsi="Arial" w:cs="Arial"/>
        </w:rPr>
        <w:t xml:space="preserve">We now </w:t>
      </w:r>
      <w:r w:rsidR="00F60FFD">
        <w:rPr>
          <w:rFonts w:ascii="Arial" w:hAnsi="Arial" w:cs="Arial"/>
        </w:rPr>
        <w:t>comment on the</w:t>
      </w:r>
      <w:r>
        <w:rPr>
          <w:rFonts w:ascii="Arial" w:hAnsi="Arial" w:cs="Arial"/>
        </w:rPr>
        <w:t xml:space="preserve"> consultation questions.</w:t>
      </w:r>
    </w:p>
    <w:p w14:paraId="429D95DF" w14:textId="753B3D08" w:rsidR="003D645F" w:rsidRDefault="00065166" w:rsidP="000A5F8B">
      <w:pPr>
        <w:spacing w:before="240"/>
        <w:rPr>
          <w:rFonts w:asciiTheme="majorHAnsi" w:eastAsiaTheme="majorEastAsia" w:hAnsiTheme="majorHAnsi" w:cstheme="majorBidi"/>
          <w:b/>
          <w:bCs/>
          <w:color w:val="2E74B5" w:themeColor="accent1" w:themeShade="BF"/>
          <w:sz w:val="26"/>
          <w:szCs w:val="26"/>
        </w:rPr>
      </w:pPr>
      <w:r>
        <w:rPr>
          <w:rFonts w:asciiTheme="majorHAnsi" w:eastAsiaTheme="majorEastAsia" w:hAnsiTheme="majorHAnsi" w:cstheme="majorBidi"/>
          <w:b/>
          <w:bCs/>
          <w:color w:val="2E74B5" w:themeColor="accent1" w:themeShade="BF"/>
          <w:sz w:val="26"/>
          <w:szCs w:val="26"/>
        </w:rPr>
        <w:t xml:space="preserve">Question </w:t>
      </w:r>
      <w:r w:rsidR="004E0C04">
        <w:rPr>
          <w:rFonts w:asciiTheme="majorHAnsi" w:eastAsiaTheme="majorEastAsia" w:hAnsiTheme="majorHAnsi" w:cstheme="majorBidi"/>
          <w:b/>
          <w:bCs/>
          <w:color w:val="2E74B5" w:themeColor="accent1" w:themeShade="BF"/>
          <w:sz w:val="26"/>
          <w:szCs w:val="26"/>
        </w:rPr>
        <w:t>1</w:t>
      </w:r>
      <w:r w:rsidR="00620C3C">
        <w:rPr>
          <w:rFonts w:asciiTheme="majorHAnsi" w:eastAsiaTheme="majorEastAsia" w:hAnsiTheme="majorHAnsi" w:cstheme="majorBidi"/>
          <w:b/>
          <w:bCs/>
          <w:color w:val="2E74B5" w:themeColor="accent1" w:themeShade="BF"/>
          <w:sz w:val="26"/>
          <w:szCs w:val="26"/>
        </w:rPr>
        <w:t>: s</w:t>
      </w:r>
      <w:r w:rsidR="004E0C04">
        <w:rPr>
          <w:rFonts w:asciiTheme="majorHAnsi" w:eastAsiaTheme="majorEastAsia" w:hAnsiTheme="majorHAnsi" w:cstheme="majorBidi"/>
          <w:b/>
          <w:bCs/>
          <w:color w:val="2E74B5" w:themeColor="accent1" w:themeShade="BF"/>
          <w:sz w:val="26"/>
          <w:szCs w:val="26"/>
        </w:rPr>
        <w:t>uitability of the proposed new thresholds</w:t>
      </w:r>
      <w:r w:rsidR="00275162">
        <w:rPr>
          <w:rFonts w:asciiTheme="majorHAnsi" w:eastAsiaTheme="majorEastAsia" w:hAnsiTheme="majorHAnsi" w:cstheme="majorBidi"/>
          <w:b/>
          <w:bCs/>
          <w:color w:val="2E74B5" w:themeColor="accent1" w:themeShade="BF"/>
          <w:sz w:val="26"/>
          <w:szCs w:val="26"/>
        </w:rPr>
        <w:t xml:space="preserve"> (levels and transparency)</w:t>
      </w:r>
    </w:p>
    <w:p w14:paraId="2952ED1A" w14:textId="4E1CA2BB" w:rsidR="002D55F3" w:rsidRDefault="00EA32FA" w:rsidP="00EA32FA">
      <w:pPr>
        <w:jc w:val="both"/>
        <w:rPr>
          <w:rFonts w:ascii="Arial" w:hAnsi="Arial" w:cs="Arial"/>
        </w:rPr>
      </w:pPr>
      <w:r>
        <w:rPr>
          <w:rFonts w:ascii="Arial" w:hAnsi="Arial" w:cs="Arial"/>
        </w:rPr>
        <w:t>We support the proposal to raise the reporting thresholds for ACNC-registered charities</w:t>
      </w:r>
      <w:r w:rsidR="00B96613">
        <w:rPr>
          <w:rFonts w:ascii="Arial" w:hAnsi="Arial" w:cs="Arial"/>
        </w:rPr>
        <w:t xml:space="preserve"> and see it as a positive step </w:t>
      </w:r>
      <w:r w:rsidR="0038526D">
        <w:rPr>
          <w:rFonts w:ascii="Arial" w:hAnsi="Arial" w:cs="Arial"/>
        </w:rPr>
        <w:t>towards</w:t>
      </w:r>
      <w:r w:rsidR="00B96613">
        <w:rPr>
          <w:rFonts w:ascii="Arial" w:hAnsi="Arial" w:cs="Arial"/>
        </w:rPr>
        <w:t xml:space="preserve"> cutting red tape</w:t>
      </w:r>
      <w:r>
        <w:rPr>
          <w:rFonts w:ascii="Arial" w:hAnsi="Arial" w:cs="Arial"/>
        </w:rPr>
        <w:t>.</w:t>
      </w:r>
      <w:r w:rsidR="002D55F3">
        <w:rPr>
          <w:rFonts w:ascii="Arial" w:hAnsi="Arial" w:cs="Arial"/>
        </w:rPr>
        <w:t xml:space="preserve"> </w:t>
      </w:r>
    </w:p>
    <w:p w14:paraId="03970CEF" w14:textId="6743DADD" w:rsidR="00603FBC" w:rsidRPr="005A3602" w:rsidRDefault="00E114FD" w:rsidP="00EA32FA">
      <w:pPr>
        <w:jc w:val="both"/>
        <w:rPr>
          <w:rFonts w:ascii="Arial" w:hAnsi="Arial" w:cs="Arial"/>
          <w:b/>
          <w:bCs/>
        </w:rPr>
      </w:pPr>
      <w:r>
        <w:rPr>
          <w:rFonts w:ascii="Arial" w:hAnsi="Arial" w:cs="Arial"/>
          <w:b/>
          <w:bCs/>
        </w:rPr>
        <w:t xml:space="preserve">In our view the </w:t>
      </w:r>
      <w:r w:rsidR="002D55F3" w:rsidRPr="005A3602">
        <w:rPr>
          <w:rFonts w:ascii="Arial" w:hAnsi="Arial" w:cs="Arial"/>
          <w:b/>
          <w:bCs/>
        </w:rPr>
        <w:t xml:space="preserve">preferable </w:t>
      </w:r>
      <w:r w:rsidR="00EA32FA" w:rsidRPr="005A3602">
        <w:rPr>
          <w:rFonts w:ascii="Arial" w:hAnsi="Arial" w:cs="Arial"/>
          <w:b/>
          <w:bCs/>
        </w:rPr>
        <w:t xml:space="preserve">threshold for large charities </w:t>
      </w:r>
      <w:r>
        <w:rPr>
          <w:rFonts w:ascii="Arial" w:hAnsi="Arial" w:cs="Arial"/>
          <w:b/>
          <w:bCs/>
        </w:rPr>
        <w:t xml:space="preserve">is </w:t>
      </w:r>
      <w:r w:rsidR="00EA32FA" w:rsidRPr="005A3602">
        <w:rPr>
          <w:rFonts w:ascii="Arial" w:hAnsi="Arial" w:cs="Arial"/>
          <w:b/>
          <w:bCs/>
        </w:rPr>
        <w:t xml:space="preserve">$5 </w:t>
      </w:r>
      <w:r w:rsidRPr="00E114FD">
        <w:rPr>
          <w:rFonts w:ascii="Arial" w:hAnsi="Arial" w:cs="Arial"/>
          <w:b/>
          <w:bCs/>
        </w:rPr>
        <w:t>million</w:t>
      </w:r>
      <w:r>
        <w:rPr>
          <w:rFonts w:ascii="Arial" w:hAnsi="Arial" w:cs="Arial"/>
          <w:b/>
          <w:bCs/>
        </w:rPr>
        <w:t xml:space="preserve">, but we accept the lower increase (to $3 million) </w:t>
      </w:r>
      <w:r w:rsidRPr="005A3602">
        <w:rPr>
          <w:rFonts w:ascii="Arial" w:hAnsi="Arial" w:cs="Arial"/>
          <w:b/>
          <w:bCs/>
          <w:u w:val="single"/>
        </w:rPr>
        <w:t>if</w:t>
      </w:r>
      <w:r>
        <w:rPr>
          <w:rFonts w:ascii="Arial" w:hAnsi="Arial" w:cs="Arial"/>
          <w:b/>
          <w:bCs/>
        </w:rPr>
        <w:t xml:space="preserve"> this is a level agreed across all jurisdictions</w:t>
      </w:r>
      <w:r w:rsidR="002D55F3" w:rsidRPr="005A3602">
        <w:rPr>
          <w:rFonts w:ascii="Arial" w:hAnsi="Arial" w:cs="Arial"/>
          <w:b/>
          <w:bCs/>
        </w:rPr>
        <w:t xml:space="preserve">. </w:t>
      </w:r>
    </w:p>
    <w:p w14:paraId="5390FC91" w14:textId="7FD912CC" w:rsidR="00947476" w:rsidRDefault="002D55F3" w:rsidP="00EA32FA">
      <w:pPr>
        <w:jc w:val="both"/>
        <w:rPr>
          <w:rFonts w:ascii="Arial" w:hAnsi="Arial" w:cs="Arial"/>
        </w:rPr>
      </w:pPr>
      <w:r>
        <w:rPr>
          <w:rFonts w:ascii="Arial" w:hAnsi="Arial" w:cs="Arial"/>
        </w:rPr>
        <w:t>The higher threshold of $5 million</w:t>
      </w:r>
      <w:r w:rsidR="00186B72">
        <w:rPr>
          <w:rFonts w:ascii="Arial" w:hAnsi="Arial" w:cs="Arial"/>
        </w:rPr>
        <w:t>, as</w:t>
      </w:r>
      <w:r>
        <w:rPr>
          <w:rFonts w:ascii="Arial" w:hAnsi="Arial" w:cs="Arial"/>
        </w:rPr>
        <w:t xml:space="preserve"> </w:t>
      </w:r>
      <w:r w:rsidR="00186B72">
        <w:rPr>
          <w:rFonts w:ascii="Arial" w:hAnsi="Arial" w:cs="Arial"/>
        </w:rPr>
        <w:t>recommended</w:t>
      </w:r>
      <w:r>
        <w:rPr>
          <w:rFonts w:ascii="Arial" w:hAnsi="Arial" w:cs="Arial"/>
        </w:rPr>
        <w:t xml:space="preserve"> by the </w:t>
      </w:r>
      <w:r w:rsidR="00EA32FA">
        <w:rPr>
          <w:rFonts w:ascii="Arial" w:hAnsi="Arial" w:cs="Arial"/>
        </w:rPr>
        <w:t>ACNC Review Panel</w:t>
      </w:r>
      <w:r w:rsidR="00186B72">
        <w:rPr>
          <w:rFonts w:ascii="Arial" w:hAnsi="Arial" w:cs="Arial"/>
        </w:rPr>
        <w:t>,</w:t>
      </w:r>
      <w:r w:rsidR="00186B72">
        <w:rPr>
          <w:rStyle w:val="FootnoteReference"/>
          <w:rFonts w:ascii="Arial" w:hAnsi="Arial" w:cs="Arial"/>
        </w:rPr>
        <w:footnoteReference w:id="1"/>
      </w:r>
      <w:r w:rsidR="00EA32FA">
        <w:rPr>
          <w:rFonts w:ascii="Arial" w:hAnsi="Arial" w:cs="Arial"/>
        </w:rPr>
        <w:t xml:space="preserve"> </w:t>
      </w:r>
      <w:r w:rsidR="00186B72">
        <w:rPr>
          <w:rFonts w:ascii="Arial" w:hAnsi="Arial" w:cs="Arial"/>
        </w:rPr>
        <w:t xml:space="preserve">would </w:t>
      </w:r>
      <w:r w:rsidR="00DB035D">
        <w:rPr>
          <w:rFonts w:ascii="Arial" w:hAnsi="Arial" w:cs="Arial"/>
        </w:rPr>
        <w:t xml:space="preserve">provide </w:t>
      </w:r>
      <w:r w:rsidR="00947476">
        <w:rPr>
          <w:rFonts w:ascii="Arial" w:hAnsi="Arial" w:cs="Arial"/>
        </w:rPr>
        <w:t xml:space="preserve">better </w:t>
      </w:r>
      <w:r w:rsidR="00DB035D">
        <w:rPr>
          <w:rFonts w:ascii="Arial" w:hAnsi="Arial" w:cs="Arial"/>
        </w:rPr>
        <w:t>proportionality between charity size and the level of financial reporting</w:t>
      </w:r>
      <w:r w:rsidR="00947476">
        <w:rPr>
          <w:rFonts w:ascii="Arial" w:hAnsi="Arial" w:cs="Arial"/>
        </w:rPr>
        <w:t xml:space="preserve">. The gap between $1 million and $3 million is proportionately quite small − charities significantly smaller than us have the same reporting obligations as household names such as the </w:t>
      </w:r>
      <w:r w:rsidR="000C07AD">
        <w:rPr>
          <w:rFonts w:ascii="Arial" w:hAnsi="Arial" w:cs="Arial"/>
        </w:rPr>
        <w:t xml:space="preserve">University of New South Wales </w:t>
      </w:r>
      <w:r w:rsidR="00947476">
        <w:rPr>
          <w:rFonts w:ascii="Arial" w:hAnsi="Arial" w:cs="Arial"/>
        </w:rPr>
        <w:t xml:space="preserve">and World Vision. </w:t>
      </w:r>
    </w:p>
    <w:p w14:paraId="56F49EAD" w14:textId="4ACE39F1" w:rsidR="00275162" w:rsidRDefault="00947476" w:rsidP="00EA32FA">
      <w:pPr>
        <w:jc w:val="both"/>
        <w:rPr>
          <w:rFonts w:ascii="Arial" w:hAnsi="Arial" w:cs="Arial"/>
        </w:rPr>
      </w:pPr>
      <w:r>
        <w:rPr>
          <w:rFonts w:ascii="Arial" w:hAnsi="Arial" w:cs="Arial"/>
        </w:rPr>
        <w:lastRenderedPageBreak/>
        <w:t>We support</w:t>
      </w:r>
      <w:r w:rsidR="004943CD">
        <w:rPr>
          <w:rFonts w:ascii="Arial" w:hAnsi="Arial" w:cs="Arial"/>
        </w:rPr>
        <w:t xml:space="preserve"> transparency and accountability</w:t>
      </w:r>
      <w:r>
        <w:rPr>
          <w:rFonts w:ascii="Arial" w:hAnsi="Arial" w:cs="Arial"/>
        </w:rPr>
        <w:t xml:space="preserve"> </w:t>
      </w:r>
      <w:r w:rsidR="00EB3F2F">
        <w:rPr>
          <w:rFonts w:ascii="Arial" w:hAnsi="Arial" w:cs="Arial"/>
        </w:rPr>
        <w:t xml:space="preserve">which is </w:t>
      </w:r>
      <w:r>
        <w:rPr>
          <w:rFonts w:ascii="Arial" w:hAnsi="Arial" w:cs="Arial"/>
        </w:rPr>
        <w:t>why</w:t>
      </w:r>
      <w:r w:rsidR="00EB3F2F">
        <w:rPr>
          <w:rFonts w:ascii="Arial" w:hAnsi="Arial" w:cs="Arial"/>
        </w:rPr>
        <w:t xml:space="preserve"> (</w:t>
      </w:r>
      <w:r>
        <w:rPr>
          <w:rFonts w:ascii="Arial" w:hAnsi="Arial" w:cs="Arial"/>
        </w:rPr>
        <w:t>with many others</w:t>
      </w:r>
      <w:r w:rsidR="00EB3F2F">
        <w:rPr>
          <w:rFonts w:ascii="Arial" w:hAnsi="Arial" w:cs="Arial"/>
        </w:rPr>
        <w:t>)</w:t>
      </w:r>
      <w:r>
        <w:rPr>
          <w:rFonts w:ascii="Arial" w:hAnsi="Arial" w:cs="Arial"/>
        </w:rPr>
        <w:t xml:space="preserve">, we </w:t>
      </w:r>
      <w:r w:rsidR="00EB3F2F">
        <w:rPr>
          <w:rFonts w:ascii="Arial" w:hAnsi="Arial" w:cs="Arial"/>
        </w:rPr>
        <w:t>called for</w:t>
      </w:r>
      <w:r>
        <w:rPr>
          <w:rFonts w:ascii="Arial" w:hAnsi="Arial" w:cs="Arial"/>
        </w:rPr>
        <w:t xml:space="preserve"> the establishment of the ACNC with its free, online register</w:t>
      </w:r>
      <w:r w:rsidR="00EB3F2F">
        <w:rPr>
          <w:rFonts w:ascii="Arial" w:hAnsi="Arial" w:cs="Arial"/>
        </w:rPr>
        <w:t>. The ACNC register should be</w:t>
      </w:r>
      <w:r w:rsidR="004943CD">
        <w:rPr>
          <w:rFonts w:ascii="Arial" w:hAnsi="Arial" w:cs="Arial"/>
        </w:rPr>
        <w:t xml:space="preserve"> </w:t>
      </w:r>
      <w:r>
        <w:rPr>
          <w:rFonts w:ascii="Arial" w:hAnsi="Arial" w:cs="Arial"/>
        </w:rPr>
        <w:t>the single source of truth for the public and other charity stakeholders</w:t>
      </w:r>
      <w:r w:rsidR="00625D44">
        <w:rPr>
          <w:rFonts w:ascii="Arial" w:hAnsi="Arial" w:cs="Arial"/>
        </w:rPr>
        <w:t>.</w:t>
      </w:r>
      <w:r>
        <w:rPr>
          <w:rFonts w:ascii="Arial" w:hAnsi="Arial" w:cs="Arial"/>
        </w:rPr>
        <w:t xml:space="preserve"> </w:t>
      </w:r>
    </w:p>
    <w:p w14:paraId="631A338F" w14:textId="2AC737B7" w:rsidR="00EB3F2F" w:rsidRDefault="00EB3F2F" w:rsidP="00EA32FA">
      <w:pPr>
        <w:jc w:val="both"/>
        <w:rPr>
          <w:rFonts w:ascii="Arial" w:hAnsi="Arial" w:cs="Arial"/>
        </w:rPr>
      </w:pPr>
      <w:r>
        <w:rPr>
          <w:rFonts w:ascii="Arial" w:hAnsi="Arial" w:cs="Arial"/>
        </w:rPr>
        <w:t xml:space="preserve">For </w:t>
      </w:r>
      <w:r w:rsidR="00275162">
        <w:rPr>
          <w:rFonts w:ascii="Arial" w:hAnsi="Arial" w:cs="Arial"/>
        </w:rPr>
        <w:t xml:space="preserve">the ACNC register </w:t>
      </w:r>
      <w:r>
        <w:rPr>
          <w:rFonts w:ascii="Arial" w:hAnsi="Arial" w:cs="Arial"/>
        </w:rPr>
        <w:t>to reach</w:t>
      </w:r>
      <w:r w:rsidR="00275162">
        <w:rPr>
          <w:rFonts w:ascii="Arial" w:hAnsi="Arial" w:cs="Arial"/>
        </w:rPr>
        <w:t xml:space="preserve"> this</w:t>
      </w:r>
      <w:r>
        <w:rPr>
          <w:rFonts w:ascii="Arial" w:hAnsi="Arial" w:cs="Arial"/>
        </w:rPr>
        <w:t xml:space="preserve"> potential there needs to be </w:t>
      </w:r>
      <w:r w:rsidR="00275162">
        <w:rPr>
          <w:rFonts w:ascii="Arial" w:hAnsi="Arial" w:cs="Arial"/>
        </w:rPr>
        <w:t xml:space="preserve">reporting </w:t>
      </w:r>
      <w:r>
        <w:rPr>
          <w:rFonts w:ascii="Arial" w:hAnsi="Arial" w:cs="Arial"/>
        </w:rPr>
        <w:t xml:space="preserve">alignment across all jurisdictions; </w:t>
      </w:r>
      <w:r w:rsidR="00275162">
        <w:rPr>
          <w:rFonts w:ascii="Arial" w:hAnsi="Arial" w:cs="Arial"/>
        </w:rPr>
        <w:t xml:space="preserve">then will there be </w:t>
      </w:r>
      <w:r>
        <w:rPr>
          <w:rFonts w:ascii="Arial" w:hAnsi="Arial" w:cs="Arial"/>
        </w:rPr>
        <w:t xml:space="preserve">a single register </w:t>
      </w:r>
      <w:r w:rsidR="00275162">
        <w:rPr>
          <w:rFonts w:ascii="Arial" w:hAnsi="Arial" w:cs="Arial"/>
        </w:rPr>
        <w:t xml:space="preserve">for charities, </w:t>
      </w:r>
      <w:r>
        <w:rPr>
          <w:rFonts w:ascii="Arial" w:hAnsi="Arial" w:cs="Arial"/>
        </w:rPr>
        <w:t xml:space="preserve">with data shared securely by the ACNC </w:t>
      </w:r>
      <w:r w:rsidR="00625D44">
        <w:rPr>
          <w:rFonts w:ascii="Arial" w:hAnsi="Arial" w:cs="Arial"/>
        </w:rPr>
        <w:t>with</w:t>
      </w:r>
      <w:r>
        <w:rPr>
          <w:rFonts w:ascii="Arial" w:hAnsi="Arial" w:cs="Arial"/>
        </w:rPr>
        <w:t xml:space="preserve"> the states and territories</w:t>
      </w:r>
      <w:r w:rsidR="00275162">
        <w:rPr>
          <w:rFonts w:ascii="Arial" w:hAnsi="Arial" w:cs="Arial"/>
        </w:rPr>
        <w:t xml:space="preserve">. This is the most </w:t>
      </w:r>
      <w:r>
        <w:rPr>
          <w:rFonts w:ascii="Arial" w:hAnsi="Arial" w:cs="Arial"/>
        </w:rPr>
        <w:t>efficient</w:t>
      </w:r>
      <w:r w:rsidR="00275162">
        <w:rPr>
          <w:rFonts w:ascii="Arial" w:hAnsi="Arial" w:cs="Arial"/>
        </w:rPr>
        <w:t xml:space="preserve"> and effective way to preserve</w:t>
      </w:r>
      <w:r>
        <w:rPr>
          <w:rFonts w:ascii="Arial" w:hAnsi="Arial" w:cs="Arial"/>
        </w:rPr>
        <w:t xml:space="preserve"> regulatory</w:t>
      </w:r>
      <w:r w:rsidR="00275162">
        <w:rPr>
          <w:rFonts w:ascii="Arial" w:hAnsi="Arial" w:cs="Arial"/>
        </w:rPr>
        <w:t xml:space="preserve"> and charity </w:t>
      </w:r>
      <w:r>
        <w:rPr>
          <w:rFonts w:ascii="Arial" w:hAnsi="Arial" w:cs="Arial"/>
        </w:rPr>
        <w:t xml:space="preserve">resources.  </w:t>
      </w:r>
    </w:p>
    <w:p w14:paraId="3BDC8652" w14:textId="1C5FDB1E" w:rsidR="00DB035D" w:rsidRDefault="00EB3F2F" w:rsidP="00EA32FA">
      <w:pPr>
        <w:jc w:val="both"/>
        <w:rPr>
          <w:rFonts w:ascii="Arial" w:hAnsi="Arial" w:cs="Arial"/>
        </w:rPr>
      </w:pPr>
      <w:r>
        <w:rPr>
          <w:rFonts w:ascii="Arial" w:hAnsi="Arial" w:cs="Arial"/>
        </w:rPr>
        <w:t>W</w:t>
      </w:r>
      <w:r w:rsidR="00947476">
        <w:rPr>
          <w:rFonts w:ascii="Arial" w:hAnsi="Arial" w:cs="Arial"/>
        </w:rPr>
        <w:t xml:space="preserve">e support the current requirements for </w:t>
      </w:r>
      <w:r w:rsidR="00DB035D">
        <w:rPr>
          <w:rFonts w:ascii="Arial" w:hAnsi="Arial" w:cs="Arial"/>
        </w:rPr>
        <w:t xml:space="preserve">all charities </w:t>
      </w:r>
      <w:r w:rsidR="00947476">
        <w:rPr>
          <w:rFonts w:ascii="Arial" w:hAnsi="Arial" w:cs="Arial"/>
        </w:rPr>
        <w:t xml:space="preserve">to </w:t>
      </w:r>
      <w:r w:rsidR="00DB035D">
        <w:rPr>
          <w:rFonts w:ascii="Arial" w:hAnsi="Arial" w:cs="Arial"/>
        </w:rPr>
        <w:t xml:space="preserve">provide </w:t>
      </w:r>
      <w:r w:rsidR="00E114FD">
        <w:rPr>
          <w:rFonts w:ascii="Arial" w:hAnsi="Arial" w:cs="Arial"/>
        </w:rPr>
        <w:t xml:space="preserve">basic </w:t>
      </w:r>
      <w:r w:rsidR="00DB035D">
        <w:rPr>
          <w:rFonts w:ascii="Arial" w:hAnsi="Arial" w:cs="Arial"/>
        </w:rPr>
        <w:t xml:space="preserve">financial information </w:t>
      </w:r>
      <w:r w:rsidR="00947476">
        <w:rPr>
          <w:rFonts w:ascii="Arial" w:hAnsi="Arial" w:cs="Arial"/>
        </w:rPr>
        <w:t xml:space="preserve">in </w:t>
      </w:r>
      <w:r w:rsidR="00DB035D">
        <w:rPr>
          <w:rFonts w:ascii="Arial" w:hAnsi="Arial" w:cs="Arial"/>
        </w:rPr>
        <w:t xml:space="preserve">their </w:t>
      </w:r>
      <w:r w:rsidR="00947476">
        <w:rPr>
          <w:rFonts w:ascii="Arial" w:hAnsi="Arial" w:cs="Arial"/>
        </w:rPr>
        <w:t xml:space="preserve">ACNC </w:t>
      </w:r>
      <w:r w:rsidR="00DB035D">
        <w:rPr>
          <w:rFonts w:ascii="Arial" w:hAnsi="Arial" w:cs="Arial"/>
        </w:rPr>
        <w:t>Annual Information Statements</w:t>
      </w:r>
      <w:r>
        <w:rPr>
          <w:rFonts w:ascii="Arial" w:hAnsi="Arial" w:cs="Arial"/>
        </w:rPr>
        <w:t xml:space="preserve">, with </w:t>
      </w:r>
      <w:r w:rsidR="004943CD">
        <w:rPr>
          <w:rFonts w:ascii="Arial" w:hAnsi="Arial" w:cs="Arial"/>
        </w:rPr>
        <w:t xml:space="preserve">the tiers of medium and large </w:t>
      </w:r>
      <w:r w:rsidR="00B128C8">
        <w:rPr>
          <w:rFonts w:ascii="Arial" w:hAnsi="Arial" w:cs="Arial"/>
        </w:rPr>
        <w:t xml:space="preserve">charities </w:t>
      </w:r>
      <w:r w:rsidR="004943CD">
        <w:rPr>
          <w:rFonts w:ascii="Arial" w:hAnsi="Arial" w:cs="Arial"/>
        </w:rPr>
        <w:t>providing additional transparency</w:t>
      </w:r>
      <w:r w:rsidR="00DB035D">
        <w:rPr>
          <w:rFonts w:ascii="Arial" w:hAnsi="Arial" w:cs="Arial"/>
        </w:rPr>
        <w:t>.</w:t>
      </w:r>
      <w:r w:rsidR="00947476">
        <w:rPr>
          <w:rFonts w:ascii="Arial" w:hAnsi="Arial" w:cs="Arial"/>
        </w:rPr>
        <w:t xml:space="preserve"> </w:t>
      </w:r>
      <w:r>
        <w:rPr>
          <w:rFonts w:ascii="Arial" w:hAnsi="Arial" w:cs="Arial"/>
        </w:rPr>
        <w:t xml:space="preserve">The need for transparency and accountability </w:t>
      </w:r>
      <w:r w:rsidR="00275162">
        <w:rPr>
          <w:rFonts w:ascii="Arial" w:hAnsi="Arial" w:cs="Arial"/>
        </w:rPr>
        <w:t>is why</w:t>
      </w:r>
      <w:r w:rsidR="00947476">
        <w:rPr>
          <w:rFonts w:ascii="Arial" w:hAnsi="Arial" w:cs="Arial"/>
        </w:rPr>
        <w:t xml:space="preserve"> we have consistently called for </w:t>
      </w:r>
      <w:r>
        <w:rPr>
          <w:rFonts w:ascii="Arial" w:hAnsi="Arial" w:cs="Arial"/>
        </w:rPr>
        <w:t xml:space="preserve">the </w:t>
      </w:r>
      <w:r w:rsidR="00947476">
        <w:rPr>
          <w:rFonts w:ascii="Arial" w:hAnsi="Arial" w:cs="Arial"/>
        </w:rPr>
        <w:t>Basic Religious Charit</w:t>
      </w:r>
      <w:r>
        <w:rPr>
          <w:rFonts w:ascii="Arial" w:hAnsi="Arial" w:cs="Arial"/>
        </w:rPr>
        <w:t xml:space="preserve">ies </w:t>
      </w:r>
      <w:r w:rsidR="00947476">
        <w:rPr>
          <w:rFonts w:ascii="Arial" w:hAnsi="Arial" w:cs="Arial"/>
        </w:rPr>
        <w:t>(BRCs) exempt</w:t>
      </w:r>
      <w:r>
        <w:rPr>
          <w:rFonts w:ascii="Arial" w:hAnsi="Arial" w:cs="Arial"/>
        </w:rPr>
        <w:t>ion</w:t>
      </w:r>
      <w:r w:rsidR="00947476">
        <w:rPr>
          <w:rFonts w:ascii="Arial" w:hAnsi="Arial" w:cs="Arial"/>
        </w:rPr>
        <w:t xml:space="preserve"> to be removed, so </w:t>
      </w:r>
      <w:r w:rsidR="00B128C8">
        <w:rPr>
          <w:rFonts w:ascii="Arial" w:hAnsi="Arial" w:cs="Arial"/>
        </w:rPr>
        <w:t xml:space="preserve">those </w:t>
      </w:r>
      <w:r w:rsidR="00947476">
        <w:rPr>
          <w:rFonts w:ascii="Arial" w:hAnsi="Arial" w:cs="Arial"/>
        </w:rPr>
        <w:t xml:space="preserve">BRCs that are medium or large </w:t>
      </w:r>
      <w:r>
        <w:rPr>
          <w:rFonts w:ascii="Arial" w:hAnsi="Arial" w:cs="Arial"/>
        </w:rPr>
        <w:t xml:space="preserve">have </w:t>
      </w:r>
      <w:r w:rsidR="00B128C8">
        <w:rPr>
          <w:rFonts w:ascii="Arial" w:hAnsi="Arial" w:cs="Arial"/>
        </w:rPr>
        <w:t xml:space="preserve">to </w:t>
      </w:r>
      <w:r w:rsidR="00947476">
        <w:rPr>
          <w:rFonts w:ascii="Arial" w:hAnsi="Arial" w:cs="Arial"/>
        </w:rPr>
        <w:t>provide the same transparency as other charities.</w:t>
      </w:r>
    </w:p>
    <w:p w14:paraId="1898EC10" w14:textId="09FBC2A7" w:rsidR="007B4A30" w:rsidRDefault="00275162" w:rsidP="00EA32FA">
      <w:pPr>
        <w:jc w:val="both"/>
        <w:rPr>
          <w:rFonts w:ascii="Arial" w:hAnsi="Arial" w:cs="Arial"/>
        </w:rPr>
      </w:pPr>
      <w:r>
        <w:rPr>
          <w:rFonts w:ascii="Arial" w:hAnsi="Arial" w:cs="Arial"/>
        </w:rPr>
        <w:t>Finally, w</w:t>
      </w:r>
      <w:r w:rsidR="008C4B23">
        <w:rPr>
          <w:rFonts w:ascii="Arial" w:hAnsi="Arial" w:cs="Arial"/>
        </w:rPr>
        <w:t xml:space="preserve">e note </w:t>
      </w:r>
      <w:r w:rsidR="007B4A30">
        <w:rPr>
          <w:rFonts w:ascii="Arial" w:hAnsi="Arial" w:cs="Arial"/>
        </w:rPr>
        <w:t xml:space="preserve">the purpose of the </w:t>
      </w:r>
      <w:r w:rsidR="008C4B23">
        <w:rPr>
          <w:rFonts w:ascii="Arial" w:hAnsi="Arial" w:cs="Arial"/>
        </w:rPr>
        <w:t xml:space="preserve">tiered </w:t>
      </w:r>
      <w:r w:rsidR="007B4A30">
        <w:rPr>
          <w:rFonts w:ascii="Arial" w:hAnsi="Arial" w:cs="Arial"/>
        </w:rPr>
        <w:t xml:space="preserve">thresholds </w:t>
      </w:r>
      <w:r w:rsidR="008C4B23">
        <w:rPr>
          <w:rFonts w:ascii="Arial" w:hAnsi="Arial" w:cs="Arial"/>
        </w:rPr>
        <w:t>(</w:t>
      </w:r>
      <w:r w:rsidR="007B4A30">
        <w:rPr>
          <w:rFonts w:ascii="Arial" w:hAnsi="Arial" w:cs="Arial"/>
        </w:rPr>
        <w:t>as articulated by the legislature</w:t>
      </w:r>
      <w:r w:rsidR="008C4B23">
        <w:rPr>
          <w:rFonts w:ascii="Arial" w:hAnsi="Arial" w:cs="Arial"/>
        </w:rPr>
        <w:t>)</w:t>
      </w:r>
      <w:r w:rsidR="007B4A30">
        <w:rPr>
          <w:rFonts w:ascii="Arial" w:hAnsi="Arial" w:cs="Arial"/>
        </w:rPr>
        <w:t xml:space="preserve"> </w:t>
      </w:r>
      <w:r w:rsidR="00E114FD">
        <w:rPr>
          <w:rFonts w:ascii="Arial" w:hAnsi="Arial" w:cs="Arial"/>
        </w:rPr>
        <w:t xml:space="preserve">was </w:t>
      </w:r>
      <w:r w:rsidR="007B4A30">
        <w:rPr>
          <w:rFonts w:ascii="Arial" w:hAnsi="Arial" w:cs="Arial"/>
        </w:rPr>
        <w:t xml:space="preserve">to </w:t>
      </w:r>
      <w:r w:rsidR="007B4A30" w:rsidRPr="005A3602">
        <w:rPr>
          <w:rFonts w:ascii="Arial" w:hAnsi="Arial" w:cs="Arial"/>
          <w:i/>
          <w:iCs/>
        </w:rPr>
        <w:t>minimise</w:t>
      </w:r>
      <w:r w:rsidR="007B4A30">
        <w:rPr>
          <w:rFonts w:ascii="Arial" w:hAnsi="Arial" w:cs="Arial"/>
        </w:rPr>
        <w:t xml:space="preserve"> the compliance burden placed on registered charities.</w:t>
      </w:r>
      <w:r w:rsidR="007B4A30">
        <w:rPr>
          <w:rStyle w:val="FootnoteReference"/>
          <w:rFonts w:ascii="Arial" w:hAnsi="Arial" w:cs="Arial"/>
        </w:rPr>
        <w:footnoteReference w:id="2"/>
      </w:r>
      <w:r w:rsidR="00B50047">
        <w:rPr>
          <w:rFonts w:ascii="Arial" w:hAnsi="Arial" w:cs="Arial"/>
        </w:rPr>
        <w:t xml:space="preserve"> </w:t>
      </w:r>
      <w:r w:rsidR="00BC36ED">
        <w:rPr>
          <w:rFonts w:ascii="Arial" w:hAnsi="Arial" w:cs="Arial"/>
        </w:rPr>
        <w:t>For comparison, in the</w:t>
      </w:r>
      <w:r w:rsidR="00E114FD">
        <w:rPr>
          <w:rFonts w:ascii="Arial" w:hAnsi="Arial" w:cs="Arial"/>
        </w:rPr>
        <w:t xml:space="preserve"> ‘for profit’ (</w:t>
      </w:r>
      <w:r w:rsidR="00BC36ED">
        <w:rPr>
          <w:rFonts w:ascii="Arial" w:hAnsi="Arial" w:cs="Arial"/>
        </w:rPr>
        <w:t>business</w:t>
      </w:r>
      <w:r w:rsidR="00E114FD">
        <w:rPr>
          <w:rFonts w:ascii="Arial" w:hAnsi="Arial" w:cs="Arial"/>
        </w:rPr>
        <w:t>) sector</w:t>
      </w:r>
      <w:r w:rsidR="00BC36ED">
        <w:rPr>
          <w:rFonts w:ascii="Arial" w:hAnsi="Arial" w:cs="Arial"/>
        </w:rPr>
        <w:t xml:space="preserve">, </w:t>
      </w:r>
      <w:r w:rsidR="007B4A30">
        <w:rPr>
          <w:rFonts w:ascii="Arial" w:hAnsi="Arial" w:cs="Arial"/>
        </w:rPr>
        <w:t xml:space="preserve">the </w:t>
      </w:r>
      <w:r w:rsidR="00065166">
        <w:rPr>
          <w:rFonts w:ascii="Arial" w:hAnsi="Arial" w:cs="Arial"/>
        </w:rPr>
        <w:t xml:space="preserve">revenue </w:t>
      </w:r>
      <w:r w:rsidR="007B4A30">
        <w:rPr>
          <w:rFonts w:ascii="Arial" w:hAnsi="Arial" w:cs="Arial"/>
        </w:rPr>
        <w:t xml:space="preserve">threshold for </w:t>
      </w:r>
      <w:r w:rsidR="00065166">
        <w:rPr>
          <w:rFonts w:ascii="Arial" w:hAnsi="Arial" w:cs="Arial"/>
        </w:rPr>
        <w:t xml:space="preserve">‘large’ </w:t>
      </w:r>
      <w:r w:rsidR="007B4A30">
        <w:rPr>
          <w:rFonts w:ascii="Arial" w:hAnsi="Arial" w:cs="Arial"/>
        </w:rPr>
        <w:t xml:space="preserve">proprietary companies </w:t>
      </w:r>
      <w:r w:rsidR="00E46494">
        <w:rPr>
          <w:rFonts w:ascii="Arial" w:hAnsi="Arial" w:cs="Arial"/>
        </w:rPr>
        <w:t xml:space="preserve">is </w:t>
      </w:r>
      <w:r w:rsidR="007B4A30">
        <w:rPr>
          <w:rFonts w:ascii="Arial" w:hAnsi="Arial" w:cs="Arial"/>
        </w:rPr>
        <w:t>$50</w:t>
      </w:r>
      <w:r w:rsidR="00E114FD">
        <w:rPr>
          <w:rFonts w:ascii="Arial" w:hAnsi="Arial" w:cs="Arial"/>
        </w:rPr>
        <w:t xml:space="preserve"> </w:t>
      </w:r>
      <w:r w:rsidR="007B4A30">
        <w:rPr>
          <w:rFonts w:ascii="Arial" w:hAnsi="Arial" w:cs="Arial"/>
        </w:rPr>
        <w:t>million</w:t>
      </w:r>
      <w:r w:rsidR="00065166">
        <w:rPr>
          <w:rFonts w:ascii="Arial" w:hAnsi="Arial" w:cs="Arial"/>
        </w:rPr>
        <w:t xml:space="preserve"> </w:t>
      </w:r>
      <w:r w:rsidR="00B128C8">
        <w:rPr>
          <w:rFonts w:ascii="Arial" w:hAnsi="Arial" w:cs="Arial"/>
        </w:rPr>
        <w:t xml:space="preserve">which was </w:t>
      </w:r>
      <w:r w:rsidR="00E46494">
        <w:rPr>
          <w:rFonts w:ascii="Arial" w:hAnsi="Arial" w:cs="Arial"/>
        </w:rPr>
        <w:t>doubled in 2019 from $25 million.</w:t>
      </w:r>
      <w:r w:rsidR="00E46494">
        <w:rPr>
          <w:rStyle w:val="FootnoteReference"/>
          <w:rFonts w:ascii="Arial" w:hAnsi="Arial" w:cs="Arial"/>
        </w:rPr>
        <w:footnoteReference w:id="3"/>
      </w:r>
    </w:p>
    <w:p w14:paraId="2E04C4D2" w14:textId="23EA40F5" w:rsidR="00A50C63" w:rsidRPr="000D4B2A" w:rsidRDefault="00065166" w:rsidP="00287AB0">
      <w:pPr>
        <w:pStyle w:val="Heading2"/>
        <w:spacing w:before="240" w:after="120" w:line="240" w:lineRule="auto"/>
        <w:jc w:val="both"/>
        <w:rPr>
          <w:b/>
          <w:bCs/>
        </w:rPr>
      </w:pPr>
      <w:r>
        <w:rPr>
          <w:b/>
          <w:bCs/>
        </w:rPr>
        <w:t xml:space="preserve">Question </w:t>
      </w:r>
      <w:r w:rsidR="004E0C04" w:rsidRPr="00D15079">
        <w:rPr>
          <w:b/>
          <w:bCs/>
        </w:rPr>
        <w:t>2</w:t>
      </w:r>
      <w:r w:rsidR="00620C3C">
        <w:rPr>
          <w:b/>
          <w:bCs/>
        </w:rPr>
        <w:t xml:space="preserve">: </w:t>
      </w:r>
      <w:r w:rsidR="00D15079" w:rsidRPr="00D15079">
        <w:rPr>
          <w:b/>
          <w:bCs/>
        </w:rPr>
        <w:t xml:space="preserve">alignment across jurisdictions </w:t>
      </w:r>
    </w:p>
    <w:p w14:paraId="5170A929" w14:textId="6CCACBF8" w:rsidR="009B71D1" w:rsidRDefault="00620C3C" w:rsidP="00A70CA7">
      <w:pPr>
        <w:spacing w:before="120" w:after="240" w:line="240" w:lineRule="auto"/>
        <w:jc w:val="both"/>
        <w:rPr>
          <w:rFonts w:ascii="Arial" w:hAnsi="Arial" w:cs="Arial"/>
        </w:rPr>
      </w:pPr>
      <w:r>
        <w:rPr>
          <w:rFonts w:ascii="Arial" w:hAnsi="Arial" w:cs="Arial"/>
        </w:rPr>
        <w:t>We repeat our guiding principle: i</w:t>
      </w:r>
      <w:r w:rsidR="00E46494">
        <w:rPr>
          <w:rFonts w:ascii="Arial" w:hAnsi="Arial" w:cs="Arial"/>
        </w:rPr>
        <w:t xml:space="preserve">t is crucial for the </w:t>
      </w:r>
      <w:r w:rsidR="00531BD1">
        <w:rPr>
          <w:rFonts w:ascii="Arial" w:hAnsi="Arial" w:cs="Arial"/>
        </w:rPr>
        <w:t>financial reporting thresholds to be</w:t>
      </w:r>
      <w:r w:rsidR="0038526D">
        <w:rPr>
          <w:rFonts w:ascii="Arial" w:hAnsi="Arial" w:cs="Arial"/>
        </w:rPr>
        <w:t xml:space="preserve"> aligned across all jurisdictions before they are</w:t>
      </w:r>
      <w:r w:rsidR="00531BD1">
        <w:rPr>
          <w:rFonts w:ascii="Arial" w:hAnsi="Arial" w:cs="Arial"/>
        </w:rPr>
        <w:t xml:space="preserve"> increased. </w:t>
      </w:r>
    </w:p>
    <w:p w14:paraId="69022D1E" w14:textId="7BE4FAAA" w:rsidR="00416620" w:rsidRDefault="00531BD1" w:rsidP="00A70CA7">
      <w:pPr>
        <w:spacing w:before="120" w:after="240" w:line="240" w:lineRule="auto"/>
        <w:jc w:val="both"/>
        <w:rPr>
          <w:rFonts w:ascii="Arial" w:hAnsi="Arial" w:cs="Arial"/>
        </w:rPr>
      </w:pPr>
      <w:r>
        <w:rPr>
          <w:rFonts w:ascii="Arial" w:hAnsi="Arial" w:cs="Arial"/>
        </w:rPr>
        <w:t xml:space="preserve">For registered charities that are structured as incorporated associations, the current reporting framework is </w:t>
      </w:r>
      <w:r w:rsidR="00F7393E">
        <w:rPr>
          <w:rFonts w:ascii="Arial" w:hAnsi="Arial" w:cs="Arial"/>
        </w:rPr>
        <w:t>not fully aligned</w:t>
      </w:r>
      <w:r>
        <w:rPr>
          <w:rFonts w:ascii="Arial" w:hAnsi="Arial" w:cs="Arial"/>
        </w:rPr>
        <w:t xml:space="preserve">. </w:t>
      </w:r>
      <w:r w:rsidR="00467583">
        <w:rPr>
          <w:rFonts w:ascii="Arial" w:hAnsi="Arial" w:cs="Arial"/>
        </w:rPr>
        <w:t xml:space="preserve">As </w:t>
      </w:r>
      <w:r w:rsidR="003E5860">
        <w:rPr>
          <w:rFonts w:ascii="Arial" w:hAnsi="Arial" w:cs="Arial"/>
        </w:rPr>
        <w:t>outlined</w:t>
      </w:r>
      <w:r w:rsidR="00467583">
        <w:rPr>
          <w:rFonts w:ascii="Arial" w:hAnsi="Arial" w:cs="Arial"/>
        </w:rPr>
        <w:t xml:space="preserve"> in Attachment A to the Consultation Paper, </w:t>
      </w:r>
      <w:r w:rsidR="00F7393E" w:rsidRPr="005A3602">
        <w:rPr>
          <w:rFonts w:ascii="Arial" w:hAnsi="Arial" w:cs="Arial"/>
        </w:rPr>
        <w:t xml:space="preserve">several </w:t>
      </w:r>
      <w:r w:rsidR="00467583" w:rsidRPr="004943CD">
        <w:rPr>
          <w:rFonts w:ascii="Arial" w:hAnsi="Arial" w:cs="Arial"/>
        </w:rPr>
        <w:t xml:space="preserve">states and territories have their own thresholds for financial reporting that do not align with the </w:t>
      </w:r>
      <w:r w:rsidR="004943CD">
        <w:rPr>
          <w:rFonts w:ascii="Arial" w:hAnsi="Arial" w:cs="Arial"/>
        </w:rPr>
        <w:t xml:space="preserve">current </w:t>
      </w:r>
      <w:r w:rsidR="00467583" w:rsidRPr="004943CD">
        <w:rPr>
          <w:rFonts w:ascii="Arial" w:hAnsi="Arial" w:cs="Arial"/>
        </w:rPr>
        <w:t>ACNC</w:t>
      </w:r>
      <w:r w:rsidR="004943CD">
        <w:rPr>
          <w:rFonts w:ascii="Arial" w:hAnsi="Arial" w:cs="Arial"/>
        </w:rPr>
        <w:t xml:space="preserve"> thresholds</w:t>
      </w:r>
      <w:r w:rsidR="00467583" w:rsidRPr="004943CD">
        <w:rPr>
          <w:rFonts w:ascii="Arial" w:hAnsi="Arial" w:cs="Arial"/>
        </w:rPr>
        <w:t>.</w:t>
      </w:r>
      <w:r w:rsidR="0072765E" w:rsidRPr="004943CD">
        <w:rPr>
          <w:rFonts w:ascii="Arial" w:hAnsi="Arial" w:cs="Arial"/>
        </w:rPr>
        <w:t xml:space="preserve"> </w:t>
      </w:r>
      <w:r w:rsidR="00194005" w:rsidRPr="004943CD">
        <w:rPr>
          <w:rFonts w:ascii="Arial" w:hAnsi="Arial" w:cs="Arial"/>
        </w:rPr>
        <w:t>For example, w</w:t>
      </w:r>
      <w:r w:rsidR="00467583" w:rsidRPr="004943CD">
        <w:rPr>
          <w:rFonts w:ascii="Arial" w:hAnsi="Arial" w:cs="Arial"/>
        </w:rPr>
        <w:t>hile a</w:t>
      </w:r>
      <w:r w:rsidRPr="004943CD">
        <w:rPr>
          <w:rFonts w:ascii="Arial" w:hAnsi="Arial" w:cs="Arial"/>
        </w:rPr>
        <w:t xml:space="preserve"> registered charity incorporated in Victoria will only need to report once</w:t>
      </w:r>
      <w:r>
        <w:rPr>
          <w:rFonts w:ascii="Arial" w:hAnsi="Arial" w:cs="Arial"/>
        </w:rPr>
        <w:t xml:space="preserve"> to the ACNC, a charitable association incorporated in Queensland </w:t>
      </w:r>
      <w:r w:rsidR="00467583">
        <w:rPr>
          <w:rFonts w:ascii="Arial" w:hAnsi="Arial" w:cs="Arial"/>
        </w:rPr>
        <w:t xml:space="preserve">will need to report to the ACNC in one tier, and then again to the Queensland regulator in another tier. </w:t>
      </w:r>
    </w:p>
    <w:p w14:paraId="1CDB6F98" w14:textId="2D895675" w:rsidR="00416620" w:rsidRDefault="00416620" w:rsidP="00416620">
      <w:pPr>
        <w:spacing w:before="120" w:after="240" w:line="240" w:lineRule="auto"/>
        <w:jc w:val="both"/>
        <w:rPr>
          <w:rFonts w:ascii="Arial" w:hAnsi="Arial" w:cs="Arial"/>
        </w:rPr>
      </w:pPr>
      <w:r>
        <w:rPr>
          <w:rFonts w:ascii="Arial" w:hAnsi="Arial" w:cs="Arial"/>
        </w:rPr>
        <w:t xml:space="preserve">Although the proposed threshold changes will benefit </w:t>
      </w:r>
      <w:r w:rsidR="00923332">
        <w:rPr>
          <w:rFonts w:ascii="Arial" w:hAnsi="Arial" w:cs="Arial"/>
        </w:rPr>
        <w:t>some</w:t>
      </w:r>
      <w:r>
        <w:rPr>
          <w:rFonts w:ascii="Arial" w:hAnsi="Arial" w:cs="Arial"/>
        </w:rPr>
        <w:t xml:space="preserve"> charities (particularly those dropping from medium to small), in our view</w:t>
      </w:r>
      <w:r w:rsidR="00B128C8">
        <w:rPr>
          <w:rFonts w:ascii="Arial" w:hAnsi="Arial" w:cs="Arial"/>
        </w:rPr>
        <w:t xml:space="preserve"> it would be easier for the vast majority of charities </w:t>
      </w:r>
      <w:r w:rsidR="00B128C8">
        <w:rPr>
          <w:rFonts w:ascii="Arial" w:hAnsi="Arial" w:cs="Arial"/>
        </w:rPr>
        <w:lastRenderedPageBreak/>
        <w:t xml:space="preserve">to </w:t>
      </w:r>
      <w:r>
        <w:rPr>
          <w:rFonts w:ascii="Arial" w:hAnsi="Arial" w:cs="Arial"/>
        </w:rPr>
        <w:t>wait for a fully aligned reporting system across all jurisdictions</w:t>
      </w:r>
      <w:r w:rsidR="003E5860">
        <w:rPr>
          <w:rFonts w:ascii="Arial" w:hAnsi="Arial" w:cs="Arial"/>
        </w:rPr>
        <w:t xml:space="preserve">, rather </w:t>
      </w:r>
      <w:r>
        <w:rPr>
          <w:rFonts w:ascii="Arial" w:hAnsi="Arial" w:cs="Arial"/>
        </w:rPr>
        <w:t xml:space="preserve">than </w:t>
      </w:r>
      <w:r w:rsidR="003E5860">
        <w:rPr>
          <w:rFonts w:ascii="Arial" w:hAnsi="Arial" w:cs="Arial"/>
        </w:rPr>
        <w:t>grappled with t</w:t>
      </w:r>
      <w:r w:rsidR="00316773">
        <w:rPr>
          <w:rFonts w:ascii="Arial" w:hAnsi="Arial" w:cs="Arial"/>
        </w:rPr>
        <w:t xml:space="preserve">he introduction of </w:t>
      </w:r>
      <w:r w:rsidR="00B128C8">
        <w:rPr>
          <w:rFonts w:ascii="Arial" w:hAnsi="Arial" w:cs="Arial"/>
        </w:rPr>
        <w:t xml:space="preserve">successive </w:t>
      </w:r>
      <w:r w:rsidR="00316773">
        <w:rPr>
          <w:rFonts w:ascii="Arial" w:hAnsi="Arial" w:cs="Arial"/>
        </w:rPr>
        <w:t xml:space="preserve">changes </w:t>
      </w:r>
      <w:r w:rsidR="003E5860">
        <w:rPr>
          <w:rFonts w:ascii="Arial" w:hAnsi="Arial" w:cs="Arial"/>
        </w:rPr>
        <w:t xml:space="preserve">and </w:t>
      </w:r>
      <w:r>
        <w:rPr>
          <w:rFonts w:ascii="Arial" w:hAnsi="Arial" w:cs="Arial"/>
        </w:rPr>
        <w:t xml:space="preserve">overlapping transition periods. </w:t>
      </w:r>
    </w:p>
    <w:p w14:paraId="4683ED2D" w14:textId="72A4826C" w:rsidR="00923332" w:rsidRDefault="00923332" w:rsidP="005A3602">
      <w:pPr>
        <w:spacing w:before="120" w:after="0" w:line="240" w:lineRule="auto"/>
        <w:jc w:val="both"/>
        <w:rPr>
          <w:rFonts w:ascii="Arial" w:hAnsi="Arial" w:cs="Arial"/>
        </w:rPr>
      </w:pPr>
      <w:r w:rsidRPr="005A3602">
        <w:rPr>
          <w:rFonts w:ascii="Arial" w:hAnsi="Arial" w:cs="Arial"/>
          <w:b/>
          <w:bCs/>
        </w:rPr>
        <w:t xml:space="preserve">We note </w:t>
      </w:r>
      <w:r w:rsidR="0048793B">
        <w:rPr>
          <w:rFonts w:ascii="Arial" w:hAnsi="Arial" w:cs="Arial"/>
          <w:b/>
          <w:bCs/>
        </w:rPr>
        <w:t xml:space="preserve">below </w:t>
      </w:r>
      <w:r w:rsidRPr="005A3602">
        <w:rPr>
          <w:rFonts w:ascii="Arial" w:hAnsi="Arial" w:cs="Arial"/>
          <w:b/>
          <w:bCs/>
        </w:rPr>
        <w:t xml:space="preserve">a range matters that mean the </w:t>
      </w:r>
      <w:r w:rsidR="009F019F" w:rsidRPr="005A3602">
        <w:rPr>
          <w:rFonts w:ascii="Arial" w:hAnsi="Arial" w:cs="Arial"/>
          <w:b/>
          <w:bCs/>
        </w:rPr>
        <w:t xml:space="preserve">actual </w:t>
      </w:r>
      <w:r w:rsidRPr="005A3602">
        <w:rPr>
          <w:rFonts w:ascii="Arial" w:hAnsi="Arial" w:cs="Arial"/>
          <w:b/>
          <w:bCs/>
        </w:rPr>
        <w:t>number of charities benefit</w:t>
      </w:r>
      <w:r w:rsidR="0048793B">
        <w:rPr>
          <w:rFonts w:ascii="Arial" w:hAnsi="Arial" w:cs="Arial"/>
          <w:b/>
          <w:bCs/>
        </w:rPr>
        <w:t xml:space="preserve">ting </w:t>
      </w:r>
      <w:r w:rsidRPr="005A3602">
        <w:rPr>
          <w:rFonts w:ascii="Arial" w:hAnsi="Arial" w:cs="Arial"/>
          <w:b/>
          <w:bCs/>
        </w:rPr>
        <w:t xml:space="preserve">from the thresholds changing </w:t>
      </w:r>
      <w:r w:rsidR="0048793B">
        <w:rPr>
          <w:rFonts w:ascii="Arial" w:hAnsi="Arial" w:cs="Arial"/>
          <w:b/>
          <w:bCs/>
        </w:rPr>
        <w:t xml:space="preserve">is likely to </w:t>
      </w:r>
      <w:r w:rsidRPr="005A3602">
        <w:rPr>
          <w:rFonts w:ascii="Arial" w:hAnsi="Arial" w:cs="Arial"/>
          <w:b/>
          <w:bCs/>
        </w:rPr>
        <w:t xml:space="preserve">be significantly less than the total number of possible charities </w:t>
      </w:r>
      <w:r w:rsidR="009F019F" w:rsidRPr="005A3602">
        <w:rPr>
          <w:rFonts w:ascii="Arial" w:hAnsi="Arial" w:cs="Arial"/>
          <w:b/>
          <w:bCs/>
        </w:rPr>
        <w:t xml:space="preserve">that </w:t>
      </w:r>
      <w:r w:rsidR="009F019F" w:rsidRPr="005A3602">
        <w:rPr>
          <w:rFonts w:ascii="Arial" w:hAnsi="Arial" w:cs="Arial"/>
          <w:b/>
          <w:bCs/>
          <w:i/>
          <w:iCs/>
        </w:rPr>
        <w:t>could</w:t>
      </w:r>
      <w:r w:rsidR="009F019F" w:rsidRPr="005A3602">
        <w:rPr>
          <w:rFonts w:ascii="Arial" w:hAnsi="Arial" w:cs="Arial"/>
          <w:b/>
          <w:bCs/>
        </w:rPr>
        <w:t xml:space="preserve"> </w:t>
      </w:r>
      <w:r w:rsidRPr="005A3602">
        <w:rPr>
          <w:rFonts w:ascii="Arial" w:hAnsi="Arial" w:cs="Arial"/>
          <w:b/>
          <w:bCs/>
        </w:rPr>
        <w:t xml:space="preserve">benefit </w:t>
      </w:r>
      <w:r w:rsidR="009F019F" w:rsidRPr="005A3602">
        <w:rPr>
          <w:rFonts w:ascii="Arial" w:hAnsi="Arial" w:cs="Arial"/>
          <w:b/>
          <w:bCs/>
        </w:rPr>
        <w:t xml:space="preserve">(as shown </w:t>
      </w:r>
      <w:r w:rsidRPr="005A3602">
        <w:rPr>
          <w:rFonts w:ascii="Arial" w:hAnsi="Arial" w:cs="Arial"/>
          <w:b/>
          <w:bCs/>
        </w:rPr>
        <w:t>in Table 3 in the Consultation Paper</w:t>
      </w:r>
      <w:r w:rsidR="009F019F" w:rsidRPr="005A3602">
        <w:rPr>
          <w:rFonts w:ascii="Arial" w:hAnsi="Arial" w:cs="Arial"/>
          <w:b/>
          <w:bCs/>
        </w:rPr>
        <w:t>)</w:t>
      </w:r>
      <w:r w:rsidR="003A1254" w:rsidRPr="005A3602">
        <w:rPr>
          <w:rFonts w:ascii="Arial" w:hAnsi="Arial" w:cs="Arial"/>
          <w:b/>
          <w:bCs/>
        </w:rPr>
        <w:t>, especially if there is no alignment</w:t>
      </w:r>
      <w:r>
        <w:rPr>
          <w:rFonts w:ascii="Arial" w:hAnsi="Arial" w:cs="Arial"/>
        </w:rPr>
        <w:t>:</w:t>
      </w:r>
    </w:p>
    <w:p w14:paraId="75D12E5F" w14:textId="3C301C6E" w:rsidR="00923332" w:rsidRDefault="00923332" w:rsidP="00923332">
      <w:pPr>
        <w:pStyle w:val="ListParagraph"/>
        <w:numPr>
          <w:ilvl w:val="0"/>
          <w:numId w:val="29"/>
        </w:numPr>
        <w:spacing w:before="60" w:after="120" w:line="240" w:lineRule="auto"/>
        <w:ind w:left="714" w:hanging="357"/>
        <w:contextualSpacing w:val="0"/>
        <w:jc w:val="both"/>
        <w:rPr>
          <w:rFonts w:ascii="Arial" w:hAnsi="Arial" w:cs="Arial"/>
        </w:rPr>
      </w:pPr>
      <w:r>
        <w:rPr>
          <w:rFonts w:ascii="Arial" w:hAnsi="Arial" w:cs="Arial"/>
        </w:rPr>
        <w:t xml:space="preserve">funding agreements often require audited figures as part of </w:t>
      </w:r>
      <w:r w:rsidR="00AD4E5D">
        <w:rPr>
          <w:rFonts w:ascii="Arial" w:hAnsi="Arial" w:cs="Arial"/>
        </w:rPr>
        <w:t>r</w:t>
      </w:r>
      <w:r>
        <w:rPr>
          <w:rFonts w:ascii="Arial" w:hAnsi="Arial" w:cs="Arial"/>
        </w:rPr>
        <w:t>eporting and acquittal process</w:t>
      </w:r>
      <w:r w:rsidR="00AD4E5D">
        <w:rPr>
          <w:rFonts w:ascii="Arial" w:hAnsi="Arial" w:cs="Arial"/>
        </w:rPr>
        <w:t>es</w:t>
      </w:r>
    </w:p>
    <w:p w14:paraId="002B4236" w14:textId="5DC01E1C" w:rsidR="00923332" w:rsidRDefault="00923332" w:rsidP="00923332">
      <w:pPr>
        <w:pStyle w:val="ListParagraph"/>
        <w:numPr>
          <w:ilvl w:val="0"/>
          <w:numId w:val="29"/>
        </w:numPr>
        <w:spacing w:before="60" w:after="120" w:line="240" w:lineRule="auto"/>
        <w:ind w:left="714" w:hanging="357"/>
        <w:contextualSpacing w:val="0"/>
        <w:jc w:val="both"/>
        <w:rPr>
          <w:rFonts w:ascii="Arial" w:hAnsi="Arial" w:cs="Arial"/>
        </w:rPr>
      </w:pPr>
      <w:r>
        <w:rPr>
          <w:rFonts w:ascii="Arial" w:hAnsi="Arial" w:cs="Arial"/>
        </w:rPr>
        <w:t>some charities have governing documents that require an audit</w:t>
      </w:r>
    </w:p>
    <w:p w14:paraId="15A8E56E" w14:textId="7A339076" w:rsidR="009F019F" w:rsidRDefault="00923332" w:rsidP="00923332">
      <w:pPr>
        <w:pStyle w:val="ListParagraph"/>
        <w:numPr>
          <w:ilvl w:val="0"/>
          <w:numId w:val="29"/>
        </w:numPr>
        <w:spacing w:before="60" w:after="120" w:line="240" w:lineRule="auto"/>
        <w:ind w:left="714" w:hanging="357"/>
        <w:contextualSpacing w:val="0"/>
        <w:jc w:val="both"/>
        <w:rPr>
          <w:rFonts w:ascii="Arial" w:hAnsi="Arial" w:cs="Arial"/>
        </w:rPr>
      </w:pPr>
      <w:r>
        <w:rPr>
          <w:rFonts w:ascii="Arial" w:hAnsi="Arial" w:cs="Arial"/>
        </w:rPr>
        <w:t xml:space="preserve">some </w:t>
      </w:r>
      <w:r w:rsidR="00AD4E5D">
        <w:rPr>
          <w:rFonts w:ascii="Arial" w:hAnsi="Arial" w:cs="Arial"/>
        </w:rPr>
        <w:t>b</w:t>
      </w:r>
      <w:r>
        <w:rPr>
          <w:rFonts w:ascii="Arial" w:hAnsi="Arial" w:cs="Arial"/>
        </w:rPr>
        <w:t xml:space="preserve">oards will want a review or audit </w:t>
      </w:r>
      <w:r w:rsidR="009F019F">
        <w:rPr>
          <w:rFonts w:ascii="Arial" w:hAnsi="Arial" w:cs="Arial"/>
        </w:rPr>
        <w:t>as part of their financial stewardship</w:t>
      </w:r>
      <w:r w:rsidR="00B128C8">
        <w:rPr>
          <w:rFonts w:ascii="Arial" w:hAnsi="Arial" w:cs="Arial"/>
        </w:rPr>
        <w:t xml:space="preserve"> despite the changes, and</w:t>
      </w:r>
    </w:p>
    <w:p w14:paraId="49F75808" w14:textId="6F7732E6" w:rsidR="009F019F" w:rsidRDefault="009F019F" w:rsidP="00923332">
      <w:pPr>
        <w:pStyle w:val="ListParagraph"/>
        <w:numPr>
          <w:ilvl w:val="0"/>
          <w:numId w:val="29"/>
        </w:numPr>
        <w:spacing w:before="60" w:after="120" w:line="240" w:lineRule="auto"/>
        <w:ind w:left="714" w:hanging="357"/>
        <w:contextualSpacing w:val="0"/>
        <w:jc w:val="both"/>
        <w:rPr>
          <w:rFonts w:ascii="Arial" w:hAnsi="Arial" w:cs="Arial"/>
        </w:rPr>
      </w:pPr>
      <w:r>
        <w:rPr>
          <w:rFonts w:ascii="Arial" w:hAnsi="Arial" w:cs="Arial"/>
        </w:rPr>
        <w:t>if any jurisdiction does not align</w:t>
      </w:r>
      <w:r w:rsidR="00B128C8">
        <w:rPr>
          <w:rFonts w:ascii="Arial" w:hAnsi="Arial" w:cs="Arial"/>
        </w:rPr>
        <w:t>,</w:t>
      </w:r>
      <w:r>
        <w:rPr>
          <w:rFonts w:ascii="Arial" w:hAnsi="Arial" w:cs="Arial"/>
        </w:rPr>
        <w:t xml:space="preserve"> charities that report in that jurisdiction will need to continue to conduct a review or audit</w:t>
      </w:r>
      <w:r w:rsidR="00AD4E5D">
        <w:rPr>
          <w:rFonts w:ascii="Arial" w:hAnsi="Arial" w:cs="Arial"/>
        </w:rPr>
        <w:t xml:space="preserve"> regardless of the ACNC changes</w:t>
      </w:r>
      <w:r>
        <w:rPr>
          <w:rFonts w:ascii="Arial" w:hAnsi="Arial" w:cs="Arial"/>
        </w:rPr>
        <w:t>.</w:t>
      </w:r>
    </w:p>
    <w:p w14:paraId="01F350C2" w14:textId="780DB26F" w:rsidR="0038526D" w:rsidRDefault="003A1254" w:rsidP="005A3602">
      <w:pPr>
        <w:spacing w:before="240" w:after="240" w:line="240" w:lineRule="auto"/>
        <w:jc w:val="both"/>
        <w:rPr>
          <w:rFonts w:ascii="Arial" w:hAnsi="Arial" w:cs="Arial"/>
        </w:rPr>
      </w:pPr>
      <w:r w:rsidRPr="005A3602">
        <w:rPr>
          <w:rFonts w:ascii="Arial" w:hAnsi="Arial" w:cs="Arial"/>
          <w:b/>
          <w:bCs/>
        </w:rPr>
        <w:t>S</w:t>
      </w:r>
      <w:r w:rsidR="004943CD" w:rsidRPr="005A3602">
        <w:rPr>
          <w:rFonts w:ascii="Arial" w:hAnsi="Arial" w:cs="Arial"/>
          <w:b/>
          <w:bCs/>
        </w:rPr>
        <w:t>ignificantly, a</w:t>
      </w:r>
      <w:r w:rsidR="0038526D" w:rsidRPr="005A3602">
        <w:rPr>
          <w:rFonts w:ascii="Arial" w:hAnsi="Arial" w:cs="Arial"/>
          <w:b/>
          <w:bCs/>
        </w:rPr>
        <w:t xml:space="preserve"> fully aligned </w:t>
      </w:r>
      <w:r w:rsidR="00193EE9" w:rsidRPr="005A3602">
        <w:rPr>
          <w:rFonts w:ascii="Arial" w:hAnsi="Arial" w:cs="Arial"/>
          <w:b/>
          <w:bCs/>
        </w:rPr>
        <w:t xml:space="preserve">tiered </w:t>
      </w:r>
      <w:r w:rsidR="0038526D" w:rsidRPr="005A3602">
        <w:rPr>
          <w:rFonts w:ascii="Arial" w:hAnsi="Arial" w:cs="Arial"/>
          <w:b/>
          <w:bCs/>
        </w:rPr>
        <w:t xml:space="preserve">reporting </w:t>
      </w:r>
      <w:r w:rsidR="00094FA7" w:rsidRPr="005A3602">
        <w:rPr>
          <w:rFonts w:ascii="Arial" w:hAnsi="Arial" w:cs="Arial"/>
          <w:b/>
          <w:bCs/>
        </w:rPr>
        <w:t xml:space="preserve">system </w:t>
      </w:r>
      <w:r w:rsidR="004943CD" w:rsidRPr="005A3602">
        <w:rPr>
          <w:rFonts w:ascii="Arial" w:hAnsi="Arial" w:cs="Arial"/>
          <w:b/>
          <w:bCs/>
        </w:rPr>
        <w:t xml:space="preserve">is the </w:t>
      </w:r>
      <w:r w:rsidR="00094FA7" w:rsidRPr="005A3602">
        <w:rPr>
          <w:rFonts w:ascii="Arial" w:hAnsi="Arial" w:cs="Arial"/>
          <w:b/>
          <w:bCs/>
        </w:rPr>
        <w:t xml:space="preserve">foundation for </w:t>
      </w:r>
      <w:r w:rsidR="006A3619">
        <w:rPr>
          <w:rFonts w:ascii="Arial" w:hAnsi="Arial" w:cs="Arial"/>
          <w:b/>
          <w:bCs/>
        </w:rPr>
        <w:t xml:space="preserve">a </w:t>
      </w:r>
      <w:r w:rsidR="00094FA7" w:rsidRPr="005A3602">
        <w:rPr>
          <w:rFonts w:ascii="Arial" w:hAnsi="Arial" w:cs="Arial"/>
          <w:b/>
          <w:bCs/>
        </w:rPr>
        <w:t xml:space="preserve">nationally consistent fundraising scheme. </w:t>
      </w:r>
      <w:r w:rsidR="006A3619">
        <w:rPr>
          <w:rFonts w:ascii="Arial" w:hAnsi="Arial" w:cs="Arial"/>
          <w:b/>
          <w:bCs/>
        </w:rPr>
        <w:t>R</w:t>
      </w:r>
      <w:r w:rsidR="004943CD" w:rsidRPr="005A3602">
        <w:rPr>
          <w:rFonts w:ascii="Arial" w:hAnsi="Arial" w:cs="Arial"/>
          <w:b/>
          <w:bCs/>
        </w:rPr>
        <w:t>ed tape associated with inconsistent fundraising laws is the biggest red tape burden for the sector.</w:t>
      </w:r>
      <w:r w:rsidR="004943CD" w:rsidRPr="005A3602">
        <w:rPr>
          <w:rStyle w:val="FootnoteReference"/>
          <w:rFonts w:ascii="Arial" w:hAnsi="Arial" w:cs="Arial"/>
          <w:b/>
          <w:bCs/>
        </w:rPr>
        <w:footnoteReference w:id="4"/>
      </w:r>
    </w:p>
    <w:p w14:paraId="777EA07F" w14:textId="06F955EE" w:rsidR="0038526D" w:rsidRPr="005A3602" w:rsidRDefault="0038526D" w:rsidP="0038526D">
      <w:pPr>
        <w:spacing w:before="120" w:after="240" w:line="240" w:lineRule="auto"/>
        <w:jc w:val="both"/>
        <w:rPr>
          <w:rFonts w:ascii="Arial" w:hAnsi="Arial" w:cs="Arial"/>
          <w:b/>
          <w:bCs/>
        </w:rPr>
      </w:pPr>
      <w:r>
        <w:rPr>
          <w:rFonts w:ascii="Arial" w:hAnsi="Arial" w:cs="Arial"/>
        </w:rPr>
        <w:t xml:space="preserve">In implementing these changes, it is also important to set up a system to ensure that future changes to the thresholds </w:t>
      </w:r>
      <w:r w:rsidR="006A3619">
        <w:rPr>
          <w:rFonts w:ascii="Arial" w:hAnsi="Arial" w:cs="Arial"/>
        </w:rPr>
        <w:t xml:space="preserve">maintain </w:t>
      </w:r>
      <w:r>
        <w:rPr>
          <w:rFonts w:ascii="Arial" w:hAnsi="Arial" w:cs="Arial"/>
        </w:rPr>
        <w:t xml:space="preserve">alignment. </w:t>
      </w:r>
      <w:r w:rsidR="00B128C8" w:rsidRPr="005A3602">
        <w:rPr>
          <w:rFonts w:ascii="Arial" w:hAnsi="Arial" w:cs="Arial"/>
          <w:b/>
          <w:bCs/>
        </w:rPr>
        <w:t>We recommend the establishment of an intergovernmental agreement to review the thresholds every two years.</w:t>
      </w:r>
    </w:p>
    <w:p w14:paraId="1DECD3B1" w14:textId="266246A8" w:rsidR="004E0C04" w:rsidRDefault="004E0C04" w:rsidP="004E0C04">
      <w:pPr>
        <w:pStyle w:val="Heading2"/>
        <w:spacing w:before="240" w:after="120" w:line="240" w:lineRule="auto"/>
        <w:jc w:val="both"/>
        <w:rPr>
          <w:b/>
          <w:bCs/>
        </w:rPr>
      </w:pPr>
      <w:r>
        <w:rPr>
          <w:b/>
          <w:bCs/>
        </w:rPr>
        <w:t>3. Lead in time for implementing change</w:t>
      </w:r>
    </w:p>
    <w:p w14:paraId="2E89D12A" w14:textId="64CD648E" w:rsidR="00416620" w:rsidRDefault="00C91615" w:rsidP="00416620">
      <w:pPr>
        <w:jc w:val="both"/>
        <w:rPr>
          <w:rFonts w:ascii="Arial" w:hAnsi="Arial" w:cs="Arial"/>
        </w:rPr>
      </w:pPr>
      <w:r>
        <w:rPr>
          <w:rFonts w:ascii="Arial" w:hAnsi="Arial" w:cs="Arial"/>
        </w:rPr>
        <w:t xml:space="preserve">As the thresholds are proposed to </w:t>
      </w:r>
      <w:r w:rsidRPr="005A3602">
        <w:rPr>
          <w:rFonts w:ascii="Arial" w:hAnsi="Arial" w:cs="Arial"/>
          <w:i/>
          <w:iCs/>
        </w:rPr>
        <w:t>increase</w:t>
      </w:r>
      <w:r>
        <w:rPr>
          <w:rFonts w:ascii="Arial" w:hAnsi="Arial" w:cs="Arial"/>
        </w:rPr>
        <w:t xml:space="preserve"> </w:t>
      </w:r>
      <w:r w:rsidR="003A1254">
        <w:rPr>
          <w:rFonts w:ascii="Arial" w:hAnsi="Arial" w:cs="Arial"/>
        </w:rPr>
        <w:t xml:space="preserve">there is less imperative for </w:t>
      </w:r>
      <w:r>
        <w:rPr>
          <w:rFonts w:ascii="Arial" w:hAnsi="Arial" w:cs="Arial"/>
        </w:rPr>
        <w:t>a long lead-in time</w:t>
      </w:r>
      <w:r w:rsidR="00980945">
        <w:rPr>
          <w:rFonts w:ascii="Arial" w:hAnsi="Arial" w:cs="Arial"/>
        </w:rPr>
        <w:t>.</w:t>
      </w:r>
      <w:r>
        <w:rPr>
          <w:rFonts w:ascii="Arial" w:hAnsi="Arial" w:cs="Arial"/>
        </w:rPr>
        <w:t xml:space="preserve"> </w:t>
      </w:r>
    </w:p>
    <w:p w14:paraId="76D1117D" w14:textId="52D6EED2" w:rsidR="00980945" w:rsidRDefault="003A1254" w:rsidP="00C91615">
      <w:pPr>
        <w:jc w:val="both"/>
        <w:rPr>
          <w:rFonts w:ascii="Arial" w:hAnsi="Arial" w:cs="Arial"/>
          <w:highlight w:val="yellow"/>
        </w:rPr>
      </w:pPr>
      <w:r>
        <w:rPr>
          <w:rFonts w:ascii="Arial" w:hAnsi="Arial" w:cs="Arial"/>
        </w:rPr>
        <w:t>C</w:t>
      </w:r>
      <w:r w:rsidR="00C91615">
        <w:rPr>
          <w:rFonts w:ascii="Arial" w:hAnsi="Arial" w:cs="Arial"/>
        </w:rPr>
        <w:t xml:space="preserve">harities that </w:t>
      </w:r>
      <w:r>
        <w:rPr>
          <w:rFonts w:ascii="Arial" w:hAnsi="Arial" w:cs="Arial"/>
        </w:rPr>
        <w:t>fall i</w:t>
      </w:r>
      <w:r w:rsidR="00C91615">
        <w:rPr>
          <w:rFonts w:ascii="Arial" w:hAnsi="Arial" w:cs="Arial"/>
        </w:rPr>
        <w:t xml:space="preserve">nto a lower tier </w:t>
      </w:r>
      <w:r w:rsidR="0072765E">
        <w:rPr>
          <w:rFonts w:ascii="Arial" w:hAnsi="Arial" w:cs="Arial"/>
        </w:rPr>
        <w:t>may</w:t>
      </w:r>
      <w:r w:rsidR="00C91615">
        <w:rPr>
          <w:rFonts w:ascii="Arial" w:hAnsi="Arial" w:cs="Arial"/>
        </w:rPr>
        <w:t xml:space="preserve"> want to </w:t>
      </w:r>
      <w:r w:rsidR="00A4382B">
        <w:rPr>
          <w:rFonts w:ascii="Arial" w:hAnsi="Arial" w:cs="Arial"/>
        </w:rPr>
        <w:t xml:space="preserve">immediately </w:t>
      </w:r>
      <w:r w:rsidR="00C91615">
        <w:rPr>
          <w:rFonts w:ascii="Arial" w:hAnsi="Arial" w:cs="Arial"/>
        </w:rPr>
        <w:t xml:space="preserve">take advantage of the </w:t>
      </w:r>
      <w:r>
        <w:rPr>
          <w:rFonts w:ascii="Arial" w:hAnsi="Arial" w:cs="Arial"/>
        </w:rPr>
        <w:t xml:space="preserve">reduced </w:t>
      </w:r>
      <w:r w:rsidR="0038526D">
        <w:rPr>
          <w:rFonts w:ascii="Arial" w:hAnsi="Arial" w:cs="Arial"/>
        </w:rPr>
        <w:t>reporting</w:t>
      </w:r>
      <w:r w:rsidR="00C91615">
        <w:rPr>
          <w:rFonts w:ascii="Arial" w:hAnsi="Arial" w:cs="Arial"/>
        </w:rPr>
        <w:t xml:space="preserve"> requirements</w:t>
      </w:r>
      <w:r w:rsidR="00A4382B">
        <w:rPr>
          <w:rFonts w:ascii="Arial" w:hAnsi="Arial" w:cs="Arial"/>
        </w:rPr>
        <w:t>. O</w:t>
      </w:r>
      <w:r w:rsidR="00C91615">
        <w:rPr>
          <w:rFonts w:ascii="Arial" w:hAnsi="Arial" w:cs="Arial"/>
        </w:rPr>
        <w:t xml:space="preserve">thers may prefer to wait until the next financial reporting period. </w:t>
      </w:r>
      <w:r>
        <w:rPr>
          <w:rFonts w:ascii="Arial" w:hAnsi="Arial" w:cs="Arial"/>
        </w:rPr>
        <w:t>As described above</w:t>
      </w:r>
      <w:r w:rsidR="0045476A">
        <w:rPr>
          <w:rFonts w:ascii="Arial" w:hAnsi="Arial" w:cs="Arial"/>
        </w:rPr>
        <w:t>,</w:t>
      </w:r>
      <w:r>
        <w:rPr>
          <w:rFonts w:ascii="Arial" w:hAnsi="Arial" w:cs="Arial"/>
        </w:rPr>
        <w:t xml:space="preserve"> some </w:t>
      </w:r>
      <w:r w:rsidR="00C91615" w:rsidRPr="005D0737">
        <w:rPr>
          <w:rFonts w:ascii="Arial" w:hAnsi="Arial" w:cs="Arial"/>
        </w:rPr>
        <w:t xml:space="preserve">may still need to prepare audited financial accounts </w:t>
      </w:r>
      <w:r>
        <w:rPr>
          <w:rFonts w:ascii="Arial" w:hAnsi="Arial" w:cs="Arial"/>
        </w:rPr>
        <w:t>for other reasons.</w:t>
      </w:r>
      <w:r w:rsidR="00980945" w:rsidRPr="005D0737">
        <w:rPr>
          <w:rFonts w:ascii="Arial" w:hAnsi="Arial" w:cs="Arial"/>
        </w:rPr>
        <w:t xml:space="preserve"> </w:t>
      </w:r>
    </w:p>
    <w:p w14:paraId="481B90F1" w14:textId="765E7D6E" w:rsidR="00C91615" w:rsidRDefault="0072765E" w:rsidP="00416620">
      <w:pPr>
        <w:jc w:val="both"/>
        <w:rPr>
          <w:rFonts w:ascii="Arial" w:hAnsi="Arial" w:cs="Arial"/>
        </w:rPr>
      </w:pPr>
      <w:r>
        <w:rPr>
          <w:rFonts w:ascii="Arial" w:hAnsi="Arial" w:cs="Arial"/>
        </w:rPr>
        <w:t xml:space="preserve">We </w:t>
      </w:r>
      <w:r w:rsidR="00A4382B">
        <w:rPr>
          <w:rFonts w:ascii="Arial" w:hAnsi="Arial" w:cs="Arial"/>
        </w:rPr>
        <w:t>recommend that charities be given the option of</w:t>
      </w:r>
      <w:r w:rsidR="005E5CE7">
        <w:rPr>
          <w:rFonts w:ascii="Arial" w:hAnsi="Arial" w:cs="Arial"/>
        </w:rPr>
        <w:t xml:space="preserve"> </w:t>
      </w:r>
      <w:r w:rsidR="00C91615">
        <w:rPr>
          <w:rFonts w:ascii="Arial" w:hAnsi="Arial" w:cs="Arial"/>
        </w:rPr>
        <w:t>report</w:t>
      </w:r>
      <w:r w:rsidR="00A4382B">
        <w:rPr>
          <w:rFonts w:ascii="Arial" w:hAnsi="Arial" w:cs="Arial"/>
        </w:rPr>
        <w:t>ing</w:t>
      </w:r>
      <w:r w:rsidR="00C91615">
        <w:rPr>
          <w:rFonts w:ascii="Arial" w:hAnsi="Arial" w:cs="Arial"/>
        </w:rPr>
        <w:t xml:space="preserve"> according to the requirements of th</w:t>
      </w:r>
      <w:r w:rsidR="0045476A">
        <w:rPr>
          <w:rFonts w:ascii="Arial" w:hAnsi="Arial" w:cs="Arial"/>
        </w:rPr>
        <w:t>eir</w:t>
      </w:r>
      <w:r w:rsidR="00C91615">
        <w:rPr>
          <w:rFonts w:ascii="Arial" w:hAnsi="Arial" w:cs="Arial"/>
        </w:rPr>
        <w:t xml:space="preserve"> lower tier</w:t>
      </w:r>
      <w:r w:rsidR="00980945">
        <w:rPr>
          <w:rFonts w:ascii="Arial" w:hAnsi="Arial" w:cs="Arial"/>
        </w:rPr>
        <w:t xml:space="preserve"> for </w:t>
      </w:r>
      <w:r w:rsidR="00A4382B">
        <w:rPr>
          <w:rFonts w:ascii="Arial" w:hAnsi="Arial" w:cs="Arial"/>
        </w:rPr>
        <w:t xml:space="preserve">the start of their next </w:t>
      </w:r>
      <w:r w:rsidR="00980945">
        <w:rPr>
          <w:rFonts w:ascii="Arial" w:hAnsi="Arial" w:cs="Arial"/>
        </w:rPr>
        <w:t xml:space="preserve">financial reporting period. </w:t>
      </w:r>
    </w:p>
    <w:p w14:paraId="6EC689EE" w14:textId="68AAF517" w:rsidR="004E0C04" w:rsidRDefault="004E0C04" w:rsidP="004E0C04">
      <w:pPr>
        <w:pStyle w:val="Heading2"/>
        <w:spacing w:before="240" w:after="120" w:line="240" w:lineRule="auto"/>
        <w:jc w:val="both"/>
        <w:rPr>
          <w:b/>
          <w:bCs/>
        </w:rPr>
      </w:pPr>
      <w:r>
        <w:rPr>
          <w:b/>
          <w:bCs/>
        </w:rPr>
        <w:t>4. Reporting by non-ACNC registered incorporated associations</w:t>
      </w:r>
    </w:p>
    <w:p w14:paraId="5EC2F024" w14:textId="4B25E885" w:rsidR="00CF4A72" w:rsidRPr="005A3602" w:rsidRDefault="00CF4A72" w:rsidP="004E0C04">
      <w:pPr>
        <w:spacing w:before="120" w:after="240" w:line="240" w:lineRule="auto"/>
        <w:jc w:val="both"/>
        <w:rPr>
          <w:rFonts w:ascii="Arial" w:hAnsi="Arial" w:cs="Arial"/>
          <w:b/>
          <w:bCs/>
        </w:rPr>
      </w:pPr>
      <w:r w:rsidRPr="005A3602">
        <w:rPr>
          <w:rFonts w:ascii="Arial" w:hAnsi="Arial" w:cs="Arial"/>
          <w:b/>
          <w:bCs/>
        </w:rPr>
        <w:t xml:space="preserve">We recommend </w:t>
      </w:r>
      <w:r w:rsidR="006D4074" w:rsidRPr="005A3602">
        <w:rPr>
          <w:rFonts w:ascii="Arial" w:hAnsi="Arial" w:cs="Arial"/>
          <w:b/>
          <w:bCs/>
        </w:rPr>
        <w:t xml:space="preserve">a consistent approach to </w:t>
      </w:r>
      <w:r>
        <w:rPr>
          <w:rFonts w:ascii="Arial" w:hAnsi="Arial" w:cs="Arial"/>
          <w:b/>
          <w:bCs/>
        </w:rPr>
        <w:t xml:space="preserve">financial reporting by </w:t>
      </w:r>
      <w:r w:rsidR="006D4074" w:rsidRPr="005A3602">
        <w:rPr>
          <w:rFonts w:ascii="Arial" w:hAnsi="Arial" w:cs="Arial"/>
          <w:b/>
          <w:bCs/>
        </w:rPr>
        <w:t xml:space="preserve">not-for-profit incorporated associations. </w:t>
      </w:r>
    </w:p>
    <w:p w14:paraId="0118D86E" w14:textId="2D5C7BDB" w:rsidR="006D4074" w:rsidRDefault="006D4074" w:rsidP="004E0C04">
      <w:pPr>
        <w:spacing w:before="120" w:after="240" w:line="240" w:lineRule="auto"/>
        <w:jc w:val="both"/>
        <w:rPr>
          <w:rFonts w:ascii="Arial" w:hAnsi="Arial" w:cs="Arial"/>
        </w:rPr>
      </w:pPr>
      <w:r>
        <w:rPr>
          <w:rFonts w:ascii="Arial" w:hAnsi="Arial" w:cs="Arial"/>
        </w:rPr>
        <w:lastRenderedPageBreak/>
        <w:t xml:space="preserve">We consider the standards of accountability and transparency </w:t>
      </w:r>
      <w:r w:rsidR="00B128C8">
        <w:rPr>
          <w:rFonts w:ascii="Arial" w:hAnsi="Arial" w:cs="Arial"/>
        </w:rPr>
        <w:t xml:space="preserve">applicable to </w:t>
      </w:r>
      <w:r>
        <w:rPr>
          <w:rFonts w:ascii="Arial" w:hAnsi="Arial" w:cs="Arial"/>
        </w:rPr>
        <w:t xml:space="preserve">registered charities are also appropriate for incorporated associations </w:t>
      </w:r>
      <w:r w:rsidR="00B77DBF">
        <w:rPr>
          <w:rFonts w:ascii="Arial" w:hAnsi="Arial" w:cs="Arial"/>
        </w:rPr>
        <w:t>of a</w:t>
      </w:r>
      <w:r w:rsidR="00316773">
        <w:rPr>
          <w:rFonts w:ascii="Arial" w:hAnsi="Arial" w:cs="Arial"/>
        </w:rPr>
        <w:t xml:space="preserve"> </w:t>
      </w:r>
      <w:r w:rsidR="00B77DBF">
        <w:rPr>
          <w:rFonts w:ascii="Arial" w:hAnsi="Arial" w:cs="Arial"/>
        </w:rPr>
        <w:t>similar size</w:t>
      </w:r>
      <w:r>
        <w:rPr>
          <w:rFonts w:ascii="Arial" w:hAnsi="Arial" w:cs="Arial"/>
        </w:rPr>
        <w:t xml:space="preserve">.  </w:t>
      </w:r>
    </w:p>
    <w:p w14:paraId="19EE8B10" w14:textId="47D62E73" w:rsidR="006D4074" w:rsidRDefault="00A4382B" w:rsidP="004E0C04">
      <w:pPr>
        <w:spacing w:before="120" w:after="240" w:line="240" w:lineRule="auto"/>
        <w:jc w:val="both"/>
        <w:rPr>
          <w:rFonts w:ascii="Arial" w:hAnsi="Arial" w:cs="Arial"/>
        </w:rPr>
      </w:pPr>
      <w:r>
        <w:rPr>
          <w:rFonts w:ascii="Arial" w:hAnsi="Arial" w:cs="Arial"/>
        </w:rPr>
        <w:t>The</w:t>
      </w:r>
      <w:r w:rsidR="006D4074">
        <w:rPr>
          <w:rFonts w:ascii="Arial" w:hAnsi="Arial" w:cs="Arial"/>
        </w:rPr>
        <w:t xml:space="preserve"> harmonisation of reporting regulations across jurisdictions will </w:t>
      </w:r>
      <w:r w:rsidR="00B128C8">
        <w:rPr>
          <w:rFonts w:ascii="Arial" w:hAnsi="Arial" w:cs="Arial"/>
        </w:rPr>
        <w:t>ensure</w:t>
      </w:r>
      <w:r w:rsidR="006D4074">
        <w:rPr>
          <w:rFonts w:ascii="Arial" w:hAnsi="Arial" w:cs="Arial"/>
        </w:rPr>
        <w:t xml:space="preserve"> simpler financial reporting for incorporated associations. This</w:t>
      </w:r>
      <w:r w:rsidR="00316773">
        <w:rPr>
          <w:rFonts w:ascii="Arial" w:hAnsi="Arial" w:cs="Arial"/>
        </w:rPr>
        <w:t xml:space="preserve"> red tape reduction</w:t>
      </w:r>
      <w:r w:rsidR="006D4074">
        <w:rPr>
          <w:rFonts w:ascii="Arial" w:hAnsi="Arial" w:cs="Arial"/>
        </w:rPr>
        <w:t xml:space="preserve"> </w:t>
      </w:r>
      <w:r w:rsidR="00316773">
        <w:rPr>
          <w:rFonts w:ascii="Arial" w:hAnsi="Arial" w:cs="Arial"/>
        </w:rPr>
        <w:t>will be a positive outcome</w:t>
      </w:r>
      <w:r w:rsidR="00E8322D">
        <w:rPr>
          <w:rFonts w:ascii="Arial" w:hAnsi="Arial" w:cs="Arial"/>
        </w:rPr>
        <w:t>,</w:t>
      </w:r>
      <w:r w:rsidR="00316773">
        <w:rPr>
          <w:rFonts w:ascii="Arial" w:hAnsi="Arial" w:cs="Arial"/>
        </w:rPr>
        <w:t xml:space="preserve"> </w:t>
      </w:r>
      <w:r>
        <w:rPr>
          <w:rFonts w:ascii="Arial" w:hAnsi="Arial" w:cs="Arial"/>
        </w:rPr>
        <w:t xml:space="preserve">particularly </w:t>
      </w:r>
      <w:r w:rsidR="00316773">
        <w:rPr>
          <w:rFonts w:ascii="Arial" w:hAnsi="Arial" w:cs="Arial"/>
        </w:rPr>
        <w:t xml:space="preserve">for </w:t>
      </w:r>
      <w:r w:rsidR="006D4074">
        <w:rPr>
          <w:rFonts w:ascii="Arial" w:hAnsi="Arial" w:cs="Arial"/>
        </w:rPr>
        <w:t>small associations</w:t>
      </w:r>
      <w:r w:rsidR="00B128C8">
        <w:rPr>
          <w:rFonts w:ascii="Arial" w:hAnsi="Arial" w:cs="Arial"/>
        </w:rPr>
        <w:t xml:space="preserve">. </w:t>
      </w:r>
    </w:p>
    <w:p w14:paraId="317FC14E" w14:textId="38FDFFDE" w:rsidR="00E8322D" w:rsidRDefault="00B77DBF" w:rsidP="004E0C04">
      <w:pPr>
        <w:spacing w:before="120" w:after="240" w:line="240" w:lineRule="auto"/>
        <w:jc w:val="both"/>
        <w:rPr>
          <w:rFonts w:ascii="Arial" w:hAnsi="Arial" w:cs="Arial"/>
        </w:rPr>
      </w:pPr>
      <w:r>
        <w:rPr>
          <w:rFonts w:ascii="Arial" w:hAnsi="Arial" w:cs="Arial"/>
        </w:rPr>
        <w:t>A consistent approach to financial reporti</w:t>
      </w:r>
      <w:r w:rsidR="00F17384">
        <w:rPr>
          <w:rFonts w:ascii="Arial" w:hAnsi="Arial" w:cs="Arial"/>
        </w:rPr>
        <w:t xml:space="preserve">ng is </w:t>
      </w:r>
      <w:r w:rsidR="00A4382B">
        <w:rPr>
          <w:rFonts w:ascii="Arial" w:hAnsi="Arial" w:cs="Arial"/>
        </w:rPr>
        <w:t xml:space="preserve">a </w:t>
      </w:r>
      <w:r w:rsidR="00F17384">
        <w:rPr>
          <w:rFonts w:ascii="Arial" w:hAnsi="Arial" w:cs="Arial"/>
        </w:rPr>
        <w:t xml:space="preserve">precursor to the </w:t>
      </w:r>
      <w:r>
        <w:rPr>
          <w:rFonts w:ascii="Arial" w:hAnsi="Arial" w:cs="Arial"/>
        </w:rPr>
        <w:t xml:space="preserve">harmonisation of fundraising laws. </w:t>
      </w:r>
      <w:r w:rsidR="00A4382B">
        <w:rPr>
          <w:rFonts w:ascii="Arial" w:hAnsi="Arial" w:cs="Arial"/>
        </w:rPr>
        <w:t xml:space="preserve">The fundraising laws in some jurisdictions </w:t>
      </w:r>
      <w:r w:rsidR="004677D3">
        <w:rPr>
          <w:rFonts w:ascii="Arial" w:hAnsi="Arial" w:cs="Arial"/>
        </w:rPr>
        <w:t xml:space="preserve">are broader in application than </w:t>
      </w:r>
      <w:r w:rsidR="00A4382B">
        <w:rPr>
          <w:rFonts w:ascii="Arial" w:hAnsi="Arial" w:cs="Arial"/>
        </w:rPr>
        <w:t xml:space="preserve">ACNC registered charities. </w:t>
      </w:r>
      <w:r w:rsidR="004677D3">
        <w:rPr>
          <w:rFonts w:ascii="Arial" w:hAnsi="Arial" w:cs="Arial"/>
        </w:rPr>
        <w:t>F</w:t>
      </w:r>
      <w:r>
        <w:rPr>
          <w:rFonts w:ascii="Arial" w:hAnsi="Arial" w:cs="Arial"/>
        </w:rPr>
        <w:t xml:space="preserve">undraising </w:t>
      </w:r>
      <w:r w:rsidR="00F17384">
        <w:rPr>
          <w:rFonts w:ascii="Arial" w:hAnsi="Arial" w:cs="Arial"/>
        </w:rPr>
        <w:t xml:space="preserve">should have </w:t>
      </w:r>
      <w:r>
        <w:rPr>
          <w:rFonts w:ascii="Arial" w:hAnsi="Arial" w:cs="Arial"/>
        </w:rPr>
        <w:t xml:space="preserve">similar </w:t>
      </w:r>
      <w:r w:rsidR="00F17384">
        <w:rPr>
          <w:rFonts w:ascii="Arial" w:hAnsi="Arial" w:cs="Arial"/>
        </w:rPr>
        <w:t xml:space="preserve">reporting </w:t>
      </w:r>
      <w:r>
        <w:rPr>
          <w:rFonts w:ascii="Arial" w:hAnsi="Arial" w:cs="Arial"/>
        </w:rPr>
        <w:t>requirements</w:t>
      </w:r>
      <w:r w:rsidR="00F17384">
        <w:rPr>
          <w:rFonts w:ascii="Arial" w:hAnsi="Arial" w:cs="Arial"/>
        </w:rPr>
        <w:t xml:space="preserve"> and levels of public accountability</w:t>
      </w:r>
      <w:r>
        <w:rPr>
          <w:rFonts w:ascii="Arial" w:hAnsi="Arial" w:cs="Arial"/>
        </w:rPr>
        <w:t xml:space="preserve">, regardless of </w:t>
      </w:r>
      <w:r w:rsidR="00F17384">
        <w:rPr>
          <w:rFonts w:ascii="Arial" w:hAnsi="Arial" w:cs="Arial"/>
        </w:rPr>
        <w:t>the</w:t>
      </w:r>
      <w:r w:rsidR="00E8322D">
        <w:rPr>
          <w:rFonts w:ascii="Arial" w:hAnsi="Arial" w:cs="Arial"/>
        </w:rPr>
        <w:t xml:space="preserve"> organisations legal</w:t>
      </w:r>
      <w:r w:rsidR="00F17384">
        <w:rPr>
          <w:rFonts w:ascii="Arial" w:hAnsi="Arial" w:cs="Arial"/>
        </w:rPr>
        <w:t xml:space="preserve"> structure</w:t>
      </w:r>
      <w:r>
        <w:rPr>
          <w:rFonts w:ascii="Arial" w:hAnsi="Arial" w:cs="Arial"/>
        </w:rPr>
        <w:t>.</w:t>
      </w:r>
      <w:r w:rsidR="00635815">
        <w:rPr>
          <w:rFonts w:ascii="Arial" w:hAnsi="Arial" w:cs="Arial"/>
        </w:rPr>
        <w:t xml:space="preserve"> </w:t>
      </w:r>
    </w:p>
    <w:p w14:paraId="786BB74E" w14:textId="3127C938" w:rsidR="00B77DBF" w:rsidRDefault="00E8322D" w:rsidP="004E0C04">
      <w:pPr>
        <w:spacing w:before="120" w:after="240" w:line="240" w:lineRule="auto"/>
        <w:jc w:val="both"/>
        <w:rPr>
          <w:rFonts w:ascii="Arial" w:hAnsi="Arial" w:cs="Arial"/>
        </w:rPr>
      </w:pPr>
      <w:r>
        <w:rPr>
          <w:rFonts w:ascii="Arial" w:hAnsi="Arial" w:cs="Arial"/>
        </w:rPr>
        <w:t>We note that t</w:t>
      </w:r>
      <w:r w:rsidR="00CA1A20">
        <w:rPr>
          <w:rFonts w:ascii="Arial" w:hAnsi="Arial" w:cs="Arial"/>
        </w:rPr>
        <w:t xml:space="preserve">he </w:t>
      </w:r>
      <w:r w:rsidR="00635815">
        <w:rPr>
          <w:rFonts w:ascii="Arial" w:hAnsi="Arial" w:cs="Arial"/>
        </w:rPr>
        <w:t>ACNC Act</w:t>
      </w:r>
      <w:r w:rsidR="00CA1A20">
        <w:rPr>
          <w:rFonts w:ascii="Arial" w:hAnsi="Arial" w:cs="Arial"/>
        </w:rPr>
        <w:t xml:space="preserve"> envisages </w:t>
      </w:r>
      <w:r w:rsidR="00635815">
        <w:rPr>
          <w:rFonts w:ascii="Arial" w:hAnsi="Arial" w:cs="Arial"/>
        </w:rPr>
        <w:t xml:space="preserve">the ACNC </w:t>
      </w:r>
      <w:r w:rsidR="004677D3">
        <w:rPr>
          <w:rFonts w:ascii="Arial" w:hAnsi="Arial" w:cs="Arial"/>
        </w:rPr>
        <w:t xml:space="preserve">will </w:t>
      </w:r>
      <w:r w:rsidR="00635815">
        <w:rPr>
          <w:rFonts w:ascii="Arial" w:hAnsi="Arial" w:cs="Arial"/>
        </w:rPr>
        <w:t>regulate not only charities</w:t>
      </w:r>
      <w:r w:rsidR="004677D3">
        <w:rPr>
          <w:rFonts w:ascii="Arial" w:hAnsi="Arial" w:cs="Arial"/>
        </w:rPr>
        <w:t>,</w:t>
      </w:r>
      <w:r w:rsidR="00635815">
        <w:rPr>
          <w:rFonts w:ascii="Arial" w:hAnsi="Arial" w:cs="Arial"/>
        </w:rPr>
        <w:t xml:space="preserve"> but a broader range of not-for-profit organisations, in particular those organisations that engage in public fundraising. </w:t>
      </w:r>
      <w:r>
        <w:rPr>
          <w:rFonts w:ascii="Arial" w:hAnsi="Arial" w:cs="Arial"/>
        </w:rPr>
        <w:t>The foundation is there.</w:t>
      </w:r>
    </w:p>
    <w:p w14:paraId="01895FB5" w14:textId="70E8493C" w:rsidR="004E0C04" w:rsidRDefault="004E0C04" w:rsidP="004E0C04">
      <w:pPr>
        <w:pStyle w:val="Heading2"/>
        <w:spacing w:before="240" w:after="120" w:line="240" w:lineRule="auto"/>
        <w:jc w:val="both"/>
        <w:rPr>
          <w:b/>
          <w:bCs/>
        </w:rPr>
      </w:pPr>
      <w:r>
        <w:rPr>
          <w:b/>
          <w:bCs/>
        </w:rPr>
        <w:t>5. Issues caused by differences in reporting thresholds</w:t>
      </w:r>
    </w:p>
    <w:p w14:paraId="7B648436" w14:textId="1BBFD028" w:rsidR="00030175" w:rsidRDefault="004677D3" w:rsidP="004E0C04">
      <w:pPr>
        <w:spacing w:before="120" w:after="240" w:line="240" w:lineRule="auto"/>
        <w:jc w:val="both"/>
        <w:rPr>
          <w:rFonts w:ascii="Arial" w:hAnsi="Arial" w:cs="Arial"/>
        </w:rPr>
      </w:pPr>
      <w:r>
        <w:rPr>
          <w:rFonts w:ascii="Arial" w:hAnsi="Arial" w:cs="Arial"/>
        </w:rPr>
        <w:t>T</w:t>
      </w:r>
      <w:r w:rsidR="00635815">
        <w:rPr>
          <w:rFonts w:ascii="Arial" w:hAnsi="Arial" w:cs="Arial"/>
        </w:rPr>
        <w:t xml:space="preserve">here </w:t>
      </w:r>
      <w:r w:rsidR="00030175">
        <w:rPr>
          <w:rFonts w:ascii="Arial" w:hAnsi="Arial" w:cs="Arial"/>
        </w:rPr>
        <w:t>should not be any differences in reporting thresholds for charity and non-charity incorporated associations.</w:t>
      </w:r>
      <w:r w:rsidR="00635815">
        <w:rPr>
          <w:rFonts w:ascii="Arial" w:hAnsi="Arial" w:cs="Arial"/>
        </w:rPr>
        <w:t xml:space="preserve"> </w:t>
      </w:r>
      <w:r w:rsidR="00030175">
        <w:rPr>
          <w:rFonts w:ascii="Arial" w:hAnsi="Arial" w:cs="Arial"/>
        </w:rPr>
        <w:t>It is simpler for organisations to understand and comply with one set of requirements</w:t>
      </w:r>
      <w:r w:rsidR="00635815">
        <w:rPr>
          <w:rFonts w:ascii="Arial" w:hAnsi="Arial" w:cs="Arial"/>
        </w:rPr>
        <w:t>.</w:t>
      </w:r>
      <w:r w:rsidR="00CA1A20">
        <w:rPr>
          <w:rFonts w:ascii="Arial" w:hAnsi="Arial" w:cs="Arial"/>
        </w:rPr>
        <w:t xml:space="preserve"> </w:t>
      </w:r>
    </w:p>
    <w:p w14:paraId="4904D772" w14:textId="317E1941" w:rsidR="00635815" w:rsidRDefault="00635815" w:rsidP="00235AEC">
      <w:pPr>
        <w:spacing w:before="120" w:after="240" w:line="240" w:lineRule="auto"/>
        <w:jc w:val="both"/>
        <w:rPr>
          <w:rFonts w:ascii="Arial" w:hAnsi="Arial" w:cs="Arial"/>
        </w:rPr>
      </w:pPr>
      <w:r>
        <w:rPr>
          <w:rFonts w:ascii="Arial" w:hAnsi="Arial" w:cs="Arial"/>
        </w:rPr>
        <w:t xml:space="preserve">If the changes to reporting thresholds </w:t>
      </w:r>
      <w:r w:rsidR="00235AEC">
        <w:rPr>
          <w:rFonts w:ascii="Arial" w:hAnsi="Arial" w:cs="Arial"/>
        </w:rPr>
        <w:t xml:space="preserve">mean that ACNC-registered incorporated associations have </w:t>
      </w:r>
      <w:r w:rsidR="009D4B96">
        <w:rPr>
          <w:rFonts w:ascii="Arial" w:hAnsi="Arial" w:cs="Arial"/>
        </w:rPr>
        <w:t xml:space="preserve">somewhat </w:t>
      </w:r>
      <w:r w:rsidR="00235AEC">
        <w:rPr>
          <w:rFonts w:ascii="Arial" w:hAnsi="Arial" w:cs="Arial"/>
        </w:rPr>
        <w:t xml:space="preserve">reduced financial reporting obligations, </w:t>
      </w:r>
      <w:r w:rsidR="00CA1A20">
        <w:rPr>
          <w:rFonts w:ascii="Arial" w:hAnsi="Arial" w:cs="Arial"/>
        </w:rPr>
        <w:t xml:space="preserve">then </w:t>
      </w:r>
      <w:r>
        <w:rPr>
          <w:rFonts w:ascii="Arial" w:hAnsi="Arial" w:cs="Arial"/>
        </w:rPr>
        <w:t>donors and members of the public can take comfort in the fact that the ACNC is a specialist regulator requir</w:t>
      </w:r>
      <w:r w:rsidR="004677D3">
        <w:rPr>
          <w:rFonts w:ascii="Arial" w:hAnsi="Arial" w:cs="Arial"/>
        </w:rPr>
        <w:t>ing</w:t>
      </w:r>
      <w:r>
        <w:rPr>
          <w:rFonts w:ascii="Arial" w:hAnsi="Arial" w:cs="Arial"/>
        </w:rPr>
        <w:t xml:space="preserve"> charities to report on their activities annually</w:t>
      </w:r>
      <w:r w:rsidR="009D4B96">
        <w:rPr>
          <w:rFonts w:ascii="Arial" w:hAnsi="Arial" w:cs="Arial"/>
        </w:rPr>
        <w:t xml:space="preserve"> and backed by governance standards</w:t>
      </w:r>
      <w:r>
        <w:rPr>
          <w:rFonts w:ascii="Arial" w:hAnsi="Arial" w:cs="Arial"/>
        </w:rPr>
        <w:t xml:space="preserve">. </w:t>
      </w:r>
      <w:r w:rsidR="00235AEC">
        <w:rPr>
          <w:rFonts w:ascii="Arial" w:hAnsi="Arial" w:cs="Arial"/>
        </w:rPr>
        <w:t>A</w:t>
      </w:r>
      <w:r>
        <w:rPr>
          <w:rFonts w:ascii="Arial" w:hAnsi="Arial" w:cs="Arial"/>
        </w:rPr>
        <w:t xml:space="preserve"> harmonised fundraising scheme </w:t>
      </w:r>
      <w:r w:rsidR="00235AEC">
        <w:rPr>
          <w:rFonts w:ascii="Arial" w:hAnsi="Arial" w:cs="Arial"/>
        </w:rPr>
        <w:t>would also ensure that all</w:t>
      </w:r>
      <w:r>
        <w:rPr>
          <w:rFonts w:ascii="Arial" w:hAnsi="Arial" w:cs="Arial"/>
        </w:rPr>
        <w:t xml:space="preserve"> registered charities </w:t>
      </w:r>
      <w:r w:rsidR="00235AEC">
        <w:rPr>
          <w:rFonts w:ascii="Arial" w:hAnsi="Arial" w:cs="Arial"/>
        </w:rPr>
        <w:t>are</w:t>
      </w:r>
      <w:r>
        <w:rPr>
          <w:rFonts w:ascii="Arial" w:hAnsi="Arial" w:cs="Arial"/>
        </w:rPr>
        <w:t xml:space="preserve"> subject to </w:t>
      </w:r>
      <w:r w:rsidR="00235AEC">
        <w:rPr>
          <w:rFonts w:ascii="Arial" w:hAnsi="Arial" w:cs="Arial"/>
        </w:rPr>
        <w:t xml:space="preserve">a uniform set of </w:t>
      </w:r>
      <w:r>
        <w:rPr>
          <w:rFonts w:ascii="Arial" w:hAnsi="Arial" w:cs="Arial"/>
        </w:rPr>
        <w:t xml:space="preserve">conditions </w:t>
      </w:r>
      <w:r w:rsidR="00235AEC">
        <w:rPr>
          <w:rFonts w:ascii="Arial" w:hAnsi="Arial" w:cs="Arial"/>
        </w:rPr>
        <w:t>attached to their</w:t>
      </w:r>
      <w:r>
        <w:rPr>
          <w:rFonts w:ascii="Arial" w:hAnsi="Arial" w:cs="Arial"/>
        </w:rPr>
        <w:t xml:space="preserve"> fundraising licence.</w:t>
      </w:r>
    </w:p>
    <w:p w14:paraId="1A4E7165" w14:textId="74AB848D" w:rsidR="004E0C04" w:rsidRDefault="004E0C04" w:rsidP="004E0C04">
      <w:pPr>
        <w:pStyle w:val="Heading2"/>
        <w:spacing w:before="240" w:after="120" w:line="240" w:lineRule="auto"/>
        <w:jc w:val="both"/>
        <w:rPr>
          <w:b/>
          <w:bCs/>
        </w:rPr>
      </w:pPr>
      <w:r>
        <w:rPr>
          <w:b/>
          <w:bCs/>
        </w:rPr>
        <w:t xml:space="preserve">6. </w:t>
      </w:r>
      <w:r w:rsidR="00CA1A20">
        <w:rPr>
          <w:b/>
          <w:bCs/>
        </w:rPr>
        <w:t xml:space="preserve">Other issues? </w:t>
      </w:r>
      <w:r>
        <w:rPr>
          <w:b/>
          <w:bCs/>
        </w:rPr>
        <w:t>Nexus between fundraising and financial reporting requirements</w:t>
      </w:r>
    </w:p>
    <w:p w14:paraId="21121088" w14:textId="42A3E27D" w:rsidR="00E63ADD" w:rsidRPr="005A3602" w:rsidRDefault="00E63ADD" w:rsidP="004E0C04">
      <w:pPr>
        <w:spacing w:before="120" w:after="240" w:line="240" w:lineRule="auto"/>
        <w:jc w:val="both"/>
        <w:rPr>
          <w:rFonts w:ascii="Arial" w:hAnsi="Arial" w:cs="Arial"/>
          <w:b/>
          <w:bCs/>
        </w:rPr>
      </w:pPr>
      <w:r w:rsidRPr="005A3602">
        <w:rPr>
          <w:rFonts w:ascii="Arial" w:hAnsi="Arial" w:cs="Arial"/>
          <w:b/>
          <w:bCs/>
        </w:rPr>
        <w:t>The nexus between fundraising and financial reporting requirements is crucial.</w:t>
      </w:r>
    </w:p>
    <w:p w14:paraId="00B0DFEA" w14:textId="621EF942" w:rsidR="00B625D8" w:rsidRDefault="004677D3" w:rsidP="004E0C04">
      <w:pPr>
        <w:spacing w:before="120" w:after="240" w:line="240" w:lineRule="auto"/>
        <w:jc w:val="both"/>
        <w:rPr>
          <w:rFonts w:ascii="Arial" w:hAnsi="Arial" w:cs="Arial"/>
        </w:rPr>
      </w:pPr>
      <w:r>
        <w:rPr>
          <w:rFonts w:ascii="Arial" w:hAnsi="Arial" w:cs="Arial"/>
        </w:rPr>
        <w:t>F</w:t>
      </w:r>
      <w:r w:rsidR="00340476">
        <w:rPr>
          <w:rFonts w:ascii="Arial" w:hAnsi="Arial" w:cs="Arial"/>
        </w:rPr>
        <w:t>undraising is the biggest red tape burden for charities. If a charity wants to collect donations online, it must comply with seven different fundraising regimes as well as the Australian Consumer Law</w:t>
      </w:r>
      <w:r>
        <w:rPr>
          <w:rFonts w:ascii="Arial" w:hAnsi="Arial" w:cs="Arial"/>
        </w:rPr>
        <w:t xml:space="preserve"> and local government by-laws</w:t>
      </w:r>
      <w:r w:rsidR="00340476">
        <w:rPr>
          <w:rFonts w:ascii="Arial" w:hAnsi="Arial" w:cs="Arial"/>
        </w:rPr>
        <w:t xml:space="preserve">. </w:t>
      </w:r>
      <w:r w:rsidR="00CA1A20">
        <w:rPr>
          <w:rFonts w:ascii="Arial" w:hAnsi="Arial" w:cs="Arial"/>
        </w:rPr>
        <w:t>Over more than a decade we have seen</w:t>
      </w:r>
      <w:r w:rsidR="00340476">
        <w:rPr>
          <w:rFonts w:ascii="Arial" w:hAnsi="Arial" w:cs="Arial"/>
        </w:rPr>
        <w:t xml:space="preserve"> the confusion and time wasted as a result of this incoherent regime. </w:t>
      </w:r>
    </w:p>
    <w:p w14:paraId="2EBA672D" w14:textId="23CD46EB" w:rsidR="00E63ADD" w:rsidRDefault="00340476" w:rsidP="00E63ADD">
      <w:pPr>
        <w:spacing w:before="120" w:after="240" w:line="240" w:lineRule="auto"/>
        <w:jc w:val="both"/>
        <w:rPr>
          <w:rFonts w:ascii="Arial" w:hAnsi="Arial" w:cs="Arial"/>
        </w:rPr>
      </w:pPr>
      <w:r>
        <w:rPr>
          <w:rFonts w:ascii="Arial" w:hAnsi="Arial" w:cs="Arial"/>
        </w:rPr>
        <w:t xml:space="preserve">We are pleased that the </w:t>
      </w:r>
      <w:r w:rsidR="00E63ADD">
        <w:rPr>
          <w:rFonts w:ascii="Arial" w:hAnsi="Arial" w:cs="Arial"/>
        </w:rPr>
        <w:t>Commonwealth</w:t>
      </w:r>
      <w:r w:rsidR="00CA1A20">
        <w:rPr>
          <w:rFonts w:ascii="Arial" w:hAnsi="Arial" w:cs="Arial"/>
        </w:rPr>
        <w:t>,</w:t>
      </w:r>
      <w:r w:rsidR="00E63ADD">
        <w:rPr>
          <w:rFonts w:ascii="Arial" w:hAnsi="Arial" w:cs="Arial"/>
        </w:rPr>
        <w:t xml:space="preserve"> </w:t>
      </w:r>
      <w:r w:rsidR="00CA1A20">
        <w:rPr>
          <w:rFonts w:ascii="Arial" w:hAnsi="Arial" w:cs="Arial"/>
        </w:rPr>
        <w:t>s</w:t>
      </w:r>
      <w:r w:rsidR="00E63ADD">
        <w:rPr>
          <w:rFonts w:ascii="Arial" w:hAnsi="Arial" w:cs="Arial"/>
        </w:rPr>
        <w:t xml:space="preserve">tates </w:t>
      </w:r>
      <w:r w:rsidR="00CA1A20">
        <w:rPr>
          <w:rFonts w:ascii="Arial" w:hAnsi="Arial" w:cs="Arial"/>
        </w:rPr>
        <w:t xml:space="preserve">and territories </w:t>
      </w:r>
      <w:r w:rsidR="00E63ADD">
        <w:rPr>
          <w:rFonts w:ascii="Arial" w:hAnsi="Arial" w:cs="Arial"/>
        </w:rPr>
        <w:t xml:space="preserve">have committed to establish a national charitable fundraising scheme. It is important that this scheme, and the changes to the ACNC’s financial reporting thresholds, are implemented in a way that embraces the ‘report once, use often’ approach. </w:t>
      </w:r>
    </w:p>
    <w:p w14:paraId="6988C5B9" w14:textId="19DAA4F6" w:rsidR="00E650CD" w:rsidRPr="00E650CD" w:rsidRDefault="00E650CD" w:rsidP="000D4B2A">
      <w:pPr>
        <w:spacing w:before="120" w:after="120" w:line="240" w:lineRule="auto"/>
        <w:jc w:val="both"/>
        <w:rPr>
          <w:rFonts w:ascii="Arial" w:eastAsia="Times New Roman" w:hAnsi="Arial" w:cs="Arial"/>
          <w:lang w:eastAsia="en-GB"/>
        </w:rPr>
      </w:pPr>
      <w:r w:rsidRPr="00E650CD">
        <w:rPr>
          <w:rFonts w:ascii="Arial" w:eastAsia="Times New Roman" w:hAnsi="Arial" w:cs="Arial"/>
          <w:lang w:eastAsia="en-GB"/>
        </w:rPr>
        <w:lastRenderedPageBreak/>
        <w:t>We would be happy to discuss or expand on any of our comments. We agree to this submission being made public (with signature redacted).</w:t>
      </w:r>
    </w:p>
    <w:p w14:paraId="76682A24" w14:textId="77777777" w:rsidR="00E650CD" w:rsidRPr="00E650CD" w:rsidRDefault="00E650CD" w:rsidP="000D4B2A">
      <w:pPr>
        <w:spacing w:before="120" w:after="120" w:line="240" w:lineRule="auto"/>
        <w:rPr>
          <w:rFonts w:ascii="Arial" w:eastAsia="Times New Roman" w:hAnsi="Arial" w:cs="Arial"/>
          <w:lang w:eastAsia="en-GB"/>
        </w:rPr>
      </w:pPr>
    </w:p>
    <w:p w14:paraId="0CE01953" w14:textId="77777777" w:rsidR="00CA1A20" w:rsidRDefault="00CA1A20" w:rsidP="00CA1A20">
      <w:pPr>
        <w:spacing w:before="120" w:after="120" w:line="240" w:lineRule="auto"/>
        <w:rPr>
          <w:rFonts w:ascii="Arial" w:hAnsi="Arial" w:cs="Arial"/>
        </w:rPr>
      </w:pPr>
      <w:r w:rsidRPr="00E650CD">
        <w:rPr>
          <w:rFonts w:ascii="Arial" w:hAnsi="Arial" w:cs="Arial"/>
        </w:rPr>
        <w:t>Yours sincerely,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A1A20" w14:paraId="6C36057A" w14:textId="77777777" w:rsidTr="00AA2B85">
        <w:tc>
          <w:tcPr>
            <w:tcW w:w="4508" w:type="dxa"/>
          </w:tcPr>
          <w:p w14:paraId="0C384585" w14:textId="6EA1965C" w:rsidR="00CA1A20" w:rsidRDefault="00CA1A20" w:rsidP="00AA2B85">
            <w:pPr>
              <w:spacing w:before="120" w:after="120"/>
              <w:rPr>
                <w:rFonts w:ascii="Arial" w:hAnsi="Arial" w:cs="Arial"/>
              </w:rPr>
            </w:pPr>
          </w:p>
        </w:tc>
        <w:tc>
          <w:tcPr>
            <w:tcW w:w="4508" w:type="dxa"/>
          </w:tcPr>
          <w:p w14:paraId="65CFB3EA" w14:textId="481227EE" w:rsidR="00CA1A20" w:rsidRDefault="00CA1A20" w:rsidP="00AA2B85">
            <w:pPr>
              <w:spacing w:before="120" w:after="120"/>
              <w:rPr>
                <w:noProof/>
              </w:rPr>
            </w:pPr>
          </w:p>
        </w:tc>
      </w:tr>
      <w:tr w:rsidR="00CA1A20" w14:paraId="62B74749" w14:textId="77777777" w:rsidTr="00AA2B85">
        <w:tc>
          <w:tcPr>
            <w:tcW w:w="4508" w:type="dxa"/>
          </w:tcPr>
          <w:p w14:paraId="6F7D019E" w14:textId="77777777" w:rsidR="00CA1A20" w:rsidRDefault="00CA1A20" w:rsidP="00AA2B85">
            <w:pPr>
              <w:spacing w:before="40"/>
              <w:rPr>
                <w:rFonts w:ascii="Arial" w:hAnsi="Arial" w:cs="Arial"/>
              </w:rPr>
            </w:pPr>
            <w:r>
              <w:rPr>
                <w:rFonts w:ascii="Arial" w:hAnsi="Arial" w:cs="Arial"/>
              </w:rPr>
              <w:t>Chris Povey</w:t>
            </w:r>
          </w:p>
          <w:p w14:paraId="29B4049C" w14:textId="77777777" w:rsidR="00CA1A20" w:rsidRDefault="00CA1A20" w:rsidP="00AA2B85">
            <w:pPr>
              <w:spacing w:before="40"/>
              <w:rPr>
                <w:rFonts w:ascii="Arial" w:hAnsi="Arial" w:cs="Arial"/>
              </w:rPr>
            </w:pPr>
            <w:r>
              <w:rPr>
                <w:rFonts w:ascii="Arial" w:hAnsi="Arial" w:cs="Arial"/>
              </w:rPr>
              <w:t>CEO</w:t>
            </w:r>
          </w:p>
          <w:p w14:paraId="7A219209" w14:textId="77777777" w:rsidR="00CA1A20" w:rsidRDefault="00F03881" w:rsidP="00AA2B85">
            <w:pPr>
              <w:spacing w:before="40"/>
              <w:rPr>
                <w:rFonts w:ascii="Arial" w:hAnsi="Arial" w:cs="Arial"/>
              </w:rPr>
            </w:pPr>
            <w:hyperlink r:id="rId9" w:history="1">
              <w:r w:rsidR="00CA1A20" w:rsidRPr="00640783">
                <w:rPr>
                  <w:rStyle w:val="Hyperlink"/>
                  <w:rFonts w:ascii="Arial" w:hAnsi="Arial" w:cs="Arial"/>
                </w:rPr>
                <w:t>Chris.Povey@justiceconnect.org.au</w:t>
              </w:r>
            </w:hyperlink>
            <w:r w:rsidR="00CA1A20">
              <w:rPr>
                <w:rFonts w:ascii="Arial" w:hAnsi="Arial" w:cs="Arial"/>
              </w:rPr>
              <w:t xml:space="preserve"> </w:t>
            </w:r>
            <w:r w:rsidR="00CA1A20">
              <w:rPr>
                <w:rFonts w:ascii="Arial" w:hAnsi="Arial" w:cs="Arial"/>
              </w:rPr>
              <w:tab/>
            </w:r>
          </w:p>
          <w:p w14:paraId="74EC5A67" w14:textId="77777777" w:rsidR="00CA1A20" w:rsidRPr="00555A5C" w:rsidRDefault="00CA1A20" w:rsidP="00AA2B85">
            <w:pPr>
              <w:spacing w:before="40"/>
              <w:rPr>
                <w:rFonts w:ascii="Arial" w:hAnsi="Arial" w:cs="Arial"/>
                <w:b/>
                <w:bCs/>
              </w:rPr>
            </w:pPr>
            <w:r w:rsidRPr="00555A5C">
              <w:rPr>
                <w:rFonts w:ascii="Arial" w:hAnsi="Arial" w:cs="Arial"/>
              </w:rPr>
              <w:t>Tel </w:t>
            </w:r>
            <w:hyperlink r:id="rId10" w:tgtFrame="_blank" w:history="1">
              <w:r w:rsidRPr="00555A5C">
                <w:t>+61 3 8636 4405</w:t>
              </w:r>
            </w:hyperlink>
          </w:p>
        </w:tc>
        <w:tc>
          <w:tcPr>
            <w:tcW w:w="4508" w:type="dxa"/>
          </w:tcPr>
          <w:p w14:paraId="2A551A6E" w14:textId="77777777" w:rsidR="00CA1A20" w:rsidRPr="00E650CD" w:rsidRDefault="00CA1A20" w:rsidP="00AA2B85">
            <w:pPr>
              <w:spacing w:before="40"/>
              <w:rPr>
                <w:rFonts w:ascii="Arial" w:hAnsi="Arial" w:cs="Arial"/>
              </w:rPr>
            </w:pPr>
            <w:r w:rsidRPr="00E650CD">
              <w:rPr>
                <w:rFonts w:ascii="Arial" w:hAnsi="Arial" w:cs="Arial"/>
              </w:rPr>
              <w:t>Sue Woodward</w:t>
            </w:r>
          </w:p>
          <w:p w14:paraId="1DE3AEED" w14:textId="77777777" w:rsidR="00CA1A20" w:rsidRDefault="00CA1A20" w:rsidP="00AA2B85">
            <w:pPr>
              <w:spacing w:before="40"/>
              <w:rPr>
                <w:rFonts w:ascii="Arial" w:hAnsi="Arial" w:cs="Arial"/>
              </w:rPr>
            </w:pPr>
            <w:r w:rsidRPr="3C3B564E">
              <w:rPr>
                <w:rFonts w:ascii="Arial" w:hAnsi="Arial" w:cs="Arial"/>
              </w:rPr>
              <w:t>Head of Not-for-profit Law</w:t>
            </w:r>
          </w:p>
          <w:p w14:paraId="42BA8015" w14:textId="77777777" w:rsidR="00CA1A20" w:rsidRDefault="00F03881" w:rsidP="00AA2B85">
            <w:pPr>
              <w:spacing w:before="40"/>
              <w:rPr>
                <w:rFonts w:ascii="Arial" w:hAnsi="Arial" w:cs="Arial"/>
              </w:rPr>
            </w:pPr>
            <w:hyperlink r:id="rId11" w:history="1">
              <w:r w:rsidR="00CA1A20" w:rsidRPr="00640783">
                <w:rPr>
                  <w:rStyle w:val="Hyperlink"/>
                  <w:rFonts w:ascii="Arial" w:hAnsi="Arial" w:cs="Arial"/>
                </w:rPr>
                <w:t>Sue.Woodward@justiceconnect.org.au</w:t>
              </w:r>
            </w:hyperlink>
            <w:r w:rsidR="00CA1A20">
              <w:rPr>
                <w:rFonts w:ascii="Arial" w:hAnsi="Arial" w:cs="Arial"/>
              </w:rPr>
              <w:t xml:space="preserve">  </w:t>
            </w:r>
          </w:p>
          <w:p w14:paraId="07D07222" w14:textId="77777777" w:rsidR="00CA1A20" w:rsidRDefault="00CA1A20" w:rsidP="00AA2B85">
            <w:pPr>
              <w:spacing w:before="40"/>
              <w:rPr>
                <w:rFonts w:ascii="Arial" w:hAnsi="Arial" w:cs="Arial"/>
              </w:rPr>
            </w:pPr>
            <w:r w:rsidRPr="00555A5C">
              <w:rPr>
                <w:rFonts w:ascii="Arial" w:hAnsi="Arial" w:cs="Arial"/>
              </w:rPr>
              <w:t>Tel </w:t>
            </w:r>
            <w:hyperlink r:id="rId12" w:tgtFrame="_blank" w:history="1">
              <w:r w:rsidRPr="00555A5C">
                <w:t>+61 3 8636 4468</w:t>
              </w:r>
            </w:hyperlink>
          </w:p>
        </w:tc>
      </w:tr>
    </w:tbl>
    <w:p w14:paraId="319D9670" w14:textId="05A10927" w:rsidR="00CA1A20" w:rsidRDefault="00CA1A20" w:rsidP="000D4B2A">
      <w:pPr>
        <w:spacing w:before="120" w:after="120" w:line="240" w:lineRule="auto"/>
        <w:rPr>
          <w:rFonts w:ascii="Arial" w:hAnsi="Arial" w:cs="Arial"/>
        </w:rPr>
      </w:pPr>
    </w:p>
    <w:p w14:paraId="0DE8D511" w14:textId="77777777" w:rsidR="00CA1A20" w:rsidRDefault="00CA1A20" w:rsidP="000D4B2A">
      <w:pPr>
        <w:spacing w:before="120" w:after="120" w:line="240" w:lineRule="auto"/>
        <w:rPr>
          <w:rFonts w:ascii="Arial" w:hAnsi="Arial" w:cs="Arial"/>
        </w:rPr>
      </w:pPr>
    </w:p>
    <w:p w14:paraId="0E5F0021" w14:textId="6D949F8B" w:rsidR="00E650CD" w:rsidRPr="00E650CD" w:rsidRDefault="00E650CD" w:rsidP="000D4B2A">
      <w:pPr>
        <w:spacing w:before="120" w:after="120" w:line="240" w:lineRule="auto"/>
        <w:rPr>
          <w:rFonts w:ascii="Arial" w:hAnsi="Arial" w:cs="Arial"/>
        </w:rPr>
      </w:pPr>
    </w:p>
    <w:p w14:paraId="79B9821E" w14:textId="6FDD4478" w:rsidR="00E650CD" w:rsidRPr="00E650CD" w:rsidRDefault="00E650CD" w:rsidP="000D4B2A">
      <w:pPr>
        <w:spacing w:before="120" w:after="120" w:line="240" w:lineRule="auto"/>
        <w:rPr>
          <w:rFonts w:ascii="Arial" w:hAnsi="Arial" w:cs="Arial"/>
        </w:rPr>
      </w:pPr>
      <w:r w:rsidRPr="00E650CD">
        <w:rPr>
          <w:rFonts w:ascii="Arial" w:hAnsi="Arial" w:cs="Arial"/>
        </w:rPr>
        <w:t>For more information please contact:</w:t>
      </w:r>
    </w:p>
    <w:p w14:paraId="0E6DDD41" w14:textId="1979E6F4" w:rsidR="00E650CD" w:rsidRPr="005A3602" w:rsidRDefault="006870B2" w:rsidP="00F312C5">
      <w:pPr>
        <w:spacing w:after="0" w:line="240" w:lineRule="auto"/>
        <w:rPr>
          <w:rFonts w:ascii="Arial" w:hAnsi="Arial" w:cs="Arial"/>
        </w:rPr>
      </w:pPr>
      <w:r w:rsidRPr="005A3602">
        <w:rPr>
          <w:rFonts w:ascii="Arial" w:hAnsi="Arial" w:cs="Arial"/>
        </w:rPr>
        <w:t>Alice Husband</w:t>
      </w:r>
    </w:p>
    <w:p w14:paraId="1A95CAB8" w14:textId="77777777" w:rsidR="004467D5" w:rsidRPr="005A3602" w:rsidRDefault="00E650CD" w:rsidP="00F312C5">
      <w:pPr>
        <w:spacing w:after="0" w:line="240" w:lineRule="auto"/>
        <w:rPr>
          <w:rFonts w:ascii="Arial" w:hAnsi="Arial" w:cs="Arial"/>
        </w:rPr>
      </w:pPr>
      <w:r w:rsidRPr="005A3602">
        <w:rPr>
          <w:rFonts w:ascii="Arial" w:hAnsi="Arial" w:cs="Arial"/>
        </w:rPr>
        <w:t>Lawyer</w:t>
      </w:r>
    </w:p>
    <w:p w14:paraId="1C0D2928" w14:textId="1E88C737" w:rsidR="00E650CD" w:rsidRPr="005A3602" w:rsidRDefault="00E650CD" w:rsidP="00F312C5">
      <w:pPr>
        <w:spacing w:after="0" w:line="240" w:lineRule="auto"/>
        <w:rPr>
          <w:rFonts w:ascii="Arial" w:hAnsi="Arial" w:cs="Arial"/>
        </w:rPr>
      </w:pPr>
      <w:r w:rsidRPr="005A3602">
        <w:rPr>
          <w:rFonts w:ascii="Arial" w:hAnsi="Arial" w:cs="Arial"/>
        </w:rPr>
        <w:t>Not-for-profit Law</w:t>
      </w:r>
    </w:p>
    <w:p w14:paraId="509A8BBC" w14:textId="4AF5603F" w:rsidR="00E650CD" w:rsidRPr="005A3602" w:rsidRDefault="00F03881" w:rsidP="000D4B2A">
      <w:pPr>
        <w:spacing w:before="120" w:after="120" w:line="240" w:lineRule="auto"/>
        <w:rPr>
          <w:rFonts w:ascii="Arial" w:hAnsi="Arial" w:cs="Arial"/>
        </w:rPr>
      </w:pPr>
      <w:hyperlink r:id="rId13" w:history="1">
        <w:r w:rsidR="006870B2" w:rsidRPr="005A3602">
          <w:rPr>
            <w:rStyle w:val="Hyperlink"/>
            <w:rFonts w:ascii="Arial" w:hAnsi="Arial" w:cs="Arial"/>
          </w:rPr>
          <w:t>Alice.Husband@justiceconnect.org.au</w:t>
        </w:r>
      </w:hyperlink>
    </w:p>
    <w:p w14:paraId="239F1FCF" w14:textId="735C604A" w:rsidR="00E650CD" w:rsidRPr="00E650CD" w:rsidRDefault="00E650CD" w:rsidP="000D4B2A">
      <w:pPr>
        <w:spacing w:before="120" w:after="120" w:line="240" w:lineRule="auto"/>
        <w:rPr>
          <w:rFonts w:ascii="Arial" w:hAnsi="Arial" w:cs="Arial"/>
        </w:rPr>
      </w:pPr>
      <w:r w:rsidRPr="005A3602">
        <w:rPr>
          <w:rFonts w:ascii="Arial" w:hAnsi="Arial" w:cs="Arial"/>
        </w:rPr>
        <w:t xml:space="preserve">Tel: +61 </w:t>
      </w:r>
      <w:r w:rsidR="006870B2" w:rsidRPr="005A3602">
        <w:rPr>
          <w:rFonts w:ascii="Arial" w:hAnsi="Arial" w:cs="Arial"/>
        </w:rPr>
        <w:t>3</w:t>
      </w:r>
      <w:r w:rsidRPr="005A3602">
        <w:rPr>
          <w:rFonts w:ascii="Arial" w:hAnsi="Arial" w:cs="Arial"/>
        </w:rPr>
        <w:t xml:space="preserve"> </w:t>
      </w:r>
      <w:r w:rsidR="006870B2" w:rsidRPr="005A3602">
        <w:rPr>
          <w:rFonts w:ascii="Arial" w:hAnsi="Arial" w:cs="Arial"/>
        </w:rPr>
        <w:t>9021 0151</w:t>
      </w:r>
    </w:p>
    <w:sectPr w:rsidR="00E650CD" w:rsidRPr="00E650CD" w:rsidSect="00EC77E8">
      <w:headerReference w:type="even" r:id="rId14"/>
      <w:headerReference w:type="default" r:id="rId15"/>
      <w:footerReference w:type="even" r:id="rId16"/>
      <w:footerReference w:type="default" r:id="rId17"/>
      <w:headerReference w:type="first" r:id="rId18"/>
      <w:footerReference w:type="first" r:id="rId19"/>
      <w:pgSz w:w="11906" w:h="16838"/>
      <w:pgMar w:top="3168" w:right="1440" w:bottom="28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86A43" w14:textId="77777777" w:rsidR="00F03881" w:rsidRDefault="00F03881" w:rsidP="00EC77E8">
      <w:pPr>
        <w:spacing w:after="0" w:line="240" w:lineRule="auto"/>
      </w:pPr>
      <w:r>
        <w:separator/>
      </w:r>
    </w:p>
  </w:endnote>
  <w:endnote w:type="continuationSeparator" w:id="0">
    <w:p w14:paraId="3625C665" w14:textId="77777777" w:rsidR="00F03881" w:rsidRDefault="00F03881" w:rsidP="00EC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FE385" w14:textId="77777777" w:rsidR="00EE458B" w:rsidRDefault="00EE4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A5D47" w14:textId="77777777" w:rsidR="007D0ACB" w:rsidRDefault="007D0ACB" w:rsidP="00EC77E8">
    <w:pPr>
      <w:pStyle w:val="Footer"/>
      <w:tabs>
        <w:tab w:val="clear" w:pos="4513"/>
        <w:tab w:val="clear" w:pos="9026"/>
        <w:tab w:val="left" w:pos="1912"/>
      </w:tabs>
    </w:pPr>
    <w:r>
      <w:rPr>
        <w:noProof/>
        <w:lang w:eastAsia="en-AU"/>
      </w:rPr>
      <w:drawing>
        <wp:anchor distT="0" distB="0" distL="114300" distR="114300" simplePos="0" relativeHeight="251659264" behindDoc="0" locked="0" layoutInCell="1" allowOverlap="1" wp14:anchorId="78E978E5" wp14:editId="2FCFCFEB">
          <wp:simplePos x="0" y="0"/>
          <wp:positionH relativeFrom="margin">
            <wp:posOffset>-2220486</wp:posOffset>
          </wp:positionH>
          <wp:positionV relativeFrom="paragraph">
            <wp:posOffset>-1122680</wp:posOffset>
          </wp:positionV>
          <wp:extent cx="8366745" cy="307424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8366745" cy="3074242"/>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BBB08" w14:textId="77777777" w:rsidR="00EE458B" w:rsidRDefault="00EE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A5531" w14:textId="77777777" w:rsidR="00F03881" w:rsidRDefault="00F03881" w:rsidP="00EC77E8">
      <w:pPr>
        <w:spacing w:after="0" w:line="240" w:lineRule="auto"/>
      </w:pPr>
      <w:r>
        <w:separator/>
      </w:r>
    </w:p>
  </w:footnote>
  <w:footnote w:type="continuationSeparator" w:id="0">
    <w:p w14:paraId="17A939EA" w14:textId="77777777" w:rsidR="00F03881" w:rsidRDefault="00F03881" w:rsidP="00EC77E8">
      <w:pPr>
        <w:spacing w:after="0" w:line="240" w:lineRule="auto"/>
      </w:pPr>
      <w:r>
        <w:continuationSeparator/>
      </w:r>
    </w:p>
  </w:footnote>
  <w:footnote w:id="1">
    <w:p w14:paraId="31E8C148" w14:textId="4B6EA755" w:rsidR="00186B72" w:rsidRPr="005A3602" w:rsidRDefault="00186B72">
      <w:pPr>
        <w:pStyle w:val="FootnoteText"/>
        <w:rPr>
          <w:rFonts w:ascii="Arial" w:hAnsi="Arial" w:cs="Arial"/>
          <w:sz w:val="18"/>
          <w:szCs w:val="18"/>
        </w:rPr>
      </w:pPr>
      <w:r w:rsidRPr="005A3602">
        <w:rPr>
          <w:rStyle w:val="FootnoteReference"/>
          <w:rFonts w:ascii="Arial" w:hAnsi="Arial" w:cs="Arial"/>
          <w:sz w:val="18"/>
          <w:szCs w:val="18"/>
        </w:rPr>
        <w:footnoteRef/>
      </w:r>
      <w:r w:rsidRPr="005A3602">
        <w:rPr>
          <w:rFonts w:ascii="Arial" w:hAnsi="Arial" w:cs="Arial"/>
          <w:sz w:val="18"/>
          <w:szCs w:val="18"/>
        </w:rPr>
        <w:t xml:space="preserve"> </w:t>
      </w:r>
      <w:r w:rsidR="00E425EC" w:rsidRPr="005A3602">
        <w:rPr>
          <w:rFonts w:ascii="Arial" w:hAnsi="Arial" w:cs="Arial"/>
          <w:i/>
          <w:iCs/>
          <w:sz w:val="18"/>
          <w:szCs w:val="18"/>
        </w:rPr>
        <w:t xml:space="preserve">Strengthening for purpose: Australian Charities and Not-for-Profits Commission Legislative Review </w:t>
      </w:r>
      <w:r w:rsidR="00E425EC" w:rsidRPr="005A3602">
        <w:rPr>
          <w:rFonts w:ascii="Arial" w:hAnsi="Arial" w:cs="Arial"/>
          <w:sz w:val="18"/>
          <w:szCs w:val="18"/>
        </w:rPr>
        <w:t>2018, Recommendation 12, discussed on pp 51-58.</w:t>
      </w:r>
    </w:p>
  </w:footnote>
  <w:footnote w:id="2">
    <w:p w14:paraId="704AC055" w14:textId="29B736DF" w:rsidR="007B4A30" w:rsidRPr="005A3602" w:rsidRDefault="007B4A30" w:rsidP="005A3602">
      <w:pPr>
        <w:pStyle w:val="FootnoteText"/>
        <w:spacing w:after="60"/>
        <w:rPr>
          <w:rFonts w:ascii="Arial" w:hAnsi="Arial" w:cs="Arial"/>
          <w:sz w:val="18"/>
          <w:szCs w:val="18"/>
        </w:rPr>
      </w:pPr>
      <w:r w:rsidRPr="005A3602">
        <w:rPr>
          <w:rStyle w:val="FootnoteReference"/>
          <w:sz w:val="18"/>
          <w:szCs w:val="18"/>
        </w:rPr>
        <w:footnoteRef/>
      </w:r>
      <w:r w:rsidRPr="005A3602">
        <w:rPr>
          <w:sz w:val="18"/>
          <w:szCs w:val="18"/>
        </w:rPr>
        <w:t xml:space="preserve"> </w:t>
      </w:r>
      <w:r w:rsidRPr="005A3602">
        <w:rPr>
          <w:rFonts w:ascii="Arial" w:hAnsi="Arial" w:cs="Arial"/>
          <w:sz w:val="18"/>
          <w:szCs w:val="18"/>
        </w:rPr>
        <w:t xml:space="preserve">Revised Explanatory Memorandum to the </w:t>
      </w:r>
      <w:r w:rsidR="00E425EC" w:rsidRPr="005A3602">
        <w:rPr>
          <w:rFonts w:ascii="Arial" w:hAnsi="Arial" w:cs="Arial"/>
          <w:sz w:val="18"/>
          <w:szCs w:val="18"/>
        </w:rPr>
        <w:t>Australian Charities and Not-for-profits Commission Bill 2012</w:t>
      </w:r>
      <w:r w:rsidRPr="005A3602">
        <w:rPr>
          <w:rFonts w:ascii="Arial" w:hAnsi="Arial" w:cs="Arial"/>
          <w:sz w:val="18"/>
          <w:szCs w:val="18"/>
        </w:rPr>
        <w:t>, paragraph 6.23.</w:t>
      </w:r>
    </w:p>
  </w:footnote>
  <w:footnote w:id="3">
    <w:p w14:paraId="33FED375" w14:textId="0BFA1DAF" w:rsidR="00E46494" w:rsidRDefault="00E46494" w:rsidP="005A3602">
      <w:pPr>
        <w:pStyle w:val="FootnoteText"/>
        <w:spacing w:after="60"/>
      </w:pPr>
      <w:r w:rsidRPr="005A3602">
        <w:rPr>
          <w:rStyle w:val="FootnoteReference"/>
          <w:sz w:val="18"/>
          <w:szCs w:val="18"/>
        </w:rPr>
        <w:footnoteRef/>
      </w:r>
      <w:r w:rsidRPr="005A3602">
        <w:rPr>
          <w:sz w:val="18"/>
          <w:szCs w:val="18"/>
        </w:rPr>
        <w:t xml:space="preserve"> </w:t>
      </w:r>
      <w:hyperlink r:id="rId1" w:history="1">
        <w:r w:rsidR="00230F36" w:rsidRPr="005A3602">
          <w:rPr>
            <w:rStyle w:val="Hyperlink"/>
            <w:rFonts w:ascii="Arial" w:hAnsi="Arial" w:cs="Arial"/>
            <w:sz w:val="18"/>
            <w:szCs w:val="18"/>
          </w:rPr>
          <w:t>https://asic.gov.au/regulatory-resources/financial-reporting-and-audit/preparers-of-financial-reports/are-you-a-large-or-small-proprietary-company/</w:t>
        </w:r>
      </w:hyperlink>
      <w:r w:rsidR="00230F36">
        <w:t xml:space="preserve"> </w:t>
      </w:r>
    </w:p>
  </w:footnote>
  <w:footnote w:id="4">
    <w:p w14:paraId="2E79C47D" w14:textId="5F723E16" w:rsidR="004943CD" w:rsidRDefault="004943CD" w:rsidP="005A3602">
      <w:pPr>
        <w:pStyle w:val="FootnoteText"/>
        <w:spacing w:after="60"/>
      </w:pPr>
      <w:r>
        <w:rPr>
          <w:rStyle w:val="FootnoteReference"/>
        </w:rPr>
        <w:footnoteRef/>
      </w:r>
      <w:r>
        <w:t xml:space="preserve"> </w:t>
      </w:r>
      <w:hyperlink r:id="rId2" w:history="1">
        <w:r w:rsidRPr="005A3602">
          <w:rPr>
            <w:rStyle w:val="Hyperlink"/>
            <w:rFonts w:ascii="Arial" w:hAnsi="Arial" w:cs="Arial"/>
          </w:rPr>
          <w:t>https://www.acnc.gov.au/tools/reports/cutting-red-tape-report</w:t>
        </w:r>
      </w:hyperlink>
      <w:r>
        <w:t xml:space="preserve"> </w:t>
      </w:r>
      <w:r w:rsidRPr="005A3602">
        <w:rPr>
          <w:rFonts w:ascii="Arial" w:hAnsi="Arial" w:cs="Arial"/>
        </w:rPr>
        <w:t>Deloitte Access Economics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687EB" w14:textId="77777777" w:rsidR="00EE458B" w:rsidRDefault="00EE4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343B5" w14:textId="3E139E76" w:rsidR="007D0ACB" w:rsidRDefault="007D0ACB">
    <w:pPr>
      <w:pStyle w:val="Header"/>
    </w:pPr>
  </w:p>
  <w:p w14:paraId="59E97A2D" w14:textId="6E95BA9F" w:rsidR="007D0ACB" w:rsidRDefault="007D0ACB" w:rsidP="00695EF1">
    <w:pPr>
      <w:pStyle w:val="Header"/>
      <w:jc w:val="right"/>
    </w:pPr>
    <w:r>
      <w:rPr>
        <w:noProof/>
        <w:lang w:eastAsia="en-AU"/>
      </w:rPr>
      <w:drawing>
        <wp:inline distT="0" distB="0" distL="0" distR="0" wp14:anchorId="012569CA" wp14:editId="27CB51F3">
          <wp:extent cx="2137448" cy="88827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64783" cy="8996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C825A" w14:textId="77777777" w:rsidR="00EE458B" w:rsidRDefault="00EE4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726"/>
    <w:multiLevelType w:val="multilevel"/>
    <w:tmpl w:val="3E1A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47AF5"/>
    <w:multiLevelType w:val="hybridMultilevel"/>
    <w:tmpl w:val="D2720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744C0"/>
    <w:multiLevelType w:val="hybridMultilevel"/>
    <w:tmpl w:val="3176C84A"/>
    <w:lvl w:ilvl="0" w:tplc="8EC21154">
      <w:start w:val="1"/>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15BA3071"/>
    <w:multiLevelType w:val="hybridMultilevel"/>
    <w:tmpl w:val="006A3C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2C0819"/>
    <w:multiLevelType w:val="hybridMultilevel"/>
    <w:tmpl w:val="9E663B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B123C7E"/>
    <w:multiLevelType w:val="hybridMultilevel"/>
    <w:tmpl w:val="BFD29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0752AF"/>
    <w:multiLevelType w:val="hybridMultilevel"/>
    <w:tmpl w:val="BC768874"/>
    <w:lvl w:ilvl="0" w:tplc="67A6CE4C">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27A6BB4"/>
    <w:multiLevelType w:val="hybridMultilevel"/>
    <w:tmpl w:val="091CE3CA"/>
    <w:lvl w:ilvl="0" w:tplc="685E557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F724DC"/>
    <w:multiLevelType w:val="hybridMultilevel"/>
    <w:tmpl w:val="AE06ACAC"/>
    <w:lvl w:ilvl="0" w:tplc="7C8A35B4">
      <w:start w:val="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55760"/>
    <w:multiLevelType w:val="hybridMultilevel"/>
    <w:tmpl w:val="5438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A1427"/>
    <w:multiLevelType w:val="hybridMultilevel"/>
    <w:tmpl w:val="511E6AC6"/>
    <w:lvl w:ilvl="0" w:tplc="D722ED8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7B3001"/>
    <w:multiLevelType w:val="hybridMultilevel"/>
    <w:tmpl w:val="CCF69A96"/>
    <w:lvl w:ilvl="0" w:tplc="8D5C8FB6">
      <w:start w:val="1"/>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9702D94"/>
    <w:multiLevelType w:val="hybridMultilevel"/>
    <w:tmpl w:val="AA4C9C2A"/>
    <w:lvl w:ilvl="0" w:tplc="5A2233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0402C"/>
    <w:multiLevelType w:val="hybridMultilevel"/>
    <w:tmpl w:val="B482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04370"/>
    <w:multiLevelType w:val="hybridMultilevel"/>
    <w:tmpl w:val="4A82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5370A"/>
    <w:multiLevelType w:val="hybridMultilevel"/>
    <w:tmpl w:val="7E60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A7508"/>
    <w:multiLevelType w:val="hybridMultilevel"/>
    <w:tmpl w:val="E78C9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A77F5A"/>
    <w:multiLevelType w:val="hybridMultilevel"/>
    <w:tmpl w:val="3858D77C"/>
    <w:lvl w:ilvl="0" w:tplc="03CAD40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E01E8A"/>
    <w:multiLevelType w:val="hybridMultilevel"/>
    <w:tmpl w:val="BF8E5B1A"/>
    <w:lvl w:ilvl="0" w:tplc="4A5E4ACA">
      <w:start w:val="9"/>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DD15E39"/>
    <w:multiLevelType w:val="hybridMultilevel"/>
    <w:tmpl w:val="554CB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4E145D7"/>
    <w:multiLevelType w:val="hybridMultilevel"/>
    <w:tmpl w:val="BFBE5A0C"/>
    <w:lvl w:ilvl="0" w:tplc="2974CD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B242A6"/>
    <w:multiLevelType w:val="hybridMultilevel"/>
    <w:tmpl w:val="915A9E80"/>
    <w:lvl w:ilvl="0" w:tplc="880A55B0">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B8D44B1"/>
    <w:multiLevelType w:val="hybridMultilevel"/>
    <w:tmpl w:val="5778E95C"/>
    <w:lvl w:ilvl="0" w:tplc="BB2E8CF0">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D302993"/>
    <w:multiLevelType w:val="hybridMultilevel"/>
    <w:tmpl w:val="96B29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C6B14"/>
    <w:multiLevelType w:val="multilevel"/>
    <w:tmpl w:val="6118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976BC7"/>
    <w:multiLevelType w:val="hybridMultilevel"/>
    <w:tmpl w:val="2800DF7E"/>
    <w:lvl w:ilvl="0" w:tplc="F4E6A9C2">
      <w:start w:val="2"/>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4D43AE7"/>
    <w:multiLevelType w:val="hybridMultilevel"/>
    <w:tmpl w:val="873C68DE"/>
    <w:lvl w:ilvl="0" w:tplc="D3E82004">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4EB3E98"/>
    <w:multiLevelType w:val="hybridMultilevel"/>
    <w:tmpl w:val="0BCAB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5312C2"/>
    <w:multiLevelType w:val="hybridMultilevel"/>
    <w:tmpl w:val="511E6AC6"/>
    <w:lvl w:ilvl="0" w:tplc="D722ED8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20"/>
  </w:num>
  <w:num w:numId="4">
    <w:abstractNumId w:val="28"/>
  </w:num>
  <w:num w:numId="5">
    <w:abstractNumId w:val="9"/>
  </w:num>
  <w:num w:numId="6">
    <w:abstractNumId w:val="17"/>
  </w:num>
  <w:num w:numId="7">
    <w:abstractNumId w:val="14"/>
  </w:num>
  <w:num w:numId="8">
    <w:abstractNumId w:val="21"/>
  </w:num>
  <w:num w:numId="9">
    <w:abstractNumId w:val="26"/>
  </w:num>
  <w:num w:numId="10">
    <w:abstractNumId w:val="22"/>
  </w:num>
  <w:num w:numId="11">
    <w:abstractNumId w:val="23"/>
  </w:num>
  <w:num w:numId="12">
    <w:abstractNumId w:val="12"/>
  </w:num>
  <w:num w:numId="13">
    <w:abstractNumId w:val="7"/>
  </w:num>
  <w:num w:numId="14">
    <w:abstractNumId w:val="2"/>
  </w:num>
  <w:num w:numId="15">
    <w:abstractNumId w:val="11"/>
  </w:num>
  <w:num w:numId="16">
    <w:abstractNumId w:val="15"/>
  </w:num>
  <w:num w:numId="17">
    <w:abstractNumId w:val="13"/>
  </w:num>
  <w:num w:numId="18">
    <w:abstractNumId w:val="19"/>
  </w:num>
  <w:num w:numId="19">
    <w:abstractNumId w:val="6"/>
  </w:num>
  <w:num w:numId="20">
    <w:abstractNumId w:val="18"/>
  </w:num>
  <w:num w:numId="21">
    <w:abstractNumId w:val="25"/>
  </w:num>
  <w:num w:numId="22">
    <w:abstractNumId w:val="4"/>
  </w:num>
  <w:num w:numId="23">
    <w:abstractNumId w:val="5"/>
  </w:num>
  <w:num w:numId="24">
    <w:abstractNumId w:val="16"/>
  </w:num>
  <w:num w:numId="25">
    <w:abstractNumId w:val="10"/>
  </w:num>
  <w:num w:numId="26">
    <w:abstractNumId w:val="24"/>
  </w:num>
  <w:num w:numId="27">
    <w:abstractNumId w:val="0"/>
  </w:num>
  <w:num w:numId="28">
    <w:abstractNumId w:val="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F1"/>
    <w:rsid w:val="00004268"/>
    <w:rsid w:val="000045B8"/>
    <w:rsid w:val="0001389F"/>
    <w:rsid w:val="00017AA9"/>
    <w:rsid w:val="00020E4E"/>
    <w:rsid w:val="00030175"/>
    <w:rsid w:val="00047AFF"/>
    <w:rsid w:val="00065166"/>
    <w:rsid w:val="00080F8A"/>
    <w:rsid w:val="00094FA7"/>
    <w:rsid w:val="000A5F8B"/>
    <w:rsid w:val="000C07AD"/>
    <w:rsid w:val="000D4B2A"/>
    <w:rsid w:val="000F1CD6"/>
    <w:rsid w:val="000F6C04"/>
    <w:rsid w:val="00104C1F"/>
    <w:rsid w:val="001857CA"/>
    <w:rsid w:val="00186B72"/>
    <w:rsid w:val="001928DD"/>
    <w:rsid w:val="00193EE9"/>
    <w:rsid w:val="00194005"/>
    <w:rsid w:val="001A0855"/>
    <w:rsid w:val="001E104A"/>
    <w:rsid w:val="001E2BC7"/>
    <w:rsid w:val="001E64F7"/>
    <w:rsid w:val="00212030"/>
    <w:rsid w:val="00220995"/>
    <w:rsid w:val="002306C7"/>
    <w:rsid w:val="00230F36"/>
    <w:rsid w:val="00232108"/>
    <w:rsid w:val="002356BF"/>
    <w:rsid w:val="00235AEC"/>
    <w:rsid w:val="00250A35"/>
    <w:rsid w:val="00263A0D"/>
    <w:rsid w:val="002714D0"/>
    <w:rsid w:val="00271F18"/>
    <w:rsid w:val="00275162"/>
    <w:rsid w:val="00284443"/>
    <w:rsid w:val="00287AB0"/>
    <w:rsid w:val="002A0229"/>
    <w:rsid w:val="002A6FDF"/>
    <w:rsid w:val="002C6965"/>
    <w:rsid w:val="002D55F3"/>
    <w:rsid w:val="002E14F1"/>
    <w:rsid w:val="002E2861"/>
    <w:rsid w:val="00314254"/>
    <w:rsid w:val="00316773"/>
    <w:rsid w:val="00317207"/>
    <w:rsid w:val="0033501A"/>
    <w:rsid w:val="00340476"/>
    <w:rsid w:val="003708E5"/>
    <w:rsid w:val="00372149"/>
    <w:rsid w:val="003751D7"/>
    <w:rsid w:val="003821DE"/>
    <w:rsid w:val="0038526D"/>
    <w:rsid w:val="003A1254"/>
    <w:rsid w:val="003B22F5"/>
    <w:rsid w:val="003C051A"/>
    <w:rsid w:val="003D236E"/>
    <w:rsid w:val="003D25AD"/>
    <w:rsid w:val="003D645F"/>
    <w:rsid w:val="003E5860"/>
    <w:rsid w:val="004136EF"/>
    <w:rsid w:val="00416620"/>
    <w:rsid w:val="00421223"/>
    <w:rsid w:val="00427E10"/>
    <w:rsid w:val="00434328"/>
    <w:rsid w:val="00435D7F"/>
    <w:rsid w:val="004467D5"/>
    <w:rsid w:val="00447219"/>
    <w:rsid w:val="0045476A"/>
    <w:rsid w:val="004656E6"/>
    <w:rsid w:val="00467583"/>
    <w:rsid w:val="004677D3"/>
    <w:rsid w:val="0048793B"/>
    <w:rsid w:val="004943CD"/>
    <w:rsid w:val="004A1AF0"/>
    <w:rsid w:val="004B0461"/>
    <w:rsid w:val="004C455A"/>
    <w:rsid w:val="004E0C04"/>
    <w:rsid w:val="004E3763"/>
    <w:rsid w:val="005049D4"/>
    <w:rsid w:val="00523ED2"/>
    <w:rsid w:val="00524508"/>
    <w:rsid w:val="00526E35"/>
    <w:rsid w:val="00531BD1"/>
    <w:rsid w:val="00560F0F"/>
    <w:rsid w:val="005613CC"/>
    <w:rsid w:val="005652C9"/>
    <w:rsid w:val="0058522B"/>
    <w:rsid w:val="005912CF"/>
    <w:rsid w:val="005A3602"/>
    <w:rsid w:val="005D02B1"/>
    <w:rsid w:val="005D0737"/>
    <w:rsid w:val="005D12A8"/>
    <w:rsid w:val="005E14DE"/>
    <w:rsid w:val="005E5CE7"/>
    <w:rsid w:val="005F4F74"/>
    <w:rsid w:val="0060186E"/>
    <w:rsid w:val="00603FBC"/>
    <w:rsid w:val="00620C3C"/>
    <w:rsid w:val="0062216C"/>
    <w:rsid w:val="00625D44"/>
    <w:rsid w:val="0063518B"/>
    <w:rsid w:val="00635815"/>
    <w:rsid w:val="00637E83"/>
    <w:rsid w:val="00641DCD"/>
    <w:rsid w:val="00643325"/>
    <w:rsid w:val="00660809"/>
    <w:rsid w:val="006676E6"/>
    <w:rsid w:val="006769A2"/>
    <w:rsid w:val="006850E0"/>
    <w:rsid w:val="00685170"/>
    <w:rsid w:val="0068672C"/>
    <w:rsid w:val="006870B2"/>
    <w:rsid w:val="00695EF1"/>
    <w:rsid w:val="006A2C0E"/>
    <w:rsid w:val="006A3619"/>
    <w:rsid w:val="006A6AEE"/>
    <w:rsid w:val="006B0E50"/>
    <w:rsid w:val="006C01A0"/>
    <w:rsid w:val="006D4074"/>
    <w:rsid w:val="006F13CF"/>
    <w:rsid w:val="006F3DF9"/>
    <w:rsid w:val="006F6D16"/>
    <w:rsid w:val="006F71FA"/>
    <w:rsid w:val="00701612"/>
    <w:rsid w:val="00704FDD"/>
    <w:rsid w:val="0072765E"/>
    <w:rsid w:val="00747DE0"/>
    <w:rsid w:val="00752D6F"/>
    <w:rsid w:val="00784462"/>
    <w:rsid w:val="0078463E"/>
    <w:rsid w:val="00785D00"/>
    <w:rsid w:val="007B4A30"/>
    <w:rsid w:val="007C2BDD"/>
    <w:rsid w:val="007C5370"/>
    <w:rsid w:val="007D0ACB"/>
    <w:rsid w:val="00813A99"/>
    <w:rsid w:val="00835FE8"/>
    <w:rsid w:val="00842724"/>
    <w:rsid w:val="008441B1"/>
    <w:rsid w:val="00850AE6"/>
    <w:rsid w:val="008629C3"/>
    <w:rsid w:val="00871D68"/>
    <w:rsid w:val="00877D54"/>
    <w:rsid w:val="008C4B23"/>
    <w:rsid w:val="008D1F54"/>
    <w:rsid w:val="008E35F3"/>
    <w:rsid w:val="009111A5"/>
    <w:rsid w:val="00923332"/>
    <w:rsid w:val="00945F06"/>
    <w:rsid w:val="00947476"/>
    <w:rsid w:val="00957CB1"/>
    <w:rsid w:val="0096574F"/>
    <w:rsid w:val="00980945"/>
    <w:rsid w:val="00985A4B"/>
    <w:rsid w:val="00987A2C"/>
    <w:rsid w:val="009A051D"/>
    <w:rsid w:val="009A147B"/>
    <w:rsid w:val="009A4CF2"/>
    <w:rsid w:val="009B71D1"/>
    <w:rsid w:val="009D4B96"/>
    <w:rsid w:val="009E29C5"/>
    <w:rsid w:val="009F019F"/>
    <w:rsid w:val="009F2C43"/>
    <w:rsid w:val="00A007A1"/>
    <w:rsid w:val="00A10BA5"/>
    <w:rsid w:val="00A26E7A"/>
    <w:rsid w:val="00A33A80"/>
    <w:rsid w:val="00A4382B"/>
    <w:rsid w:val="00A50C63"/>
    <w:rsid w:val="00A57ECE"/>
    <w:rsid w:val="00A70CA7"/>
    <w:rsid w:val="00A97D5A"/>
    <w:rsid w:val="00AB4390"/>
    <w:rsid w:val="00AB7A20"/>
    <w:rsid w:val="00AD4E5D"/>
    <w:rsid w:val="00AE04BF"/>
    <w:rsid w:val="00AF0423"/>
    <w:rsid w:val="00B0164F"/>
    <w:rsid w:val="00B04FC3"/>
    <w:rsid w:val="00B128C8"/>
    <w:rsid w:val="00B16911"/>
    <w:rsid w:val="00B47D06"/>
    <w:rsid w:val="00B50047"/>
    <w:rsid w:val="00B52861"/>
    <w:rsid w:val="00B625D8"/>
    <w:rsid w:val="00B7799E"/>
    <w:rsid w:val="00B77DBF"/>
    <w:rsid w:val="00B96613"/>
    <w:rsid w:val="00B97342"/>
    <w:rsid w:val="00BB095D"/>
    <w:rsid w:val="00BC0C9E"/>
    <w:rsid w:val="00BC1287"/>
    <w:rsid w:val="00BC36ED"/>
    <w:rsid w:val="00BD0A32"/>
    <w:rsid w:val="00BD79F9"/>
    <w:rsid w:val="00BE1E92"/>
    <w:rsid w:val="00BF4182"/>
    <w:rsid w:val="00C043AC"/>
    <w:rsid w:val="00C1469D"/>
    <w:rsid w:val="00C33911"/>
    <w:rsid w:val="00C44179"/>
    <w:rsid w:val="00C71634"/>
    <w:rsid w:val="00C91615"/>
    <w:rsid w:val="00CA1A20"/>
    <w:rsid w:val="00CA7016"/>
    <w:rsid w:val="00CC18F1"/>
    <w:rsid w:val="00CD2F49"/>
    <w:rsid w:val="00CD398D"/>
    <w:rsid w:val="00CE512A"/>
    <w:rsid w:val="00CF4A72"/>
    <w:rsid w:val="00D00098"/>
    <w:rsid w:val="00D03914"/>
    <w:rsid w:val="00D108B4"/>
    <w:rsid w:val="00D15079"/>
    <w:rsid w:val="00D17987"/>
    <w:rsid w:val="00D2429E"/>
    <w:rsid w:val="00D34CBF"/>
    <w:rsid w:val="00D504D9"/>
    <w:rsid w:val="00D5404E"/>
    <w:rsid w:val="00D5691A"/>
    <w:rsid w:val="00D56C1A"/>
    <w:rsid w:val="00DA039E"/>
    <w:rsid w:val="00DA3A06"/>
    <w:rsid w:val="00DB035D"/>
    <w:rsid w:val="00DB1118"/>
    <w:rsid w:val="00DF3BCB"/>
    <w:rsid w:val="00E0020D"/>
    <w:rsid w:val="00E02B0C"/>
    <w:rsid w:val="00E07CC8"/>
    <w:rsid w:val="00E114FD"/>
    <w:rsid w:val="00E279B8"/>
    <w:rsid w:val="00E425EC"/>
    <w:rsid w:val="00E46494"/>
    <w:rsid w:val="00E63ADD"/>
    <w:rsid w:val="00E650CD"/>
    <w:rsid w:val="00E67CA3"/>
    <w:rsid w:val="00E711F1"/>
    <w:rsid w:val="00E715C0"/>
    <w:rsid w:val="00E8322D"/>
    <w:rsid w:val="00E861F6"/>
    <w:rsid w:val="00E96E13"/>
    <w:rsid w:val="00EA32FA"/>
    <w:rsid w:val="00EA6B92"/>
    <w:rsid w:val="00EB0C3D"/>
    <w:rsid w:val="00EB3B1E"/>
    <w:rsid w:val="00EB3F2F"/>
    <w:rsid w:val="00EB6CDE"/>
    <w:rsid w:val="00EC3216"/>
    <w:rsid w:val="00EC77E8"/>
    <w:rsid w:val="00ED5785"/>
    <w:rsid w:val="00EE458B"/>
    <w:rsid w:val="00F02F23"/>
    <w:rsid w:val="00F03881"/>
    <w:rsid w:val="00F15E38"/>
    <w:rsid w:val="00F17384"/>
    <w:rsid w:val="00F26CD6"/>
    <w:rsid w:val="00F312C5"/>
    <w:rsid w:val="00F57896"/>
    <w:rsid w:val="00F60FFD"/>
    <w:rsid w:val="00F63D2D"/>
    <w:rsid w:val="00F70BD1"/>
    <w:rsid w:val="00F7393E"/>
    <w:rsid w:val="00F77F05"/>
    <w:rsid w:val="00F9093C"/>
    <w:rsid w:val="00FB3E28"/>
    <w:rsid w:val="00FD29AE"/>
    <w:rsid w:val="00FD6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B9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7D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7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B04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111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111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7E8"/>
  </w:style>
  <w:style w:type="paragraph" w:styleId="Footer">
    <w:name w:val="footer"/>
    <w:basedOn w:val="Normal"/>
    <w:link w:val="FooterChar"/>
    <w:uiPriority w:val="99"/>
    <w:unhideWhenUsed/>
    <w:rsid w:val="00EC7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7E8"/>
  </w:style>
  <w:style w:type="character" w:styleId="Hyperlink">
    <w:name w:val="Hyperlink"/>
    <w:basedOn w:val="DefaultParagraphFont"/>
    <w:uiPriority w:val="99"/>
    <w:unhideWhenUsed/>
    <w:rsid w:val="00B47D06"/>
    <w:rPr>
      <w:color w:val="0563C1" w:themeColor="hyperlink"/>
      <w:u w:val="single"/>
    </w:rPr>
  </w:style>
  <w:style w:type="character" w:customStyle="1" w:styleId="UnresolvedMention">
    <w:name w:val="Unresolved Mention"/>
    <w:basedOn w:val="DefaultParagraphFont"/>
    <w:uiPriority w:val="99"/>
    <w:semiHidden/>
    <w:unhideWhenUsed/>
    <w:rsid w:val="00B47D06"/>
    <w:rPr>
      <w:color w:val="605E5C"/>
      <w:shd w:val="clear" w:color="auto" w:fill="E1DFDD"/>
    </w:rPr>
  </w:style>
  <w:style w:type="character" w:customStyle="1" w:styleId="Heading1Char">
    <w:name w:val="Heading 1 Char"/>
    <w:basedOn w:val="DefaultParagraphFont"/>
    <w:link w:val="Heading1"/>
    <w:uiPriority w:val="9"/>
    <w:rsid w:val="00B47D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47D0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B0461"/>
    <w:pPr>
      <w:ind w:left="720"/>
      <w:contextualSpacing/>
    </w:pPr>
  </w:style>
  <w:style w:type="character" w:customStyle="1" w:styleId="Heading3Char">
    <w:name w:val="Heading 3 Char"/>
    <w:basedOn w:val="DefaultParagraphFont"/>
    <w:link w:val="Heading3"/>
    <w:uiPriority w:val="9"/>
    <w:rsid w:val="004B0461"/>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F6D16"/>
    <w:rPr>
      <w:color w:val="954F72" w:themeColor="followedHyperlink"/>
      <w:u w:val="single"/>
    </w:rPr>
  </w:style>
  <w:style w:type="paragraph" w:styleId="BalloonText">
    <w:name w:val="Balloon Text"/>
    <w:basedOn w:val="Normal"/>
    <w:link w:val="BalloonTextChar"/>
    <w:uiPriority w:val="99"/>
    <w:semiHidden/>
    <w:unhideWhenUsed/>
    <w:rsid w:val="0022099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099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20995"/>
    <w:rPr>
      <w:sz w:val="16"/>
      <w:szCs w:val="16"/>
    </w:rPr>
  </w:style>
  <w:style w:type="paragraph" w:styleId="CommentText">
    <w:name w:val="annotation text"/>
    <w:basedOn w:val="Normal"/>
    <w:link w:val="CommentTextChar"/>
    <w:uiPriority w:val="99"/>
    <w:semiHidden/>
    <w:unhideWhenUsed/>
    <w:rsid w:val="00220995"/>
    <w:pPr>
      <w:spacing w:line="240" w:lineRule="auto"/>
    </w:pPr>
    <w:rPr>
      <w:sz w:val="20"/>
      <w:szCs w:val="20"/>
    </w:rPr>
  </w:style>
  <w:style w:type="character" w:customStyle="1" w:styleId="CommentTextChar">
    <w:name w:val="Comment Text Char"/>
    <w:basedOn w:val="DefaultParagraphFont"/>
    <w:link w:val="CommentText"/>
    <w:uiPriority w:val="99"/>
    <w:semiHidden/>
    <w:rsid w:val="00220995"/>
    <w:rPr>
      <w:sz w:val="20"/>
      <w:szCs w:val="20"/>
    </w:rPr>
  </w:style>
  <w:style w:type="paragraph" w:styleId="CommentSubject">
    <w:name w:val="annotation subject"/>
    <w:basedOn w:val="CommentText"/>
    <w:next w:val="CommentText"/>
    <w:link w:val="CommentSubjectChar"/>
    <w:uiPriority w:val="99"/>
    <w:semiHidden/>
    <w:unhideWhenUsed/>
    <w:rsid w:val="00220995"/>
    <w:rPr>
      <w:b/>
      <w:bCs/>
    </w:rPr>
  </w:style>
  <w:style w:type="character" w:customStyle="1" w:styleId="CommentSubjectChar">
    <w:name w:val="Comment Subject Char"/>
    <w:basedOn w:val="CommentTextChar"/>
    <w:link w:val="CommentSubject"/>
    <w:uiPriority w:val="99"/>
    <w:semiHidden/>
    <w:rsid w:val="00220995"/>
    <w:rPr>
      <w:b/>
      <w:bCs/>
      <w:sz w:val="20"/>
      <w:szCs w:val="20"/>
    </w:rPr>
  </w:style>
  <w:style w:type="paragraph" w:styleId="FootnoteText">
    <w:name w:val="footnote text"/>
    <w:basedOn w:val="Normal"/>
    <w:link w:val="FootnoteTextChar"/>
    <w:uiPriority w:val="99"/>
    <w:semiHidden/>
    <w:unhideWhenUsed/>
    <w:rsid w:val="00DA3A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A06"/>
    <w:rPr>
      <w:sz w:val="20"/>
      <w:szCs w:val="20"/>
    </w:rPr>
  </w:style>
  <w:style w:type="character" w:styleId="FootnoteReference">
    <w:name w:val="footnote reference"/>
    <w:basedOn w:val="DefaultParagraphFont"/>
    <w:uiPriority w:val="99"/>
    <w:semiHidden/>
    <w:unhideWhenUsed/>
    <w:rsid w:val="00DA3A06"/>
    <w:rPr>
      <w:vertAlign w:val="superscript"/>
    </w:rPr>
  </w:style>
  <w:style w:type="paragraph" w:customStyle="1" w:styleId="paragraph">
    <w:name w:val="paragraph"/>
    <w:basedOn w:val="Normal"/>
    <w:rsid w:val="008441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441B1"/>
  </w:style>
  <w:style w:type="character" w:customStyle="1" w:styleId="eop">
    <w:name w:val="eop"/>
    <w:basedOn w:val="DefaultParagraphFont"/>
    <w:rsid w:val="008441B1"/>
  </w:style>
  <w:style w:type="character" w:customStyle="1" w:styleId="Heading4Char">
    <w:name w:val="Heading 4 Char"/>
    <w:basedOn w:val="DefaultParagraphFont"/>
    <w:link w:val="Heading4"/>
    <w:uiPriority w:val="9"/>
    <w:rsid w:val="009111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111A5"/>
    <w:rPr>
      <w:rFonts w:asciiTheme="majorHAnsi" w:eastAsiaTheme="majorEastAsia" w:hAnsiTheme="majorHAnsi" w:cstheme="majorBidi"/>
      <w:color w:val="2E74B5" w:themeColor="accent1" w:themeShade="BF"/>
    </w:rPr>
  </w:style>
  <w:style w:type="paragraph" w:customStyle="1" w:styleId="CharCharCharChar">
    <w:name w:val="Char Char Char Char"/>
    <w:basedOn w:val="Normal"/>
    <w:rsid w:val="00E715C0"/>
    <w:pPr>
      <w:spacing w:line="240" w:lineRule="exact"/>
    </w:pPr>
    <w:rPr>
      <w:rFonts w:ascii="Verdana" w:eastAsia="Times New Roman" w:hAnsi="Verdana" w:cs="Times New Roman"/>
      <w:szCs w:val="20"/>
      <w:lang w:val="en-US"/>
    </w:rPr>
  </w:style>
  <w:style w:type="paragraph" w:styleId="NormalWeb">
    <w:name w:val="Normal (Web)"/>
    <w:basedOn w:val="Normal"/>
    <w:uiPriority w:val="99"/>
    <w:semiHidden/>
    <w:unhideWhenUsed/>
    <w:rsid w:val="00EA32F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E114FD"/>
    <w:pPr>
      <w:spacing w:after="0" w:line="240" w:lineRule="auto"/>
    </w:pPr>
  </w:style>
  <w:style w:type="table" w:styleId="TableGrid">
    <w:name w:val="Table Grid"/>
    <w:basedOn w:val="TableNormal"/>
    <w:uiPriority w:val="39"/>
    <w:rsid w:val="00CA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2930">
      <w:bodyDiv w:val="1"/>
      <w:marLeft w:val="0"/>
      <w:marRight w:val="0"/>
      <w:marTop w:val="0"/>
      <w:marBottom w:val="0"/>
      <w:divBdr>
        <w:top w:val="none" w:sz="0" w:space="0" w:color="auto"/>
        <w:left w:val="none" w:sz="0" w:space="0" w:color="auto"/>
        <w:bottom w:val="none" w:sz="0" w:space="0" w:color="auto"/>
        <w:right w:val="none" w:sz="0" w:space="0" w:color="auto"/>
      </w:divBdr>
    </w:div>
    <w:div w:id="145560844">
      <w:bodyDiv w:val="1"/>
      <w:marLeft w:val="0"/>
      <w:marRight w:val="0"/>
      <w:marTop w:val="0"/>
      <w:marBottom w:val="0"/>
      <w:divBdr>
        <w:top w:val="none" w:sz="0" w:space="0" w:color="auto"/>
        <w:left w:val="none" w:sz="0" w:space="0" w:color="auto"/>
        <w:bottom w:val="none" w:sz="0" w:space="0" w:color="auto"/>
        <w:right w:val="none" w:sz="0" w:space="0" w:color="auto"/>
      </w:divBdr>
    </w:div>
    <w:div w:id="759326353">
      <w:bodyDiv w:val="1"/>
      <w:marLeft w:val="0"/>
      <w:marRight w:val="0"/>
      <w:marTop w:val="0"/>
      <w:marBottom w:val="0"/>
      <w:divBdr>
        <w:top w:val="none" w:sz="0" w:space="0" w:color="auto"/>
        <w:left w:val="none" w:sz="0" w:space="0" w:color="auto"/>
        <w:bottom w:val="none" w:sz="0" w:space="0" w:color="auto"/>
        <w:right w:val="none" w:sz="0" w:space="0" w:color="auto"/>
      </w:divBdr>
    </w:div>
    <w:div w:id="777869509">
      <w:bodyDiv w:val="1"/>
      <w:marLeft w:val="0"/>
      <w:marRight w:val="0"/>
      <w:marTop w:val="0"/>
      <w:marBottom w:val="0"/>
      <w:divBdr>
        <w:top w:val="none" w:sz="0" w:space="0" w:color="auto"/>
        <w:left w:val="none" w:sz="0" w:space="0" w:color="auto"/>
        <w:bottom w:val="none" w:sz="0" w:space="0" w:color="auto"/>
        <w:right w:val="none" w:sz="0" w:space="0" w:color="auto"/>
      </w:divBdr>
    </w:div>
    <w:div w:id="975260027">
      <w:bodyDiv w:val="1"/>
      <w:marLeft w:val="0"/>
      <w:marRight w:val="0"/>
      <w:marTop w:val="0"/>
      <w:marBottom w:val="0"/>
      <w:divBdr>
        <w:top w:val="none" w:sz="0" w:space="0" w:color="auto"/>
        <w:left w:val="none" w:sz="0" w:space="0" w:color="auto"/>
        <w:bottom w:val="none" w:sz="0" w:space="0" w:color="auto"/>
        <w:right w:val="none" w:sz="0" w:space="0" w:color="auto"/>
      </w:divBdr>
    </w:div>
    <w:div w:id="1080365360">
      <w:bodyDiv w:val="1"/>
      <w:marLeft w:val="0"/>
      <w:marRight w:val="0"/>
      <w:marTop w:val="0"/>
      <w:marBottom w:val="0"/>
      <w:divBdr>
        <w:top w:val="none" w:sz="0" w:space="0" w:color="auto"/>
        <w:left w:val="none" w:sz="0" w:space="0" w:color="auto"/>
        <w:bottom w:val="none" w:sz="0" w:space="0" w:color="auto"/>
        <w:right w:val="none" w:sz="0" w:space="0" w:color="auto"/>
      </w:divBdr>
    </w:div>
    <w:div w:id="1629892672">
      <w:bodyDiv w:val="1"/>
      <w:marLeft w:val="0"/>
      <w:marRight w:val="0"/>
      <w:marTop w:val="0"/>
      <w:marBottom w:val="0"/>
      <w:divBdr>
        <w:top w:val="none" w:sz="0" w:space="0" w:color="auto"/>
        <w:left w:val="none" w:sz="0" w:space="0" w:color="auto"/>
        <w:bottom w:val="none" w:sz="0" w:space="0" w:color="auto"/>
        <w:right w:val="none" w:sz="0" w:space="0" w:color="auto"/>
      </w:divBdr>
      <w:divsChild>
        <w:div w:id="266886551">
          <w:marLeft w:val="0"/>
          <w:marRight w:val="0"/>
          <w:marTop w:val="0"/>
          <w:marBottom w:val="0"/>
          <w:divBdr>
            <w:top w:val="none" w:sz="0" w:space="0" w:color="auto"/>
            <w:left w:val="none" w:sz="0" w:space="0" w:color="auto"/>
            <w:bottom w:val="none" w:sz="0" w:space="0" w:color="auto"/>
            <w:right w:val="none" w:sz="0" w:space="0" w:color="auto"/>
          </w:divBdr>
        </w:div>
        <w:div w:id="69356544">
          <w:marLeft w:val="0"/>
          <w:marRight w:val="0"/>
          <w:marTop w:val="0"/>
          <w:marBottom w:val="0"/>
          <w:divBdr>
            <w:top w:val="none" w:sz="0" w:space="0" w:color="auto"/>
            <w:left w:val="none" w:sz="0" w:space="0" w:color="auto"/>
            <w:bottom w:val="none" w:sz="0" w:space="0" w:color="auto"/>
            <w:right w:val="none" w:sz="0" w:space="0" w:color="auto"/>
          </w:divBdr>
        </w:div>
        <w:div w:id="1221750444">
          <w:marLeft w:val="0"/>
          <w:marRight w:val="0"/>
          <w:marTop w:val="0"/>
          <w:marBottom w:val="0"/>
          <w:divBdr>
            <w:top w:val="none" w:sz="0" w:space="0" w:color="auto"/>
            <w:left w:val="none" w:sz="0" w:space="0" w:color="auto"/>
            <w:bottom w:val="none" w:sz="0" w:space="0" w:color="auto"/>
            <w:right w:val="none" w:sz="0" w:space="0" w:color="auto"/>
          </w:divBdr>
        </w:div>
      </w:divsChild>
    </w:div>
    <w:div w:id="1878859339">
      <w:bodyDiv w:val="1"/>
      <w:marLeft w:val="0"/>
      <w:marRight w:val="0"/>
      <w:marTop w:val="0"/>
      <w:marBottom w:val="0"/>
      <w:divBdr>
        <w:top w:val="none" w:sz="0" w:space="0" w:color="auto"/>
        <w:left w:val="none" w:sz="0" w:space="0" w:color="auto"/>
        <w:bottom w:val="none" w:sz="0" w:space="0" w:color="auto"/>
        <w:right w:val="none" w:sz="0" w:space="0" w:color="auto"/>
      </w:divBdr>
    </w:div>
    <w:div w:id="1941259219">
      <w:bodyDiv w:val="1"/>
      <w:marLeft w:val="0"/>
      <w:marRight w:val="0"/>
      <w:marTop w:val="0"/>
      <w:marBottom w:val="0"/>
      <w:divBdr>
        <w:top w:val="none" w:sz="0" w:space="0" w:color="auto"/>
        <w:left w:val="none" w:sz="0" w:space="0" w:color="auto"/>
        <w:bottom w:val="none" w:sz="0" w:space="0" w:color="auto"/>
        <w:right w:val="none" w:sz="0" w:space="0" w:color="auto"/>
      </w:divBdr>
    </w:div>
    <w:div w:id="1991398163">
      <w:bodyDiv w:val="1"/>
      <w:marLeft w:val="0"/>
      <w:marRight w:val="0"/>
      <w:marTop w:val="0"/>
      <w:marBottom w:val="0"/>
      <w:divBdr>
        <w:top w:val="none" w:sz="0" w:space="0" w:color="auto"/>
        <w:left w:val="none" w:sz="0" w:space="0" w:color="auto"/>
        <w:bottom w:val="none" w:sz="0" w:space="0" w:color="auto"/>
        <w:right w:val="none" w:sz="0" w:space="0" w:color="auto"/>
      </w:divBdr>
    </w:div>
    <w:div w:id="19986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resholds@treasury.gov.au" TargetMode="External"/><Relationship Id="rId13" Type="http://schemas.openxmlformats.org/officeDocument/2006/relationships/hyperlink" Target="mailto:Alice.Husband@justiceconnect.org.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61%203%208636%20446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e.Woodward@justiceconnect.org.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tel:+61%203%208636%20440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hris.Povey@justiceconnect.org.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acnc.gov.au/tools/reports/cutting-red-tape-report" TargetMode="External"/><Relationship Id="rId1" Type="http://schemas.openxmlformats.org/officeDocument/2006/relationships/hyperlink" Target="https://asic.gov.au/regulatory-resources/financial-reporting-and-audit/preparers-of-financial-reports/are-you-a-large-or-small-proprietary-compan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DD742-4E16-4D6F-88CC-51610102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2021-03-29T06:50:00Z</dcterms:created>
  <dcterms:modified xsi:type="dcterms:W3CDTF">2021-03-29T06:50:00Z</dcterms:modified>
</cp:coreProperties>
</file>