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B62D" w14:textId="77777777" w:rsidR="000E0B74" w:rsidRPr="006D0240" w:rsidRDefault="000E0B74" w:rsidP="008E6292">
      <w:bookmarkStart w:id="0" w:name="_GoBack"/>
      <w:bookmarkEnd w:id="0"/>
    </w:p>
    <w:p w14:paraId="6CA3B848" w14:textId="77777777" w:rsidR="000E0B74" w:rsidRPr="006D0240" w:rsidRDefault="000E0B74" w:rsidP="001D4EAA">
      <w:pPr>
        <w:pStyle w:val="Crest"/>
        <w:spacing w:after="1320"/>
        <w:jc w:val="left"/>
      </w:pPr>
    </w:p>
    <w:p w14:paraId="6D639DA6" w14:textId="6763A7A2" w:rsidR="000E0B74" w:rsidRPr="001D4EAA" w:rsidRDefault="00DC1F1F" w:rsidP="00DA0FB8">
      <w:pPr>
        <w:pStyle w:val="Title"/>
      </w:pPr>
      <w:r>
        <w:t>Increasing</w:t>
      </w:r>
      <w:r w:rsidR="00DE257F">
        <w:t xml:space="preserve"> </w:t>
      </w:r>
      <w:r w:rsidR="001C6896">
        <w:t xml:space="preserve">the </w:t>
      </w:r>
      <w:r w:rsidR="00DE257F">
        <w:t>Statutory Demand Threshold</w:t>
      </w:r>
    </w:p>
    <w:p w14:paraId="21A3CFF5" w14:textId="35E64608" w:rsidR="00056880" w:rsidRDefault="00AC157B" w:rsidP="001D4EAA">
      <w:pPr>
        <w:pStyle w:val="ReportDate"/>
        <w:rPr>
          <w:rFonts w:ascii="Rockwell" w:hAnsi="Rockwell"/>
          <w:sz w:val="24"/>
        </w:rPr>
      </w:pPr>
      <w:r>
        <w:rPr>
          <w:rStyle w:val="ReportDateChar"/>
        </w:rPr>
        <w:t>15</w:t>
      </w:r>
      <w:r w:rsidR="00A8070B">
        <w:rPr>
          <w:rStyle w:val="ReportDateChar"/>
        </w:rPr>
        <w:t xml:space="preserve"> </w:t>
      </w:r>
      <w:r w:rsidR="00CB6EED">
        <w:rPr>
          <w:rStyle w:val="ReportDateChar"/>
        </w:rPr>
        <w:t xml:space="preserve">February </w:t>
      </w:r>
      <w:r w:rsidR="003F5346">
        <w:rPr>
          <w:rStyle w:val="ReportDateChar"/>
        </w:rPr>
        <w:t>202</w:t>
      </w:r>
      <w:r w:rsidR="008820BE">
        <w:rPr>
          <w:rStyle w:val="ReportDateChar"/>
        </w:rPr>
        <w:t>1</w:t>
      </w:r>
    </w:p>
    <w:p w14:paraId="246DBE26" w14:textId="77777777" w:rsidR="002F617F" w:rsidRPr="001D4EAA" w:rsidRDefault="002F617F" w:rsidP="001D4EAA">
      <w:pPr>
        <w:spacing w:after="6000"/>
      </w:pPr>
    </w:p>
    <w:p w14:paraId="29410716" w14:textId="77777777" w:rsidR="000E0B74" w:rsidRDefault="000E0B74" w:rsidP="000E0B74">
      <w:pPr>
        <w:rPr>
          <w:rFonts w:cs="Calibri"/>
          <w:sz w:val="20"/>
        </w:rPr>
      </w:pPr>
    </w:p>
    <w:p w14:paraId="3EB99C9A" w14:textId="77777777" w:rsidR="000E0B74" w:rsidRDefault="000E0B74" w:rsidP="000E0B74">
      <w:pPr>
        <w:sectPr w:rsidR="000E0B74" w:rsidSect="00E1136B">
          <w:headerReference w:type="default" r:id="rId11"/>
          <w:pgSz w:w="11906" w:h="16838"/>
          <w:pgMar w:top="1418" w:right="1418" w:bottom="1418" w:left="1418" w:header="709" w:footer="709" w:gutter="0"/>
          <w:pgNumType w:fmt="lowerRoman" w:start="1"/>
          <w:cols w:space="720"/>
        </w:sectPr>
      </w:pPr>
    </w:p>
    <w:p w14:paraId="71B98FF7" w14:textId="6650B302" w:rsidR="000E0B74" w:rsidRDefault="000E0B74" w:rsidP="000E0B74">
      <w:pPr>
        <w:spacing w:before="240"/>
      </w:pPr>
      <w:r w:rsidRPr="00661BF0">
        <w:lastRenderedPageBreak/>
        <w:t xml:space="preserve">© Commonwealth of Australia </w:t>
      </w:r>
      <w:r w:rsidR="00F632CA" w:rsidRPr="001C6896">
        <w:t>202</w:t>
      </w:r>
      <w:r w:rsidR="00F632CA">
        <w:t>1</w:t>
      </w:r>
    </w:p>
    <w:p w14:paraId="76D4F6A1" w14:textId="0CFFB12A" w:rsidR="000E0B74" w:rsidRPr="00086F82" w:rsidRDefault="000E0B74" w:rsidP="000E0B74">
      <w:pPr>
        <w:tabs>
          <w:tab w:val="left" w:pos="1650"/>
        </w:tabs>
        <w:spacing w:before="240"/>
        <w:rPr>
          <w:rFonts w:cstheme="minorBidi"/>
          <w:sz w:val="24"/>
          <w:szCs w:val="24"/>
        </w:rPr>
      </w:pPr>
      <w:r w:rsidRPr="002F1BC2">
        <w:t>This publication is available for your use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12" w:history="1">
        <w:r w:rsidRPr="006627B4">
          <w:rPr>
            <w:rStyle w:val="Hyperlink"/>
          </w:rPr>
          <w:t>Creative Commons Attribution 3.0 Australia</w:t>
        </w:r>
      </w:hyperlink>
      <w:r w:rsidRPr="00476F09">
        <w:rPr>
          <w:rFonts w:cstheme="minorHAnsi"/>
          <w:sz w:val="24"/>
          <w:szCs w:val="24"/>
        </w:rPr>
        <w:t xml:space="preserve"> </w:t>
      </w:r>
      <w:r w:rsidRPr="002F1BC2">
        <w:t>licence, with the exception of the Commonwealth Coat of Arms, the Treasury logo</w:t>
      </w:r>
      <w:r>
        <w:t xml:space="preserve">, photographs, images, signatures </w:t>
      </w:r>
      <w:r w:rsidR="00EC4AEC">
        <w:t xml:space="preserve">and where otherwise stated. </w:t>
      </w:r>
      <w:r w:rsidRPr="002F1BC2">
        <w:t>The full licence terms are available from</w:t>
      </w:r>
      <w:r w:rsidRPr="00476F09">
        <w:rPr>
          <w:rFonts w:cstheme="minorHAnsi"/>
          <w:sz w:val="24"/>
          <w:szCs w:val="24"/>
        </w:rPr>
        <w:t xml:space="preserve"> </w:t>
      </w:r>
      <w:hyperlink r:id="rId13" w:history="1">
        <w:r w:rsidRPr="00D45AF8">
          <w:rPr>
            <w:rStyle w:val="Hyperlink"/>
          </w:rPr>
          <w:t>http://creativecommons.org/licenses/by/3.0/au/legalcode</w:t>
        </w:r>
      </w:hyperlink>
      <w:r w:rsidRPr="006627B4">
        <w:rPr>
          <w:rStyle w:val="Hyperlink"/>
        </w:rPr>
        <w:t>.</w:t>
      </w:r>
      <w:r w:rsidRPr="00D06A21">
        <w:rPr>
          <w:sz w:val="24"/>
          <w:szCs w:val="24"/>
        </w:rPr>
        <w:t xml:space="preserve"> </w:t>
      </w:r>
    </w:p>
    <w:p w14:paraId="63068116" w14:textId="77777777" w:rsidR="000E0B74" w:rsidRDefault="000E0B74" w:rsidP="000E0B74">
      <w:pPr>
        <w:pStyle w:val="ChartGraphic"/>
        <w:jc w:val="left"/>
      </w:pPr>
      <w:r w:rsidRPr="00E56DFB">
        <w:rPr>
          <w:noProof/>
        </w:rPr>
        <w:drawing>
          <wp:inline distT="0" distB="0" distL="0" distR="0" wp14:anchorId="2057881E" wp14:editId="590DA2FD">
            <wp:extent cx="809625" cy="285750"/>
            <wp:effectExtent l="0" t="0" r="9525" b="0"/>
            <wp:docPr id="3" name="Picture 1" descr="Creative Commons attribution licence 3.0 icon. " title="Creative Comm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 by_gre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319EA" w14:textId="77777777" w:rsidR="000E0B74" w:rsidRPr="006627B4" w:rsidRDefault="000E0B74" w:rsidP="000E0B74">
      <w:pPr>
        <w:tabs>
          <w:tab w:val="left" w:pos="1650"/>
        </w:tabs>
        <w:spacing w:before="240"/>
      </w:pPr>
      <w:r w:rsidRPr="006627B4">
        <w:t>Use of Treasury material under a</w:t>
      </w:r>
      <w:r w:rsidRPr="00476F09">
        <w:rPr>
          <w:rFonts w:cstheme="minorHAnsi"/>
          <w:sz w:val="24"/>
          <w:szCs w:val="24"/>
        </w:rPr>
        <w:t xml:space="preserve"> </w:t>
      </w:r>
      <w:hyperlink r:id="rId15" w:history="1">
        <w:r w:rsidRPr="002F1BC2">
          <w:rPr>
            <w:rStyle w:val="Hyperlink"/>
          </w:rPr>
          <w:t>Creative Commons Attribution 3.0 Australia</w:t>
        </w:r>
      </w:hyperlink>
      <w:r w:rsidRPr="002F1BC2">
        <w:rPr>
          <w:rStyle w:val="Hyperlink"/>
        </w:rPr>
        <w:t xml:space="preserve"> </w:t>
      </w:r>
      <w:r w:rsidRPr="006627B4">
        <w:t>licence requires you to attribute the work (but not in any way that suggests that the Treasury endorse</w:t>
      </w:r>
      <w:r>
        <w:t>s you or your use of the work).</w:t>
      </w:r>
    </w:p>
    <w:p w14:paraId="2555CF38" w14:textId="77777777" w:rsidR="000E0B74" w:rsidRPr="002F1BC2" w:rsidRDefault="000E0B74" w:rsidP="000E0B74">
      <w:pPr>
        <w:ind w:left="709"/>
        <w:rPr>
          <w:i/>
        </w:rPr>
      </w:pPr>
      <w:r w:rsidRPr="002F1BC2">
        <w:rPr>
          <w:i/>
        </w:rPr>
        <w:t xml:space="preserve">Treasury material used </w:t>
      </w:r>
      <w:r>
        <w:rPr>
          <w:i/>
        </w:rPr>
        <w:t>‘</w:t>
      </w:r>
      <w:r w:rsidRPr="002F1BC2">
        <w:rPr>
          <w:i/>
        </w:rPr>
        <w:t>as supplied</w:t>
      </w:r>
      <w:r>
        <w:rPr>
          <w:i/>
        </w:rPr>
        <w:t>’.</w:t>
      </w:r>
    </w:p>
    <w:p w14:paraId="67FB6D6F" w14:textId="77777777" w:rsidR="000E0B74" w:rsidRPr="00476F09" w:rsidRDefault="000E0B74" w:rsidP="000E0B74">
      <w:pPr>
        <w:spacing w:before="240"/>
      </w:pPr>
      <w:r w:rsidRPr="00476F09">
        <w:t>Provided you have not modified or transformed Treasury material in any way including, for example, by</w:t>
      </w:r>
      <w:r>
        <w:t xml:space="preserve"> </w:t>
      </w:r>
      <w:r w:rsidRPr="0096692D">
        <w:t>changing the Treasury text; calculating percentage changes; graphing or charting data</w:t>
      </w:r>
      <w:r>
        <w:t>;</w:t>
      </w:r>
      <w:r w:rsidRPr="0096692D">
        <w:t xml:space="preserve"> or deriving new statistics from published Treasury statistics</w:t>
      </w:r>
      <w:r>
        <w:t xml:space="preserve"> — then Treasury prefers t</w:t>
      </w:r>
      <w:r w:rsidRPr="00476F09">
        <w:t xml:space="preserve">he following attribution: </w:t>
      </w:r>
    </w:p>
    <w:p w14:paraId="33A23037" w14:textId="046325A3" w:rsidR="000E0B74" w:rsidRPr="00A13A11" w:rsidRDefault="000E0B74" w:rsidP="000E0B74">
      <w:pPr>
        <w:ind w:firstLine="720"/>
      </w:pPr>
      <w:r w:rsidRPr="002F1BC2">
        <w:rPr>
          <w:i/>
        </w:rPr>
        <w:t xml:space="preserve">Source: The </w:t>
      </w:r>
      <w:r w:rsidRPr="002F1BC2">
        <w:rPr>
          <w:i/>
          <w:iCs/>
        </w:rPr>
        <w:t>Aus</w:t>
      </w:r>
      <w:r w:rsidR="00EC4AEC">
        <w:rPr>
          <w:i/>
          <w:iCs/>
        </w:rPr>
        <w:t>tralian Government the Treasury</w:t>
      </w:r>
      <w:r w:rsidR="00EC4AEC">
        <w:rPr>
          <w:iCs/>
        </w:rPr>
        <w:t>.</w:t>
      </w:r>
    </w:p>
    <w:p w14:paraId="70206F3E" w14:textId="77777777" w:rsidR="000E0B74" w:rsidRPr="006627B4" w:rsidRDefault="000E0B74" w:rsidP="000E0B74">
      <w:pPr>
        <w:spacing w:before="240"/>
      </w:pPr>
      <w:r w:rsidRPr="00CC63CC">
        <w:rPr>
          <w:b/>
        </w:rPr>
        <w:t>Derivative</w:t>
      </w:r>
      <w:r w:rsidRPr="006627B4">
        <w:t xml:space="preserve"> </w:t>
      </w:r>
      <w:r w:rsidRPr="00CC63CC">
        <w:rPr>
          <w:b/>
        </w:rPr>
        <w:t>material</w:t>
      </w:r>
    </w:p>
    <w:p w14:paraId="27587F62" w14:textId="77777777" w:rsidR="000E0B74" w:rsidRPr="006627B4" w:rsidRDefault="000E0B74" w:rsidP="000E0B74">
      <w:r w:rsidRPr="006627B4">
        <w:t xml:space="preserve">If you have modified or transformed Treasury material, or derived new material from those of the Treasury in any way, then Treasury prefers the following attribution: </w:t>
      </w:r>
    </w:p>
    <w:p w14:paraId="091B8EC6" w14:textId="11A0BF11" w:rsidR="000E0B74" w:rsidRPr="006627B4" w:rsidRDefault="000E0B74" w:rsidP="000E0B74">
      <w:pPr>
        <w:ind w:firstLine="720"/>
      </w:pPr>
      <w:r w:rsidRPr="002F1BC2">
        <w:rPr>
          <w:i/>
        </w:rPr>
        <w:t>Based on The Australian Government the Treasury data</w:t>
      </w:r>
      <w:r w:rsidR="00EC4AEC">
        <w:t>.</w:t>
      </w:r>
    </w:p>
    <w:p w14:paraId="0140EFF1" w14:textId="77777777" w:rsidR="000E0B74" w:rsidRPr="006627B4" w:rsidRDefault="000E0B74" w:rsidP="000E0B74">
      <w:pPr>
        <w:spacing w:before="240"/>
        <w:rPr>
          <w:b/>
        </w:rPr>
      </w:pPr>
      <w:r w:rsidRPr="006627B4">
        <w:rPr>
          <w:b/>
        </w:rPr>
        <w:t>Use of the Coat of Arms</w:t>
      </w:r>
    </w:p>
    <w:p w14:paraId="334191E5" w14:textId="77777777" w:rsidR="000E0B74" w:rsidRPr="006627B4" w:rsidRDefault="004A7BC2" w:rsidP="000E0B74">
      <w:r w:rsidRPr="004A7BC2">
        <w:t>The terms under which the Coat of Arms can be used are set out</w:t>
      </w:r>
      <w:r>
        <w:t xml:space="preserve"> on the Department of the Prime </w:t>
      </w:r>
      <w:r w:rsidRPr="004A7BC2">
        <w:t xml:space="preserve">Minister and Cabinet website (see </w:t>
      </w:r>
      <w:hyperlink r:id="rId16" w:history="1">
        <w:r w:rsidRPr="005A283B">
          <w:rPr>
            <w:rStyle w:val="Hyperlink"/>
          </w:rPr>
          <w:t>www.pmc.gov.au/government/commonwealth-coat-arm</w:t>
        </w:r>
      </w:hyperlink>
      <w:r w:rsidRPr="001D2A59">
        <w:rPr>
          <w:rStyle w:val="Hyperlink"/>
        </w:rPr>
        <w:t>s</w:t>
      </w:r>
      <w:r w:rsidRPr="004A7BC2">
        <w:t>).</w:t>
      </w:r>
    </w:p>
    <w:p w14:paraId="7586D183" w14:textId="77777777" w:rsidR="000E0B74" w:rsidRPr="006627B4" w:rsidRDefault="000E0B74" w:rsidP="000E0B74">
      <w:pPr>
        <w:spacing w:before="240"/>
        <w:rPr>
          <w:b/>
        </w:rPr>
      </w:pPr>
      <w:r>
        <w:rPr>
          <w:b/>
        </w:rPr>
        <w:t>Other u</w:t>
      </w:r>
      <w:r w:rsidRPr="006627B4">
        <w:rPr>
          <w:b/>
        </w:rPr>
        <w:t>ses</w:t>
      </w:r>
    </w:p>
    <w:p w14:paraId="50207355" w14:textId="77777777" w:rsidR="000E0B74" w:rsidRPr="006627B4" w:rsidRDefault="000E0B74" w:rsidP="000E0B74">
      <w:r>
        <w:t>E</w:t>
      </w:r>
      <w:r w:rsidRPr="006627B4">
        <w:t>nquiries regarding this licence and any other use of this document are welcome at:</w:t>
      </w:r>
    </w:p>
    <w:p w14:paraId="07F552EF" w14:textId="77777777" w:rsidR="000E0B74" w:rsidRPr="002F1BC2" w:rsidRDefault="000E0B74" w:rsidP="000E0B74">
      <w:pPr>
        <w:ind w:left="720"/>
        <w:rPr>
          <w:rStyle w:val="Hyperlink"/>
        </w:rPr>
      </w:pPr>
      <w:r w:rsidRPr="006627B4">
        <w:t>Manager</w:t>
      </w:r>
      <w:r w:rsidR="009A668A">
        <w:br/>
      </w:r>
      <w:r>
        <w:t>Media and Speeches Unit</w:t>
      </w:r>
      <w:r>
        <w:br/>
      </w:r>
      <w:r w:rsidRPr="006627B4">
        <w:t>The Treasury</w:t>
      </w:r>
      <w:r>
        <w:br/>
      </w:r>
      <w:r w:rsidRPr="006627B4">
        <w:t xml:space="preserve">Langton Crescent </w:t>
      </w:r>
      <w:r>
        <w:br/>
      </w:r>
      <w:r w:rsidRPr="006627B4">
        <w:t xml:space="preserve">Parkes </w:t>
      </w:r>
      <w:r>
        <w:t xml:space="preserve"> </w:t>
      </w:r>
      <w:r w:rsidRPr="006627B4">
        <w:t xml:space="preserve">ACT </w:t>
      </w:r>
      <w:r>
        <w:t xml:space="preserve"> </w:t>
      </w:r>
      <w:r w:rsidRPr="006627B4">
        <w:t>2600</w:t>
      </w:r>
      <w:r>
        <w:br/>
      </w:r>
      <w:r w:rsidRPr="006627B4">
        <w:t xml:space="preserve">Email: </w:t>
      </w:r>
      <w:hyperlink r:id="rId17" w:history="1">
        <w:r w:rsidR="004A077D" w:rsidRPr="000951A5">
          <w:rPr>
            <w:rStyle w:val="Hyperlink"/>
          </w:rPr>
          <w:t>media@treasury.gov.au</w:t>
        </w:r>
      </w:hyperlink>
      <w:r w:rsidR="004A077D">
        <w:t xml:space="preserve"> </w:t>
      </w:r>
    </w:p>
    <w:p w14:paraId="697B4023" w14:textId="77777777" w:rsidR="000E0B74" w:rsidRDefault="000E0B74" w:rsidP="000E0B74">
      <w:pPr>
        <w:pStyle w:val="SingleParagraph"/>
        <w:sectPr w:rsidR="000E0B74" w:rsidSect="00475B7B">
          <w:headerReference w:type="even" r:id="rId18"/>
          <w:headerReference w:type="default" r:id="rId19"/>
          <w:footerReference w:type="even" r:id="rId20"/>
          <w:pgSz w:w="11906" w:h="16838" w:code="9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</w:p>
    <w:p w14:paraId="5456AC0E" w14:textId="77777777" w:rsidR="0084159E" w:rsidRDefault="000E0B74" w:rsidP="009F3370">
      <w:pPr>
        <w:pStyle w:val="Heading1"/>
        <w:rPr>
          <w:noProof/>
        </w:rPr>
      </w:pPr>
      <w:bookmarkStart w:id="1" w:name="_Toc63761731"/>
      <w:r w:rsidRPr="00354FBB">
        <w:lastRenderedPageBreak/>
        <w:t>Contents</w:t>
      </w:r>
      <w:bookmarkEnd w:id="1"/>
      <w:r w:rsidR="00257AEE">
        <w:rPr>
          <w:b/>
        </w:rPr>
        <w:fldChar w:fldCharType="begin"/>
      </w:r>
      <w:r w:rsidR="00257AEE">
        <w:instrText xml:space="preserve"> TOC \o "1-2" \h \z \t "Heading 3,3,Chart Main Heading,3,Table Main Heading,3,Heading 3 Numbered,3,Table Heading Continued,3" </w:instrText>
      </w:r>
      <w:r w:rsidR="00257AEE">
        <w:rPr>
          <w:b/>
        </w:rPr>
        <w:fldChar w:fldCharType="separate"/>
      </w:r>
    </w:p>
    <w:p w14:paraId="1C1376DF" w14:textId="7BFB25AF" w:rsidR="0084159E" w:rsidRDefault="00714576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hyperlink w:anchor="_Toc63761731" w:history="1">
        <w:r w:rsidR="0084159E" w:rsidRPr="000372CC">
          <w:rPr>
            <w:rStyle w:val="Hyperlink"/>
          </w:rPr>
          <w:t>Contents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_Toc63761731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iii</w:t>
        </w:r>
        <w:r w:rsidR="0084159E">
          <w:rPr>
            <w:webHidden/>
          </w:rPr>
          <w:fldChar w:fldCharType="end"/>
        </w:r>
      </w:hyperlink>
    </w:p>
    <w:p w14:paraId="31C3FE10" w14:textId="3995231E" w:rsidR="0084159E" w:rsidRDefault="00714576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hyperlink w:anchor="_Toc63761732" w:history="1">
        <w:r w:rsidR="0084159E" w:rsidRPr="000372CC">
          <w:rPr>
            <w:rStyle w:val="Hyperlink"/>
          </w:rPr>
          <w:t>Consultation Process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_Toc63761732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1</w:t>
        </w:r>
        <w:r w:rsidR="0084159E">
          <w:rPr>
            <w:webHidden/>
          </w:rPr>
          <w:fldChar w:fldCharType="end"/>
        </w:r>
      </w:hyperlink>
    </w:p>
    <w:p w14:paraId="46F6765E" w14:textId="71759754" w:rsidR="0084159E" w:rsidRDefault="00714576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33" w:history="1">
        <w:r w:rsidR="0084159E" w:rsidRPr="000372CC">
          <w:rPr>
            <w:rStyle w:val="Hyperlink"/>
          </w:rPr>
          <w:t>Request for feedback and comments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_Toc63761733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1</w:t>
        </w:r>
        <w:r w:rsidR="0084159E">
          <w:rPr>
            <w:webHidden/>
          </w:rPr>
          <w:fldChar w:fldCharType="end"/>
        </w:r>
      </w:hyperlink>
    </w:p>
    <w:p w14:paraId="7827C3B8" w14:textId="4E75325E" w:rsidR="0084159E" w:rsidRDefault="00714576">
      <w:pPr>
        <w:pStyle w:val="TOC1"/>
        <w:rPr>
          <w:rFonts w:asciiTheme="minorHAnsi" w:eastAsiaTheme="minorEastAsia" w:hAnsiTheme="minorHAnsi" w:cstheme="minorBidi"/>
          <w:b w:val="0"/>
          <w:color w:val="auto"/>
        </w:rPr>
      </w:pPr>
      <w:hyperlink w:anchor="_Toc63761734" w:history="1">
        <w:r w:rsidR="0084159E" w:rsidRPr="000372CC">
          <w:rPr>
            <w:rStyle w:val="Hyperlink"/>
          </w:rPr>
          <w:t>Increasing the Statutory Demand Threshold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_Toc63761734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2</w:t>
        </w:r>
        <w:r w:rsidR="0084159E">
          <w:rPr>
            <w:webHidden/>
          </w:rPr>
          <w:fldChar w:fldCharType="end"/>
        </w:r>
      </w:hyperlink>
    </w:p>
    <w:p w14:paraId="288C664D" w14:textId="6052BCDE" w:rsidR="0084159E" w:rsidRDefault="00714576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35" w:history="1">
        <w:r w:rsidR="0084159E" w:rsidRPr="000372CC">
          <w:rPr>
            <w:rStyle w:val="Hyperlink"/>
          </w:rPr>
          <w:t>Introduction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_Toc63761735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2</w:t>
        </w:r>
        <w:r w:rsidR="0084159E">
          <w:rPr>
            <w:webHidden/>
          </w:rPr>
          <w:fldChar w:fldCharType="end"/>
        </w:r>
      </w:hyperlink>
    </w:p>
    <w:p w14:paraId="2D3D6693" w14:textId="4E32ADBE" w:rsidR="0084159E" w:rsidRDefault="00714576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36" w:history="1">
        <w:r w:rsidR="0084159E" w:rsidRPr="000372CC">
          <w:rPr>
            <w:rStyle w:val="Hyperlink"/>
          </w:rPr>
          <w:t>Request for submissions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_Toc63761736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2</w:t>
        </w:r>
        <w:r w:rsidR="0084159E">
          <w:rPr>
            <w:webHidden/>
          </w:rPr>
          <w:fldChar w:fldCharType="end"/>
        </w:r>
      </w:hyperlink>
    </w:p>
    <w:p w14:paraId="2794DDA3" w14:textId="7EB44562" w:rsidR="0084159E" w:rsidRDefault="00714576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37" w:history="1">
        <w:r w:rsidR="0084159E" w:rsidRPr="000372CC">
          <w:rPr>
            <w:rStyle w:val="Hyperlink"/>
          </w:rPr>
          <w:t>Questions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_Toc63761737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2</w:t>
        </w:r>
        <w:r w:rsidR="0084159E">
          <w:rPr>
            <w:webHidden/>
          </w:rPr>
          <w:fldChar w:fldCharType="end"/>
        </w:r>
      </w:hyperlink>
    </w:p>
    <w:p w14:paraId="15076D97" w14:textId="1DE8EE00" w:rsidR="0084159E" w:rsidRDefault="00714576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38" w:history="1">
        <w:r w:rsidR="0084159E" w:rsidRPr="000372CC">
          <w:rPr>
            <w:rStyle w:val="Hyperlink"/>
          </w:rPr>
          <w:t>What is a statutory demand?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_Toc63761738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2</w:t>
        </w:r>
        <w:r w:rsidR="0084159E">
          <w:rPr>
            <w:webHidden/>
          </w:rPr>
          <w:fldChar w:fldCharType="end"/>
        </w:r>
      </w:hyperlink>
    </w:p>
    <w:p w14:paraId="5903F63F" w14:textId="57069D92" w:rsidR="0084159E" w:rsidRDefault="00714576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39" w:history="1">
        <w:r w:rsidR="0084159E" w:rsidRPr="000372CC">
          <w:rPr>
            <w:rStyle w:val="Hyperlink"/>
          </w:rPr>
          <w:t>Context of consultation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_Toc63761739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3</w:t>
        </w:r>
        <w:r w:rsidR="0084159E">
          <w:rPr>
            <w:webHidden/>
          </w:rPr>
          <w:fldChar w:fldCharType="end"/>
        </w:r>
      </w:hyperlink>
    </w:p>
    <w:p w14:paraId="080AB82A" w14:textId="7665CD36" w:rsidR="0084159E" w:rsidRDefault="00714576">
      <w:pPr>
        <w:pStyle w:val="TOC2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40" w:history="1">
        <w:r w:rsidR="0084159E" w:rsidRPr="000372CC">
          <w:rPr>
            <w:rStyle w:val="Hyperlink"/>
          </w:rPr>
          <w:t>Issues associated with the statutory demand threshold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_Toc63761740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3</w:t>
        </w:r>
        <w:r w:rsidR="0084159E">
          <w:rPr>
            <w:webHidden/>
          </w:rPr>
          <w:fldChar w:fldCharType="end"/>
        </w:r>
      </w:hyperlink>
    </w:p>
    <w:p w14:paraId="1E47DE9A" w14:textId="225BD313" w:rsidR="0084159E" w:rsidRDefault="00714576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41" w:history="1">
        <w:r w:rsidR="0084159E" w:rsidRPr="000372CC">
          <w:rPr>
            <w:rStyle w:val="Hyperlink"/>
          </w:rPr>
          <w:t>Change to the value of money (inflation)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_Toc63761741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3</w:t>
        </w:r>
        <w:r w:rsidR="0084159E">
          <w:rPr>
            <w:webHidden/>
          </w:rPr>
          <w:fldChar w:fldCharType="end"/>
        </w:r>
      </w:hyperlink>
    </w:p>
    <w:p w14:paraId="46338E64" w14:textId="70E47C59" w:rsidR="0084159E" w:rsidRDefault="00714576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42" w:history="1">
        <w:r w:rsidR="0084159E" w:rsidRPr="000372CC">
          <w:rPr>
            <w:rStyle w:val="Hyperlink"/>
          </w:rPr>
          <w:t>Commercial costs of issuing and defending a demand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_Toc63761742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4</w:t>
        </w:r>
        <w:r w:rsidR="0084159E">
          <w:rPr>
            <w:webHidden/>
          </w:rPr>
          <w:fldChar w:fldCharType="end"/>
        </w:r>
      </w:hyperlink>
    </w:p>
    <w:p w14:paraId="42EA6101" w14:textId="2FC77D37" w:rsidR="0084159E" w:rsidRDefault="00714576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43" w:history="1">
        <w:r w:rsidR="0084159E" w:rsidRPr="000372CC">
          <w:rPr>
            <w:rStyle w:val="Hyperlink"/>
          </w:rPr>
          <w:t>Alignment with personal bankruptcy threshold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_Toc63761743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4</w:t>
        </w:r>
        <w:r w:rsidR="0084159E">
          <w:rPr>
            <w:webHidden/>
          </w:rPr>
          <w:fldChar w:fldCharType="end"/>
        </w:r>
      </w:hyperlink>
    </w:p>
    <w:p w14:paraId="34983290" w14:textId="1F5AFEC9" w:rsidR="0084159E" w:rsidRDefault="00714576">
      <w:pPr>
        <w:pStyle w:val="TOC3"/>
        <w:rPr>
          <w:rFonts w:asciiTheme="minorHAnsi" w:eastAsiaTheme="minorEastAsia" w:hAnsiTheme="minorHAnsi" w:cstheme="minorBidi"/>
          <w:color w:val="auto"/>
          <w:szCs w:val="22"/>
        </w:rPr>
      </w:pPr>
      <w:hyperlink w:anchor="_Toc63761744" w:history="1">
        <w:r w:rsidR="0084159E" w:rsidRPr="000372CC">
          <w:rPr>
            <w:rStyle w:val="Hyperlink"/>
          </w:rPr>
          <w:t>Impacts on creditors and debtor companies</w:t>
        </w:r>
        <w:r w:rsidR="0084159E">
          <w:rPr>
            <w:webHidden/>
          </w:rPr>
          <w:tab/>
        </w:r>
        <w:r w:rsidR="0084159E">
          <w:rPr>
            <w:webHidden/>
          </w:rPr>
          <w:fldChar w:fldCharType="begin"/>
        </w:r>
        <w:r w:rsidR="0084159E">
          <w:rPr>
            <w:webHidden/>
          </w:rPr>
          <w:instrText xml:space="preserve"> PAGEREF _Toc63761744 \h </w:instrText>
        </w:r>
        <w:r w:rsidR="0084159E">
          <w:rPr>
            <w:webHidden/>
          </w:rPr>
        </w:r>
        <w:r w:rsidR="0084159E">
          <w:rPr>
            <w:webHidden/>
          </w:rPr>
          <w:fldChar w:fldCharType="separate"/>
        </w:r>
        <w:r w:rsidR="005157A4">
          <w:rPr>
            <w:webHidden/>
          </w:rPr>
          <w:t>4</w:t>
        </w:r>
        <w:r w:rsidR="0084159E">
          <w:rPr>
            <w:webHidden/>
          </w:rPr>
          <w:fldChar w:fldCharType="end"/>
        </w:r>
      </w:hyperlink>
    </w:p>
    <w:p w14:paraId="35DC0129" w14:textId="22EC329F" w:rsidR="000E0B74" w:rsidRDefault="00257AEE" w:rsidP="00656356">
      <w:pPr>
        <w:pStyle w:val="SingleParagraph"/>
        <w:tabs>
          <w:tab w:val="right" w:leader="dot" w:pos="9072"/>
        </w:tabs>
        <w:ind w:right="-2"/>
        <w:sectPr w:rsidR="000E0B74" w:rsidSect="00475B7B">
          <w:pgSz w:w="11906" w:h="16838" w:code="9"/>
          <w:pgMar w:top="1418" w:right="1418" w:bottom="1418" w:left="1418" w:header="709" w:footer="709" w:gutter="0"/>
          <w:pgNumType w:fmt="lowerRoman"/>
          <w:cols w:space="708"/>
          <w:titlePg/>
          <w:docGrid w:linePitch="360"/>
        </w:sectPr>
      </w:pPr>
      <w:r>
        <w:rPr>
          <w:noProof/>
          <w:color w:val="004A7F"/>
          <w:szCs w:val="22"/>
        </w:rPr>
        <w:fldChar w:fldCharType="end"/>
      </w:r>
    </w:p>
    <w:p w14:paraId="54254F12" w14:textId="77777777" w:rsidR="000E0B74" w:rsidRDefault="000E0B74" w:rsidP="00354FBB">
      <w:pPr>
        <w:pStyle w:val="Heading1"/>
      </w:pPr>
      <w:bookmarkStart w:id="2" w:name="_Toc63761732"/>
      <w:bookmarkStart w:id="3" w:name="_Toc432067103"/>
      <w:r>
        <w:lastRenderedPageBreak/>
        <w:t>Consultation Process</w:t>
      </w:r>
      <w:bookmarkEnd w:id="2"/>
    </w:p>
    <w:p w14:paraId="365742D3" w14:textId="77777777" w:rsidR="000E0B74" w:rsidRDefault="000E0B74" w:rsidP="000E0B74">
      <w:pPr>
        <w:pStyle w:val="Heading2"/>
      </w:pPr>
      <w:bookmarkStart w:id="4" w:name="_Toc63761733"/>
      <w:r>
        <w:t>Request for feedback and comments</w:t>
      </w:r>
      <w:bookmarkEnd w:id="4"/>
    </w:p>
    <w:p w14:paraId="6925F401" w14:textId="7A4DB2DD" w:rsidR="000E0B74" w:rsidRDefault="000E0B74" w:rsidP="00257AEE">
      <w:pPr>
        <w:pStyle w:val="Heading3noTOC"/>
      </w:pPr>
      <w:r>
        <w:t xml:space="preserve">Closing date for submissions: </w:t>
      </w:r>
      <w:r w:rsidR="00A8070B" w:rsidRPr="00584BA4">
        <w:t xml:space="preserve">5 March </w:t>
      </w:r>
      <w:r w:rsidR="003F5346">
        <w:t>202</w:t>
      </w:r>
      <w:r w:rsidR="00554F75"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7555"/>
      </w:tblGrid>
      <w:tr w:rsidR="000E0B74" w:rsidRPr="00B85F47" w14:paraId="75FAE393" w14:textId="77777777" w:rsidTr="00EC4AEC">
        <w:tc>
          <w:tcPr>
            <w:tcW w:w="1515" w:type="dxa"/>
            <w:shd w:val="clear" w:color="auto" w:fill="auto"/>
          </w:tcPr>
          <w:p w14:paraId="700EA9D2" w14:textId="77777777" w:rsidR="000E0B74" w:rsidRPr="00B85F47" w:rsidRDefault="000E0B74" w:rsidP="0017089D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Email</w:t>
            </w:r>
          </w:p>
        </w:tc>
        <w:tc>
          <w:tcPr>
            <w:tcW w:w="7555" w:type="dxa"/>
            <w:shd w:val="clear" w:color="auto" w:fill="auto"/>
          </w:tcPr>
          <w:p w14:paraId="7D95C6DC" w14:textId="2484A5D1" w:rsidR="000E0B74" w:rsidRPr="00B85F47" w:rsidRDefault="00945445" w:rsidP="00516785">
            <w:pPr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MCDInsolvency@Treasury.gov.au</w:t>
            </w:r>
          </w:p>
        </w:tc>
      </w:tr>
      <w:tr w:rsidR="000E0B74" w:rsidRPr="00B85F47" w14:paraId="7DDF1CEE" w14:textId="77777777" w:rsidTr="00EC4AEC">
        <w:tc>
          <w:tcPr>
            <w:tcW w:w="1515" w:type="dxa"/>
            <w:shd w:val="clear" w:color="auto" w:fill="auto"/>
          </w:tcPr>
          <w:p w14:paraId="34F96FC5" w14:textId="77777777" w:rsidR="000E0B74" w:rsidRPr="00B85F47" w:rsidRDefault="000E0B74" w:rsidP="0017089D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Mail</w:t>
            </w:r>
          </w:p>
          <w:p w14:paraId="6041ABA9" w14:textId="77777777" w:rsidR="008D7F38" w:rsidRPr="00B85F47" w:rsidRDefault="008D7F38" w:rsidP="0017089D">
            <w:pPr>
              <w:rPr>
                <w:sz w:val="22"/>
                <w:szCs w:val="22"/>
              </w:rPr>
            </w:pPr>
          </w:p>
          <w:p w14:paraId="52635D17" w14:textId="77777777" w:rsidR="008D7F38" w:rsidRPr="00B85F47" w:rsidRDefault="008D7F38" w:rsidP="0017089D">
            <w:pPr>
              <w:rPr>
                <w:sz w:val="22"/>
                <w:szCs w:val="22"/>
              </w:rPr>
            </w:pPr>
          </w:p>
        </w:tc>
        <w:tc>
          <w:tcPr>
            <w:tcW w:w="7555" w:type="dxa"/>
            <w:shd w:val="clear" w:color="auto" w:fill="auto"/>
          </w:tcPr>
          <w:p w14:paraId="48F72E5F" w14:textId="7D81E3EB" w:rsidR="000E0B74" w:rsidRPr="00B85F47" w:rsidRDefault="001C6896" w:rsidP="0017089D">
            <w:pPr>
              <w:pStyle w:val="SingleParagraph"/>
              <w:rPr>
                <w:rFonts w:cs="Arial"/>
                <w:sz w:val="22"/>
                <w:szCs w:val="22"/>
              </w:rPr>
            </w:pPr>
            <w:r w:rsidRPr="001C6896">
              <w:rPr>
                <w:rFonts w:cs="Arial"/>
                <w:sz w:val="22"/>
                <w:szCs w:val="22"/>
              </w:rPr>
              <w:t>Manager</w:t>
            </w:r>
          </w:p>
          <w:p w14:paraId="4DBAC562" w14:textId="5A8248F0" w:rsidR="000E0B74" w:rsidRPr="00B85F47" w:rsidRDefault="001C6896" w:rsidP="0017089D">
            <w:pPr>
              <w:pStyle w:val="SingleParagraph"/>
              <w:rPr>
                <w:rFonts w:cs="Arial"/>
                <w:sz w:val="22"/>
                <w:szCs w:val="22"/>
              </w:rPr>
            </w:pPr>
            <w:r w:rsidRPr="001C6896">
              <w:rPr>
                <w:rFonts w:cs="Arial"/>
                <w:sz w:val="22"/>
                <w:szCs w:val="22"/>
              </w:rPr>
              <w:t>Market Conduct Division</w:t>
            </w:r>
          </w:p>
          <w:p w14:paraId="11331666" w14:textId="77777777" w:rsidR="000E0B74" w:rsidRPr="00B85F47" w:rsidRDefault="000E0B74" w:rsidP="0017089D">
            <w:pPr>
              <w:pStyle w:val="SingleParagraph"/>
              <w:rPr>
                <w:rFonts w:cs="Arial"/>
                <w:sz w:val="22"/>
                <w:szCs w:val="22"/>
              </w:rPr>
            </w:pPr>
            <w:r w:rsidRPr="00B85F47">
              <w:rPr>
                <w:rFonts w:cs="Arial"/>
                <w:sz w:val="22"/>
                <w:szCs w:val="22"/>
              </w:rPr>
              <w:t>The Treasury</w:t>
            </w:r>
          </w:p>
          <w:p w14:paraId="6FEEF9B4" w14:textId="77777777" w:rsidR="000E0B74" w:rsidRPr="00B85F47" w:rsidRDefault="000E0B74" w:rsidP="0017089D">
            <w:pPr>
              <w:pStyle w:val="SingleParagraph"/>
              <w:rPr>
                <w:rFonts w:cs="Arial"/>
                <w:sz w:val="22"/>
                <w:szCs w:val="22"/>
              </w:rPr>
            </w:pPr>
            <w:r w:rsidRPr="00B85F47">
              <w:rPr>
                <w:rFonts w:cs="Arial"/>
                <w:sz w:val="22"/>
                <w:szCs w:val="22"/>
              </w:rPr>
              <w:t>Langton Crescent</w:t>
            </w:r>
          </w:p>
          <w:p w14:paraId="3DEE6680" w14:textId="77777777" w:rsidR="000E0B74" w:rsidRPr="00B85F47" w:rsidRDefault="000E0B74" w:rsidP="0017089D">
            <w:pPr>
              <w:pStyle w:val="SingleParagraph"/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PARKES ACT 2600</w:t>
            </w:r>
          </w:p>
        </w:tc>
      </w:tr>
      <w:tr w:rsidR="000E0B74" w:rsidRPr="00B85F47" w14:paraId="34F2F4F6" w14:textId="77777777" w:rsidTr="00EC4AEC">
        <w:tc>
          <w:tcPr>
            <w:tcW w:w="1515" w:type="dxa"/>
            <w:shd w:val="clear" w:color="auto" w:fill="auto"/>
          </w:tcPr>
          <w:p w14:paraId="7365CDE5" w14:textId="77777777" w:rsidR="000E0B74" w:rsidRPr="00B85F47" w:rsidRDefault="000E0B74" w:rsidP="0017089D">
            <w:pPr>
              <w:rPr>
                <w:sz w:val="22"/>
                <w:szCs w:val="22"/>
              </w:rPr>
            </w:pPr>
            <w:r w:rsidRPr="00B85F47">
              <w:rPr>
                <w:sz w:val="22"/>
                <w:szCs w:val="22"/>
              </w:rPr>
              <w:t>Enquiries</w:t>
            </w:r>
          </w:p>
        </w:tc>
        <w:tc>
          <w:tcPr>
            <w:tcW w:w="7555" w:type="dxa"/>
            <w:shd w:val="clear" w:color="auto" w:fill="auto"/>
          </w:tcPr>
          <w:p w14:paraId="2398B8B6" w14:textId="60C6D0CF" w:rsidR="000E0B74" w:rsidRPr="00B85F47" w:rsidRDefault="000E0B74" w:rsidP="00EC4AEC">
            <w:pPr>
              <w:rPr>
                <w:sz w:val="22"/>
                <w:szCs w:val="22"/>
              </w:rPr>
            </w:pPr>
            <w:r w:rsidRPr="00B85F47">
              <w:rPr>
                <w:rFonts w:cs="Arial"/>
                <w:sz w:val="22"/>
                <w:szCs w:val="22"/>
              </w:rPr>
              <w:t xml:space="preserve">Enquiries can be initially directed to </w:t>
            </w:r>
            <w:r w:rsidR="00EC4AEC" w:rsidRPr="001D5BF3">
              <w:rPr>
                <w:rFonts w:cs="Arial"/>
                <w:sz w:val="22"/>
                <w:szCs w:val="22"/>
              </w:rPr>
              <w:t>Matthew Bowd</w:t>
            </w:r>
          </w:p>
        </w:tc>
      </w:tr>
      <w:bookmarkEnd w:id="3"/>
    </w:tbl>
    <w:p w14:paraId="0472A9F6" w14:textId="77777777" w:rsidR="00E10D39" w:rsidRDefault="00E10D39" w:rsidP="0007102C"/>
    <w:p w14:paraId="3DEEFA90" w14:textId="77777777" w:rsidR="00A16E03" w:rsidRDefault="00A16E03" w:rsidP="00A16E03">
      <w:r>
        <w:t>The principles outlined in this paper have not received Government approval and are not yet law. As a consequence, this paper is merely a guide as to how the principles might operate.</w:t>
      </w:r>
    </w:p>
    <w:p w14:paraId="140F48FF" w14:textId="77777777" w:rsidR="008D7F38" w:rsidRPr="008D7F38" w:rsidRDefault="008D7F38" w:rsidP="008D7F38"/>
    <w:p w14:paraId="29701A95" w14:textId="77777777" w:rsidR="00E10D39" w:rsidRDefault="00E10D39">
      <w:pPr>
        <w:spacing w:before="0" w:after="160" w:line="259" w:lineRule="auto"/>
        <w:rPr>
          <w:rFonts w:cs="Arial"/>
          <w:color w:val="004A7F"/>
          <w:kern w:val="32"/>
          <w:sz w:val="48"/>
          <w:szCs w:val="36"/>
        </w:rPr>
      </w:pPr>
      <w:r>
        <w:br w:type="page"/>
      </w:r>
    </w:p>
    <w:p w14:paraId="4CB88598" w14:textId="37A9AAB0" w:rsidR="000E0B74" w:rsidRDefault="00DC1F1F" w:rsidP="00354FBB">
      <w:pPr>
        <w:pStyle w:val="Heading1"/>
      </w:pPr>
      <w:bookmarkStart w:id="5" w:name="_Toc63761734"/>
      <w:r>
        <w:lastRenderedPageBreak/>
        <w:t>Increasing</w:t>
      </w:r>
      <w:r w:rsidR="007D3D71" w:rsidRPr="007D3D71">
        <w:t xml:space="preserve"> the Statutory Demand Threshold</w:t>
      </w:r>
      <w:bookmarkEnd w:id="5"/>
    </w:p>
    <w:p w14:paraId="5DE9EC49" w14:textId="1C194AC4" w:rsidR="000E0B74" w:rsidRDefault="000E0B74" w:rsidP="000E0B74">
      <w:pPr>
        <w:pStyle w:val="Heading2"/>
      </w:pPr>
      <w:bookmarkStart w:id="6" w:name="_Toc306887371"/>
      <w:bookmarkStart w:id="7" w:name="_Toc432064635"/>
      <w:bookmarkStart w:id="8" w:name="_Toc63761735"/>
      <w:r>
        <w:t>Introduction</w:t>
      </w:r>
      <w:bookmarkEnd w:id="6"/>
      <w:bookmarkEnd w:id="7"/>
      <w:bookmarkEnd w:id="8"/>
    </w:p>
    <w:p w14:paraId="441FFFE6" w14:textId="30049FA3" w:rsidR="004F79C0" w:rsidRDefault="004D3A02" w:rsidP="004F79C0">
      <w:pPr>
        <w:rPr>
          <w:rFonts w:ascii="Arial" w:hAnsi="Arial" w:cs="Arial"/>
        </w:rPr>
      </w:pPr>
      <w:r>
        <w:rPr>
          <w:rFonts w:ascii="Arial" w:hAnsi="Arial" w:cs="Arial"/>
        </w:rPr>
        <w:t>Following the commencement of the</w:t>
      </w:r>
      <w:r w:rsidR="004F79C0">
        <w:rPr>
          <w:rFonts w:ascii="Arial" w:hAnsi="Arial" w:cs="Arial"/>
        </w:rPr>
        <w:t xml:space="preserve"> </w:t>
      </w:r>
      <w:r w:rsidR="004D6112">
        <w:rPr>
          <w:rFonts w:ascii="Arial" w:hAnsi="Arial" w:cs="Arial"/>
        </w:rPr>
        <w:t>I</w:t>
      </w:r>
      <w:r w:rsidR="004F79C0">
        <w:rPr>
          <w:rFonts w:ascii="Arial" w:hAnsi="Arial" w:cs="Arial"/>
        </w:rPr>
        <w:t>nsolvency reforms to support small business</w:t>
      </w:r>
      <w:r w:rsidR="00E139EB">
        <w:rPr>
          <w:rFonts w:ascii="Arial" w:hAnsi="Arial" w:cs="Arial"/>
        </w:rPr>
        <w:t>,</w:t>
      </w:r>
      <w:r w:rsidR="004F79C0">
        <w:rPr>
          <w:rFonts w:ascii="Arial" w:hAnsi="Arial" w:cs="Arial"/>
        </w:rPr>
        <w:t xml:space="preserve"> the Government is consulting on </w:t>
      </w:r>
      <w:r w:rsidR="008C2A0A">
        <w:rPr>
          <w:rFonts w:ascii="Arial" w:hAnsi="Arial" w:cs="Arial"/>
        </w:rPr>
        <w:t>whether to permanently raise</w:t>
      </w:r>
      <w:r w:rsidR="004F79C0" w:rsidRPr="001D07AE">
        <w:rPr>
          <w:rFonts w:ascii="Arial" w:hAnsi="Arial" w:cs="Arial"/>
        </w:rPr>
        <w:t xml:space="preserve"> the minimum threshold at which creditors can issue a statutory demand on a company</w:t>
      </w:r>
      <w:r w:rsidR="004F79C0">
        <w:rPr>
          <w:rFonts w:ascii="Arial" w:hAnsi="Arial" w:cs="Arial"/>
        </w:rPr>
        <w:t>.</w:t>
      </w:r>
    </w:p>
    <w:p w14:paraId="1AA8E689" w14:textId="77777777" w:rsidR="004F79C0" w:rsidRDefault="004F79C0" w:rsidP="004F79C0">
      <w:pPr>
        <w:rPr>
          <w:rFonts w:ascii="Arial" w:hAnsi="Arial" w:cs="Arial"/>
        </w:rPr>
      </w:pPr>
      <w:r>
        <w:rPr>
          <w:rFonts w:ascii="Arial" w:hAnsi="Arial" w:cs="Arial"/>
        </w:rPr>
        <w:t>A statutory d</w:t>
      </w:r>
      <w:r w:rsidRPr="00BE6BDB">
        <w:rPr>
          <w:rFonts w:ascii="Arial" w:hAnsi="Arial" w:cs="Arial"/>
        </w:rPr>
        <w:t xml:space="preserve">emand is a formal demand for payment of a debt owed by a company, issued pursuant to Part 5.4 of the </w:t>
      </w:r>
      <w:r w:rsidRPr="00BE6BDB">
        <w:rPr>
          <w:rFonts w:ascii="Arial" w:hAnsi="Arial" w:cs="Arial"/>
          <w:i/>
        </w:rPr>
        <w:t>Corporations Act 2001</w:t>
      </w:r>
      <w:r>
        <w:rPr>
          <w:rFonts w:ascii="Arial" w:hAnsi="Arial" w:cs="Arial"/>
          <w:i/>
        </w:rPr>
        <w:t xml:space="preserve"> </w:t>
      </w:r>
      <w:r w:rsidRPr="005D248B">
        <w:rPr>
          <w:rFonts w:ascii="Arial" w:hAnsi="Arial" w:cs="Arial"/>
        </w:rPr>
        <w:t>(Corporations Act)</w:t>
      </w:r>
      <w:r>
        <w:rPr>
          <w:rFonts w:ascii="Arial" w:hAnsi="Arial" w:cs="Arial"/>
        </w:rPr>
        <w:t>.</w:t>
      </w:r>
    </w:p>
    <w:p w14:paraId="5CA0D049" w14:textId="14242712" w:rsidR="004F79C0" w:rsidRDefault="00243336" w:rsidP="004F79C0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4F79C0">
        <w:rPr>
          <w:rFonts w:ascii="Arial" w:hAnsi="Arial" w:cs="Arial"/>
        </w:rPr>
        <w:t xml:space="preserve"> statutory demand </w:t>
      </w:r>
      <w:r>
        <w:rPr>
          <w:rFonts w:ascii="Arial" w:hAnsi="Arial" w:cs="Arial"/>
        </w:rPr>
        <w:t xml:space="preserve">can </w:t>
      </w:r>
      <w:r w:rsidR="004F79C0">
        <w:rPr>
          <w:rFonts w:ascii="Arial" w:hAnsi="Arial" w:cs="Arial"/>
        </w:rPr>
        <w:t xml:space="preserve">be issued on a company in relation to </w:t>
      </w:r>
      <w:r w:rsidR="004F79C0" w:rsidRPr="00015437">
        <w:rPr>
          <w:rFonts w:ascii="Arial" w:hAnsi="Arial" w:cs="Arial"/>
        </w:rPr>
        <w:t xml:space="preserve">a debt that </w:t>
      </w:r>
      <w:r>
        <w:rPr>
          <w:rFonts w:ascii="Arial" w:hAnsi="Arial" w:cs="Arial"/>
        </w:rPr>
        <w:t>is</w:t>
      </w:r>
      <w:r w:rsidRPr="00015437">
        <w:rPr>
          <w:rFonts w:ascii="Arial" w:hAnsi="Arial" w:cs="Arial"/>
        </w:rPr>
        <w:t xml:space="preserve"> </w:t>
      </w:r>
      <w:r w:rsidR="004F79C0" w:rsidRPr="00015437">
        <w:rPr>
          <w:rFonts w:ascii="Arial" w:hAnsi="Arial" w:cs="Arial"/>
        </w:rPr>
        <w:t>due and payable and total</w:t>
      </w:r>
      <w:r>
        <w:rPr>
          <w:rFonts w:ascii="Arial" w:hAnsi="Arial" w:cs="Arial"/>
        </w:rPr>
        <w:t>s</w:t>
      </w:r>
      <w:r w:rsidR="004F79C0" w:rsidRPr="00015437">
        <w:rPr>
          <w:rFonts w:ascii="Arial" w:hAnsi="Arial" w:cs="Arial"/>
        </w:rPr>
        <w:t xml:space="preserve"> at least $2,000</w:t>
      </w:r>
      <w:r w:rsidR="004F79C0">
        <w:rPr>
          <w:rFonts w:ascii="Arial" w:hAnsi="Arial" w:cs="Arial"/>
        </w:rPr>
        <w:t xml:space="preserve">. A company </w:t>
      </w:r>
      <w:r w:rsidR="00EF6912">
        <w:rPr>
          <w:rFonts w:ascii="Arial" w:hAnsi="Arial" w:cs="Arial"/>
        </w:rPr>
        <w:t xml:space="preserve">is </w:t>
      </w:r>
      <w:r w:rsidR="004F79C0">
        <w:rPr>
          <w:rFonts w:ascii="Arial" w:hAnsi="Arial" w:cs="Arial"/>
        </w:rPr>
        <w:t xml:space="preserve">provided 21 days to respond to a demand being made. </w:t>
      </w:r>
    </w:p>
    <w:p w14:paraId="20637B67" w14:textId="32150970" w:rsidR="004F79C0" w:rsidRDefault="0053201D" w:rsidP="004F79C0">
      <w:pPr>
        <w:rPr>
          <w:rFonts w:ascii="Arial" w:hAnsi="Arial" w:cs="Arial"/>
        </w:rPr>
      </w:pPr>
      <w:r>
        <w:rPr>
          <w:rFonts w:ascii="Arial" w:hAnsi="Arial" w:cs="Arial"/>
        </w:rPr>
        <w:t>On 25 March 2020</w:t>
      </w:r>
      <w:r w:rsidR="00CF199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</w:t>
      </w:r>
      <w:r w:rsidR="004F79C0">
        <w:rPr>
          <w:rFonts w:ascii="Arial" w:hAnsi="Arial" w:cs="Arial"/>
        </w:rPr>
        <w:t xml:space="preserve">n response to the economic impact of </w:t>
      </w:r>
      <w:r w:rsidR="009427C2">
        <w:rPr>
          <w:rFonts w:ascii="Arial" w:hAnsi="Arial" w:cs="Arial"/>
        </w:rPr>
        <w:t>COVID-19</w:t>
      </w:r>
      <w:r w:rsidR="004F79C0">
        <w:rPr>
          <w:rFonts w:ascii="Arial" w:hAnsi="Arial" w:cs="Arial"/>
        </w:rPr>
        <w:t>, the Government</w:t>
      </w:r>
      <w:r w:rsidR="001C2611">
        <w:rPr>
          <w:rFonts w:ascii="Arial" w:hAnsi="Arial" w:cs="Arial"/>
        </w:rPr>
        <w:t xml:space="preserve"> temporarily</w:t>
      </w:r>
      <w:r w:rsidR="004F79C0">
        <w:rPr>
          <w:rFonts w:ascii="Arial" w:hAnsi="Arial" w:cs="Arial"/>
        </w:rPr>
        <w:t xml:space="preserve"> raised the threshold at which a statutory demand </w:t>
      </w:r>
      <w:r w:rsidR="00EF6912">
        <w:rPr>
          <w:rFonts w:ascii="Arial" w:hAnsi="Arial" w:cs="Arial"/>
        </w:rPr>
        <w:t xml:space="preserve">could </w:t>
      </w:r>
      <w:r w:rsidR="004F79C0">
        <w:rPr>
          <w:rFonts w:ascii="Arial" w:hAnsi="Arial" w:cs="Arial"/>
        </w:rPr>
        <w:t xml:space="preserve">be issued to </w:t>
      </w:r>
      <w:r w:rsidR="004F79C0" w:rsidRPr="00015437">
        <w:rPr>
          <w:rFonts w:ascii="Arial" w:hAnsi="Arial" w:cs="Arial"/>
        </w:rPr>
        <w:t>$2</w:t>
      </w:r>
      <w:r w:rsidR="004F79C0">
        <w:rPr>
          <w:rFonts w:ascii="Arial" w:hAnsi="Arial" w:cs="Arial"/>
        </w:rPr>
        <w:t>0</w:t>
      </w:r>
      <w:r w:rsidR="004F79C0" w:rsidRPr="00015437">
        <w:rPr>
          <w:rFonts w:ascii="Arial" w:hAnsi="Arial" w:cs="Arial"/>
        </w:rPr>
        <w:t>,000</w:t>
      </w:r>
      <w:r w:rsidR="004F79C0">
        <w:rPr>
          <w:rFonts w:ascii="Arial" w:hAnsi="Arial" w:cs="Arial"/>
        </w:rPr>
        <w:t>. It also</w:t>
      </w:r>
      <w:r w:rsidR="001C2611">
        <w:rPr>
          <w:rFonts w:ascii="Arial" w:hAnsi="Arial" w:cs="Arial"/>
        </w:rPr>
        <w:t xml:space="preserve"> temporarily</w:t>
      </w:r>
      <w:r w:rsidR="004F79C0">
        <w:rPr>
          <w:rFonts w:ascii="Arial" w:hAnsi="Arial" w:cs="Arial"/>
        </w:rPr>
        <w:t xml:space="preserve"> increased the timeframe that creditors </w:t>
      </w:r>
      <w:r w:rsidR="00EF6912">
        <w:rPr>
          <w:rFonts w:ascii="Arial" w:hAnsi="Arial" w:cs="Arial"/>
        </w:rPr>
        <w:t xml:space="preserve">had </w:t>
      </w:r>
      <w:r w:rsidR="004F79C0">
        <w:rPr>
          <w:rFonts w:ascii="Arial" w:hAnsi="Arial" w:cs="Arial"/>
        </w:rPr>
        <w:t>to respond to a statutory demand, to six months.</w:t>
      </w:r>
      <w:r w:rsidR="00243336">
        <w:rPr>
          <w:rFonts w:ascii="Arial" w:hAnsi="Arial" w:cs="Arial"/>
        </w:rPr>
        <w:t xml:space="preserve"> </w:t>
      </w:r>
      <w:r w:rsidR="004F79C0">
        <w:rPr>
          <w:rFonts w:ascii="Arial" w:hAnsi="Arial" w:cs="Arial"/>
        </w:rPr>
        <w:t xml:space="preserve">The intent </w:t>
      </w:r>
      <w:r w:rsidR="00F61BE8">
        <w:rPr>
          <w:rFonts w:ascii="Arial" w:hAnsi="Arial" w:cs="Arial"/>
        </w:rPr>
        <w:t>of these changes w</w:t>
      </w:r>
      <w:r w:rsidR="005161BE">
        <w:rPr>
          <w:rFonts w:ascii="Arial" w:hAnsi="Arial" w:cs="Arial"/>
        </w:rPr>
        <w:t>a</w:t>
      </w:r>
      <w:r w:rsidR="004F79C0">
        <w:rPr>
          <w:rFonts w:ascii="Arial" w:hAnsi="Arial" w:cs="Arial"/>
        </w:rPr>
        <w:t xml:space="preserve">s to lessen the threat of actions that could push otherwise viable businesses into insolvency. These changes </w:t>
      </w:r>
      <w:r>
        <w:rPr>
          <w:rFonts w:ascii="Arial" w:hAnsi="Arial" w:cs="Arial"/>
        </w:rPr>
        <w:t xml:space="preserve">expired on </w:t>
      </w:r>
      <w:r w:rsidR="00313286">
        <w:rPr>
          <w:rFonts w:ascii="Arial" w:hAnsi="Arial" w:cs="Arial"/>
        </w:rPr>
        <w:t>31 </w:t>
      </w:r>
      <w:r w:rsidR="004F79C0">
        <w:rPr>
          <w:rFonts w:ascii="Arial" w:hAnsi="Arial" w:cs="Arial"/>
        </w:rPr>
        <w:t>December 2020</w:t>
      </w:r>
      <w:r w:rsidR="00E954D5">
        <w:rPr>
          <w:rFonts w:ascii="Arial" w:hAnsi="Arial" w:cs="Arial"/>
        </w:rPr>
        <w:t>, after which the small business insolvency reforms commenced.</w:t>
      </w:r>
    </w:p>
    <w:p w14:paraId="2381F410" w14:textId="0CBE7E70" w:rsidR="004F79C0" w:rsidRDefault="0070355D" w:rsidP="004F79C0">
      <w:pPr>
        <w:rPr>
          <w:rFonts w:ascii="Arial" w:hAnsi="Arial" w:cs="Arial"/>
        </w:rPr>
      </w:pPr>
      <w:r>
        <w:rPr>
          <w:rFonts w:ascii="Arial" w:hAnsi="Arial" w:cs="Arial"/>
        </w:rPr>
        <w:t>This c</w:t>
      </w:r>
      <w:r w:rsidR="004F79C0">
        <w:rPr>
          <w:rFonts w:ascii="Arial" w:hAnsi="Arial" w:cs="Arial"/>
        </w:rPr>
        <w:t xml:space="preserve">onsultation will focus on issues around the monetary threshold at which a statutory demand can be issued by a creditor. </w:t>
      </w:r>
      <w:r w:rsidR="007D4363">
        <w:rPr>
          <w:rFonts w:ascii="Arial" w:hAnsi="Arial" w:cs="Arial"/>
        </w:rPr>
        <w:t xml:space="preserve">The main question </w:t>
      </w:r>
      <w:r w:rsidR="00CA2D30">
        <w:rPr>
          <w:rFonts w:ascii="Arial" w:hAnsi="Arial" w:cs="Arial"/>
        </w:rPr>
        <w:t xml:space="preserve">is </w:t>
      </w:r>
      <w:r w:rsidR="007D4363">
        <w:rPr>
          <w:rFonts w:ascii="Arial" w:hAnsi="Arial" w:cs="Arial"/>
        </w:rPr>
        <w:t xml:space="preserve">whether the threshold should </w:t>
      </w:r>
      <w:r w:rsidR="00CA2D30">
        <w:rPr>
          <w:rFonts w:ascii="Arial" w:hAnsi="Arial" w:cs="Arial"/>
        </w:rPr>
        <w:t>remain at</w:t>
      </w:r>
      <w:r w:rsidR="007D4363">
        <w:rPr>
          <w:rFonts w:ascii="Arial" w:hAnsi="Arial" w:cs="Arial"/>
        </w:rPr>
        <w:t xml:space="preserve"> $2</w:t>
      </w:r>
      <w:r w:rsidR="001C690F">
        <w:rPr>
          <w:rFonts w:ascii="Arial" w:hAnsi="Arial" w:cs="Arial"/>
        </w:rPr>
        <w:t>,</w:t>
      </w:r>
      <w:r w:rsidR="007D4363">
        <w:rPr>
          <w:rFonts w:ascii="Arial" w:hAnsi="Arial" w:cs="Arial"/>
        </w:rPr>
        <w:t>000</w:t>
      </w:r>
      <w:r w:rsidR="00CA2D30">
        <w:rPr>
          <w:rFonts w:ascii="Arial" w:hAnsi="Arial" w:cs="Arial"/>
        </w:rPr>
        <w:t xml:space="preserve">, or </w:t>
      </w:r>
      <w:r w:rsidR="001C690F">
        <w:rPr>
          <w:rFonts w:ascii="Arial" w:hAnsi="Arial" w:cs="Arial"/>
        </w:rPr>
        <w:t>whether</w:t>
      </w:r>
      <w:r w:rsidR="00B61394">
        <w:rPr>
          <w:rFonts w:ascii="Arial" w:hAnsi="Arial" w:cs="Arial"/>
        </w:rPr>
        <w:t xml:space="preserve"> </w:t>
      </w:r>
      <w:r w:rsidR="00CA2D30">
        <w:rPr>
          <w:rFonts w:ascii="Arial" w:hAnsi="Arial" w:cs="Arial"/>
        </w:rPr>
        <w:t xml:space="preserve">it </w:t>
      </w:r>
      <w:r w:rsidR="00B61394">
        <w:rPr>
          <w:rFonts w:ascii="Arial" w:hAnsi="Arial" w:cs="Arial"/>
        </w:rPr>
        <w:t xml:space="preserve">should </w:t>
      </w:r>
      <w:r w:rsidR="0069519C">
        <w:rPr>
          <w:rFonts w:ascii="Arial" w:hAnsi="Arial" w:cs="Arial"/>
        </w:rPr>
        <w:t xml:space="preserve">be increased </w:t>
      </w:r>
      <w:r w:rsidR="00B61394">
        <w:rPr>
          <w:rFonts w:ascii="Arial" w:hAnsi="Arial" w:cs="Arial"/>
        </w:rPr>
        <w:t>to some other amount going forward</w:t>
      </w:r>
      <w:r w:rsidR="001C690F">
        <w:rPr>
          <w:rFonts w:ascii="Arial" w:hAnsi="Arial" w:cs="Arial"/>
        </w:rPr>
        <w:t xml:space="preserve">. </w:t>
      </w:r>
    </w:p>
    <w:p w14:paraId="033BD413" w14:textId="0C2C0613" w:rsidR="000E0B74" w:rsidRDefault="00D43F32" w:rsidP="000E0B74">
      <w:pPr>
        <w:pStyle w:val="Heading2"/>
      </w:pPr>
      <w:bookmarkStart w:id="9" w:name="_Toc63761736"/>
      <w:r>
        <w:t>Request for s</w:t>
      </w:r>
      <w:r w:rsidR="00F87F9C">
        <w:t>ubmissions</w:t>
      </w:r>
      <w:bookmarkEnd w:id="9"/>
    </w:p>
    <w:p w14:paraId="10BDB502" w14:textId="7CEF7EFC" w:rsidR="00F87F9C" w:rsidRDefault="00F87F9C" w:rsidP="00F87F9C">
      <w:pPr>
        <w:rPr>
          <w:rFonts w:ascii="Arial" w:hAnsi="Arial" w:cs="Arial"/>
        </w:rPr>
      </w:pPr>
      <w:r>
        <w:rPr>
          <w:rFonts w:ascii="Arial" w:hAnsi="Arial" w:cs="Arial"/>
        </w:rPr>
        <w:t>Treasury is seeking</w:t>
      </w:r>
      <w:r w:rsidRPr="000D5416">
        <w:rPr>
          <w:rFonts w:ascii="Arial" w:hAnsi="Arial" w:cs="Arial"/>
        </w:rPr>
        <w:t xml:space="preserve"> written submissions from stakeholders on </w:t>
      </w:r>
      <w:r>
        <w:rPr>
          <w:rFonts w:ascii="Arial" w:hAnsi="Arial" w:cs="Arial"/>
        </w:rPr>
        <w:t xml:space="preserve">the appropriateness and impacts of permanently </w:t>
      </w:r>
      <w:r w:rsidR="00A406B0">
        <w:rPr>
          <w:rFonts w:ascii="Arial" w:hAnsi="Arial" w:cs="Arial"/>
        </w:rPr>
        <w:t>increasing</w:t>
      </w:r>
      <w:r w:rsidRPr="000D54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statutory demand</w:t>
      </w:r>
      <w:r w:rsidRPr="000D5416">
        <w:rPr>
          <w:rFonts w:ascii="Arial" w:hAnsi="Arial" w:cs="Arial"/>
        </w:rPr>
        <w:t xml:space="preserve"> threshold. </w:t>
      </w:r>
      <w:r>
        <w:rPr>
          <w:rFonts w:ascii="Arial" w:hAnsi="Arial" w:cs="Arial"/>
        </w:rPr>
        <w:t xml:space="preserve">Submissions may be provided </w:t>
      </w:r>
      <w:r w:rsidRPr="000D5416">
        <w:rPr>
          <w:rFonts w:ascii="Arial" w:hAnsi="Arial" w:cs="Arial"/>
        </w:rPr>
        <w:t xml:space="preserve">until </w:t>
      </w:r>
      <w:r w:rsidR="001346A0" w:rsidRPr="00584BA4">
        <w:rPr>
          <w:rFonts w:ascii="Arial" w:hAnsi="Arial" w:cs="Arial"/>
        </w:rPr>
        <w:t>5 March</w:t>
      </w:r>
      <w:r w:rsidR="00554F75" w:rsidRPr="00584BA4">
        <w:rPr>
          <w:rFonts w:ascii="Arial" w:hAnsi="Arial" w:cs="Arial"/>
        </w:rPr>
        <w:t xml:space="preserve"> </w:t>
      </w:r>
      <w:r w:rsidR="00455A54" w:rsidRPr="00584BA4">
        <w:rPr>
          <w:rFonts w:ascii="Arial" w:hAnsi="Arial" w:cs="Arial"/>
        </w:rPr>
        <w:t>2</w:t>
      </w:r>
      <w:r w:rsidRPr="00584BA4">
        <w:rPr>
          <w:rFonts w:ascii="Arial" w:hAnsi="Arial" w:cs="Arial"/>
        </w:rPr>
        <w:t>02</w:t>
      </w:r>
      <w:r w:rsidR="00554F75" w:rsidRPr="00584BA4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</w:p>
    <w:p w14:paraId="58D5CB64" w14:textId="2B1524C1" w:rsidR="00F87F9C" w:rsidRPr="000D5416" w:rsidRDefault="00F87F9C" w:rsidP="00F87F9C">
      <w:pPr>
        <w:rPr>
          <w:rFonts w:ascii="Arial" w:hAnsi="Arial" w:cs="Arial"/>
        </w:rPr>
      </w:pPr>
      <w:r w:rsidRPr="000D5416">
        <w:rPr>
          <w:rFonts w:ascii="Arial" w:hAnsi="Arial" w:cs="Arial"/>
        </w:rPr>
        <w:t>Discussion questions are included to guide feedback. However, stakeholders are welcome to provide further information and suggestions relevant to the issue.</w:t>
      </w:r>
    </w:p>
    <w:p w14:paraId="1FB62E89" w14:textId="538CC834" w:rsidR="000E0B74" w:rsidRDefault="00F87F9C" w:rsidP="000E0B74">
      <w:pPr>
        <w:pStyle w:val="Heading2"/>
      </w:pPr>
      <w:bookmarkStart w:id="10" w:name="_Toc63761737"/>
      <w:r>
        <w:t>Questions</w:t>
      </w:r>
      <w:bookmarkEnd w:id="10"/>
    </w:p>
    <w:p w14:paraId="6CD7ED28" w14:textId="77777777" w:rsidR="00F87F9C" w:rsidRPr="0074006A" w:rsidRDefault="00F87F9C" w:rsidP="00F87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</w:rPr>
      </w:pPr>
      <w:r w:rsidRPr="0074006A">
        <w:rPr>
          <w:rFonts w:ascii="Arial" w:hAnsi="Arial" w:cs="Arial"/>
        </w:rPr>
        <w:t xml:space="preserve">Question 1: </w:t>
      </w:r>
      <w:r>
        <w:rPr>
          <w:rFonts w:ascii="Arial" w:hAnsi="Arial" w:cs="Arial"/>
        </w:rPr>
        <w:t>Should the</w:t>
      </w:r>
      <w:r w:rsidRPr="0074006A">
        <w:rPr>
          <w:rFonts w:ascii="Arial" w:hAnsi="Arial" w:cs="Arial"/>
        </w:rPr>
        <w:t xml:space="preserve"> threshold </w:t>
      </w:r>
      <w:r>
        <w:rPr>
          <w:rFonts w:ascii="Arial" w:hAnsi="Arial" w:cs="Arial"/>
        </w:rPr>
        <w:t>at which a statutory demand can be issued on a company be increased</w:t>
      </w:r>
      <w:r w:rsidRPr="0074006A">
        <w:rPr>
          <w:rFonts w:ascii="Arial" w:hAnsi="Arial" w:cs="Arial"/>
        </w:rPr>
        <w:t>?</w:t>
      </w:r>
    </w:p>
    <w:p w14:paraId="32B2066D" w14:textId="0FD49B76" w:rsidR="00F87F9C" w:rsidRDefault="00F87F9C" w:rsidP="00F87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</w:rPr>
      </w:pPr>
      <w:r w:rsidRPr="0074006A">
        <w:rPr>
          <w:rFonts w:ascii="Arial" w:hAnsi="Arial" w:cs="Arial"/>
        </w:rPr>
        <w:t>Question 2: If the threshold is increased, to what amount should it be increased and why?</w:t>
      </w:r>
    </w:p>
    <w:p w14:paraId="6A5CB370" w14:textId="4A05FCD8" w:rsidR="00424220" w:rsidRPr="0074006A" w:rsidRDefault="00424220" w:rsidP="00F87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t xml:space="preserve">Question 3: </w:t>
      </w:r>
      <w:r w:rsidRPr="0074006A">
        <w:rPr>
          <w:rFonts w:ascii="Arial" w:hAnsi="Arial" w:cs="Arial"/>
        </w:rPr>
        <w:t>If the threshold is increased,</w:t>
      </w:r>
      <w:r>
        <w:rPr>
          <w:rFonts w:ascii="Arial" w:hAnsi="Arial" w:cs="Arial"/>
        </w:rPr>
        <w:t xml:space="preserve"> when should this change come into effect?</w:t>
      </w:r>
    </w:p>
    <w:p w14:paraId="72AD56D7" w14:textId="0AE77AC4" w:rsidR="00F87F9C" w:rsidRPr="0074006A" w:rsidRDefault="00F87F9C" w:rsidP="00F87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t xml:space="preserve">Question </w:t>
      </w:r>
      <w:r w:rsidR="00424220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: What will be the impacts </w:t>
      </w:r>
      <w:r w:rsidRPr="0074006A">
        <w:rPr>
          <w:rFonts w:ascii="Arial" w:hAnsi="Arial" w:cs="Arial"/>
        </w:rPr>
        <w:t>of increasing the threshold?</w:t>
      </w:r>
    </w:p>
    <w:p w14:paraId="6D65A767" w14:textId="69B15C89" w:rsidR="00F87F9C" w:rsidRDefault="00F87F9C" w:rsidP="00F87F9C">
      <w:pPr>
        <w:pStyle w:val="Heading2"/>
      </w:pPr>
      <w:bookmarkStart w:id="11" w:name="_Toc63761738"/>
      <w:r>
        <w:t>What is a statutory demand?</w:t>
      </w:r>
      <w:bookmarkEnd w:id="11"/>
    </w:p>
    <w:p w14:paraId="2B445F5E" w14:textId="5CF53855" w:rsidR="00F87F9C" w:rsidRDefault="00F87F9C" w:rsidP="00F87F9C">
      <w:pPr>
        <w:rPr>
          <w:rFonts w:ascii="Arial" w:hAnsi="Arial" w:cs="Arial"/>
        </w:rPr>
      </w:pPr>
      <w:r>
        <w:rPr>
          <w:rFonts w:ascii="Arial" w:hAnsi="Arial" w:cs="Arial"/>
        </w:rPr>
        <w:t>A statutory d</w:t>
      </w:r>
      <w:r w:rsidRPr="00D71C84">
        <w:rPr>
          <w:rFonts w:ascii="Arial" w:hAnsi="Arial" w:cs="Arial"/>
        </w:rPr>
        <w:t>emand is a creditor’s formal, written request</w:t>
      </w:r>
      <w:r>
        <w:rPr>
          <w:rFonts w:ascii="Arial" w:hAnsi="Arial" w:cs="Arial"/>
        </w:rPr>
        <w:t xml:space="preserve"> under section 459E of the Corporations Act</w:t>
      </w:r>
      <w:r w:rsidRPr="00D71C84">
        <w:rPr>
          <w:rFonts w:ascii="Arial" w:hAnsi="Arial" w:cs="Arial"/>
        </w:rPr>
        <w:t xml:space="preserve"> requiring a company to pay a debt</w:t>
      </w:r>
      <w:r w:rsidR="00DE1420" w:rsidRPr="00DE1420">
        <w:t xml:space="preserve"> </w:t>
      </w:r>
      <w:r w:rsidR="00660491">
        <w:rPr>
          <w:rFonts w:ascii="Arial" w:hAnsi="Arial" w:cs="Arial"/>
        </w:rPr>
        <w:t>that is</w:t>
      </w:r>
      <w:r w:rsidR="00DE1420" w:rsidRPr="00DE1420">
        <w:rPr>
          <w:rFonts w:ascii="Arial" w:hAnsi="Arial" w:cs="Arial"/>
        </w:rPr>
        <w:t xml:space="preserve"> due and payable</w:t>
      </w:r>
      <w:r>
        <w:rPr>
          <w:rFonts w:ascii="Arial" w:hAnsi="Arial" w:cs="Arial"/>
        </w:rPr>
        <w:t xml:space="preserve">. </w:t>
      </w:r>
    </w:p>
    <w:p w14:paraId="73FF8142" w14:textId="3E67ECD5" w:rsidR="00E977B2" w:rsidRDefault="00E977B2" w:rsidP="00E977B2">
      <w:pPr>
        <w:rPr>
          <w:rFonts w:ascii="Arial" w:hAnsi="Arial" w:cs="Arial"/>
        </w:rPr>
      </w:pPr>
      <w:r w:rsidRPr="00E977B2">
        <w:rPr>
          <w:rFonts w:ascii="Arial" w:hAnsi="Arial" w:cs="Arial"/>
        </w:rPr>
        <w:t>The central function of a statutory demand is to establish proof of a company’s inability to pay its debts. It does so by creating a rebuttable statutory presumption of insolvency where a company fails to respond to a demand that has been served upon it.</w:t>
      </w:r>
      <w:r>
        <w:rPr>
          <w:rFonts w:ascii="Arial" w:hAnsi="Arial" w:cs="Arial"/>
        </w:rPr>
        <w:t xml:space="preserve"> </w:t>
      </w:r>
    </w:p>
    <w:p w14:paraId="33F58C9C" w14:textId="1F2C1DD0" w:rsidR="00E977B2" w:rsidRPr="00E977B2" w:rsidRDefault="00E977B2" w:rsidP="00E977B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As a result, in practice a company’s failure to respond </w:t>
      </w:r>
      <w:r w:rsidRPr="00E977B2">
        <w:rPr>
          <w:rFonts w:ascii="Arial" w:hAnsi="Arial" w:cs="Arial"/>
        </w:rPr>
        <w:t xml:space="preserve">to a demand within the specified time is a common way for a company to enter </w:t>
      </w:r>
      <w:r w:rsidR="00EC4AEC" w:rsidRPr="00E977B2">
        <w:rPr>
          <w:rFonts w:ascii="Arial" w:hAnsi="Arial" w:cs="Arial"/>
        </w:rPr>
        <w:t>liquidation,</w:t>
      </w:r>
      <w:r w:rsidR="00EC4AEC">
        <w:rPr>
          <w:rFonts w:ascii="Arial" w:hAnsi="Arial" w:cs="Arial"/>
        </w:rPr>
        <w:t xml:space="preserve"> as</w:t>
      </w:r>
      <w:r w:rsidR="00D76B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Pr="00E977B2">
        <w:rPr>
          <w:rFonts w:ascii="Arial" w:hAnsi="Arial" w:cs="Arial"/>
        </w:rPr>
        <w:t>he affected creditor can then use th</w:t>
      </w:r>
      <w:r w:rsidR="00187B1C">
        <w:rPr>
          <w:rFonts w:ascii="Arial" w:hAnsi="Arial" w:cs="Arial"/>
        </w:rPr>
        <w:t xml:space="preserve">is presumption to apply to the </w:t>
      </w:r>
      <w:r w:rsidR="009039CB">
        <w:rPr>
          <w:rFonts w:ascii="Arial" w:hAnsi="Arial" w:cs="Arial"/>
        </w:rPr>
        <w:t>c</w:t>
      </w:r>
      <w:r w:rsidRPr="00E977B2">
        <w:rPr>
          <w:rFonts w:ascii="Arial" w:hAnsi="Arial" w:cs="Arial"/>
        </w:rPr>
        <w:t>ourt to have the company wound up.</w:t>
      </w:r>
    </w:p>
    <w:p w14:paraId="2C0EAA1A" w14:textId="5623BA6D" w:rsidR="00E977B2" w:rsidRPr="00E977B2" w:rsidRDefault="00E977B2" w:rsidP="00E977B2">
      <w:pPr>
        <w:rPr>
          <w:rFonts w:ascii="Arial" w:hAnsi="Arial" w:cs="Arial"/>
        </w:rPr>
      </w:pPr>
      <w:r w:rsidRPr="00E977B2">
        <w:rPr>
          <w:rFonts w:ascii="Arial" w:hAnsi="Arial" w:cs="Arial"/>
        </w:rPr>
        <w:t>It is an abuse of process to use statutory demands for an improper pu</w:t>
      </w:r>
      <w:r w:rsidR="00187B1C">
        <w:rPr>
          <w:rFonts w:ascii="Arial" w:hAnsi="Arial" w:cs="Arial"/>
        </w:rPr>
        <w:t xml:space="preserve">rpose. It has been held by the </w:t>
      </w:r>
      <w:r w:rsidR="009039CB">
        <w:rPr>
          <w:rFonts w:ascii="Arial" w:hAnsi="Arial" w:cs="Arial"/>
        </w:rPr>
        <w:t>c</w:t>
      </w:r>
      <w:r w:rsidRPr="00E977B2">
        <w:rPr>
          <w:rFonts w:ascii="Arial" w:hAnsi="Arial" w:cs="Arial"/>
        </w:rPr>
        <w:t xml:space="preserve">ourts that it is an improper purpose to use statutory demands as a debt recovery tool to coerce someone into paying a disputed debt. </w:t>
      </w:r>
    </w:p>
    <w:p w14:paraId="1F1E30AB" w14:textId="751394B3" w:rsidR="00E977B2" w:rsidRDefault="00E977B2" w:rsidP="00E977B2">
      <w:pPr>
        <w:rPr>
          <w:rFonts w:ascii="Arial" w:hAnsi="Arial" w:cs="Arial"/>
        </w:rPr>
      </w:pPr>
      <w:r w:rsidRPr="00E977B2">
        <w:rPr>
          <w:rFonts w:ascii="Arial" w:hAnsi="Arial" w:cs="Arial"/>
        </w:rPr>
        <w:t>A statutory demand which has been issue</w:t>
      </w:r>
      <w:r w:rsidR="00C65573">
        <w:rPr>
          <w:rFonts w:ascii="Arial" w:hAnsi="Arial" w:cs="Arial"/>
        </w:rPr>
        <w:t>d as an abuse of process is</w:t>
      </w:r>
      <w:r w:rsidRPr="00E977B2">
        <w:rPr>
          <w:rFonts w:ascii="Arial" w:hAnsi="Arial" w:cs="Arial"/>
        </w:rPr>
        <w:t xml:space="preserve"> liable to be set aside. The abuse of process rule reinforces the importance of determining whether any grounds for dispute exist prior to issuing a statutory demand.</w:t>
      </w:r>
    </w:p>
    <w:p w14:paraId="73FDC182" w14:textId="502C30FD" w:rsidR="004A21C8" w:rsidRPr="0075374F" w:rsidRDefault="004A21C8" w:rsidP="0075374F">
      <w:pPr>
        <w:pStyle w:val="Heading2"/>
      </w:pPr>
      <w:bookmarkStart w:id="12" w:name="_Toc63761739"/>
      <w:r>
        <w:t>Context of consultation</w:t>
      </w:r>
      <w:bookmarkEnd w:id="12"/>
      <w:r>
        <w:rPr>
          <w:rFonts w:ascii="Arial" w:hAnsi="Arial"/>
        </w:rPr>
        <w:t xml:space="preserve"> </w:t>
      </w:r>
    </w:p>
    <w:p w14:paraId="70392387" w14:textId="211FEB94" w:rsidR="00F87F9C" w:rsidRDefault="00F87F9C" w:rsidP="00F87F9C">
      <w:pPr>
        <w:rPr>
          <w:rFonts w:ascii="Arial" w:hAnsi="Arial" w:cs="Arial"/>
        </w:rPr>
      </w:pPr>
      <w:r w:rsidRPr="0082740A">
        <w:rPr>
          <w:rFonts w:ascii="Arial" w:hAnsi="Arial" w:cs="Arial"/>
        </w:rPr>
        <w:t xml:space="preserve">The </w:t>
      </w:r>
      <w:r w:rsidRPr="0082740A">
        <w:rPr>
          <w:rFonts w:ascii="Arial" w:hAnsi="Arial" w:cs="Arial"/>
          <w:i/>
        </w:rPr>
        <w:t>Corporate Law Reform Bill 1992</w:t>
      </w:r>
      <w:r>
        <w:rPr>
          <w:rFonts w:ascii="Arial" w:hAnsi="Arial" w:cs="Arial"/>
        </w:rPr>
        <w:t xml:space="preserve"> introduce</w:t>
      </w:r>
      <w:r w:rsidR="00E00D35">
        <w:rPr>
          <w:rFonts w:ascii="Arial" w:hAnsi="Arial" w:cs="Arial"/>
        </w:rPr>
        <w:t xml:space="preserve">d </w:t>
      </w:r>
      <w:r w:rsidR="009B3426">
        <w:rPr>
          <w:rFonts w:ascii="Arial" w:hAnsi="Arial" w:cs="Arial"/>
        </w:rPr>
        <w:t xml:space="preserve">into the national law a requirement </w:t>
      </w:r>
      <w:r>
        <w:rPr>
          <w:rFonts w:ascii="Arial" w:hAnsi="Arial" w:cs="Arial"/>
        </w:rPr>
        <w:t xml:space="preserve">that a statutory demand must be for a debt of, or debts totalling, </w:t>
      </w:r>
      <w:r w:rsidR="0059459E">
        <w:rPr>
          <w:rFonts w:ascii="Arial" w:hAnsi="Arial" w:cs="Arial"/>
        </w:rPr>
        <w:t xml:space="preserve">at least the statutory minimum. </w:t>
      </w:r>
      <w:r>
        <w:rPr>
          <w:rFonts w:ascii="Arial" w:hAnsi="Arial" w:cs="Arial"/>
        </w:rPr>
        <w:t>The statutory minimum was defined to be $2,000, unless another figure is prescribed.</w:t>
      </w:r>
      <w:r w:rsidR="0075374F">
        <w:rPr>
          <w:rStyle w:val="FootnoteReference"/>
          <w:rFonts w:cs="Arial"/>
        </w:rPr>
        <w:footnoteReference w:id="2"/>
      </w:r>
      <w:r>
        <w:rPr>
          <w:rFonts w:ascii="Arial" w:hAnsi="Arial" w:cs="Arial"/>
        </w:rPr>
        <w:t xml:space="preserve"> A similar definition was</w:t>
      </w:r>
      <w:r w:rsidR="007812CA">
        <w:rPr>
          <w:rFonts w:ascii="Arial" w:hAnsi="Arial" w:cs="Arial"/>
        </w:rPr>
        <w:t xml:space="preserve"> subsequently included</w:t>
      </w:r>
      <w:r>
        <w:rPr>
          <w:rFonts w:ascii="Arial" w:hAnsi="Arial" w:cs="Arial"/>
        </w:rPr>
        <w:t xml:space="preserve"> in the Corporations Act</w:t>
      </w:r>
      <w:r w:rsidR="007812CA">
        <w:rPr>
          <w:rFonts w:ascii="Arial" w:hAnsi="Arial" w:cs="Arial"/>
        </w:rPr>
        <w:t xml:space="preserve"> when the single national law began</w:t>
      </w:r>
      <w:r>
        <w:rPr>
          <w:rFonts w:ascii="Arial" w:hAnsi="Arial" w:cs="Arial"/>
        </w:rPr>
        <w:t>. Excluding the temporary increase in response to</w:t>
      </w:r>
      <w:r w:rsidR="00C37CE3">
        <w:rPr>
          <w:rFonts w:ascii="Arial" w:hAnsi="Arial" w:cs="Arial"/>
        </w:rPr>
        <w:t xml:space="preserve"> </w:t>
      </w:r>
      <w:r w:rsidR="002236B7">
        <w:rPr>
          <w:rFonts w:ascii="Arial" w:hAnsi="Arial" w:cs="Arial"/>
        </w:rPr>
        <w:t>COVID-19</w:t>
      </w:r>
      <w:r>
        <w:rPr>
          <w:rFonts w:ascii="Arial" w:hAnsi="Arial" w:cs="Arial"/>
        </w:rPr>
        <w:t xml:space="preserve">, the threshold has not </w:t>
      </w:r>
      <w:r w:rsidR="003A11D5">
        <w:rPr>
          <w:rFonts w:ascii="Arial" w:hAnsi="Arial" w:cs="Arial"/>
        </w:rPr>
        <w:t xml:space="preserve">been </w:t>
      </w:r>
      <w:r>
        <w:rPr>
          <w:rFonts w:ascii="Arial" w:hAnsi="Arial" w:cs="Arial"/>
        </w:rPr>
        <w:t>increased</w:t>
      </w:r>
      <w:r w:rsidR="009B0876">
        <w:rPr>
          <w:rFonts w:ascii="Arial" w:hAnsi="Arial" w:cs="Arial"/>
        </w:rPr>
        <w:t xml:space="preserve"> since</w:t>
      </w:r>
      <w:r w:rsidR="003A11D5">
        <w:rPr>
          <w:rFonts w:ascii="Arial" w:hAnsi="Arial" w:cs="Arial"/>
        </w:rPr>
        <w:t>, through indexation or otherwise</w:t>
      </w:r>
      <w:r>
        <w:rPr>
          <w:rFonts w:ascii="Arial" w:hAnsi="Arial" w:cs="Arial"/>
        </w:rPr>
        <w:t>.</w:t>
      </w:r>
    </w:p>
    <w:p w14:paraId="5B14DC84" w14:textId="3818BD47" w:rsidR="00F87F9C" w:rsidRDefault="00C244D9" w:rsidP="00F87F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F87F9C">
        <w:rPr>
          <w:rFonts w:ascii="Arial" w:hAnsi="Arial" w:cs="Arial"/>
        </w:rPr>
        <w:t>24 September 2020</w:t>
      </w:r>
      <w:r w:rsidR="00B4335A">
        <w:rPr>
          <w:rFonts w:ascii="Arial" w:hAnsi="Arial" w:cs="Arial"/>
        </w:rPr>
        <w:t xml:space="preserve">, the Treasurer announced </w:t>
      </w:r>
      <w:r w:rsidR="00F87F9C">
        <w:rPr>
          <w:rFonts w:ascii="Arial" w:hAnsi="Arial" w:cs="Arial"/>
        </w:rPr>
        <w:t>the</w:t>
      </w:r>
      <w:r w:rsidR="00F87F9C" w:rsidRPr="00947BE5">
        <w:rPr>
          <w:rFonts w:ascii="Arial" w:hAnsi="Arial" w:cs="Arial"/>
        </w:rPr>
        <w:t xml:space="preserve"> </w:t>
      </w:r>
      <w:r w:rsidR="00313286">
        <w:rPr>
          <w:rFonts w:ascii="Arial" w:hAnsi="Arial" w:cs="Arial"/>
        </w:rPr>
        <w:t>i</w:t>
      </w:r>
      <w:r w:rsidR="002236B7">
        <w:rPr>
          <w:rFonts w:ascii="Arial" w:hAnsi="Arial" w:cs="Arial"/>
        </w:rPr>
        <w:t xml:space="preserve">nsolvency reforms to support small business. These changes, which commenced on 1 January 2021, constitute the </w:t>
      </w:r>
      <w:r w:rsidR="00F87F9C" w:rsidRPr="00947BE5">
        <w:rPr>
          <w:rFonts w:ascii="Arial" w:hAnsi="Arial" w:cs="Arial"/>
        </w:rPr>
        <w:t>most significant reforms to Australia’s insolvency framework in almost 30 years</w:t>
      </w:r>
      <w:r w:rsidR="002236B7">
        <w:rPr>
          <w:rFonts w:ascii="Arial" w:hAnsi="Arial" w:cs="Arial"/>
        </w:rPr>
        <w:t>. The reforms provide</w:t>
      </w:r>
      <w:r w:rsidR="00F87F9C" w:rsidRPr="00947BE5">
        <w:rPr>
          <w:rFonts w:ascii="Arial" w:hAnsi="Arial" w:cs="Arial"/>
        </w:rPr>
        <w:t xml:space="preserve"> Australian small businesses the opportunity to quickly restructure </w:t>
      </w:r>
      <w:r w:rsidR="002236B7">
        <w:rPr>
          <w:rFonts w:ascii="Arial" w:hAnsi="Arial" w:cs="Arial"/>
        </w:rPr>
        <w:t>their debts so that they can</w:t>
      </w:r>
      <w:r w:rsidR="002236B7" w:rsidRPr="00947BE5">
        <w:rPr>
          <w:rFonts w:ascii="Arial" w:hAnsi="Arial" w:cs="Arial"/>
        </w:rPr>
        <w:t xml:space="preserve"> </w:t>
      </w:r>
      <w:r w:rsidR="00F87F9C" w:rsidRPr="00947BE5">
        <w:rPr>
          <w:rFonts w:ascii="Arial" w:hAnsi="Arial" w:cs="Arial"/>
        </w:rPr>
        <w:t xml:space="preserve">survive the economic impact of </w:t>
      </w:r>
      <w:r w:rsidR="002236B7">
        <w:rPr>
          <w:rFonts w:ascii="Arial" w:hAnsi="Arial" w:cs="Arial"/>
        </w:rPr>
        <w:t>COVID-19</w:t>
      </w:r>
      <w:r w:rsidR="00F87F9C" w:rsidRPr="00947BE5">
        <w:rPr>
          <w:rFonts w:ascii="Arial" w:hAnsi="Arial" w:cs="Arial"/>
        </w:rPr>
        <w:t xml:space="preserve">. </w:t>
      </w:r>
      <w:r w:rsidR="000C0A8F">
        <w:rPr>
          <w:rFonts w:ascii="Arial" w:hAnsi="Arial" w:cs="Arial"/>
        </w:rPr>
        <w:t>W</w:t>
      </w:r>
      <w:r w:rsidR="00F87F9C" w:rsidRPr="00947BE5">
        <w:rPr>
          <w:rFonts w:ascii="Arial" w:hAnsi="Arial" w:cs="Arial"/>
        </w:rPr>
        <w:t xml:space="preserve">here restructure is not possible, </w:t>
      </w:r>
      <w:r w:rsidR="00F87F9C">
        <w:rPr>
          <w:rFonts w:ascii="Arial" w:hAnsi="Arial" w:cs="Arial"/>
        </w:rPr>
        <w:t xml:space="preserve">the reforms allow </w:t>
      </w:r>
      <w:r w:rsidR="00F87F9C" w:rsidRPr="00947BE5">
        <w:rPr>
          <w:rFonts w:ascii="Arial" w:hAnsi="Arial" w:cs="Arial"/>
        </w:rPr>
        <w:t xml:space="preserve">businesses </w:t>
      </w:r>
      <w:r w:rsidR="00F87F9C">
        <w:rPr>
          <w:rFonts w:ascii="Arial" w:hAnsi="Arial" w:cs="Arial"/>
        </w:rPr>
        <w:t>to</w:t>
      </w:r>
      <w:r w:rsidR="00F87F9C" w:rsidRPr="00947BE5">
        <w:rPr>
          <w:rFonts w:ascii="Arial" w:hAnsi="Arial" w:cs="Arial"/>
        </w:rPr>
        <w:t xml:space="preserve"> be able to wind up faster,</w:t>
      </w:r>
      <w:r w:rsidR="00F87F9C">
        <w:rPr>
          <w:rFonts w:ascii="Arial" w:hAnsi="Arial" w:cs="Arial"/>
        </w:rPr>
        <w:t xml:space="preserve"> enabl</w:t>
      </w:r>
      <w:r w:rsidR="002D223E">
        <w:rPr>
          <w:rFonts w:ascii="Arial" w:hAnsi="Arial" w:cs="Arial"/>
        </w:rPr>
        <w:t>ing</w:t>
      </w:r>
      <w:r w:rsidR="00F87F9C" w:rsidRPr="00947BE5">
        <w:rPr>
          <w:rFonts w:ascii="Arial" w:hAnsi="Arial" w:cs="Arial"/>
        </w:rPr>
        <w:t xml:space="preserve"> greater returns for creditors and employees.</w:t>
      </w:r>
    </w:p>
    <w:p w14:paraId="4A5C9223" w14:textId="2D645663" w:rsidR="00F87F9C" w:rsidRPr="0082740A" w:rsidRDefault="002D223E" w:rsidP="00F87F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Upon the announcement of the small business insolvency reforms, a </w:t>
      </w:r>
      <w:r w:rsidR="00F87F9C">
        <w:rPr>
          <w:rFonts w:ascii="Arial" w:hAnsi="Arial" w:cs="Arial"/>
        </w:rPr>
        <w:t xml:space="preserve">factsheet </w:t>
      </w:r>
      <w:r>
        <w:rPr>
          <w:rFonts w:ascii="Arial" w:hAnsi="Arial" w:cs="Arial"/>
        </w:rPr>
        <w:t xml:space="preserve">was provided with </w:t>
      </w:r>
      <w:r w:rsidR="00F87F9C">
        <w:rPr>
          <w:rFonts w:ascii="Arial" w:hAnsi="Arial" w:cs="Arial"/>
        </w:rPr>
        <w:t>the Treasurer’s media release</w:t>
      </w:r>
      <w:r w:rsidR="00DD2F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which</w:t>
      </w:r>
      <w:r w:rsidR="00F87F9C">
        <w:rPr>
          <w:rFonts w:ascii="Arial" w:hAnsi="Arial" w:cs="Arial"/>
        </w:rPr>
        <w:t xml:space="preserve"> included an announcement that consultation would be undertaken on the </w:t>
      </w:r>
      <w:r w:rsidR="00F87F9C" w:rsidRPr="00227CF3">
        <w:rPr>
          <w:rFonts w:ascii="Arial" w:hAnsi="Arial" w:cs="Arial"/>
        </w:rPr>
        <w:t>appropriate</w:t>
      </w:r>
      <w:r w:rsidR="00F87F9C">
        <w:rPr>
          <w:rFonts w:ascii="Arial" w:hAnsi="Arial" w:cs="Arial"/>
        </w:rPr>
        <w:t xml:space="preserve">ness of permanently raising the </w:t>
      </w:r>
      <w:r w:rsidR="00F87F9C" w:rsidRPr="00227CF3">
        <w:rPr>
          <w:rFonts w:ascii="Arial" w:hAnsi="Arial" w:cs="Arial"/>
        </w:rPr>
        <w:t>minimum thresho</w:t>
      </w:r>
      <w:r w:rsidR="00F87F9C">
        <w:rPr>
          <w:rFonts w:ascii="Arial" w:hAnsi="Arial" w:cs="Arial"/>
        </w:rPr>
        <w:t xml:space="preserve">ld at which creditors can issue </w:t>
      </w:r>
      <w:r w:rsidR="00F87F9C" w:rsidRPr="00227CF3">
        <w:rPr>
          <w:rFonts w:ascii="Arial" w:hAnsi="Arial" w:cs="Arial"/>
        </w:rPr>
        <w:t>a statutory demand on a company.</w:t>
      </w:r>
    </w:p>
    <w:p w14:paraId="21E3BC57" w14:textId="77777777" w:rsidR="00F87F9C" w:rsidRDefault="00F87F9C" w:rsidP="0063313A">
      <w:pPr>
        <w:pStyle w:val="Heading2"/>
        <w:rPr>
          <w:iCs w:val="0"/>
        </w:rPr>
      </w:pPr>
      <w:bookmarkStart w:id="13" w:name="_Toc63761740"/>
      <w:r w:rsidRPr="00F87F9C">
        <w:t>Issues associated with the statutory demand threshold</w:t>
      </w:r>
      <w:bookmarkEnd w:id="13"/>
    </w:p>
    <w:p w14:paraId="207745F8" w14:textId="65457B2C" w:rsidR="00F87F9C" w:rsidRPr="00D515AC" w:rsidRDefault="00BF4053" w:rsidP="00F87F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Government is aware of a range </w:t>
      </w:r>
      <w:r w:rsidR="00F87F9C">
        <w:rPr>
          <w:rFonts w:ascii="Arial" w:hAnsi="Arial" w:cs="Arial"/>
        </w:rPr>
        <w:t>of issues that have</w:t>
      </w:r>
      <w:r w:rsidR="008049E0">
        <w:rPr>
          <w:rFonts w:ascii="Arial" w:hAnsi="Arial" w:cs="Arial"/>
        </w:rPr>
        <w:t xml:space="preserve"> been previously raised</w:t>
      </w:r>
      <w:r w:rsidR="00F87F9C">
        <w:rPr>
          <w:rFonts w:ascii="Arial" w:hAnsi="Arial" w:cs="Arial"/>
        </w:rPr>
        <w:t xml:space="preserve"> in relation to the statutory demand threshold.</w:t>
      </w:r>
      <w:r>
        <w:rPr>
          <w:rFonts w:ascii="Arial" w:hAnsi="Arial" w:cs="Arial"/>
        </w:rPr>
        <w:t xml:space="preserve"> </w:t>
      </w:r>
    </w:p>
    <w:p w14:paraId="1AC40546" w14:textId="370372EA" w:rsidR="00F87F9C" w:rsidRDefault="00F87F9C" w:rsidP="00F87F9C">
      <w:pPr>
        <w:pStyle w:val="Heading3"/>
      </w:pPr>
      <w:bookmarkStart w:id="14" w:name="_Toc54638444"/>
      <w:bookmarkStart w:id="15" w:name="_Toc63761741"/>
      <w:r>
        <w:t>Change to the value of money (inflation)</w:t>
      </w:r>
      <w:bookmarkEnd w:id="14"/>
      <w:bookmarkEnd w:id="15"/>
    </w:p>
    <w:p w14:paraId="1A092C0D" w14:textId="38FA7DC5" w:rsidR="00F87F9C" w:rsidRDefault="00F87F9C" w:rsidP="00F87F9C">
      <w:pPr>
        <w:rPr>
          <w:rFonts w:ascii="Arial" w:hAnsi="Arial" w:cs="Arial"/>
        </w:rPr>
      </w:pPr>
      <w:r>
        <w:rPr>
          <w:rFonts w:ascii="Arial" w:hAnsi="Arial" w:cs="Arial"/>
        </w:rPr>
        <w:t>The statutory minimum threshold has decreased in real terms, not having been increased to keep up with inflation. According to the RBA’s inflation calculator</w:t>
      </w:r>
      <w:r w:rsidR="00144FF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 basket of goods valued at $2,000 in 1992 would be worth $3,8</w:t>
      </w:r>
      <w:r w:rsidR="00DD2274">
        <w:rPr>
          <w:rFonts w:ascii="Arial" w:hAnsi="Arial" w:cs="Arial"/>
        </w:rPr>
        <w:t>78</w:t>
      </w:r>
      <w:r>
        <w:rPr>
          <w:rFonts w:ascii="Arial" w:hAnsi="Arial" w:cs="Arial"/>
        </w:rPr>
        <w:t xml:space="preserve"> in 20</w:t>
      </w:r>
      <w:r w:rsidR="00DD2274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. </w:t>
      </w:r>
      <w:r w:rsidR="00CC6A74">
        <w:rPr>
          <w:rFonts w:ascii="Arial" w:hAnsi="Arial" w:cs="Arial"/>
        </w:rPr>
        <w:t xml:space="preserve"> </w:t>
      </w:r>
    </w:p>
    <w:p w14:paraId="6CEBB574" w14:textId="789B36C9" w:rsidR="00F87F9C" w:rsidRPr="002A687E" w:rsidRDefault="002B0C0E" w:rsidP="00F87F9C">
      <w:pPr>
        <w:tabs>
          <w:tab w:val="left" w:pos="5040"/>
        </w:tabs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2B0C0E">
        <w:rPr>
          <w:rFonts w:ascii="Arial" w:hAnsi="Arial" w:cs="Arial"/>
        </w:rPr>
        <w:t xml:space="preserve">hile </w:t>
      </w:r>
      <w:r>
        <w:rPr>
          <w:rFonts w:ascii="Arial" w:hAnsi="Arial" w:cs="Arial"/>
        </w:rPr>
        <w:t>i</w:t>
      </w:r>
      <w:r w:rsidR="00F87F9C">
        <w:rPr>
          <w:rFonts w:ascii="Arial" w:hAnsi="Arial" w:cs="Arial"/>
        </w:rPr>
        <w:t xml:space="preserve">ndexing the threshold may </w:t>
      </w:r>
      <w:r w:rsidR="00CC6A74">
        <w:rPr>
          <w:rFonts w:ascii="Arial" w:hAnsi="Arial" w:cs="Arial"/>
        </w:rPr>
        <w:t xml:space="preserve">address </w:t>
      </w:r>
      <w:r w:rsidR="00F87F9C">
        <w:rPr>
          <w:rFonts w:ascii="Arial" w:hAnsi="Arial" w:cs="Arial"/>
        </w:rPr>
        <w:t xml:space="preserve">the </w:t>
      </w:r>
      <w:r w:rsidR="00CC6A74">
        <w:rPr>
          <w:rFonts w:ascii="Arial" w:hAnsi="Arial" w:cs="Arial"/>
        </w:rPr>
        <w:t xml:space="preserve">changes </w:t>
      </w:r>
      <w:r w:rsidR="00F87F9C">
        <w:rPr>
          <w:rFonts w:ascii="Arial" w:hAnsi="Arial" w:cs="Arial"/>
        </w:rPr>
        <w:t>in</w:t>
      </w:r>
      <w:r>
        <w:rPr>
          <w:rFonts w:ascii="Arial" w:hAnsi="Arial" w:cs="Arial"/>
        </w:rPr>
        <w:t xml:space="preserve"> the real value of the threshold</w:t>
      </w:r>
      <w:r w:rsidR="00CC6A74">
        <w:rPr>
          <w:rFonts w:ascii="Arial" w:hAnsi="Arial" w:cs="Arial"/>
        </w:rPr>
        <w:t xml:space="preserve"> over time</w:t>
      </w:r>
      <w:r>
        <w:rPr>
          <w:rFonts w:ascii="Arial" w:hAnsi="Arial" w:cs="Arial"/>
        </w:rPr>
        <w:t>, it also</w:t>
      </w:r>
      <w:r w:rsidR="00F87F9C">
        <w:rPr>
          <w:rFonts w:ascii="Arial" w:hAnsi="Arial" w:cs="Arial"/>
        </w:rPr>
        <w:t xml:space="preserve"> carries its own risks. An indexed amount may lead to confusion about what the actual threshold is for</w:t>
      </w:r>
      <w:r w:rsidR="008B199A">
        <w:rPr>
          <w:rFonts w:ascii="Arial" w:hAnsi="Arial" w:cs="Arial"/>
        </w:rPr>
        <w:t xml:space="preserve"> a given </w:t>
      </w:r>
      <w:r w:rsidR="00F87F9C">
        <w:rPr>
          <w:rFonts w:ascii="Arial" w:hAnsi="Arial" w:cs="Arial"/>
        </w:rPr>
        <w:t>year and would require information providers to regularly update information. This could</w:t>
      </w:r>
      <w:r w:rsidR="007455C3">
        <w:rPr>
          <w:rFonts w:ascii="Arial" w:hAnsi="Arial" w:cs="Arial"/>
        </w:rPr>
        <w:t xml:space="preserve"> create confusion in the market </w:t>
      </w:r>
      <w:r w:rsidR="00F87F9C">
        <w:rPr>
          <w:rFonts w:ascii="Arial" w:hAnsi="Arial" w:cs="Arial"/>
        </w:rPr>
        <w:t>place if parties are relyi</w:t>
      </w:r>
      <w:r w:rsidR="007455C3">
        <w:rPr>
          <w:rFonts w:ascii="Arial" w:hAnsi="Arial" w:cs="Arial"/>
        </w:rPr>
        <w:t>ng on out of date information.</w:t>
      </w:r>
    </w:p>
    <w:p w14:paraId="19CC5CDA" w14:textId="1D779AB6" w:rsidR="00F87F9C" w:rsidRDefault="00F87F9C" w:rsidP="00F87F9C">
      <w:pPr>
        <w:pStyle w:val="Heading3"/>
      </w:pPr>
      <w:bookmarkStart w:id="16" w:name="_Toc54638445"/>
      <w:bookmarkStart w:id="17" w:name="_Toc63761742"/>
      <w:r>
        <w:lastRenderedPageBreak/>
        <w:t>Commercial costs of issuing and defending a demand</w:t>
      </w:r>
      <w:bookmarkEnd w:id="16"/>
      <w:bookmarkEnd w:id="17"/>
    </w:p>
    <w:p w14:paraId="507EC0E8" w14:textId="76DFC9EA" w:rsidR="00F87F9C" w:rsidRDefault="00F87F9C" w:rsidP="00F87F9C">
      <w:pPr>
        <w:rPr>
          <w:rFonts w:ascii="Arial" w:hAnsi="Arial" w:cs="Arial"/>
        </w:rPr>
      </w:pPr>
      <w:r w:rsidRPr="00EB54D7">
        <w:rPr>
          <w:rFonts w:ascii="Arial" w:hAnsi="Arial" w:cs="Arial"/>
        </w:rPr>
        <w:t xml:space="preserve">While </w:t>
      </w:r>
      <w:r>
        <w:rPr>
          <w:rFonts w:ascii="Arial" w:hAnsi="Arial" w:cs="Arial"/>
        </w:rPr>
        <w:t xml:space="preserve">$2,000 </w:t>
      </w:r>
      <w:r w:rsidR="00CC6A74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the leg</w:t>
      </w:r>
      <w:r w:rsidR="0049798F">
        <w:rPr>
          <w:rFonts w:ascii="Arial" w:hAnsi="Arial" w:cs="Arial"/>
        </w:rPr>
        <w:t>al minimum statutory threshold, some have noted</w:t>
      </w:r>
      <w:r>
        <w:rPr>
          <w:rFonts w:ascii="Arial" w:hAnsi="Arial" w:cs="Arial"/>
        </w:rPr>
        <w:t xml:space="preserve"> that </w:t>
      </w:r>
      <w:r w:rsidR="00B362C2">
        <w:rPr>
          <w:rFonts w:ascii="Arial" w:hAnsi="Arial" w:cs="Arial"/>
        </w:rPr>
        <w:t>in practic</w:t>
      </w:r>
      <w:r w:rsidR="00B362C2" w:rsidRPr="00B362C2">
        <w:rPr>
          <w:rFonts w:ascii="Arial" w:hAnsi="Arial" w:cs="Arial"/>
        </w:rPr>
        <w:t xml:space="preserve">e </w:t>
      </w:r>
      <w:r w:rsidR="00B362C2">
        <w:rPr>
          <w:rFonts w:ascii="Arial" w:hAnsi="Arial" w:cs="Arial"/>
        </w:rPr>
        <w:t xml:space="preserve">it </w:t>
      </w:r>
      <w:r w:rsidR="0049798F">
        <w:rPr>
          <w:rFonts w:ascii="Arial" w:hAnsi="Arial" w:cs="Arial"/>
        </w:rPr>
        <w:t>may</w:t>
      </w:r>
      <w:r w:rsidR="00B362C2">
        <w:rPr>
          <w:rFonts w:ascii="Arial" w:hAnsi="Arial" w:cs="Arial"/>
        </w:rPr>
        <w:t xml:space="preserve"> not make </w:t>
      </w:r>
      <w:r w:rsidR="00F47241">
        <w:rPr>
          <w:rFonts w:ascii="Arial" w:hAnsi="Arial" w:cs="Arial"/>
        </w:rPr>
        <w:t xml:space="preserve">sense commercially for a </w:t>
      </w:r>
      <w:r w:rsidR="001A48AD">
        <w:rPr>
          <w:rFonts w:ascii="Arial" w:hAnsi="Arial" w:cs="Arial"/>
        </w:rPr>
        <w:t>creditor</w:t>
      </w:r>
      <w:r w:rsidR="009A42BE">
        <w:rPr>
          <w:rFonts w:ascii="Arial" w:hAnsi="Arial" w:cs="Arial"/>
        </w:rPr>
        <w:t xml:space="preserve"> to issue</w:t>
      </w:r>
      <w:r w:rsidR="00F47241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statutory demand at</w:t>
      </w:r>
      <w:r w:rsidR="00AC3765">
        <w:rPr>
          <w:rFonts w:ascii="Arial" w:hAnsi="Arial" w:cs="Arial"/>
        </w:rPr>
        <w:t xml:space="preserve"> or near the minimum amount</w:t>
      </w:r>
      <w:r w:rsidR="0049798F">
        <w:rPr>
          <w:rFonts w:ascii="Arial" w:hAnsi="Arial" w:cs="Arial"/>
        </w:rPr>
        <w:t>. This is</w:t>
      </w:r>
      <w:r>
        <w:rPr>
          <w:rFonts w:ascii="Arial" w:hAnsi="Arial" w:cs="Arial"/>
        </w:rPr>
        <w:t xml:space="preserve"> due to the cost involved with drafting</w:t>
      </w:r>
      <w:r w:rsidR="007455C3">
        <w:rPr>
          <w:rFonts w:ascii="Arial" w:hAnsi="Arial" w:cs="Arial"/>
        </w:rPr>
        <w:t xml:space="preserve"> and issuing</w:t>
      </w:r>
      <w:r>
        <w:rPr>
          <w:rFonts w:ascii="Arial" w:hAnsi="Arial" w:cs="Arial"/>
        </w:rPr>
        <w:t xml:space="preserve"> the demand</w:t>
      </w:r>
      <w:r w:rsidR="007E76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possi</w:t>
      </w:r>
      <w:r w:rsidR="0026735B">
        <w:rPr>
          <w:rFonts w:ascii="Arial" w:hAnsi="Arial" w:cs="Arial"/>
        </w:rPr>
        <w:t>ble costs associated with contesting the statutory demand in</w:t>
      </w:r>
      <w:r w:rsidR="00187B1C">
        <w:rPr>
          <w:rFonts w:ascii="Arial" w:hAnsi="Arial" w:cs="Arial"/>
        </w:rPr>
        <w:t xml:space="preserve"> </w:t>
      </w:r>
      <w:r w:rsidR="009039CB">
        <w:rPr>
          <w:rFonts w:ascii="Arial" w:hAnsi="Arial" w:cs="Arial"/>
        </w:rPr>
        <w:t>c</w:t>
      </w:r>
      <w:r>
        <w:rPr>
          <w:rFonts w:ascii="Arial" w:hAnsi="Arial" w:cs="Arial"/>
        </w:rPr>
        <w:t>ourt</w:t>
      </w:r>
      <w:r w:rsidR="0049798F">
        <w:rPr>
          <w:rFonts w:ascii="Arial" w:hAnsi="Arial" w:cs="Arial"/>
        </w:rPr>
        <w:t xml:space="preserve"> if</w:t>
      </w:r>
      <w:r w:rsidR="0026735B">
        <w:rPr>
          <w:rFonts w:ascii="Arial" w:hAnsi="Arial" w:cs="Arial"/>
        </w:rPr>
        <w:t xml:space="preserve"> it is disputed by the recipient company</w:t>
      </w:r>
      <w:r>
        <w:rPr>
          <w:rFonts w:ascii="Arial" w:hAnsi="Arial" w:cs="Arial"/>
        </w:rPr>
        <w:t>.</w:t>
      </w:r>
    </w:p>
    <w:p w14:paraId="29BB6A69" w14:textId="2D5685D8" w:rsidR="00F87F9C" w:rsidRPr="00EB54D7" w:rsidRDefault="00CC6A74" w:rsidP="00F87F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statutory demand may also unnecessarily push a company into liquidation, where that company has long term viability and has a chance at a successful restructure. </w:t>
      </w:r>
      <w:r w:rsidR="00F87F9C">
        <w:rPr>
          <w:rFonts w:ascii="Arial" w:hAnsi="Arial" w:cs="Arial"/>
        </w:rPr>
        <w:t>Other than paying or otherwise coming to an agreem</w:t>
      </w:r>
      <w:r w:rsidR="00297243">
        <w:rPr>
          <w:rFonts w:ascii="Arial" w:hAnsi="Arial" w:cs="Arial"/>
        </w:rPr>
        <w:t>ent with the creditor</w:t>
      </w:r>
      <w:r>
        <w:rPr>
          <w:rFonts w:ascii="Arial" w:hAnsi="Arial" w:cs="Arial"/>
        </w:rPr>
        <w:t>,</w:t>
      </w:r>
      <w:r w:rsidR="00297243">
        <w:rPr>
          <w:rFonts w:ascii="Arial" w:hAnsi="Arial" w:cs="Arial"/>
        </w:rPr>
        <w:t xml:space="preserve"> the debtor company</w:t>
      </w:r>
      <w:r w:rsidR="009039CB">
        <w:rPr>
          <w:rFonts w:ascii="Arial" w:hAnsi="Arial" w:cs="Arial"/>
        </w:rPr>
        <w:t xml:space="preserve"> must apply to the c</w:t>
      </w:r>
      <w:r w:rsidR="00F87F9C">
        <w:rPr>
          <w:rFonts w:ascii="Arial" w:hAnsi="Arial" w:cs="Arial"/>
        </w:rPr>
        <w:t>ourt to have the statutory demand set aside. This will</w:t>
      </w:r>
      <w:r w:rsidR="00297243">
        <w:rPr>
          <w:rFonts w:ascii="Arial" w:hAnsi="Arial" w:cs="Arial"/>
        </w:rPr>
        <w:t xml:space="preserve"> often be a costly process for that</w:t>
      </w:r>
      <w:r w:rsidR="00F87F9C">
        <w:rPr>
          <w:rFonts w:ascii="Arial" w:hAnsi="Arial" w:cs="Arial"/>
        </w:rPr>
        <w:t xml:space="preserve"> business, particularly if they are already</w:t>
      </w:r>
      <w:r w:rsidR="00297243">
        <w:rPr>
          <w:rFonts w:ascii="Arial" w:hAnsi="Arial" w:cs="Arial"/>
        </w:rPr>
        <w:t xml:space="preserve"> in financial distress</w:t>
      </w:r>
      <w:r w:rsidR="006B2534">
        <w:rPr>
          <w:rFonts w:ascii="Arial" w:hAnsi="Arial" w:cs="Arial"/>
        </w:rPr>
        <w:t>, which is likely to be common</w:t>
      </w:r>
      <w:r w:rsidR="00F87F9C">
        <w:rPr>
          <w:rFonts w:ascii="Arial" w:hAnsi="Arial" w:cs="Arial"/>
        </w:rPr>
        <w:t xml:space="preserve">. </w:t>
      </w:r>
    </w:p>
    <w:p w14:paraId="23836B49" w14:textId="67A383B5" w:rsidR="00F87F9C" w:rsidRDefault="00F87F9C" w:rsidP="00F87F9C">
      <w:pPr>
        <w:pStyle w:val="Heading3"/>
      </w:pPr>
      <w:bookmarkStart w:id="18" w:name="_Toc54638446"/>
      <w:bookmarkStart w:id="19" w:name="_Toc63761743"/>
      <w:r>
        <w:t>Alignment with personal bankruptcy threshold</w:t>
      </w:r>
      <w:bookmarkEnd w:id="18"/>
      <w:bookmarkEnd w:id="19"/>
    </w:p>
    <w:p w14:paraId="43BB0B90" w14:textId="48CC1989" w:rsidR="00D07E01" w:rsidRDefault="00A42EB2" w:rsidP="00F87F9C">
      <w:pPr>
        <w:rPr>
          <w:rFonts w:ascii="Arial" w:hAnsi="Arial" w:cs="Arial"/>
        </w:rPr>
      </w:pPr>
      <w:r>
        <w:rPr>
          <w:rFonts w:ascii="Arial" w:hAnsi="Arial" w:cs="Arial"/>
        </w:rPr>
        <w:t>Until 2010</w:t>
      </w:r>
      <w:r w:rsidR="0053453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there was </w:t>
      </w:r>
      <w:r w:rsidR="00F87F9C">
        <w:rPr>
          <w:rFonts w:ascii="Arial" w:hAnsi="Arial" w:cs="Arial"/>
        </w:rPr>
        <w:t>alignment between the threshold for issuing a corporate statutory demand</w:t>
      </w:r>
      <w:r w:rsidR="00E42B69">
        <w:rPr>
          <w:rFonts w:ascii="Arial" w:hAnsi="Arial" w:cs="Arial"/>
        </w:rPr>
        <w:t xml:space="preserve"> on a company</w:t>
      </w:r>
      <w:r w:rsidR="00F87F9C">
        <w:rPr>
          <w:rFonts w:ascii="Arial" w:hAnsi="Arial" w:cs="Arial"/>
        </w:rPr>
        <w:t xml:space="preserve"> and </w:t>
      </w:r>
      <w:r w:rsidR="009D3BD8">
        <w:rPr>
          <w:rFonts w:ascii="Arial" w:hAnsi="Arial" w:cs="Arial"/>
        </w:rPr>
        <w:t>the threshold for</w:t>
      </w:r>
      <w:r w:rsidR="00F87F9C">
        <w:rPr>
          <w:rFonts w:ascii="Arial" w:hAnsi="Arial" w:cs="Arial"/>
        </w:rPr>
        <w:t xml:space="preserve"> </w:t>
      </w:r>
      <w:r w:rsidR="00E42B69">
        <w:rPr>
          <w:rFonts w:ascii="Arial" w:hAnsi="Arial" w:cs="Arial"/>
        </w:rPr>
        <w:t>initiating bankruptcy proceedings against an individual debtor through issuing a bankruptcy notice</w:t>
      </w:r>
      <w:r w:rsidR="00F87F9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In 2010</w:t>
      </w:r>
      <w:r w:rsidR="00E508E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87F9C">
        <w:rPr>
          <w:rFonts w:ascii="Arial" w:hAnsi="Arial" w:cs="Arial"/>
        </w:rPr>
        <w:t xml:space="preserve">the threshold for issuing a bankruptcy </w:t>
      </w:r>
      <w:r w:rsidR="00312037">
        <w:rPr>
          <w:rFonts w:ascii="Arial" w:hAnsi="Arial" w:cs="Arial"/>
        </w:rPr>
        <w:t>notice</w:t>
      </w:r>
      <w:r w:rsidR="00F87F9C">
        <w:rPr>
          <w:rFonts w:ascii="Arial" w:hAnsi="Arial" w:cs="Arial"/>
        </w:rPr>
        <w:t xml:space="preserve"> was raised from $2,000 to $5,000. </w:t>
      </w:r>
      <w:r w:rsidR="00A95B58">
        <w:rPr>
          <w:rFonts w:ascii="Arial" w:hAnsi="Arial" w:cs="Arial"/>
        </w:rPr>
        <w:t xml:space="preserve">This threshold was increased again, to $10,000, on 1 January 2021. </w:t>
      </w:r>
    </w:p>
    <w:p w14:paraId="62A133F3" w14:textId="7CB7BCB7" w:rsidR="00F87F9C" w:rsidRDefault="00F87F9C" w:rsidP="00F87F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As part of the Government’s temporary changes </w:t>
      </w:r>
      <w:r w:rsidR="00F11B75">
        <w:rPr>
          <w:rFonts w:ascii="Arial" w:hAnsi="Arial" w:cs="Arial"/>
        </w:rPr>
        <w:t>in response</w:t>
      </w:r>
      <w:r>
        <w:rPr>
          <w:rFonts w:ascii="Arial" w:hAnsi="Arial" w:cs="Arial"/>
        </w:rPr>
        <w:t xml:space="preserve"> to </w:t>
      </w:r>
      <w:r w:rsidR="00C57670">
        <w:rPr>
          <w:rFonts w:ascii="Arial" w:hAnsi="Arial" w:cs="Arial"/>
        </w:rPr>
        <w:t>the Coronavirus</w:t>
      </w:r>
      <w:r w:rsidR="00F11B75">
        <w:rPr>
          <w:rFonts w:ascii="Arial" w:hAnsi="Arial" w:cs="Arial"/>
        </w:rPr>
        <w:t>,</w:t>
      </w:r>
      <w:r w:rsidR="003120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threshold for</w:t>
      </w:r>
      <w:r w:rsidR="000807DC">
        <w:rPr>
          <w:rFonts w:ascii="Arial" w:hAnsi="Arial" w:cs="Arial"/>
        </w:rPr>
        <w:t xml:space="preserve"> issuing a demand on</w:t>
      </w:r>
      <w:r w:rsidR="00D07E01">
        <w:rPr>
          <w:rFonts w:ascii="Arial" w:hAnsi="Arial" w:cs="Arial"/>
        </w:rPr>
        <w:t xml:space="preserve"> both</w:t>
      </w:r>
      <w:r>
        <w:rPr>
          <w:rFonts w:ascii="Arial" w:hAnsi="Arial" w:cs="Arial"/>
        </w:rPr>
        <w:t xml:space="preserve"> companies and </w:t>
      </w:r>
      <w:r w:rsidR="00D07E01">
        <w:rPr>
          <w:rFonts w:ascii="Arial" w:hAnsi="Arial" w:cs="Arial"/>
        </w:rPr>
        <w:t xml:space="preserve">individuals </w:t>
      </w:r>
      <w:r w:rsidR="005B7824">
        <w:rPr>
          <w:rFonts w:ascii="Arial" w:hAnsi="Arial" w:cs="Arial"/>
        </w:rPr>
        <w:t xml:space="preserve">rose to $20,000. This </w:t>
      </w:r>
      <w:r w:rsidR="000304D3">
        <w:rPr>
          <w:rFonts w:ascii="Arial" w:hAnsi="Arial" w:cs="Arial"/>
        </w:rPr>
        <w:t xml:space="preserve">temporarily </w:t>
      </w:r>
      <w:r w:rsidR="005B7824">
        <w:rPr>
          <w:rFonts w:ascii="Arial" w:hAnsi="Arial" w:cs="Arial"/>
        </w:rPr>
        <w:t xml:space="preserve">brought </w:t>
      </w:r>
      <w:r>
        <w:rPr>
          <w:rFonts w:ascii="Arial" w:hAnsi="Arial" w:cs="Arial"/>
        </w:rPr>
        <w:t>the thresholds back into alignment</w:t>
      </w:r>
      <w:r w:rsidR="000304D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until </w:t>
      </w:r>
      <w:r w:rsidR="000304D3">
        <w:rPr>
          <w:rFonts w:ascii="Arial" w:hAnsi="Arial" w:cs="Arial"/>
        </w:rPr>
        <w:t xml:space="preserve">the temporary changes expired on </w:t>
      </w:r>
      <w:r>
        <w:rPr>
          <w:rFonts w:ascii="Arial" w:hAnsi="Arial" w:cs="Arial"/>
        </w:rPr>
        <w:t xml:space="preserve">31 December 2020. </w:t>
      </w:r>
    </w:p>
    <w:p w14:paraId="74246B1E" w14:textId="694152AA" w:rsidR="00C84628" w:rsidRDefault="009863EB" w:rsidP="00F87F9C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F87F9C">
        <w:rPr>
          <w:rFonts w:ascii="Arial" w:hAnsi="Arial" w:cs="Arial"/>
        </w:rPr>
        <w:t xml:space="preserve">armony between the thresholds </w:t>
      </w:r>
      <w:r w:rsidR="00A42EB2">
        <w:rPr>
          <w:rFonts w:ascii="Arial" w:hAnsi="Arial" w:cs="Arial"/>
        </w:rPr>
        <w:t xml:space="preserve">can </w:t>
      </w:r>
      <w:r w:rsidR="00F87F9C">
        <w:rPr>
          <w:rFonts w:ascii="Arial" w:hAnsi="Arial" w:cs="Arial"/>
        </w:rPr>
        <w:t>provide</w:t>
      </w:r>
      <w:r>
        <w:rPr>
          <w:rFonts w:ascii="Arial" w:hAnsi="Arial" w:cs="Arial"/>
        </w:rPr>
        <w:t xml:space="preserve"> desirable</w:t>
      </w:r>
      <w:r w:rsidR="00F87F9C">
        <w:rPr>
          <w:rFonts w:ascii="Arial" w:hAnsi="Arial" w:cs="Arial"/>
        </w:rPr>
        <w:t xml:space="preserve"> consistency between the two different regimes</w:t>
      </w:r>
      <w:r w:rsidR="009D2237">
        <w:rPr>
          <w:rFonts w:ascii="Arial" w:hAnsi="Arial" w:cs="Arial"/>
        </w:rPr>
        <w:t>, supporting</w:t>
      </w:r>
      <w:r w:rsidR="00A42EB2">
        <w:rPr>
          <w:rFonts w:ascii="Arial" w:hAnsi="Arial" w:cs="Arial"/>
        </w:rPr>
        <w:t xml:space="preserve"> </w:t>
      </w:r>
      <w:r w:rsidR="00CA76DE">
        <w:rPr>
          <w:rFonts w:ascii="Arial" w:hAnsi="Arial" w:cs="Arial"/>
        </w:rPr>
        <w:t>individuals</w:t>
      </w:r>
      <w:r w:rsidR="00644A87">
        <w:rPr>
          <w:rFonts w:ascii="Arial" w:hAnsi="Arial" w:cs="Arial"/>
        </w:rPr>
        <w:t xml:space="preserve"> who run small businesses that</w:t>
      </w:r>
      <w:r w:rsidR="00BA6C0A">
        <w:rPr>
          <w:rFonts w:ascii="Arial" w:hAnsi="Arial" w:cs="Arial"/>
        </w:rPr>
        <w:t xml:space="preserve"> need</w:t>
      </w:r>
      <w:r w:rsidR="00CA76DE">
        <w:rPr>
          <w:rFonts w:ascii="Arial" w:hAnsi="Arial" w:cs="Arial"/>
        </w:rPr>
        <w:t xml:space="preserve"> to engage with both regimes where their business </w:t>
      </w:r>
      <w:r w:rsidR="00644A87">
        <w:rPr>
          <w:rFonts w:ascii="Arial" w:hAnsi="Arial" w:cs="Arial"/>
        </w:rPr>
        <w:t xml:space="preserve">is in </w:t>
      </w:r>
      <w:r w:rsidR="00CA76DE">
        <w:rPr>
          <w:rFonts w:ascii="Arial" w:hAnsi="Arial" w:cs="Arial"/>
        </w:rPr>
        <w:t xml:space="preserve">financial distress. </w:t>
      </w:r>
    </w:p>
    <w:p w14:paraId="670F155C" w14:textId="4E0A0E35" w:rsidR="00B96AC2" w:rsidRDefault="00B96AC2" w:rsidP="00B96AC2">
      <w:pPr>
        <w:rPr>
          <w:rFonts w:ascii="Arial" w:hAnsi="Arial" w:cs="Arial"/>
        </w:rPr>
      </w:pPr>
      <w:bookmarkStart w:id="20" w:name="_Toc54638447"/>
      <w:bookmarkStart w:id="21" w:name="_Toc63761744"/>
      <w:r>
        <w:rPr>
          <w:rFonts w:ascii="Arial" w:hAnsi="Arial" w:cs="Arial"/>
        </w:rPr>
        <w:t xml:space="preserve">But there </w:t>
      </w:r>
      <w:r w:rsidR="00043456">
        <w:rPr>
          <w:rFonts w:ascii="Arial" w:hAnsi="Arial" w:cs="Arial"/>
        </w:rPr>
        <w:t>may</w:t>
      </w:r>
      <w:r>
        <w:rPr>
          <w:rFonts w:ascii="Arial" w:hAnsi="Arial" w:cs="Arial"/>
        </w:rPr>
        <w:t xml:space="preserve"> also</w:t>
      </w:r>
      <w:r w:rsidR="004E203A">
        <w:rPr>
          <w:rFonts w:ascii="Arial" w:hAnsi="Arial" w:cs="Arial"/>
        </w:rPr>
        <w:t xml:space="preserve"> be</w:t>
      </w:r>
      <w:r>
        <w:rPr>
          <w:rFonts w:ascii="Arial" w:hAnsi="Arial" w:cs="Arial"/>
        </w:rPr>
        <w:t xml:space="preserve"> reasons for the difference in thresholds. If an individual is made bankrupt, the personal implications may be more significant than in the corporate context. If a statutory demand forces a company into liquidation the directors of the company may benefit from limited liability, protecting their personal assets. However, in practice a significant number of small business owners have given personal guarantees secured by personal assets (such as their primary residence) in order to obtain financing for their company’s liabilities.</w:t>
      </w:r>
    </w:p>
    <w:p w14:paraId="69112377" w14:textId="6F060165" w:rsidR="00F87F9C" w:rsidRDefault="00F87F9C" w:rsidP="00F87F9C">
      <w:pPr>
        <w:pStyle w:val="Heading3"/>
      </w:pPr>
      <w:r>
        <w:t>Impacts on creditors and debtor companies</w:t>
      </w:r>
      <w:bookmarkEnd w:id="20"/>
      <w:bookmarkEnd w:id="21"/>
    </w:p>
    <w:p w14:paraId="75895135" w14:textId="77777777" w:rsidR="00354058" w:rsidRDefault="00871624" w:rsidP="00F87F9C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F87F9C">
        <w:rPr>
          <w:rFonts w:ascii="Arial" w:hAnsi="Arial" w:cs="Arial"/>
        </w:rPr>
        <w:t>ncreasing the minimum threshold</w:t>
      </w:r>
      <w:r>
        <w:rPr>
          <w:rFonts w:ascii="Arial" w:hAnsi="Arial" w:cs="Arial"/>
        </w:rPr>
        <w:t xml:space="preserve"> at</w:t>
      </w:r>
      <w:r w:rsidR="00F87F9C">
        <w:rPr>
          <w:rFonts w:ascii="Arial" w:hAnsi="Arial" w:cs="Arial"/>
        </w:rPr>
        <w:t xml:space="preserve"> which creditors can issue a statutory demand </w:t>
      </w:r>
      <w:r w:rsidR="009F2C75">
        <w:rPr>
          <w:rFonts w:ascii="Arial" w:hAnsi="Arial" w:cs="Arial"/>
        </w:rPr>
        <w:t xml:space="preserve">will reduce the ability of </w:t>
      </w:r>
      <w:r w:rsidR="00FC7BC0">
        <w:rPr>
          <w:rFonts w:ascii="Arial" w:hAnsi="Arial" w:cs="Arial"/>
        </w:rPr>
        <w:t xml:space="preserve">some </w:t>
      </w:r>
      <w:r w:rsidR="009F2C75">
        <w:rPr>
          <w:rFonts w:ascii="Arial" w:hAnsi="Arial" w:cs="Arial"/>
        </w:rPr>
        <w:t>creditors to take action</w:t>
      </w:r>
      <w:r w:rsidR="00FC7BC0">
        <w:rPr>
          <w:rFonts w:ascii="Arial" w:hAnsi="Arial" w:cs="Arial"/>
        </w:rPr>
        <w:t xml:space="preserve"> against debtor</w:t>
      </w:r>
      <w:r w:rsidR="00F87F9C">
        <w:rPr>
          <w:rFonts w:ascii="Arial" w:hAnsi="Arial" w:cs="Arial"/>
        </w:rPr>
        <w:t xml:space="preserve"> </w:t>
      </w:r>
      <w:r w:rsidR="008625F5">
        <w:rPr>
          <w:rFonts w:ascii="Arial" w:hAnsi="Arial" w:cs="Arial"/>
        </w:rPr>
        <w:t xml:space="preserve">companies. </w:t>
      </w:r>
    </w:p>
    <w:p w14:paraId="23D8D9DD" w14:textId="1CF31786" w:rsidR="00F87F9C" w:rsidRPr="00AF4F51" w:rsidRDefault="00FC7BC0" w:rsidP="00F87F9C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8625F5">
        <w:rPr>
          <w:rFonts w:ascii="Arial" w:hAnsi="Arial" w:cs="Arial"/>
        </w:rPr>
        <w:t>s noted</w:t>
      </w:r>
      <w:r>
        <w:rPr>
          <w:rFonts w:ascii="Arial" w:hAnsi="Arial" w:cs="Arial"/>
        </w:rPr>
        <w:t xml:space="preserve"> above</w:t>
      </w:r>
      <w:r w:rsidR="001F4D57">
        <w:rPr>
          <w:rFonts w:ascii="Arial" w:hAnsi="Arial" w:cs="Arial"/>
        </w:rPr>
        <w:t xml:space="preserve">, </w:t>
      </w:r>
      <w:r w:rsidR="00F87F9C">
        <w:rPr>
          <w:rFonts w:ascii="Arial" w:hAnsi="Arial" w:cs="Arial"/>
        </w:rPr>
        <w:t>commercial constraints may make issuing a statutory demand at</w:t>
      </w:r>
      <w:r w:rsidR="001F4D57">
        <w:rPr>
          <w:rFonts w:ascii="Arial" w:hAnsi="Arial" w:cs="Arial"/>
        </w:rPr>
        <w:t xml:space="preserve"> a</w:t>
      </w:r>
      <w:r w:rsidR="00F87F9C">
        <w:rPr>
          <w:rFonts w:ascii="Arial" w:hAnsi="Arial" w:cs="Arial"/>
        </w:rPr>
        <w:t xml:space="preserve"> lower monetary threshold </w:t>
      </w:r>
      <w:r w:rsidR="001F4D57">
        <w:rPr>
          <w:rFonts w:ascii="Arial" w:hAnsi="Arial" w:cs="Arial"/>
        </w:rPr>
        <w:t xml:space="preserve">impractical </w:t>
      </w:r>
      <w:r w:rsidR="008625F5">
        <w:rPr>
          <w:rFonts w:ascii="Arial" w:hAnsi="Arial" w:cs="Arial"/>
        </w:rPr>
        <w:t>in many circumstances</w:t>
      </w:r>
      <w:r w:rsidR="001F4D5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On the other hand, r</w:t>
      </w:r>
      <w:r w:rsidR="008355EF">
        <w:rPr>
          <w:rFonts w:ascii="Arial" w:hAnsi="Arial" w:cs="Arial"/>
        </w:rPr>
        <w:t>educing</w:t>
      </w:r>
      <w:r w:rsidR="00F87F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ability of creditors to take action</w:t>
      </w:r>
      <w:r w:rsidR="00F87F9C">
        <w:rPr>
          <w:rFonts w:ascii="Arial" w:hAnsi="Arial" w:cs="Arial"/>
        </w:rPr>
        <w:t xml:space="preserve"> may lead to unintended consequences for companies</w:t>
      </w:r>
      <w:r w:rsidR="00AD0820">
        <w:rPr>
          <w:rFonts w:ascii="Arial" w:hAnsi="Arial" w:cs="Arial"/>
        </w:rPr>
        <w:t xml:space="preserve"> in financial distress</w:t>
      </w:r>
      <w:r w:rsidR="00F87F9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For example, </w:t>
      </w:r>
      <w:r w:rsidR="00F87F9C">
        <w:rPr>
          <w:rFonts w:ascii="Arial" w:hAnsi="Arial" w:cs="Arial"/>
        </w:rPr>
        <w:t>creditors may</w:t>
      </w:r>
      <w:r w:rsidR="00AD0820">
        <w:rPr>
          <w:rFonts w:ascii="Arial" w:hAnsi="Arial" w:cs="Arial"/>
        </w:rPr>
        <w:t xml:space="preserve"> decide to</w:t>
      </w:r>
      <w:r w:rsidR="00F87F9C">
        <w:rPr>
          <w:rFonts w:ascii="Arial" w:hAnsi="Arial" w:cs="Arial"/>
        </w:rPr>
        <w:t xml:space="preserve"> </w:t>
      </w:r>
      <w:r w:rsidR="00AD0820">
        <w:rPr>
          <w:rFonts w:ascii="Arial" w:hAnsi="Arial" w:cs="Arial"/>
        </w:rPr>
        <w:t xml:space="preserve">manage their risk of non-payment through dealing with the company on less generous </w:t>
      </w:r>
      <w:r w:rsidR="00F87F9C">
        <w:rPr>
          <w:rFonts w:ascii="Arial" w:hAnsi="Arial" w:cs="Arial"/>
        </w:rPr>
        <w:t>terms</w:t>
      </w:r>
      <w:r w:rsidR="00354058">
        <w:rPr>
          <w:rFonts w:ascii="Arial" w:hAnsi="Arial" w:cs="Arial"/>
        </w:rPr>
        <w:t>,</w:t>
      </w:r>
      <w:r w:rsidR="00EC4A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such as</w:t>
      </w:r>
      <w:r w:rsidR="00F87F9C">
        <w:rPr>
          <w:rFonts w:ascii="Arial" w:hAnsi="Arial" w:cs="Arial"/>
        </w:rPr>
        <w:t xml:space="preserve"> </w:t>
      </w:r>
      <w:r w:rsidR="0071650C">
        <w:rPr>
          <w:rFonts w:ascii="Arial" w:hAnsi="Arial" w:cs="Arial"/>
        </w:rPr>
        <w:t>higher interest rates on loans</w:t>
      </w:r>
      <w:r>
        <w:rPr>
          <w:rFonts w:ascii="Arial" w:hAnsi="Arial" w:cs="Arial"/>
        </w:rPr>
        <w:t>,</w:t>
      </w:r>
      <w:r w:rsidR="00F87F9C">
        <w:rPr>
          <w:rFonts w:ascii="Arial" w:hAnsi="Arial" w:cs="Arial"/>
        </w:rPr>
        <w:t xml:space="preserve"> </w:t>
      </w:r>
      <w:r w:rsidR="0071650C">
        <w:rPr>
          <w:rFonts w:ascii="Arial" w:hAnsi="Arial" w:cs="Arial"/>
        </w:rPr>
        <w:t xml:space="preserve">a </w:t>
      </w:r>
      <w:r w:rsidR="00F87F9C">
        <w:rPr>
          <w:rFonts w:ascii="Arial" w:hAnsi="Arial" w:cs="Arial"/>
        </w:rPr>
        <w:t>shorter payment period</w:t>
      </w:r>
      <w:r w:rsidR="008269F5">
        <w:rPr>
          <w:rFonts w:ascii="Arial" w:hAnsi="Arial" w:cs="Arial"/>
        </w:rPr>
        <w:t xml:space="preserve"> </w:t>
      </w:r>
      <w:r w:rsidR="00F87F9C">
        <w:rPr>
          <w:rFonts w:ascii="Arial" w:hAnsi="Arial" w:cs="Arial"/>
        </w:rPr>
        <w:t xml:space="preserve">or </w:t>
      </w:r>
      <w:r w:rsidR="008269F5">
        <w:rPr>
          <w:rFonts w:ascii="Arial" w:hAnsi="Arial" w:cs="Arial"/>
        </w:rPr>
        <w:t xml:space="preserve">by </w:t>
      </w:r>
      <w:r w:rsidR="00F87F9C">
        <w:rPr>
          <w:rFonts w:ascii="Arial" w:hAnsi="Arial" w:cs="Arial"/>
        </w:rPr>
        <w:t>requir</w:t>
      </w:r>
      <w:r w:rsidR="008269F5">
        <w:rPr>
          <w:rFonts w:ascii="Arial" w:hAnsi="Arial" w:cs="Arial"/>
        </w:rPr>
        <w:t>ing</w:t>
      </w:r>
      <w:r w:rsidR="00F87F9C">
        <w:rPr>
          <w:rFonts w:ascii="Arial" w:hAnsi="Arial" w:cs="Arial"/>
        </w:rPr>
        <w:t xml:space="preserve"> cash on delivery.</w:t>
      </w:r>
    </w:p>
    <w:p w14:paraId="2B24081A" w14:textId="661C7596" w:rsidR="002D488F" w:rsidRDefault="002D488F" w:rsidP="002D488F"/>
    <w:sectPr w:rsidR="002D488F" w:rsidSect="00E1136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963CA" w14:textId="77777777" w:rsidR="00AC3765" w:rsidRDefault="00AC3765">
      <w:pPr>
        <w:spacing w:before="0" w:after="0"/>
      </w:pPr>
      <w:r>
        <w:separator/>
      </w:r>
    </w:p>
  </w:endnote>
  <w:endnote w:type="continuationSeparator" w:id="0">
    <w:p w14:paraId="3964FF2A" w14:textId="77777777" w:rsidR="00AC3765" w:rsidRDefault="00AC3765">
      <w:pPr>
        <w:spacing w:before="0" w:after="0"/>
      </w:pPr>
      <w:r>
        <w:continuationSeparator/>
      </w:r>
    </w:p>
  </w:endnote>
  <w:endnote w:type="continuationNotice" w:id="1">
    <w:p w14:paraId="29DB9B36" w14:textId="77777777" w:rsidR="00AC3765" w:rsidRDefault="00AC376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B4358" w14:textId="77777777" w:rsidR="00AC3765" w:rsidRPr="00E77C89" w:rsidRDefault="00AC3765" w:rsidP="0017089D">
    <w:r>
      <w:fldChar w:fldCharType="begin"/>
    </w:r>
    <w:r>
      <w:instrText xml:space="preserve"> PAGE  \* Arabic  \* MERGEFORMAT </w:instrText>
    </w:r>
    <w:r>
      <w:fldChar w:fldCharType="separate"/>
    </w:r>
    <w: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02B04" w14:textId="77777777" w:rsidR="00AC3765" w:rsidRPr="00E77C89" w:rsidRDefault="00AC3765" w:rsidP="0017089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747FE" w14:textId="4E35C006" w:rsidR="00AC3765" w:rsidRPr="00E1136B" w:rsidRDefault="00AC3765" w:rsidP="00E1136B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5157A4">
      <w:rPr>
        <w:noProof/>
      </w:rPr>
      <w:t>4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C584" w14:textId="77777777" w:rsidR="00AC3765" w:rsidRDefault="00AC37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C69A2" w14:textId="77777777" w:rsidR="00AC3765" w:rsidRDefault="00AC3765">
      <w:pPr>
        <w:spacing w:before="0" w:after="0"/>
      </w:pPr>
      <w:r>
        <w:separator/>
      </w:r>
    </w:p>
  </w:footnote>
  <w:footnote w:type="continuationSeparator" w:id="0">
    <w:p w14:paraId="4CE545DF" w14:textId="77777777" w:rsidR="00AC3765" w:rsidRDefault="00AC3765">
      <w:pPr>
        <w:spacing w:before="0" w:after="0"/>
      </w:pPr>
      <w:r>
        <w:continuationSeparator/>
      </w:r>
    </w:p>
  </w:footnote>
  <w:footnote w:type="continuationNotice" w:id="1">
    <w:p w14:paraId="77C08119" w14:textId="77777777" w:rsidR="00AC3765" w:rsidRDefault="00AC3765">
      <w:pPr>
        <w:spacing w:before="0" w:after="0"/>
      </w:pPr>
    </w:p>
  </w:footnote>
  <w:footnote w:id="2">
    <w:p w14:paraId="74289D72" w14:textId="379188E8" w:rsidR="0075374F" w:rsidRDefault="0075374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226D6">
        <w:t>The</w:t>
      </w:r>
      <w:r>
        <w:t xml:space="preserve"> demand process </w:t>
      </w:r>
      <w:r w:rsidR="001226D6">
        <w:t>that existed</w:t>
      </w:r>
      <w:r>
        <w:t xml:space="preserve"> </w:t>
      </w:r>
      <w:r w:rsidR="001226D6">
        <w:t xml:space="preserve">under </w:t>
      </w:r>
      <w:r>
        <w:t>previous companies legislation</w:t>
      </w:r>
      <w:r w:rsidR="001226D6">
        <w:t xml:space="preserve"> is not outlined in this paper</w:t>
      </w:r>
      <w:r w:rsidR="00A04AA2">
        <w:t>,</w:t>
      </w:r>
      <w:r w:rsidR="001226D6">
        <w:t xml:space="preserve"> which focus</w:t>
      </w:r>
      <w:r w:rsidR="0068030E">
        <w:t>es</w:t>
      </w:r>
      <w:r w:rsidR="001226D6">
        <w:t xml:space="preserve"> on the more recent history of statutory demands.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E3DBB" w14:textId="77777777" w:rsidR="00AC3765" w:rsidRDefault="00AC376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57A6D0" wp14:editId="55A7677B">
          <wp:simplePos x="0" y="0"/>
          <wp:positionH relativeFrom="page">
            <wp:align>center</wp:align>
          </wp:positionH>
          <wp:positionV relativeFrom="page">
            <wp:posOffset>180340</wp:posOffset>
          </wp:positionV>
          <wp:extent cx="7200000" cy="10184400"/>
          <wp:effectExtent l="0" t="0" r="127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report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A7D8E" w14:textId="77777777" w:rsidR="00AC3765" w:rsidRPr="001F3912" w:rsidRDefault="00AC3765" w:rsidP="0017089D">
    <w:r>
      <w:fldChar w:fldCharType="begin"/>
    </w:r>
    <w:r>
      <w:instrText xml:space="preserve"> macrobutton nomacro [Click and add Publication Title] </w:instrTex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C5381" w14:textId="77777777" w:rsidR="00AC3765" w:rsidRPr="001F3912" w:rsidRDefault="00AC3765" w:rsidP="0017089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3239E" w14:textId="77777777" w:rsidR="00AC3765" w:rsidRPr="001F3912" w:rsidRDefault="00AC3765" w:rsidP="0017089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8717C" w14:textId="74FAC842" w:rsidR="00AC3765" w:rsidRPr="001F3912" w:rsidRDefault="00714576" w:rsidP="001606CF">
    <w:pPr>
      <w:pStyle w:val="Header"/>
    </w:pPr>
    <w:r>
      <w:fldChar w:fldCharType="begin"/>
    </w:r>
    <w:r>
      <w:instrText xml:space="preserve"> STYLEREF  Title  \* MERGEFORMAT </w:instrText>
    </w:r>
    <w:r>
      <w:fldChar w:fldCharType="separate"/>
    </w:r>
    <w:r>
      <w:rPr>
        <w:noProof/>
      </w:rPr>
      <w:t>Increasing the Statutory Demand Threshold</w:t>
    </w:r>
    <w:r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9F17A" w14:textId="77777777" w:rsidR="00AC3765" w:rsidRDefault="00AC37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pStyle w:val="Box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pStyle w:val="BoxDash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pStyle w:val="BoxDoubleDo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" w15:restartNumberingAfterBreak="0">
    <w:nsid w:val="0B8F13AF"/>
    <w:multiLevelType w:val="multilevel"/>
    <w:tmpl w:val="4192E21C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0653560"/>
    <w:multiLevelType w:val="multilevel"/>
    <w:tmpl w:val="72F8140E"/>
    <w:styleLink w:val="OutlineList"/>
    <w:lvl w:ilvl="0">
      <w:start w:val="1"/>
      <w:numFmt w:val="decimal"/>
      <w:pStyle w:val="OutlineNumbered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OutlineNumbered3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6CC4E5D"/>
    <w:multiLevelType w:val="multilevel"/>
    <w:tmpl w:val="D10E9CF6"/>
    <w:numStyleLink w:val="OneLevelList"/>
  </w:abstractNum>
  <w:abstractNum w:abstractNumId="4" w15:restartNumberingAfterBreak="0">
    <w:nsid w:val="17DF7717"/>
    <w:multiLevelType w:val="multilevel"/>
    <w:tmpl w:val="B91AC3AC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7826BF0"/>
    <w:multiLevelType w:val="multilevel"/>
    <w:tmpl w:val="2A44CE48"/>
    <w:lvl w:ilvl="0">
      <w:start w:val="1"/>
      <w:numFmt w:val="lowerRoman"/>
      <w:pStyle w:val="Romannumer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AlphaParagraph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08C2710"/>
    <w:multiLevelType w:val="multilevel"/>
    <w:tmpl w:val="0D723674"/>
    <w:styleLink w:val="BulletedList"/>
    <w:lvl w:ilvl="0">
      <w:start w:val="1"/>
      <w:numFmt w:val="bullet"/>
      <w:lvlRestart w:val="0"/>
      <w:pStyle w:val="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7" w15:restartNumberingAfterBreak="0">
    <w:nsid w:val="3238442C"/>
    <w:multiLevelType w:val="multilevel"/>
    <w:tmpl w:val="FEB87FB6"/>
    <w:styleLink w:val="ChartandTableFootnoteAlphaList"/>
    <w:lvl w:ilvl="0">
      <w:start w:val="1"/>
      <w:numFmt w:val="lowerLetter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30C16AD"/>
    <w:multiLevelType w:val="multilevel"/>
    <w:tmpl w:val="D10E9CF6"/>
    <w:styleLink w:val="OneLevelList"/>
    <w:lvl w:ilvl="0">
      <w:start w:val="1"/>
      <w:numFmt w:val="decimal"/>
      <w:pStyle w:val="OneLevel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10D2021"/>
    <w:multiLevelType w:val="multilevel"/>
    <w:tmpl w:val="72F8140E"/>
    <w:numStyleLink w:val="OutlineList"/>
  </w:abstractNum>
  <w:abstractNum w:abstractNumId="10" w15:restartNumberingAfterBreak="0">
    <w:nsid w:val="7EBF275E"/>
    <w:multiLevelType w:val="multilevel"/>
    <w:tmpl w:val="A6800B9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984"/>
        </w:tabs>
        <w:ind w:left="1984" w:hanging="85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7"/>
    <w:lvlOverride w:ilvl="0">
      <w:lvl w:ilvl="0">
        <w:start w:val="1"/>
        <w:numFmt w:val="lowerLetter"/>
        <w:pStyle w:val="ChartandTableFootnoteAlpha"/>
        <w:lvlText w:val="(%1)"/>
        <w:lvlJc w:val="left"/>
        <w:pPr>
          <w:ind w:left="360" w:hanging="360"/>
        </w:pPr>
        <w:rPr>
          <w:rFonts w:ascii="Calibri" w:hAnsi="Calibri" w:hint="default"/>
          <w:b w:val="0"/>
          <w:i w:val="0"/>
          <w:caps w:val="0"/>
          <w:strike w:val="0"/>
          <w:dstrike w:val="0"/>
          <w:vanish w:val="0"/>
          <w:sz w:val="18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  <w:num w:numId="12">
    <w:abstractNumId w:val="9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5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195"/>
    <w:rsid w:val="000040E2"/>
    <w:rsid w:val="000077D5"/>
    <w:rsid w:val="00011725"/>
    <w:rsid w:val="00012C62"/>
    <w:rsid w:val="000242BB"/>
    <w:rsid w:val="000245C9"/>
    <w:rsid w:val="0002544D"/>
    <w:rsid w:val="000304D3"/>
    <w:rsid w:val="00041A8B"/>
    <w:rsid w:val="0004274D"/>
    <w:rsid w:val="00043456"/>
    <w:rsid w:val="00044C0A"/>
    <w:rsid w:val="00056880"/>
    <w:rsid w:val="000675D1"/>
    <w:rsid w:val="0007102C"/>
    <w:rsid w:val="00072352"/>
    <w:rsid w:val="00073521"/>
    <w:rsid w:val="000775DE"/>
    <w:rsid w:val="000807DC"/>
    <w:rsid w:val="000858F2"/>
    <w:rsid w:val="00087FAF"/>
    <w:rsid w:val="000C0A8F"/>
    <w:rsid w:val="000C5F40"/>
    <w:rsid w:val="000E0B74"/>
    <w:rsid w:val="000F0BF8"/>
    <w:rsid w:val="000F7517"/>
    <w:rsid w:val="000F7978"/>
    <w:rsid w:val="001202D7"/>
    <w:rsid w:val="001226D6"/>
    <w:rsid w:val="001346A0"/>
    <w:rsid w:val="001402F1"/>
    <w:rsid w:val="0014091C"/>
    <w:rsid w:val="00144FF8"/>
    <w:rsid w:val="001606CF"/>
    <w:rsid w:val="0016128D"/>
    <w:rsid w:val="00164E49"/>
    <w:rsid w:val="0017089D"/>
    <w:rsid w:val="00187B1C"/>
    <w:rsid w:val="0019101A"/>
    <w:rsid w:val="001A48AD"/>
    <w:rsid w:val="001A7052"/>
    <w:rsid w:val="001B0626"/>
    <w:rsid w:val="001C2611"/>
    <w:rsid w:val="001C358D"/>
    <w:rsid w:val="001C6896"/>
    <w:rsid w:val="001C690F"/>
    <w:rsid w:val="001D2A59"/>
    <w:rsid w:val="001D4EAA"/>
    <w:rsid w:val="001D5BF3"/>
    <w:rsid w:val="001E6692"/>
    <w:rsid w:val="001F4D57"/>
    <w:rsid w:val="001F51B4"/>
    <w:rsid w:val="00203857"/>
    <w:rsid w:val="0020796F"/>
    <w:rsid w:val="0022190E"/>
    <w:rsid w:val="00223486"/>
    <w:rsid w:val="002236B7"/>
    <w:rsid w:val="002258B7"/>
    <w:rsid w:val="00231049"/>
    <w:rsid w:val="002314D2"/>
    <w:rsid w:val="00232328"/>
    <w:rsid w:val="0023574A"/>
    <w:rsid w:val="002372A6"/>
    <w:rsid w:val="00240438"/>
    <w:rsid w:val="00243336"/>
    <w:rsid w:val="002500A4"/>
    <w:rsid w:val="00257AEE"/>
    <w:rsid w:val="0026304A"/>
    <w:rsid w:val="00263B6C"/>
    <w:rsid w:val="0026735B"/>
    <w:rsid w:val="0027590B"/>
    <w:rsid w:val="00285969"/>
    <w:rsid w:val="002940EC"/>
    <w:rsid w:val="00297243"/>
    <w:rsid w:val="002B0C0E"/>
    <w:rsid w:val="002B3829"/>
    <w:rsid w:val="002B4D4D"/>
    <w:rsid w:val="002B5C39"/>
    <w:rsid w:val="002C1E86"/>
    <w:rsid w:val="002D223E"/>
    <w:rsid w:val="002D488F"/>
    <w:rsid w:val="002F130E"/>
    <w:rsid w:val="002F617F"/>
    <w:rsid w:val="00306C52"/>
    <w:rsid w:val="00312037"/>
    <w:rsid w:val="003122F4"/>
    <w:rsid w:val="00313286"/>
    <w:rsid w:val="003268D5"/>
    <w:rsid w:val="00334BA9"/>
    <w:rsid w:val="00344779"/>
    <w:rsid w:val="00344F71"/>
    <w:rsid w:val="00354058"/>
    <w:rsid w:val="00354D27"/>
    <w:rsid w:val="00354FBB"/>
    <w:rsid w:val="0037292E"/>
    <w:rsid w:val="003839F0"/>
    <w:rsid w:val="003858A6"/>
    <w:rsid w:val="00392DCC"/>
    <w:rsid w:val="003A11D5"/>
    <w:rsid w:val="003E38B0"/>
    <w:rsid w:val="003E4D87"/>
    <w:rsid w:val="003E7636"/>
    <w:rsid w:val="003F0ED6"/>
    <w:rsid w:val="003F4C72"/>
    <w:rsid w:val="003F5346"/>
    <w:rsid w:val="003F71F2"/>
    <w:rsid w:val="003F7F69"/>
    <w:rsid w:val="00402D41"/>
    <w:rsid w:val="00416762"/>
    <w:rsid w:val="0042071E"/>
    <w:rsid w:val="00421351"/>
    <w:rsid w:val="00424220"/>
    <w:rsid w:val="004440EE"/>
    <w:rsid w:val="00445265"/>
    <w:rsid w:val="004559CE"/>
    <w:rsid w:val="00455A54"/>
    <w:rsid w:val="00470574"/>
    <w:rsid w:val="00475B7B"/>
    <w:rsid w:val="00475F4D"/>
    <w:rsid w:val="00482AD1"/>
    <w:rsid w:val="00483049"/>
    <w:rsid w:val="0048652D"/>
    <w:rsid w:val="00492FCB"/>
    <w:rsid w:val="004938D1"/>
    <w:rsid w:val="004951A8"/>
    <w:rsid w:val="0049798F"/>
    <w:rsid w:val="004A077D"/>
    <w:rsid w:val="004A21C8"/>
    <w:rsid w:val="004A2C71"/>
    <w:rsid w:val="004A56C6"/>
    <w:rsid w:val="004A70B4"/>
    <w:rsid w:val="004A7BC2"/>
    <w:rsid w:val="004B02F4"/>
    <w:rsid w:val="004C3CF9"/>
    <w:rsid w:val="004D3A02"/>
    <w:rsid w:val="004D6112"/>
    <w:rsid w:val="004E203A"/>
    <w:rsid w:val="004F1164"/>
    <w:rsid w:val="004F79C0"/>
    <w:rsid w:val="0051262A"/>
    <w:rsid w:val="005157A4"/>
    <w:rsid w:val="005161BE"/>
    <w:rsid w:val="00516785"/>
    <w:rsid w:val="0052419D"/>
    <w:rsid w:val="005301F8"/>
    <w:rsid w:val="005312FC"/>
    <w:rsid w:val="005315A7"/>
    <w:rsid w:val="0053201D"/>
    <w:rsid w:val="00533A7E"/>
    <w:rsid w:val="00534530"/>
    <w:rsid w:val="0053603D"/>
    <w:rsid w:val="005415AB"/>
    <w:rsid w:val="00547D47"/>
    <w:rsid w:val="00554F75"/>
    <w:rsid w:val="005557DF"/>
    <w:rsid w:val="00584BA4"/>
    <w:rsid w:val="005868DE"/>
    <w:rsid w:val="0059459E"/>
    <w:rsid w:val="005B468C"/>
    <w:rsid w:val="005B7824"/>
    <w:rsid w:val="005C14D4"/>
    <w:rsid w:val="005C5657"/>
    <w:rsid w:val="005C7695"/>
    <w:rsid w:val="005D283C"/>
    <w:rsid w:val="005D67FA"/>
    <w:rsid w:val="005E7A01"/>
    <w:rsid w:val="005F5ED9"/>
    <w:rsid w:val="0060595B"/>
    <w:rsid w:val="00605AFD"/>
    <w:rsid w:val="00607C7C"/>
    <w:rsid w:val="006123D4"/>
    <w:rsid w:val="00612B41"/>
    <w:rsid w:val="0063313A"/>
    <w:rsid w:val="00637C14"/>
    <w:rsid w:val="00643EC3"/>
    <w:rsid w:val="00644A87"/>
    <w:rsid w:val="00656356"/>
    <w:rsid w:val="00660491"/>
    <w:rsid w:val="00662587"/>
    <w:rsid w:val="0066405F"/>
    <w:rsid w:val="006755BF"/>
    <w:rsid w:val="0068030E"/>
    <w:rsid w:val="00681BDC"/>
    <w:rsid w:val="006820E0"/>
    <w:rsid w:val="00686165"/>
    <w:rsid w:val="006876BA"/>
    <w:rsid w:val="00691CB5"/>
    <w:rsid w:val="00693A30"/>
    <w:rsid w:val="0069519C"/>
    <w:rsid w:val="006A6EE1"/>
    <w:rsid w:val="006B2534"/>
    <w:rsid w:val="006B4CC2"/>
    <w:rsid w:val="006B5E7C"/>
    <w:rsid w:val="006C645D"/>
    <w:rsid w:val="006D42C7"/>
    <w:rsid w:val="006E3CC3"/>
    <w:rsid w:val="006F656C"/>
    <w:rsid w:val="0070355D"/>
    <w:rsid w:val="00707014"/>
    <w:rsid w:val="00714576"/>
    <w:rsid w:val="0071650C"/>
    <w:rsid w:val="00723A76"/>
    <w:rsid w:val="007455C3"/>
    <w:rsid w:val="00745A87"/>
    <w:rsid w:val="0075374F"/>
    <w:rsid w:val="00765C61"/>
    <w:rsid w:val="007739DC"/>
    <w:rsid w:val="007812CA"/>
    <w:rsid w:val="0078509F"/>
    <w:rsid w:val="0079428B"/>
    <w:rsid w:val="00794499"/>
    <w:rsid w:val="007A4468"/>
    <w:rsid w:val="007C198B"/>
    <w:rsid w:val="007C7138"/>
    <w:rsid w:val="007D3D71"/>
    <w:rsid w:val="007D4363"/>
    <w:rsid w:val="007D5AA6"/>
    <w:rsid w:val="007E2AB9"/>
    <w:rsid w:val="007E6456"/>
    <w:rsid w:val="007E76CC"/>
    <w:rsid w:val="008049E0"/>
    <w:rsid w:val="008269F5"/>
    <w:rsid w:val="00834243"/>
    <w:rsid w:val="008355EF"/>
    <w:rsid w:val="0084159E"/>
    <w:rsid w:val="008475DE"/>
    <w:rsid w:val="00855618"/>
    <w:rsid w:val="00857969"/>
    <w:rsid w:val="008625F5"/>
    <w:rsid w:val="00871624"/>
    <w:rsid w:val="008820BE"/>
    <w:rsid w:val="00882427"/>
    <w:rsid w:val="008843FB"/>
    <w:rsid w:val="008A1187"/>
    <w:rsid w:val="008B0A9D"/>
    <w:rsid w:val="008B1499"/>
    <w:rsid w:val="008B199A"/>
    <w:rsid w:val="008C2A0A"/>
    <w:rsid w:val="008D1705"/>
    <w:rsid w:val="008D339F"/>
    <w:rsid w:val="008D7F38"/>
    <w:rsid w:val="008E50A6"/>
    <w:rsid w:val="008E6292"/>
    <w:rsid w:val="008F5F84"/>
    <w:rsid w:val="009039CB"/>
    <w:rsid w:val="00925AA5"/>
    <w:rsid w:val="0094019D"/>
    <w:rsid w:val="009427C2"/>
    <w:rsid w:val="00942C11"/>
    <w:rsid w:val="00945445"/>
    <w:rsid w:val="0095401C"/>
    <w:rsid w:val="00964600"/>
    <w:rsid w:val="009732EC"/>
    <w:rsid w:val="009821CE"/>
    <w:rsid w:val="009852CF"/>
    <w:rsid w:val="009863EB"/>
    <w:rsid w:val="009A42BE"/>
    <w:rsid w:val="009A658F"/>
    <w:rsid w:val="009A668A"/>
    <w:rsid w:val="009B0876"/>
    <w:rsid w:val="009B3195"/>
    <w:rsid w:val="009B3426"/>
    <w:rsid w:val="009D2237"/>
    <w:rsid w:val="009D3BD8"/>
    <w:rsid w:val="009F1F59"/>
    <w:rsid w:val="009F2C75"/>
    <w:rsid w:val="009F3370"/>
    <w:rsid w:val="00A04AA2"/>
    <w:rsid w:val="00A16E03"/>
    <w:rsid w:val="00A260CD"/>
    <w:rsid w:val="00A33469"/>
    <w:rsid w:val="00A3749B"/>
    <w:rsid w:val="00A406B0"/>
    <w:rsid w:val="00A42EB2"/>
    <w:rsid w:val="00A55ABA"/>
    <w:rsid w:val="00A5695E"/>
    <w:rsid w:val="00A62E42"/>
    <w:rsid w:val="00A64A71"/>
    <w:rsid w:val="00A8070B"/>
    <w:rsid w:val="00A90F15"/>
    <w:rsid w:val="00A95B58"/>
    <w:rsid w:val="00AB4563"/>
    <w:rsid w:val="00AC0745"/>
    <w:rsid w:val="00AC157B"/>
    <w:rsid w:val="00AC3765"/>
    <w:rsid w:val="00AD0820"/>
    <w:rsid w:val="00AE0527"/>
    <w:rsid w:val="00AE2F90"/>
    <w:rsid w:val="00AF2717"/>
    <w:rsid w:val="00B040AC"/>
    <w:rsid w:val="00B3149D"/>
    <w:rsid w:val="00B362C2"/>
    <w:rsid w:val="00B4335A"/>
    <w:rsid w:val="00B61394"/>
    <w:rsid w:val="00B770FF"/>
    <w:rsid w:val="00B77763"/>
    <w:rsid w:val="00B82EF9"/>
    <w:rsid w:val="00B85F47"/>
    <w:rsid w:val="00B87927"/>
    <w:rsid w:val="00B92619"/>
    <w:rsid w:val="00B96AC2"/>
    <w:rsid w:val="00BA2EBA"/>
    <w:rsid w:val="00BA4ABD"/>
    <w:rsid w:val="00BA64F9"/>
    <w:rsid w:val="00BA6C0A"/>
    <w:rsid w:val="00BB4B60"/>
    <w:rsid w:val="00BC7FEE"/>
    <w:rsid w:val="00BD063F"/>
    <w:rsid w:val="00BD3A65"/>
    <w:rsid w:val="00BD4FF8"/>
    <w:rsid w:val="00BD5650"/>
    <w:rsid w:val="00BF4053"/>
    <w:rsid w:val="00C14F66"/>
    <w:rsid w:val="00C201B5"/>
    <w:rsid w:val="00C244D9"/>
    <w:rsid w:val="00C30297"/>
    <w:rsid w:val="00C37CE3"/>
    <w:rsid w:val="00C44F77"/>
    <w:rsid w:val="00C54E4E"/>
    <w:rsid w:val="00C57670"/>
    <w:rsid w:val="00C65573"/>
    <w:rsid w:val="00C663AB"/>
    <w:rsid w:val="00C84628"/>
    <w:rsid w:val="00C85314"/>
    <w:rsid w:val="00CA2D30"/>
    <w:rsid w:val="00CA46D6"/>
    <w:rsid w:val="00CA4BC0"/>
    <w:rsid w:val="00CA76DE"/>
    <w:rsid w:val="00CB6EED"/>
    <w:rsid w:val="00CC559D"/>
    <w:rsid w:val="00CC6A74"/>
    <w:rsid w:val="00CD195B"/>
    <w:rsid w:val="00CD654B"/>
    <w:rsid w:val="00CD6BD4"/>
    <w:rsid w:val="00CE223E"/>
    <w:rsid w:val="00CE5A14"/>
    <w:rsid w:val="00CE5B0C"/>
    <w:rsid w:val="00CF199C"/>
    <w:rsid w:val="00D03CD0"/>
    <w:rsid w:val="00D05795"/>
    <w:rsid w:val="00D07E01"/>
    <w:rsid w:val="00D145F5"/>
    <w:rsid w:val="00D17FD6"/>
    <w:rsid w:val="00D342A5"/>
    <w:rsid w:val="00D355F0"/>
    <w:rsid w:val="00D37D25"/>
    <w:rsid w:val="00D43F32"/>
    <w:rsid w:val="00D45AF8"/>
    <w:rsid w:val="00D51C05"/>
    <w:rsid w:val="00D606C9"/>
    <w:rsid w:val="00D723F8"/>
    <w:rsid w:val="00D75630"/>
    <w:rsid w:val="00D76BCB"/>
    <w:rsid w:val="00D83BD9"/>
    <w:rsid w:val="00D8424B"/>
    <w:rsid w:val="00D914D9"/>
    <w:rsid w:val="00D9304A"/>
    <w:rsid w:val="00D93D59"/>
    <w:rsid w:val="00D95FB9"/>
    <w:rsid w:val="00DA0FB8"/>
    <w:rsid w:val="00DA686B"/>
    <w:rsid w:val="00DA76FC"/>
    <w:rsid w:val="00DB7F09"/>
    <w:rsid w:val="00DC00E8"/>
    <w:rsid w:val="00DC1F1F"/>
    <w:rsid w:val="00DD2274"/>
    <w:rsid w:val="00DD2FA1"/>
    <w:rsid w:val="00DE1420"/>
    <w:rsid w:val="00DE257F"/>
    <w:rsid w:val="00E00D35"/>
    <w:rsid w:val="00E04B7B"/>
    <w:rsid w:val="00E10D39"/>
    <w:rsid w:val="00E1136B"/>
    <w:rsid w:val="00E139EB"/>
    <w:rsid w:val="00E145C0"/>
    <w:rsid w:val="00E21605"/>
    <w:rsid w:val="00E22D51"/>
    <w:rsid w:val="00E3594F"/>
    <w:rsid w:val="00E35FA1"/>
    <w:rsid w:val="00E42B69"/>
    <w:rsid w:val="00E508EA"/>
    <w:rsid w:val="00E50E7C"/>
    <w:rsid w:val="00E51545"/>
    <w:rsid w:val="00E55326"/>
    <w:rsid w:val="00E711D7"/>
    <w:rsid w:val="00E81D41"/>
    <w:rsid w:val="00E8269B"/>
    <w:rsid w:val="00E902B0"/>
    <w:rsid w:val="00E902E8"/>
    <w:rsid w:val="00E94685"/>
    <w:rsid w:val="00E954D5"/>
    <w:rsid w:val="00E977B2"/>
    <w:rsid w:val="00EB030F"/>
    <w:rsid w:val="00EB3507"/>
    <w:rsid w:val="00EC4AEC"/>
    <w:rsid w:val="00EC6B16"/>
    <w:rsid w:val="00ED23E4"/>
    <w:rsid w:val="00ED5046"/>
    <w:rsid w:val="00EE21F7"/>
    <w:rsid w:val="00EE677F"/>
    <w:rsid w:val="00EF6912"/>
    <w:rsid w:val="00F0082D"/>
    <w:rsid w:val="00F07C90"/>
    <w:rsid w:val="00F11B75"/>
    <w:rsid w:val="00F142C2"/>
    <w:rsid w:val="00F20469"/>
    <w:rsid w:val="00F43849"/>
    <w:rsid w:val="00F44EE2"/>
    <w:rsid w:val="00F47241"/>
    <w:rsid w:val="00F57BF8"/>
    <w:rsid w:val="00F61BE8"/>
    <w:rsid w:val="00F632CA"/>
    <w:rsid w:val="00F66B9F"/>
    <w:rsid w:val="00F71A0E"/>
    <w:rsid w:val="00F87F9C"/>
    <w:rsid w:val="00F92279"/>
    <w:rsid w:val="00F936B9"/>
    <w:rsid w:val="00FA144C"/>
    <w:rsid w:val="00FB64AA"/>
    <w:rsid w:val="00FC6ADA"/>
    <w:rsid w:val="00FC78E9"/>
    <w:rsid w:val="00FC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4D5ACE50"/>
  <w15:docId w15:val="{4AF33DFD-04DA-49DB-BCDD-032A49CE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14"/>
    <w:pPr>
      <w:spacing w:before="120" w:after="120" w:line="240" w:lineRule="auto"/>
    </w:pPr>
    <w:rPr>
      <w:rFonts w:ascii="Calibri" w:eastAsia="Times New Roman" w:hAnsi="Calibri" w:cs="Times New Roman"/>
      <w:szCs w:val="20"/>
      <w:lang w:eastAsia="en-AU"/>
    </w:rPr>
  </w:style>
  <w:style w:type="paragraph" w:styleId="Heading1">
    <w:name w:val="heading 1"/>
    <w:basedOn w:val="HeadingBase"/>
    <w:next w:val="Normal"/>
    <w:link w:val="Heading1Char"/>
    <w:qFormat/>
    <w:rsid w:val="00354FBB"/>
    <w:pPr>
      <w:spacing w:before="480"/>
      <w:outlineLvl w:val="0"/>
    </w:pPr>
    <w:rPr>
      <w:bCs w:val="0"/>
      <w:color w:val="002C47" w:themeColor="accent1"/>
      <w:sz w:val="48"/>
    </w:rPr>
  </w:style>
  <w:style w:type="paragraph" w:styleId="Heading2">
    <w:name w:val="heading 2"/>
    <w:basedOn w:val="HeadingBase"/>
    <w:next w:val="Normal"/>
    <w:link w:val="Heading2Char"/>
    <w:qFormat/>
    <w:rsid w:val="000E0B74"/>
    <w:pPr>
      <w:spacing w:before="360"/>
      <w:outlineLvl w:val="1"/>
    </w:pPr>
    <w:rPr>
      <w:bCs w:val="0"/>
      <w:iCs/>
      <w:sz w:val="36"/>
      <w:szCs w:val="28"/>
    </w:rPr>
  </w:style>
  <w:style w:type="paragraph" w:styleId="Heading3">
    <w:name w:val="heading 3"/>
    <w:basedOn w:val="HeadingBase"/>
    <w:next w:val="Normal"/>
    <w:link w:val="Heading3Char"/>
    <w:qFormat/>
    <w:rsid w:val="00354FBB"/>
    <w:pPr>
      <w:spacing w:before="240"/>
      <w:outlineLvl w:val="2"/>
    </w:pPr>
    <w:rPr>
      <w:bCs w:val="0"/>
      <w:color w:val="00827F" w:themeColor="accent3"/>
      <w:sz w:val="28"/>
      <w:szCs w:val="26"/>
    </w:rPr>
  </w:style>
  <w:style w:type="paragraph" w:styleId="Heading4">
    <w:name w:val="heading 4"/>
    <w:basedOn w:val="HeadingBase"/>
    <w:next w:val="Normal"/>
    <w:link w:val="Heading4Char"/>
    <w:qFormat/>
    <w:rsid w:val="00354FBB"/>
    <w:pPr>
      <w:outlineLvl w:val="3"/>
    </w:pPr>
    <w:rPr>
      <w:bCs w:val="0"/>
      <w:color w:val="3A6FAF" w:themeColor="accent2"/>
      <w:sz w:val="26"/>
      <w:szCs w:val="26"/>
    </w:rPr>
  </w:style>
  <w:style w:type="paragraph" w:styleId="Heading5">
    <w:name w:val="heading 5"/>
    <w:basedOn w:val="HeadingBase"/>
    <w:next w:val="Normal"/>
    <w:link w:val="Heading5Char"/>
    <w:qFormat/>
    <w:rsid w:val="003E4D87"/>
    <w:pPr>
      <w:outlineLvl w:val="4"/>
    </w:pPr>
    <w:rPr>
      <w:b/>
      <w:bCs w:val="0"/>
      <w:iCs/>
    </w:rPr>
  </w:style>
  <w:style w:type="paragraph" w:styleId="Heading6">
    <w:name w:val="heading 6"/>
    <w:basedOn w:val="HeadingBase"/>
    <w:next w:val="Normal"/>
    <w:link w:val="Heading6Char"/>
    <w:qFormat/>
    <w:rsid w:val="003E4D87"/>
    <w:pPr>
      <w:outlineLvl w:val="5"/>
    </w:pPr>
    <w:rPr>
      <w:bCs w:val="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4FBB"/>
    <w:rPr>
      <w:rFonts w:ascii="Calibri" w:eastAsia="Times New Roman" w:hAnsi="Calibri" w:cs="Arial"/>
      <w:color w:val="002C47" w:themeColor="accent1"/>
      <w:kern w:val="32"/>
      <w:sz w:val="48"/>
      <w:szCs w:val="36"/>
      <w:lang w:eastAsia="en-AU"/>
    </w:rPr>
  </w:style>
  <w:style w:type="character" w:customStyle="1" w:styleId="Heading2Char">
    <w:name w:val="Heading 2 Char"/>
    <w:basedOn w:val="DefaultParagraphFont"/>
    <w:link w:val="Heading2"/>
    <w:rsid w:val="003E4D87"/>
    <w:rPr>
      <w:rFonts w:ascii="Calibri" w:eastAsia="Times New Roman" w:hAnsi="Calibri" w:cs="Arial"/>
      <w:iCs/>
      <w:color w:val="004A7F"/>
      <w:kern w:val="3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354FBB"/>
    <w:rPr>
      <w:rFonts w:ascii="Calibri" w:eastAsia="Times New Roman" w:hAnsi="Calibri" w:cs="Arial"/>
      <w:color w:val="00827F" w:themeColor="accent3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354FBB"/>
    <w:rPr>
      <w:rFonts w:ascii="Calibri" w:eastAsia="Times New Roman" w:hAnsi="Calibri" w:cs="Arial"/>
      <w:color w:val="3A6FAF" w:themeColor="accent2"/>
      <w:kern w:val="32"/>
      <w:sz w:val="26"/>
      <w:szCs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3E4D87"/>
    <w:rPr>
      <w:rFonts w:ascii="Calibri" w:eastAsia="Times New Roman" w:hAnsi="Calibri" w:cs="Arial"/>
      <w:b/>
      <w:iCs/>
      <w:color w:val="004A7F"/>
      <w:kern w:val="32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rsid w:val="003E4D87"/>
    <w:rPr>
      <w:rFonts w:ascii="Calibri" w:eastAsia="Times New Roman" w:hAnsi="Calibri" w:cs="Arial"/>
      <w:color w:val="004A7F"/>
      <w:kern w:val="32"/>
      <w:lang w:eastAsia="en-AU"/>
    </w:rPr>
  </w:style>
  <w:style w:type="paragraph" w:customStyle="1" w:styleId="ChartGraphic">
    <w:name w:val="Chart Graphic"/>
    <w:basedOn w:val="Normal"/>
    <w:next w:val="Normal"/>
    <w:rsid w:val="000E0B74"/>
    <w:pPr>
      <w:keepNext/>
      <w:spacing w:before="0" w:after="0"/>
      <w:jc w:val="center"/>
    </w:pPr>
    <w:rPr>
      <w:color w:val="004A7F"/>
      <w:sz w:val="20"/>
    </w:rPr>
  </w:style>
  <w:style w:type="paragraph" w:customStyle="1" w:styleId="AlphaParagraph">
    <w:name w:val="Alpha Paragraph"/>
    <w:basedOn w:val="Normal"/>
    <w:qFormat/>
    <w:rsid w:val="000E0B74"/>
    <w:pPr>
      <w:numPr>
        <w:ilvl w:val="1"/>
        <w:numId w:val="13"/>
      </w:numPr>
      <w:spacing w:before="0"/>
    </w:pPr>
  </w:style>
  <w:style w:type="paragraph" w:customStyle="1" w:styleId="BoxBullet">
    <w:name w:val="Box Bullet"/>
    <w:basedOn w:val="Normal"/>
    <w:rsid w:val="000E0B74"/>
    <w:pPr>
      <w:numPr>
        <w:numId w:val="2"/>
      </w:numPr>
      <w:spacing w:before="0"/>
      <w:ind w:left="284" w:hanging="284"/>
    </w:pPr>
  </w:style>
  <w:style w:type="paragraph" w:customStyle="1" w:styleId="BoxDash">
    <w:name w:val="Box Dash"/>
    <w:basedOn w:val="Normal"/>
    <w:rsid w:val="000E0B74"/>
    <w:pPr>
      <w:numPr>
        <w:ilvl w:val="1"/>
        <w:numId w:val="2"/>
      </w:numPr>
      <w:spacing w:before="0"/>
      <w:ind w:left="568"/>
    </w:pPr>
  </w:style>
  <w:style w:type="paragraph" w:customStyle="1" w:styleId="BoxDoubleDot">
    <w:name w:val="Box Double Dot"/>
    <w:basedOn w:val="Normal"/>
    <w:rsid w:val="000E0B74"/>
    <w:pPr>
      <w:numPr>
        <w:ilvl w:val="2"/>
        <w:numId w:val="2"/>
      </w:numPr>
      <w:spacing w:before="0"/>
      <w:ind w:left="851" w:hanging="284"/>
    </w:pPr>
  </w:style>
  <w:style w:type="paragraph" w:customStyle="1" w:styleId="BoxHeading">
    <w:name w:val="Box Heading"/>
    <w:basedOn w:val="Normal"/>
    <w:next w:val="Normal"/>
    <w:rsid w:val="00354FBB"/>
    <w:pPr>
      <w:keepNext/>
      <w:spacing w:before="240"/>
    </w:pPr>
    <w:rPr>
      <w:b/>
      <w:color w:val="00827F" w:themeColor="accent3"/>
      <w:sz w:val="26"/>
      <w:szCs w:val="26"/>
    </w:rPr>
  </w:style>
  <w:style w:type="paragraph" w:customStyle="1" w:styleId="BoxText">
    <w:name w:val="Box Text"/>
    <w:basedOn w:val="Normal"/>
    <w:rsid w:val="000E0B74"/>
  </w:style>
  <w:style w:type="paragraph" w:customStyle="1" w:styleId="Bullet">
    <w:name w:val="Bullet"/>
    <w:basedOn w:val="Normal"/>
    <w:rsid w:val="000E0B74"/>
    <w:pPr>
      <w:numPr>
        <w:numId w:val="1"/>
      </w:numPr>
      <w:spacing w:before="0"/>
      <w:ind w:left="284" w:hanging="284"/>
    </w:pPr>
  </w:style>
  <w:style w:type="paragraph" w:customStyle="1" w:styleId="ChartandTableFootnoteAlpha">
    <w:name w:val="Chart and Table Footnote Alpha"/>
    <w:rsid w:val="002D488F"/>
    <w:pPr>
      <w:numPr>
        <w:numId w:val="7"/>
      </w:numPr>
      <w:tabs>
        <w:tab w:val="num" w:pos="284"/>
      </w:tabs>
      <w:spacing w:after="0" w:line="240" w:lineRule="auto"/>
      <w:ind w:left="284" w:hanging="284"/>
      <w:jc w:val="both"/>
    </w:pPr>
    <w:rPr>
      <w:rFonts w:ascii="Calibri" w:eastAsia="Times New Roman" w:hAnsi="Calibri" w:cs="Times New Roman"/>
      <w:color w:val="000000"/>
      <w:sz w:val="18"/>
      <w:szCs w:val="16"/>
      <w:lang w:eastAsia="en-AU"/>
    </w:rPr>
  </w:style>
  <w:style w:type="paragraph" w:customStyle="1" w:styleId="ChartMainHeading">
    <w:name w:val="Chart Main Heading"/>
    <w:basedOn w:val="TableMainHeading"/>
    <w:next w:val="ChartGraphic"/>
    <w:rsid w:val="000E0B74"/>
    <w:pPr>
      <w:jc w:val="center"/>
    </w:pPr>
  </w:style>
  <w:style w:type="paragraph" w:customStyle="1" w:styleId="ChartorTableNote">
    <w:name w:val="Chart or Table Note"/>
    <w:next w:val="Normal"/>
    <w:rsid w:val="000E0B74"/>
    <w:pPr>
      <w:spacing w:after="0" w:line="240" w:lineRule="auto"/>
      <w:jc w:val="both"/>
    </w:pPr>
    <w:rPr>
      <w:rFonts w:ascii="Calibri" w:eastAsia="Times New Roman" w:hAnsi="Calibri" w:cs="Times New Roman"/>
      <w:color w:val="000000"/>
      <w:sz w:val="18"/>
      <w:szCs w:val="20"/>
      <w:lang w:eastAsia="en-AU"/>
    </w:rPr>
  </w:style>
  <w:style w:type="paragraph" w:customStyle="1" w:styleId="ChartSecondHeading">
    <w:name w:val="Chart Second Heading"/>
    <w:basedOn w:val="TableSecondHeading"/>
    <w:next w:val="ChartGraphic"/>
    <w:rsid w:val="000E0B74"/>
    <w:pPr>
      <w:jc w:val="center"/>
    </w:pPr>
  </w:style>
  <w:style w:type="paragraph" w:customStyle="1" w:styleId="ReportDate">
    <w:name w:val="Report Date"/>
    <w:basedOn w:val="Normal"/>
    <w:link w:val="ReportDateChar"/>
    <w:rsid w:val="001D4EAA"/>
    <w:pPr>
      <w:keepNext/>
      <w:spacing w:before="0" w:after="360"/>
    </w:pPr>
    <w:rPr>
      <w:color w:val="FFFFFF" w:themeColor="background1"/>
      <w:sz w:val="44"/>
    </w:rPr>
  </w:style>
  <w:style w:type="paragraph" w:customStyle="1" w:styleId="Dash">
    <w:name w:val="Dash"/>
    <w:basedOn w:val="Normal"/>
    <w:rsid w:val="000E0B74"/>
    <w:pPr>
      <w:numPr>
        <w:ilvl w:val="1"/>
        <w:numId w:val="1"/>
      </w:numPr>
      <w:spacing w:before="0"/>
      <w:ind w:left="568"/>
    </w:pPr>
  </w:style>
  <w:style w:type="paragraph" w:customStyle="1" w:styleId="DoubleDot">
    <w:name w:val="Double Dot"/>
    <w:basedOn w:val="Normal"/>
    <w:rsid w:val="000E0B74"/>
    <w:pPr>
      <w:numPr>
        <w:ilvl w:val="2"/>
        <w:numId w:val="1"/>
      </w:numPr>
      <w:spacing w:before="0"/>
      <w:ind w:left="851" w:hanging="284"/>
    </w:pPr>
  </w:style>
  <w:style w:type="paragraph" w:customStyle="1" w:styleId="TableMainHeading">
    <w:name w:val="Table Main Heading"/>
    <w:basedOn w:val="Heading3"/>
    <w:next w:val="Normal"/>
    <w:rsid w:val="000E0B74"/>
    <w:pPr>
      <w:spacing w:before="120" w:after="0"/>
    </w:pPr>
    <w:rPr>
      <w:b/>
    </w:rPr>
  </w:style>
  <w:style w:type="paragraph" w:customStyle="1" w:styleId="FooterEven">
    <w:name w:val="Footer Even"/>
    <w:basedOn w:val="Footer"/>
    <w:rsid w:val="000E0B74"/>
    <w:pPr>
      <w:keepNext/>
      <w:tabs>
        <w:tab w:val="clear" w:pos="4513"/>
        <w:tab w:val="clear" w:pos="9026"/>
      </w:tabs>
    </w:pPr>
    <w:rPr>
      <w:noProof/>
    </w:rPr>
  </w:style>
  <w:style w:type="paragraph" w:customStyle="1" w:styleId="FooterOdd">
    <w:name w:val="Footer Odd"/>
    <w:basedOn w:val="Footer"/>
    <w:rsid w:val="000E0B74"/>
    <w:pPr>
      <w:keepNext/>
      <w:tabs>
        <w:tab w:val="clear" w:pos="4513"/>
        <w:tab w:val="clear" w:pos="9026"/>
      </w:tabs>
      <w:jc w:val="right"/>
    </w:pPr>
  </w:style>
  <w:style w:type="character" w:styleId="Hyperlink">
    <w:name w:val="Hyperlink"/>
    <w:basedOn w:val="DefaultParagraphFont"/>
    <w:uiPriority w:val="99"/>
    <w:rsid w:val="00CE5B0C"/>
    <w:rPr>
      <w:color w:val="3A6FAF"/>
      <w:u w:val="none"/>
    </w:rPr>
  </w:style>
  <w:style w:type="paragraph" w:customStyle="1" w:styleId="OutlineNumbered1">
    <w:name w:val="Outline Numbered 1"/>
    <w:basedOn w:val="Normal"/>
    <w:rsid w:val="000E0B74"/>
    <w:pPr>
      <w:numPr>
        <w:numId w:val="6"/>
      </w:numPr>
      <w:spacing w:before="0"/>
    </w:pPr>
  </w:style>
  <w:style w:type="paragraph" w:customStyle="1" w:styleId="OneLevelNumberedParagraph">
    <w:name w:val="One Level Numbered Paragraph"/>
    <w:basedOn w:val="Normal"/>
    <w:rsid w:val="000E0B74"/>
    <w:pPr>
      <w:numPr>
        <w:numId w:val="5"/>
      </w:numPr>
      <w:spacing w:before="0"/>
    </w:pPr>
  </w:style>
  <w:style w:type="paragraph" w:customStyle="1" w:styleId="OutlineNumbered2">
    <w:name w:val="Outline Numbered 2"/>
    <w:basedOn w:val="Normal"/>
    <w:rsid w:val="000E0B74"/>
    <w:pPr>
      <w:numPr>
        <w:ilvl w:val="1"/>
        <w:numId w:val="6"/>
      </w:numPr>
      <w:spacing w:before="0"/>
    </w:pPr>
  </w:style>
  <w:style w:type="paragraph" w:customStyle="1" w:styleId="OutlineNumbered3">
    <w:name w:val="Outline Numbered 3"/>
    <w:basedOn w:val="Normal"/>
    <w:rsid w:val="000E0B74"/>
    <w:pPr>
      <w:numPr>
        <w:ilvl w:val="2"/>
        <w:numId w:val="6"/>
      </w:numPr>
      <w:spacing w:before="0"/>
    </w:pPr>
  </w:style>
  <w:style w:type="paragraph" w:customStyle="1" w:styleId="Romannumeral">
    <w:name w:val="Roman numeral"/>
    <w:basedOn w:val="Normal"/>
    <w:rsid w:val="00E35FA1"/>
    <w:pPr>
      <w:numPr>
        <w:numId w:val="13"/>
      </w:numPr>
      <w:tabs>
        <w:tab w:val="clear" w:pos="720"/>
        <w:tab w:val="left" w:pos="851"/>
      </w:tabs>
      <w:spacing w:before="0"/>
      <w:ind w:left="851" w:hanging="851"/>
    </w:pPr>
  </w:style>
  <w:style w:type="paragraph" w:customStyle="1" w:styleId="SingleParagraph">
    <w:name w:val="Single Paragraph"/>
    <w:basedOn w:val="Normal"/>
    <w:link w:val="SingleParagraphChar"/>
    <w:rsid w:val="000E0B74"/>
    <w:pPr>
      <w:spacing w:before="0" w:after="0"/>
    </w:pPr>
  </w:style>
  <w:style w:type="paragraph" w:customStyle="1" w:styleId="TableSecondHeading">
    <w:name w:val="Table Second Heading"/>
    <w:basedOn w:val="Normal"/>
    <w:next w:val="Normal"/>
    <w:rsid w:val="000E0B74"/>
    <w:pPr>
      <w:keepNext/>
      <w:spacing w:before="0" w:after="20"/>
    </w:pPr>
    <w:rPr>
      <w:b/>
      <w:color w:val="004A7F"/>
    </w:rPr>
  </w:style>
  <w:style w:type="paragraph" w:customStyle="1" w:styleId="TableColumnHeadingCentred">
    <w:name w:val="Table Column Heading Centred"/>
    <w:basedOn w:val="TableTextLeft"/>
    <w:rsid w:val="000E0B74"/>
    <w:pPr>
      <w:jc w:val="center"/>
    </w:pPr>
    <w:rPr>
      <w:b/>
      <w:color w:val="004A7F"/>
      <w:sz w:val="20"/>
    </w:rPr>
  </w:style>
  <w:style w:type="paragraph" w:customStyle="1" w:styleId="TableColumnHeadingLeft">
    <w:name w:val="Table Column Heading Left"/>
    <w:basedOn w:val="TableTextLeft"/>
    <w:rsid w:val="000E0B74"/>
    <w:rPr>
      <w:b/>
      <w:color w:val="004A7F"/>
      <w:sz w:val="20"/>
    </w:rPr>
  </w:style>
  <w:style w:type="paragraph" w:customStyle="1" w:styleId="TableColumnHeadingRight">
    <w:name w:val="Table Column Heading Right"/>
    <w:basedOn w:val="TableTextLeft"/>
    <w:rsid w:val="000E0B74"/>
    <w:pPr>
      <w:jc w:val="right"/>
    </w:pPr>
    <w:rPr>
      <w:b/>
      <w:color w:val="004A7F"/>
      <w:sz w:val="20"/>
    </w:rPr>
  </w:style>
  <w:style w:type="table" w:styleId="TableGrid">
    <w:name w:val="Table Grid"/>
    <w:basedOn w:val="TableNormal"/>
    <w:rsid w:val="000E0B74"/>
    <w:pPr>
      <w:spacing w:after="240" w:line="260" w:lineRule="exact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/>
    <w:tcPr>
      <w:shd w:val="clear" w:color="auto" w:fill="E6E6E6"/>
    </w:tcPr>
  </w:style>
  <w:style w:type="paragraph" w:customStyle="1" w:styleId="TableTextCentered">
    <w:name w:val="Table Text Centered"/>
    <w:basedOn w:val="TableTextRight"/>
    <w:rsid w:val="0060595B"/>
    <w:pPr>
      <w:jc w:val="center"/>
    </w:pPr>
  </w:style>
  <w:style w:type="paragraph" w:customStyle="1" w:styleId="TableTextLeft">
    <w:name w:val="Table Text Left"/>
    <w:basedOn w:val="TableTextRight"/>
    <w:rsid w:val="000E0B74"/>
    <w:pPr>
      <w:jc w:val="left"/>
    </w:pPr>
  </w:style>
  <w:style w:type="paragraph" w:customStyle="1" w:styleId="TableTextRight">
    <w:name w:val="Table Text Right"/>
    <w:basedOn w:val="Normal"/>
    <w:rsid w:val="000E0B74"/>
    <w:pPr>
      <w:spacing w:before="40" w:after="40"/>
      <w:jc w:val="right"/>
    </w:pPr>
    <w:rPr>
      <w:color w:val="000000"/>
      <w:sz w:val="18"/>
    </w:rPr>
  </w:style>
  <w:style w:type="paragraph" w:styleId="TOC1">
    <w:name w:val="toc 1"/>
    <w:basedOn w:val="Normal"/>
    <w:next w:val="Normal"/>
    <w:uiPriority w:val="39"/>
    <w:qFormat/>
    <w:rsid w:val="00656356"/>
    <w:pPr>
      <w:keepNext/>
      <w:tabs>
        <w:tab w:val="right" w:leader="dot" w:pos="9072"/>
      </w:tabs>
      <w:spacing w:before="180" w:after="0"/>
      <w:ind w:right="-2"/>
    </w:pPr>
    <w:rPr>
      <w:b/>
      <w:noProof/>
      <w:color w:val="004A7F"/>
      <w:szCs w:val="22"/>
    </w:rPr>
  </w:style>
  <w:style w:type="paragraph" w:styleId="TOC2">
    <w:name w:val="toc 2"/>
    <w:basedOn w:val="Normal"/>
    <w:next w:val="Normal"/>
    <w:uiPriority w:val="39"/>
    <w:qFormat/>
    <w:rsid w:val="00656356"/>
    <w:pPr>
      <w:keepNext/>
      <w:tabs>
        <w:tab w:val="right" w:leader="dot" w:pos="9072"/>
      </w:tabs>
      <w:spacing w:before="40" w:after="20"/>
      <w:ind w:right="-2"/>
    </w:pPr>
    <w:rPr>
      <w:noProof/>
      <w:color w:val="004A7F"/>
    </w:rPr>
  </w:style>
  <w:style w:type="paragraph" w:styleId="TOC3">
    <w:name w:val="toc 3"/>
    <w:basedOn w:val="Normal"/>
    <w:next w:val="Normal"/>
    <w:uiPriority w:val="39"/>
    <w:qFormat/>
    <w:rsid w:val="00E55326"/>
    <w:pPr>
      <w:tabs>
        <w:tab w:val="right" w:leader="dot" w:pos="9072"/>
      </w:tabs>
      <w:spacing w:before="20" w:after="0"/>
      <w:ind w:left="284" w:right="-2"/>
    </w:pPr>
    <w:rPr>
      <w:rFonts w:cs="Calibri"/>
      <w:noProof/>
      <w:color w:val="7F7F7F"/>
    </w:rPr>
  </w:style>
  <w:style w:type="numbering" w:customStyle="1" w:styleId="OutlineList">
    <w:name w:val="OutlineList"/>
    <w:uiPriority w:val="99"/>
    <w:rsid w:val="000E0B74"/>
    <w:pPr>
      <w:numPr>
        <w:numId w:val="4"/>
      </w:numPr>
    </w:pPr>
  </w:style>
  <w:style w:type="numbering" w:customStyle="1" w:styleId="BulletedList">
    <w:name w:val="Bulleted List"/>
    <w:uiPriority w:val="99"/>
    <w:rsid w:val="000E0B74"/>
    <w:pPr>
      <w:numPr>
        <w:numId w:val="1"/>
      </w:numPr>
    </w:pPr>
  </w:style>
  <w:style w:type="numbering" w:customStyle="1" w:styleId="BoxBulletedList">
    <w:name w:val="Box Bulleted List"/>
    <w:uiPriority w:val="99"/>
    <w:rsid w:val="000E0B74"/>
    <w:pPr>
      <w:numPr>
        <w:numId w:val="2"/>
      </w:numPr>
    </w:pPr>
  </w:style>
  <w:style w:type="numbering" w:customStyle="1" w:styleId="OneLevelList">
    <w:name w:val="OneLevelList"/>
    <w:uiPriority w:val="99"/>
    <w:rsid w:val="000E0B74"/>
    <w:pPr>
      <w:numPr>
        <w:numId w:val="3"/>
      </w:numPr>
    </w:pPr>
  </w:style>
  <w:style w:type="numbering" w:customStyle="1" w:styleId="ChartandTableFootnoteAlphaList">
    <w:name w:val="ChartandTableFootnoteAlphaList"/>
    <w:uiPriority w:val="99"/>
    <w:rsid w:val="000E0B74"/>
    <w:pPr>
      <w:numPr>
        <w:numId w:val="14"/>
      </w:numPr>
    </w:pPr>
  </w:style>
  <w:style w:type="paragraph" w:customStyle="1" w:styleId="Crest">
    <w:name w:val="Crest"/>
    <w:basedOn w:val="Header"/>
    <w:rsid w:val="000E0B74"/>
    <w:pPr>
      <w:spacing w:after="480"/>
      <w:jc w:val="center"/>
    </w:pPr>
    <w:rPr>
      <w:color w:val="000000" w:themeColor="text1"/>
    </w:rPr>
  </w:style>
  <w:style w:type="paragraph" w:customStyle="1" w:styleId="Heading1Numbered">
    <w:name w:val="Heading 1 Numbered"/>
    <w:basedOn w:val="Heading1"/>
    <w:next w:val="Normal"/>
    <w:rsid w:val="000E0B74"/>
    <w:pPr>
      <w:numPr>
        <w:numId w:val="8"/>
      </w:numPr>
    </w:pPr>
  </w:style>
  <w:style w:type="character" w:customStyle="1" w:styleId="SingleParagraphChar">
    <w:name w:val="Single Paragraph Char"/>
    <w:basedOn w:val="DefaultParagraphFont"/>
    <w:link w:val="SingleParagraph"/>
    <w:rsid w:val="000E0B74"/>
    <w:rPr>
      <w:rFonts w:ascii="Calibri" w:eastAsia="Times New Roman" w:hAnsi="Calibri" w:cs="Times New Roman"/>
      <w:szCs w:val="20"/>
      <w:lang w:eastAsia="en-AU"/>
    </w:rPr>
  </w:style>
  <w:style w:type="paragraph" w:customStyle="1" w:styleId="Heading2Numbered">
    <w:name w:val="Heading 2 Numbered"/>
    <w:basedOn w:val="Heading2"/>
    <w:next w:val="Normal"/>
    <w:rsid w:val="000E0B74"/>
    <w:pPr>
      <w:numPr>
        <w:ilvl w:val="1"/>
        <w:numId w:val="8"/>
      </w:numPr>
      <w:ind w:left="284" w:hanging="284"/>
    </w:pPr>
  </w:style>
  <w:style w:type="paragraph" w:customStyle="1" w:styleId="Heading3Numbered">
    <w:name w:val="Heading 3 Numbered"/>
    <w:basedOn w:val="Heading3"/>
    <w:qFormat/>
    <w:rsid w:val="000E0B74"/>
    <w:pPr>
      <w:numPr>
        <w:ilvl w:val="2"/>
        <w:numId w:val="8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1D4EAA"/>
    <w:pPr>
      <w:spacing w:before="0" w:after="300"/>
      <w:contextualSpacing/>
    </w:pPr>
    <w:rPr>
      <w:rFonts w:eastAsiaTheme="majorEastAsia" w:cstheme="majorBidi"/>
      <w:b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4EAA"/>
    <w:rPr>
      <w:rFonts w:ascii="Calibri" w:eastAsiaTheme="majorEastAsia" w:hAnsi="Calibri" w:cstheme="majorBidi"/>
      <w:b/>
      <w:color w:val="FFFFFF" w:themeColor="background1"/>
      <w:spacing w:val="5"/>
      <w:kern w:val="28"/>
      <w:sz w:val="72"/>
      <w:szCs w:val="52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EAA"/>
    <w:pPr>
      <w:numPr>
        <w:ilvl w:val="1"/>
      </w:numPr>
    </w:pPr>
    <w:rPr>
      <w:rFonts w:eastAsiaTheme="majorEastAsia" w:cstheme="majorBidi"/>
      <w:iCs/>
      <w:color w:val="FFFFFF" w:themeColor="background1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1D4EAA"/>
    <w:rPr>
      <w:rFonts w:ascii="Calibri" w:eastAsiaTheme="majorEastAsia" w:hAnsi="Calibri" w:cstheme="majorBidi"/>
      <w:iCs/>
      <w:color w:val="FFFFFF" w:themeColor="background1"/>
      <w:sz w:val="44"/>
      <w:szCs w:val="44"/>
      <w:lang w:eastAsia="en-AU"/>
    </w:rPr>
  </w:style>
  <w:style w:type="character" w:styleId="SubtleEmphasis">
    <w:name w:val="Subtle Emphasis"/>
    <w:basedOn w:val="DefaultParagraphFont"/>
    <w:uiPriority w:val="19"/>
    <w:qFormat/>
    <w:rsid w:val="000E0B74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nhideWhenUsed/>
    <w:rsid w:val="00421351"/>
    <w:pPr>
      <w:tabs>
        <w:tab w:val="center" w:pos="4513"/>
        <w:tab w:val="right" w:pos="9026"/>
      </w:tabs>
      <w:spacing w:before="0" w:after="0"/>
      <w:jc w:val="center"/>
    </w:pPr>
    <w:rPr>
      <w:color w:val="002C47" w:themeColor="accent1"/>
      <w:sz w:val="20"/>
    </w:rPr>
  </w:style>
  <w:style w:type="character" w:customStyle="1" w:styleId="FooterChar">
    <w:name w:val="Footer Char"/>
    <w:basedOn w:val="DefaultParagraphFont"/>
    <w:link w:val="Footer"/>
    <w:rsid w:val="00421351"/>
    <w:rPr>
      <w:rFonts w:ascii="Calibri" w:eastAsia="Times New Roman" w:hAnsi="Calibri" w:cs="Times New Roman"/>
      <w:color w:val="002C47" w:themeColor="accent1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21351"/>
    <w:pPr>
      <w:keepNext/>
      <w:spacing w:before="0" w:after="0"/>
      <w:jc w:val="right"/>
    </w:pPr>
    <w:rPr>
      <w:color w:val="002C47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21351"/>
    <w:rPr>
      <w:rFonts w:ascii="Calibri" w:eastAsia="Times New Roman" w:hAnsi="Calibri" w:cs="Times New Roman"/>
      <w:color w:val="002C47" w:themeColor="accent1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056880"/>
    <w:rPr>
      <w:color w:val="808080"/>
    </w:rPr>
  </w:style>
  <w:style w:type="paragraph" w:customStyle="1" w:styleId="AppendixHeading">
    <w:name w:val="Appendix Heading"/>
    <w:basedOn w:val="Normal"/>
    <w:next w:val="Normal"/>
    <w:rsid w:val="00285969"/>
    <w:pPr>
      <w:keepNext/>
      <w:spacing w:before="720" w:after="360"/>
    </w:pPr>
    <w:rPr>
      <w:rFonts w:ascii="Arial Bold" w:hAnsi="Arial Bold"/>
      <w:b/>
      <w:smallCaps/>
      <w:color w:val="004A7F"/>
      <w:sz w:val="36"/>
      <w:szCs w:val="36"/>
    </w:rPr>
  </w:style>
  <w:style w:type="paragraph" w:customStyle="1" w:styleId="HeadingBase">
    <w:name w:val="Heading Base"/>
    <w:qFormat/>
    <w:rsid w:val="00CE5B0C"/>
    <w:pPr>
      <w:keepNext/>
      <w:spacing w:after="120" w:line="240" w:lineRule="auto"/>
    </w:pPr>
    <w:rPr>
      <w:rFonts w:ascii="Calibri" w:eastAsia="Times New Roman" w:hAnsi="Calibri" w:cs="Arial"/>
      <w:bCs/>
      <w:color w:val="002C47"/>
      <w:kern w:val="32"/>
      <w:szCs w:val="36"/>
      <w:lang w:eastAsia="en-AU"/>
    </w:rPr>
  </w:style>
  <w:style w:type="character" w:customStyle="1" w:styleId="ReportDateChar">
    <w:name w:val="Report Date Char"/>
    <w:basedOn w:val="DefaultParagraphFont"/>
    <w:link w:val="ReportDate"/>
    <w:rsid w:val="001D4EAA"/>
    <w:rPr>
      <w:rFonts w:ascii="Calibri" w:eastAsia="Times New Roman" w:hAnsi="Calibri" w:cs="Times New Roman"/>
      <w:color w:val="FFFFFF" w:themeColor="background1"/>
      <w:sz w:val="44"/>
      <w:szCs w:val="20"/>
      <w:lang w:eastAsia="en-AU"/>
    </w:rPr>
  </w:style>
  <w:style w:type="paragraph" w:customStyle="1" w:styleId="Disclaimer">
    <w:name w:val="Disclaimer"/>
    <w:basedOn w:val="ReportDate"/>
    <w:rsid w:val="002F617F"/>
    <w:pPr>
      <w:spacing w:after="1800"/>
      <w:ind w:right="142"/>
    </w:pPr>
    <w:rPr>
      <w:rFonts w:ascii="Century Gothic" w:hAnsi="Century Gothic"/>
      <w:b/>
      <w:bCs/>
      <w:color w:val="F06252" w:themeColor="text2"/>
      <w:sz w:val="22"/>
    </w:rPr>
  </w:style>
  <w:style w:type="paragraph" w:customStyle="1" w:styleId="NotesHeading">
    <w:name w:val="Notes Heading"/>
    <w:basedOn w:val="Normal"/>
    <w:rsid w:val="002F617F"/>
    <w:pPr>
      <w:keepNext/>
      <w:spacing w:before="240" w:after="360"/>
      <w:jc w:val="center"/>
    </w:pPr>
    <w:rPr>
      <w:rFonts w:ascii="Century Gothic" w:hAnsi="Century Gothic"/>
      <w:smallCaps/>
      <w:color w:val="F06252" w:themeColor="text2"/>
      <w:sz w:val="36"/>
      <w:szCs w:val="36"/>
    </w:rPr>
  </w:style>
  <w:style w:type="paragraph" w:customStyle="1" w:styleId="Divider">
    <w:name w:val="Divider"/>
    <w:basedOn w:val="ReportDate"/>
    <w:qFormat/>
    <w:rsid w:val="002F617F"/>
    <w:pPr>
      <w:spacing w:after="1800"/>
    </w:pPr>
    <w:rPr>
      <w:rFonts w:ascii="Rockwell" w:hAnsi="Rockwell"/>
      <w:sz w:val="24"/>
    </w:rPr>
  </w:style>
  <w:style w:type="character" w:customStyle="1" w:styleId="FramedFooter">
    <w:name w:val="Framed Footer"/>
    <w:rsid w:val="00E22D51"/>
    <w:rPr>
      <w:rFonts w:ascii="Arial" w:hAnsi="Arial"/>
      <w:color w:val="004A7F"/>
      <w:sz w:val="18"/>
    </w:rPr>
  </w:style>
  <w:style w:type="character" w:customStyle="1" w:styleId="FramedHeader">
    <w:name w:val="Framed Header"/>
    <w:basedOn w:val="DefaultParagraphFont"/>
    <w:rsid w:val="0027590B"/>
    <w:rPr>
      <w:rFonts w:ascii="Arial" w:hAnsi="Arial"/>
      <w:dstrike w:val="0"/>
      <w:color w:val="auto"/>
      <w:sz w:val="18"/>
      <w:vertAlign w:val="baseline"/>
    </w:rPr>
  </w:style>
  <w:style w:type="paragraph" w:customStyle="1" w:styleId="TableTextIndented">
    <w:name w:val="Table Text Indented"/>
    <w:basedOn w:val="TableTextLeft"/>
    <w:qFormat/>
    <w:rsid w:val="008E6292"/>
    <w:pPr>
      <w:ind w:left="284"/>
    </w:pPr>
  </w:style>
  <w:style w:type="paragraph" w:customStyle="1" w:styleId="TableHeadingContinued">
    <w:name w:val="Table Heading Continued"/>
    <w:basedOn w:val="TableMainHeading"/>
    <w:next w:val="TableGraphic"/>
    <w:qFormat/>
    <w:rsid w:val="007E2AB9"/>
  </w:style>
  <w:style w:type="paragraph" w:customStyle="1" w:styleId="TableGraphic">
    <w:name w:val="Table Graphic"/>
    <w:basedOn w:val="HeadingBase"/>
    <w:next w:val="Normal"/>
    <w:qFormat/>
    <w:rsid w:val="008E6292"/>
    <w:pPr>
      <w:spacing w:after="0"/>
    </w:pPr>
  </w:style>
  <w:style w:type="character" w:styleId="FootnoteReference">
    <w:name w:val="footnote reference"/>
    <w:basedOn w:val="DefaultParagraphFont"/>
    <w:uiPriority w:val="99"/>
    <w:rsid w:val="000F7517"/>
    <w:rPr>
      <w:rFonts w:ascii="Calibri" w:hAnsi="Calibri"/>
      <w:sz w:val="20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60595B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595B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Heading3noTOC">
    <w:name w:val="Heading 3 no TOC"/>
    <w:basedOn w:val="Heading3"/>
    <w:qFormat/>
    <w:rsid w:val="00257AEE"/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B7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B7B"/>
    <w:rPr>
      <w:rFonts w:ascii="Tahoma" w:eastAsia="Times New Roman" w:hAnsi="Tahoma" w:cs="Tahoma"/>
      <w:sz w:val="16"/>
      <w:szCs w:val="16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B34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42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426"/>
    <w:rPr>
      <w:rFonts w:ascii="Calibri" w:eastAsia="Times New Roman" w:hAnsi="Calibri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26"/>
    <w:rPr>
      <w:rFonts w:ascii="Calibri" w:eastAsia="Times New Roman" w:hAnsi="Calibri" w:cs="Times New Roman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reativecommons.org/licenses/by/3.0/au/legalcode" TargetMode="External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://creativecommons.org/licenses/by/3.0/au/deed.en" TargetMode="External"/><Relationship Id="rId17" Type="http://schemas.openxmlformats.org/officeDocument/2006/relationships/hyperlink" Target="mailto:media@treasury.gov.au" TargetMode="Externa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http://www.pmc.gov.au/government/commonwealth-coat-ar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creativecommons.org/licenses/by/3.0/au/deed.en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wmf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Treasury\Workgroup%20Templates\Publications\Consultation%20Discussion%20Paper.dotm" TargetMode="External"/></Relationships>
</file>

<file path=word/theme/theme1.xml><?xml version="1.0" encoding="utf-8"?>
<a:theme xmlns:a="http://schemas.openxmlformats.org/drawingml/2006/main" name="Office Theme">
  <a:themeElements>
    <a:clrScheme name="Corporate">
      <a:dk1>
        <a:sysClr val="windowText" lastClr="000000"/>
      </a:dk1>
      <a:lt1>
        <a:sysClr val="window" lastClr="FFFFFF"/>
      </a:lt1>
      <a:dk2>
        <a:srgbClr val="F06252"/>
      </a:dk2>
      <a:lt2>
        <a:srgbClr val="E2E0CB"/>
      </a:lt2>
      <a:accent1>
        <a:srgbClr val="002C47"/>
      </a:accent1>
      <a:accent2>
        <a:srgbClr val="3A6FAF"/>
      </a:accent2>
      <a:accent3>
        <a:srgbClr val="00827F"/>
      </a:accent3>
      <a:accent4>
        <a:srgbClr val="F7901E"/>
      </a:accent4>
      <a:accent5>
        <a:srgbClr val="00ABBD"/>
      </a:accent5>
      <a:accent6>
        <a:srgbClr val="844D9E"/>
      </a:accent6>
      <a:hlink>
        <a:srgbClr val="3A6FAF"/>
      </a:hlink>
      <a:folHlink>
        <a:srgbClr val="E61E2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1C51756A06C18846B2C995EF58739456" ma:contentTypeVersion="" ma:contentTypeDescription="PDMS Document Site Content Type" ma:contentTypeScope="" ma:versionID="a17a9cf954ab42e7ee2739fabcdb7f06">
  <xsd:schema xmlns:xsd="http://www.w3.org/2001/XMLSchema" xmlns:xs="http://www.w3.org/2001/XMLSchema" xmlns:p="http://schemas.microsoft.com/office/2006/metadata/properties" xmlns:ns2="BB2361E2-4692-4A2C-940F-266C142828FE" targetNamespace="http://schemas.microsoft.com/office/2006/metadata/properties" ma:root="true" ma:fieldsID="6df0d0573be62e73ce6f517b015d48d2" ns2:_="">
    <xsd:import namespace="BB2361E2-4692-4A2C-940F-266C142828FE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361E2-4692-4A2C-940F-266C142828FE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BB2361E2-4692-4A2C-940F-266C142828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43BA3-4599-4A45-BF73-DF9608FEA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2361E2-4692-4A2C-940F-266C142828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3C9D25-CEE9-4FD6-9A4E-9501D8EE1519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B2361E2-4692-4A2C-940F-266C142828FE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F1DEC2A-ABE5-44CB-97A9-1CC4AC2150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45DCBC-562F-45ED-9A51-AAB6A1E2D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Consultation Discussion Paper.dotm</Template>
  <TotalTime>20</TotalTime>
  <Pages>7</Pages>
  <Words>1769</Words>
  <Characters>9499</Characters>
  <Application>Microsoft Office Word</Application>
  <DocSecurity>0</DocSecurity>
  <Lines>191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Increasing the Statutory Demand Threshold - Consultation Paper</vt:lpstr>
    </vt:vector>
  </TitlesOfParts>
  <Company>Australian Government - The Treasury</Company>
  <LinksUpToDate>false</LinksUpToDate>
  <CharactersWithSpaces>11201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Increasing the Statutory Demand Threshold - Consultation Paper</dc:title>
  <dc:subject/>
  <dc:creator>Treasury</dc:creator>
  <cp:keywords/>
  <dc:description/>
  <cp:lastModifiedBy>Hill, Christine</cp:lastModifiedBy>
  <cp:revision>9</cp:revision>
  <cp:lastPrinted>2021-02-15T21:10:00Z</cp:lastPrinted>
  <dcterms:created xsi:type="dcterms:W3CDTF">2021-02-12T01:00:00Z</dcterms:created>
  <dcterms:modified xsi:type="dcterms:W3CDTF">2021-02-15T23:16:00Z</dcterms:modified>
</cp:coreProperties>
</file>