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D7921" w14:textId="77777777" w:rsidR="000E0B74" w:rsidRPr="006D0240" w:rsidRDefault="000E0B74" w:rsidP="008E6292">
      <w:bookmarkStart w:id="0" w:name="_GoBack"/>
      <w:bookmarkEnd w:id="0"/>
    </w:p>
    <w:p w14:paraId="5A1CA3D4" w14:textId="77777777" w:rsidR="000E0B74" w:rsidRPr="006D0240" w:rsidRDefault="000E0B74" w:rsidP="008C4D29">
      <w:pPr>
        <w:pStyle w:val="Crest"/>
        <w:spacing w:after="240"/>
        <w:jc w:val="left"/>
      </w:pPr>
    </w:p>
    <w:p w14:paraId="17C5E8BD" w14:textId="77777777" w:rsidR="000E0B74" w:rsidRPr="001D4EAA" w:rsidRDefault="00147DFD" w:rsidP="001D4EAA">
      <w:pPr>
        <w:pStyle w:val="Title"/>
      </w:pPr>
      <w:r>
        <w:t>Review of the Australian Financial Complaints Authority</w:t>
      </w:r>
    </w:p>
    <w:p w14:paraId="1E7E63A5" w14:textId="77777777" w:rsidR="000E0B74" w:rsidRPr="001D4EAA" w:rsidRDefault="00147DFD" w:rsidP="001D4EAA">
      <w:pPr>
        <w:pStyle w:val="Subtitle"/>
      </w:pPr>
      <w:r>
        <w:t>Terms of Reference and guidance for submissions</w:t>
      </w:r>
    </w:p>
    <w:p w14:paraId="71C16144" w14:textId="3894C19E" w:rsidR="00056880" w:rsidRDefault="00147DFD" w:rsidP="001D4EAA">
      <w:pPr>
        <w:pStyle w:val="ReportDate"/>
        <w:rPr>
          <w:rFonts w:ascii="Rockwell" w:hAnsi="Rockwell"/>
          <w:sz w:val="24"/>
        </w:rPr>
      </w:pPr>
      <w:r>
        <w:rPr>
          <w:rStyle w:val="ReportDateChar"/>
        </w:rPr>
        <w:t>1</w:t>
      </w:r>
      <w:r w:rsidR="00F91BF5">
        <w:rPr>
          <w:rStyle w:val="ReportDateChar"/>
        </w:rPr>
        <w:t>9</w:t>
      </w:r>
      <w:r>
        <w:rPr>
          <w:rStyle w:val="ReportDateChar"/>
        </w:rPr>
        <w:t xml:space="preserve"> February 2021</w:t>
      </w:r>
    </w:p>
    <w:p w14:paraId="22BD73FA" w14:textId="77777777" w:rsidR="002F617F" w:rsidRPr="001D4EAA" w:rsidRDefault="002F617F" w:rsidP="001D4EAA">
      <w:pPr>
        <w:spacing w:after="6000"/>
      </w:pPr>
    </w:p>
    <w:p w14:paraId="5917047A" w14:textId="77777777" w:rsidR="002F617F" w:rsidRDefault="002F617F"/>
    <w:p w14:paraId="6313A12C" w14:textId="77777777" w:rsidR="000E0B74" w:rsidRDefault="000E0B74" w:rsidP="000E0B74">
      <w:pPr>
        <w:rPr>
          <w:rFonts w:cs="Calibri"/>
          <w:sz w:val="20"/>
        </w:rPr>
      </w:pPr>
    </w:p>
    <w:p w14:paraId="031B018F" w14:textId="77777777" w:rsidR="000E0B74" w:rsidRDefault="000E0B74" w:rsidP="000E0B74">
      <w:pPr>
        <w:sectPr w:rsidR="000E0B74" w:rsidSect="00E1136B">
          <w:headerReference w:type="default" r:id="rId15"/>
          <w:pgSz w:w="11906" w:h="16838"/>
          <w:pgMar w:top="1418" w:right="1418" w:bottom="1418" w:left="1418" w:header="709" w:footer="709" w:gutter="0"/>
          <w:pgNumType w:fmt="lowerRoman" w:start="1"/>
          <w:cols w:space="720"/>
        </w:sectPr>
      </w:pPr>
    </w:p>
    <w:p w14:paraId="3E1785FE" w14:textId="77777777" w:rsidR="000E0B74" w:rsidRDefault="000E0B74" w:rsidP="000E0B74">
      <w:pPr>
        <w:spacing w:before="240"/>
      </w:pPr>
      <w:r w:rsidRPr="00661BF0">
        <w:lastRenderedPageBreak/>
        <w:t>© Commonwealth of Aust</w:t>
      </w:r>
      <w:r w:rsidRPr="00147DFD">
        <w:t>ralia 20</w:t>
      </w:r>
      <w:r w:rsidR="00EF2FBF" w:rsidRPr="00147DFD">
        <w:t>2</w:t>
      </w:r>
      <w:r w:rsidR="00147DFD" w:rsidRPr="00147DFD">
        <w:t>1</w:t>
      </w:r>
    </w:p>
    <w:p w14:paraId="277C4036"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6"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00147DFD">
        <w:t>and where otherwise stated</w:t>
      </w:r>
      <w:r w:rsidRPr="002F1BC2">
        <w:t>. The full licence terms are available from</w:t>
      </w:r>
      <w:r w:rsidRPr="00476F09">
        <w:rPr>
          <w:rFonts w:cstheme="minorHAnsi"/>
          <w:sz w:val="24"/>
          <w:szCs w:val="24"/>
        </w:rPr>
        <w:t xml:space="preserve"> </w:t>
      </w:r>
      <w:hyperlink r:id="rId17"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64B8276A" w14:textId="77777777" w:rsidR="000E0B74" w:rsidRDefault="000E0B74" w:rsidP="000E0B74">
      <w:pPr>
        <w:pStyle w:val="ChartGraphic"/>
        <w:jc w:val="left"/>
      </w:pPr>
      <w:r w:rsidRPr="00E56DFB">
        <w:rPr>
          <w:noProof/>
        </w:rPr>
        <w:drawing>
          <wp:inline distT="0" distB="0" distL="0" distR="0" wp14:anchorId="0379857F" wp14:editId="6802FFB9">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7CCF882"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9"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5D665563"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39E69FB7"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F8A06C5" w14:textId="77777777" w:rsidR="000E0B74" w:rsidRPr="00A13A11" w:rsidRDefault="000E0B74" w:rsidP="000E0B74">
      <w:pPr>
        <w:ind w:firstLine="720"/>
      </w:pPr>
      <w:r w:rsidRPr="002F1BC2">
        <w:rPr>
          <w:i/>
        </w:rPr>
        <w:t xml:space="preserve">Source: The </w:t>
      </w:r>
      <w:r w:rsidRPr="002F1BC2">
        <w:rPr>
          <w:i/>
          <w:iCs/>
        </w:rPr>
        <w:t>Aus</w:t>
      </w:r>
      <w:r w:rsidR="00147DFD">
        <w:rPr>
          <w:i/>
          <w:iCs/>
        </w:rPr>
        <w:t>tralian Government the Treasury</w:t>
      </w:r>
      <w:r>
        <w:t>.</w:t>
      </w:r>
    </w:p>
    <w:p w14:paraId="4D32A4DC" w14:textId="77777777" w:rsidR="000E0B74" w:rsidRPr="006627B4" w:rsidRDefault="000E0B74" w:rsidP="000E0B74">
      <w:pPr>
        <w:spacing w:before="240"/>
      </w:pPr>
      <w:r w:rsidRPr="00CC63CC">
        <w:rPr>
          <w:b/>
        </w:rPr>
        <w:t>Derivative</w:t>
      </w:r>
      <w:r w:rsidRPr="006627B4">
        <w:t xml:space="preserve"> </w:t>
      </w:r>
      <w:r w:rsidRPr="00CC63CC">
        <w:rPr>
          <w:b/>
        </w:rPr>
        <w:t>material</w:t>
      </w:r>
    </w:p>
    <w:p w14:paraId="2AEB57FA"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219AD34F" w14:textId="77777777" w:rsidR="000E0B74" w:rsidRPr="006627B4" w:rsidRDefault="000E0B74" w:rsidP="000E0B74">
      <w:pPr>
        <w:ind w:firstLine="720"/>
      </w:pPr>
      <w:r w:rsidRPr="002F1BC2">
        <w:rPr>
          <w:i/>
        </w:rPr>
        <w:t>Based on The Australian Government the Treasury data</w:t>
      </w:r>
      <w:r>
        <w:t>.</w:t>
      </w:r>
    </w:p>
    <w:p w14:paraId="4BA94E19" w14:textId="77777777" w:rsidR="000E0B74" w:rsidRPr="006627B4" w:rsidRDefault="000E0B74" w:rsidP="000E0B74">
      <w:pPr>
        <w:spacing w:before="240"/>
        <w:rPr>
          <w:b/>
        </w:rPr>
      </w:pPr>
      <w:r w:rsidRPr="006627B4">
        <w:rPr>
          <w:b/>
        </w:rPr>
        <w:t>Use of the Coat of Arms</w:t>
      </w:r>
    </w:p>
    <w:p w14:paraId="3925EB1A"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0" w:history="1">
        <w:r w:rsidR="00147DFD" w:rsidRPr="00D31B44">
          <w:rPr>
            <w:rStyle w:val="Hyperlink"/>
          </w:rPr>
          <w:t>www.pmc.gov.au/government/commonwealth-coat-arms</w:t>
        </w:r>
      </w:hyperlink>
      <w:r w:rsidRPr="004A7BC2">
        <w:t>).</w:t>
      </w:r>
    </w:p>
    <w:p w14:paraId="7EB90C00" w14:textId="77777777" w:rsidR="000E0B74" w:rsidRPr="006627B4" w:rsidRDefault="000E0B74" w:rsidP="000E0B74">
      <w:pPr>
        <w:spacing w:before="240"/>
        <w:rPr>
          <w:b/>
        </w:rPr>
      </w:pPr>
      <w:r>
        <w:rPr>
          <w:b/>
        </w:rPr>
        <w:t>Other u</w:t>
      </w:r>
      <w:r w:rsidRPr="006627B4">
        <w:rPr>
          <w:b/>
        </w:rPr>
        <w:t>ses</w:t>
      </w:r>
    </w:p>
    <w:p w14:paraId="1C0E47C0" w14:textId="77777777" w:rsidR="000E0B74" w:rsidRPr="006627B4" w:rsidRDefault="000E0B74" w:rsidP="000E0B74">
      <w:r>
        <w:t>E</w:t>
      </w:r>
      <w:r w:rsidRPr="006627B4">
        <w:t>nquiries regarding this licence and any other use of this document are welcome at:</w:t>
      </w:r>
    </w:p>
    <w:p w14:paraId="6AE34C04" w14:textId="1FD1D96A" w:rsidR="000E0B74" w:rsidRPr="002F1BC2" w:rsidRDefault="006A6EE3" w:rsidP="000E0B74">
      <w:pPr>
        <w:ind w:left="720"/>
        <w:rPr>
          <w:rStyle w:val="Hyperlink"/>
        </w:rPr>
      </w:pPr>
      <w:r>
        <w:t>Director</w:t>
      </w:r>
      <w:r w:rsidR="009A668A">
        <w:br/>
      </w:r>
      <w:r w:rsidR="000E0B74">
        <w:t>Media and Speeches Unit</w:t>
      </w:r>
      <w:r w:rsidR="000E0B74">
        <w:br/>
      </w:r>
      <w:r w:rsidR="000E0B74" w:rsidRPr="006627B4">
        <w:t>The Treasury</w:t>
      </w:r>
      <w:r w:rsidR="000E0B74">
        <w:br/>
      </w:r>
      <w:r w:rsidR="000E0B74" w:rsidRPr="006627B4">
        <w:t xml:space="preserve">Langton Crescent </w:t>
      </w:r>
      <w:r w:rsidR="000E0B74">
        <w:br/>
      </w:r>
      <w:r w:rsidR="000E0B74" w:rsidRPr="006627B4">
        <w:t xml:space="preserve">Parkes </w:t>
      </w:r>
      <w:r w:rsidR="000E0B74">
        <w:t xml:space="preserve"> </w:t>
      </w:r>
      <w:r w:rsidR="000E0B74" w:rsidRPr="006627B4">
        <w:t xml:space="preserve">ACT </w:t>
      </w:r>
      <w:r w:rsidR="000E0B74">
        <w:t xml:space="preserve"> </w:t>
      </w:r>
      <w:r w:rsidR="000E0B74" w:rsidRPr="006627B4">
        <w:t>2600</w:t>
      </w:r>
      <w:r w:rsidR="000E0B74">
        <w:br/>
      </w:r>
      <w:r w:rsidR="000E0B74" w:rsidRPr="006627B4">
        <w:t xml:space="preserve">Email: </w:t>
      </w:r>
      <w:hyperlink r:id="rId21" w:history="1">
        <w:r w:rsidR="004A077D" w:rsidRPr="000951A5">
          <w:rPr>
            <w:rStyle w:val="Hyperlink"/>
          </w:rPr>
          <w:t>media@treasury.gov.au</w:t>
        </w:r>
      </w:hyperlink>
      <w:r w:rsidR="004A077D">
        <w:t xml:space="preserve"> </w:t>
      </w:r>
    </w:p>
    <w:p w14:paraId="2CE8294B" w14:textId="77777777" w:rsidR="000E0B74" w:rsidRDefault="000E0B74" w:rsidP="000E0B74">
      <w:pPr>
        <w:pStyle w:val="SingleParagraph"/>
        <w:sectPr w:rsidR="000E0B74" w:rsidSect="00475B7B">
          <w:headerReference w:type="even" r:id="rId22"/>
          <w:headerReference w:type="default" r:id="rId23"/>
          <w:footerReference w:type="even" r:id="rId24"/>
          <w:pgSz w:w="11906" w:h="16838" w:code="9"/>
          <w:pgMar w:top="1418" w:right="1418" w:bottom="1418" w:left="1418" w:header="709" w:footer="709" w:gutter="0"/>
          <w:pgNumType w:fmt="lowerRoman"/>
          <w:cols w:space="708"/>
          <w:titlePg/>
          <w:docGrid w:linePitch="360"/>
        </w:sectPr>
      </w:pPr>
    </w:p>
    <w:p w14:paraId="7B074006" w14:textId="77777777" w:rsidR="000E0B74" w:rsidRDefault="000E0B74" w:rsidP="00354FBB">
      <w:pPr>
        <w:pStyle w:val="Heading1"/>
      </w:pPr>
      <w:bookmarkStart w:id="1" w:name="_Toc64283752"/>
      <w:bookmarkStart w:id="2" w:name="_Toc432067103"/>
      <w:r>
        <w:lastRenderedPageBreak/>
        <w:t>Consultation Process</w:t>
      </w:r>
      <w:bookmarkEnd w:id="1"/>
    </w:p>
    <w:p w14:paraId="60301CA4" w14:textId="77777777" w:rsidR="000E0B74" w:rsidRDefault="000E0B74" w:rsidP="000E0B74">
      <w:pPr>
        <w:pStyle w:val="Heading2"/>
      </w:pPr>
      <w:bookmarkStart w:id="3" w:name="_Toc64283753"/>
      <w:r>
        <w:t>Request for feedback and comments</w:t>
      </w:r>
      <w:bookmarkEnd w:id="3"/>
    </w:p>
    <w:p w14:paraId="30C7B717" w14:textId="77777777" w:rsidR="000E0B74" w:rsidRDefault="000E0B74" w:rsidP="00257AEE">
      <w:pPr>
        <w:pStyle w:val="Heading3noTOC"/>
      </w:pPr>
      <w:r>
        <w:t xml:space="preserve">Closing date for submissions: </w:t>
      </w:r>
      <w:sdt>
        <w:sdtPr>
          <w:rPr>
            <w:rStyle w:val="Heading3Char"/>
          </w:rPr>
          <w:id w:val="1454836312"/>
          <w:placeholder>
            <w:docPart w:val="389E0E5D040C4B2FB562512912705BA7"/>
          </w:placeholder>
          <w:date w:fullDate="2021-03-26T00:00:00Z">
            <w:dateFormat w:val="dd MMMM yyyy"/>
            <w:lid w:val="en-AU"/>
            <w:storeMappedDataAs w:val="dateTime"/>
            <w:calendar w:val="gregorian"/>
          </w:date>
        </w:sdtPr>
        <w:sdtEndPr>
          <w:rPr>
            <w:rStyle w:val="DefaultParagraphFont"/>
            <w:rFonts w:cs="Calibri"/>
          </w:rPr>
        </w:sdtEndPr>
        <w:sdtContent>
          <w:r w:rsidR="00147DFD">
            <w:rPr>
              <w:rStyle w:val="Heading3Char"/>
            </w:rPr>
            <w:t>26 March 2021</w:t>
          </w:r>
        </w:sdtContent>
      </w:sdt>
    </w:p>
    <w:tbl>
      <w:tblPr>
        <w:tblStyle w:val="TableGrid"/>
        <w:tblW w:w="0" w:type="auto"/>
        <w:tblLook w:val="04A0" w:firstRow="1" w:lastRow="0" w:firstColumn="1" w:lastColumn="0" w:noHBand="0" w:noVBand="1"/>
      </w:tblPr>
      <w:tblGrid>
        <w:gridCol w:w="1510"/>
        <w:gridCol w:w="7560"/>
      </w:tblGrid>
      <w:tr w:rsidR="000E0B74" w:rsidRPr="00B85F47" w14:paraId="4B2BE30F" w14:textId="77777777" w:rsidTr="00B85F47">
        <w:tc>
          <w:tcPr>
            <w:tcW w:w="1526" w:type="dxa"/>
            <w:shd w:val="clear" w:color="auto" w:fill="auto"/>
          </w:tcPr>
          <w:p w14:paraId="78C7BC54"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2190CD97" w14:textId="77777777" w:rsidR="000E0B74" w:rsidRPr="00676F93" w:rsidRDefault="00153199" w:rsidP="00516785">
            <w:pPr>
              <w:rPr>
                <w:sz w:val="22"/>
                <w:szCs w:val="22"/>
              </w:rPr>
            </w:pPr>
            <w:hyperlink r:id="rId25" w:history="1">
              <w:r w:rsidR="00676F93" w:rsidRPr="00676F93">
                <w:rPr>
                  <w:rStyle w:val="Hyperlink"/>
                  <w:rFonts w:cs="Arial"/>
                  <w:sz w:val="22"/>
                  <w:szCs w:val="22"/>
                </w:rPr>
                <w:t>AFCAreview@treasury.gov.au</w:t>
              </w:r>
            </w:hyperlink>
            <w:r w:rsidR="00676F93" w:rsidRPr="00676F93">
              <w:rPr>
                <w:rFonts w:cs="Arial"/>
                <w:sz w:val="22"/>
                <w:szCs w:val="22"/>
              </w:rPr>
              <w:t xml:space="preserve"> </w:t>
            </w:r>
          </w:p>
        </w:tc>
      </w:tr>
      <w:tr w:rsidR="000E0B74" w:rsidRPr="00B85F47" w14:paraId="70508CD5" w14:textId="77777777" w:rsidTr="00B85F47">
        <w:tc>
          <w:tcPr>
            <w:tcW w:w="1526" w:type="dxa"/>
            <w:shd w:val="clear" w:color="auto" w:fill="auto"/>
          </w:tcPr>
          <w:p w14:paraId="6DB2A20B" w14:textId="77777777" w:rsidR="000E0B74" w:rsidRPr="00B85F47" w:rsidRDefault="000E0B74" w:rsidP="0017089D">
            <w:pPr>
              <w:rPr>
                <w:sz w:val="22"/>
                <w:szCs w:val="22"/>
              </w:rPr>
            </w:pPr>
            <w:r w:rsidRPr="00B85F47">
              <w:rPr>
                <w:sz w:val="22"/>
                <w:szCs w:val="22"/>
              </w:rPr>
              <w:t>Mail</w:t>
            </w:r>
          </w:p>
          <w:p w14:paraId="78FF79E7" w14:textId="77777777" w:rsidR="008D7F38" w:rsidRPr="00B85F47" w:rsidRDefault="008D7F38" w:rsidP="0017089D">
            <w:pPr>
              <w:rPr>
                <w:sz w:val="22"/>
                <w:szCs w:val="22"/>
              </w:rPr>
            </w:pPr>
          </w:p>
          <w:p w14:paraId="7BF48122" w14:textId="77777777" w:rsidR="008D7F38" w:rsidRPr="00B85F47" w:rsidRDefault="008D7F38" w:rsidP="0017089D">
            <w:pPr>
              <w:rPr>
                <w:sz w:val="22"/>
                <w:szCs w:val="22"/>
              </w:rPr>
            </w:pPr>
          </w:p>
        </w:tc>
        <w:tc>
          <w:tcPr>
            <w:tcW w:w="7654" w:type="dxa"/>
            <w:shd w:val="clear" w:color="auto" w:fill="auto"/>
          </w:tcPr>
          <w:p w14:paraId="6E0AFD0B" w14:textId="3E352EC3" w:rsidR="000E0B74" w:rsidRPr="00676F93" w:rsidRDefault="00676F93" w:rsidP="0017089D">
            <w:pPr>
              <w:pStyle w:val="SingleParagraph"/>
              <w:rPr>
                <w:rFonts w:cs="Arial"/>
                <w:sz w:val="22"/>
                <w:szCs w:val="22"/>
              </w:rPr>
            </w:pPr>
            <w:r w:rsidRPr="00676F93">
              <w:rPr>
                <w:rFonts w:cs="Arial"/>
                <w:sz w:val="22"/>
                <w:szCs w:val="22"/>
              </w:rPr>
              <w:t>Director</w:t>
            </w:r>
          </w:p>
          <w:p w14:paraId="369A8D67" w14:textId="77777777" w:rsidR="00676F93" w:rsidRPr="00676F93" w:rsidRDefault="00676F93" w:rsidP="0017089D">
            <w:pPr>
              <w:pStyle w:val="SingleParagraph"/>
              <w:rPr>
                <w:rFonts w:cs="Arial"/>
                <w:sz w:val="22"/>
                <w:szCs w:val="22"/>
              </w:rPr>
            </w:pPr>
            <w:r w:rsidRPr="00676F93">
              <w:rPr>
                <w:rFonts w:cs="Arial"/>
                <w:sz w:val="22"/>
                <w:szCs w:val="22"/>
              </w:rPr>
              <w:t>AFCA Review Secretariat</w:t>
            </w:r>
          </w:p>
          <w:p w14:paraId="622F6C60" w14:textId="77777777" w:rsidR="000E0B74" w:rsidRPr="00676F93" w:rsidRDefault="00676F93" w:rsidP="0017089D">
            <w:pPr>
              <w:pStyle w:val="SingleParagraph"/>
              <w:rPr>
                <w:rFonts w:cs="Arial"/>
                <w:sz w:val="22"/>
                <w:szCs w:val="22"/>
              </w:rPr>
            </w:pPr>
            <w:r>
              <w:rPr>
                <w:rFonts w:cs="Arial"/>
                <w:sz w:val="22"/>
                <w:szCs w:val="22"/>
              </w:rPr>
              <w:t>Financial System Division</w:t>
            </w:r>
          </w:p>
          <w:p w14:paraId="505D9569" w14:textId="77777777" w:rsidR="000E0B74" w:rsidRPr="00676F93" w:rsidRDefault="000E0B74" w:rsidP="0017089D">
            <w:pPr>
              <w:pStyle w:val="SingleParagraph"/>
              <w:rPr>
                <w:rFonts w:cs="Arial"/>
                <w:sz w:val="22"/>
                <w:szCs w:val="22"/>
              </w:rPr>
            </w:pPr>
            <w:r w:rsidRPr="00676F93">
              <w:rPr>
                <w:rFonts w:cs="Arial"/>
                <w:sz w:val="22"/>
                <w:szCs w:val="22"/>
              </w:rPr>
              <w:t>The Treasury</w:t>
            </w:r>
          </w:p>
          <w:p w14:paraId="3139C49F" w14:textId="77777777" w:rsidR="000E0B74" w:rsidRPr="00676F93" w:rsidRDefault="000E0B74" w:rsidP="0017089D">
            <w:pPr>
              <w:pStyle w:val="SingleParagraph"/>
              <w:rPr>
                <w:rFonts w:cs="Arial"/>
                <w:sz w:val="22"/>
                <w:szCs w:val="22"/>
              </w:rPr>
            </w:pPr>
            <w:r w:rsidRPr="00676F93">
              <w:rPr>
                <w:rFonts w:cs="Arial"/>
                <w:sz w:val="22"/>
                <w:szCs w:val="22"/>
              </w:rPr>
              <w:t>Langton Crescent</w:t>
            </w:r>
          </w:p>
          <w:p w14:paraId="1038DBAF" w14:textId="77777777" w:rsidR="000E0B74" w:rsidRPr="00676F93" w:rsidRDefault="000E0B74" w:rsidP="0017089D">
            <w:pPr>
              <w:pStyle w:val="SingleParagraph"/>
              <w:rPr>
                <w:sz w:val="22"/>
                <w:szCs w:val="22"/>
              </w:rPr>
            </w:pPr>
            <w:r w:rsidRPr="00676F93">
              <w:rPr>
                <w:sz w:val="22"/>
                <w:szCs w:val="22"/>
              </w:rPr>
              <w:t>PARKES ACT 2600</w:t>
            </w:r>
          </w:p>
        </w:tc>
      </w:tr>
      <w:tr w:rsidR="000E0B74" w:rsidRPr="00B85F47" w14:paraId="262CBD04" w14:textId="77777777" w:rsidTr="00B85F47">
        <w:tc>
          <w:tcPr>
            <w:tcW w:w="1526" w:type="dxa"/>
            <w:shd w:val="clear" w:color="auto" w:fill="auto"/>
          </w:tcPr>
          <w:p w14:paraId="5D37B36D" w14:textId="39DFA1C6" w:rsidR="000E0B74" w:rsidRPr="00B85F47" w:rsidRDefault="000E0B74" w:rsidP="0017089D">
            <w:pPr>
              <w:rPr>
                <w:sz w:val="22"/>
                <w:szCs w:val="22"/>
              </w:rPr>
            </w:pPr>
          </w:p>
        </w:tc>
        <w:tc>
          <w:tcPr>
            <w:tcW w:w="7654" w:type="dxa"/>
            <w:shd w:val="clear" w:color="auto" w:fill="auto"/>
          </w:tcPr>
          <w:p w14:paraId="3CEB33BD" w14:textId="3072A98F" w:rsidR="000E0B74" w:rsidRPr="00B85F47" w:rsidRDefault="000E0B74" w:rsidP="008C4D29">
            <w:pPr>
              <w:rPr>
                <w:sz w:val="22"/>
                <w:szCs w:val="22"/>
              </w:rPr>
            </w:pPr>
          </w:p>
        </w:tc>
      </w:tr>
      <w:tr w:rsidR="000E0B74" w:rsidRPr="00B85F47" w14:paraId="16A486DB" w14:textId="77777777" w:rsidTr="00B85F47">
        <w:tc>
          <w:tcPr>
            <w:tcW w:w="1526" w:type="dxa"/>
            <w:shd w:val="clear" w:color="auto" w:fill="auto"/>
          </w:tcPr>
          <w:p w14:paraId="1D5C16C0" w14:textId="77777777" w:rsidR="000E0B74" w:rsidRPr="00B85F47" w:rsidRDefault="000E0B74" w:rsidP="0017089D">
            <w:pPr>
              <w:rPr>
                <w:sz w:val="22"/>
                <w:szCs w:val="22"/>
              </w:rPr>
            </w:pPr>
          </w:p>
        </w:tc>
        <w:tc>
          <w:tcPr>
            <w:tcW w:w="7654" w:type="dxa"/>
            <w:shd w:val="clear" w:color="auto" w:fill="auto"/>
          </w:tcPr>
          <w:p w14:paraId="70E1847C" w14:textId="77777777" w:rsidR="000E0B74" w:rsidRPr="00B85F47" w:rsidRDefault="000E0B74" w:rsidP="0017089D">
            <w:pPr>
              <w:rPr>
                <w:sz w:val="22"/>
                <w:szCs w:val="22"/>
              </w:rPr>
            </w:pPr>
          </w:p>
        </w:tc>
      </w:tr>
      <w:bookmarkEnd w:id="2"/>
    </w:tbl>
    <w:p w14:paraId="40D63223" w14:textId="77777777" w:rsidR="00E10D39" w:rsidRDefault="00E10D39">
      <w:pPr>
        <w:spacing w:before="0" w:after="160" w:line="259" w:lineRule="auto"/>
        <w:rPr>
          <w:rFonts w:cs="Arial"/>
          <w:color w:val="004A7F"/>
          <w:kern w:val="32"/>
          <w:sz w:val="48"/>
          <w:szCs w:val="36"/>
        </w:rPr>
      </w:pPr>
      <w:r>
        <w:br w:type="page"/>
      </w:r>
    </w:p>
    <w:p w14:paraId="744E337E" w14:textId="77777777" w:rsidR="000E0B74" w:rsidRDefault="00676F93" w:rsidP="00354FBB">
      <w:pPr>
        <w:pStyle w:val="Heading1"/>
      </w:pPr>
      <w:bookmarkStart w:id="4" w:name="_Toc64283754"/>
      <w:r>
        <w:lastRenderedPageBreak/>
        <w:t>Terms of Reference</w:t>
      </w:r>
      <w:bookmarkEnd w:id="4"/>
    </w:p>
    <w:p w14:paraId="771A4D40" w14:textId="77777777" w:rsidR="00676F93" w:rsidRPr="00676F93" w:rsidRDefault="00676F93" w:rsidP="00676F93">
      <w:pPr>
        <w:spacing w:before="240" w:after="240"/>
        <w:rPr>
          <w:rFonts w:asciiTheme="minorHAnsi" w:hAnsiTheme="minorHAnsi"/>
          <w:sz w:val="24"/>
          <w:szCs w:val="24"/>
        </w:rPr>
      </w:pPr>
      <w:r w:rsidRPr="00676F93">
        <w:rPr>
          <w:rFonts w:asciiTheme="minorHAnsi" w:hAnsiTheme="minorHAnsi"/>
          <w:sz w:val="24"/>
          <w:szCs w:val="24"/>
        </w:rPr>
        <w:t>Section 4 of the</w:t>
      </w:r>
      <w:r w:rsidRPr="00676F93">
        <w:rPr>
          <w:rFonts w:asciiTheme="minorHAnsi" w:hAnsiTheme="minorHAnsi"/>
          <w:i/>
          <w:sz w:val="24"/>
          <w:szCs w:val="24"/>
        </w:rPr>
        <w:t xml:space="preserve"> Treasury Laws Amendment (Putting Consumers First—Establishment of the Australian Financial Complaints Authority) Act 2018</w:t>
      </w:r>
      <w:r w:rsidRPr="00676F93">
        <w:rPr>
          <w:rFonts w:asciiTheme="minorHAnsi" w:hAnsiTheme="minorHAnsi"/>
          <w:sz w:val="24"/>
          <w:szCs w:val="24"/>
        </w:rPr>
        <w:t xml:space="preserve"> (the Act) requires the Minister to establish an independent review of the operation of the amendments made by the Act. The Act also requires the Minister to table the review report in the Parliament within 15 sitting days after receiving the report.</w:t>
      </w:r>
    </w:p>
    <w:p w14:paraId="4712806B" w14:textId="77777777" w:rsidR="00676F93" w:rsidRPr="00676F93" w:rsidRDefault="00676F93" w:rsidP="00676F93">
      <w:pPr>
        <w:spacing w:before="240" w:after="240"/>
        <w:rPr>
          <w:rFonts w:asciiTheme="minorHAnsi" w:hAnsiTheme="minorHAnsi"/>
          <w:sz w:val="24"/>
          <w:szCs w:val="24"/>
        </w:rPr>
      </w:pPr>
      <w:r w:rsidRPr="00676F93">
        <w:rPr>
          <w:rFonts w:asciiTheme="minorHAnsi" w:hAnsiTheme="minorHAnsi"/>
          <w:sz w:val="24"/>
          <w:szCs w:val="24"/>
        </w:rPr>
        <w:t>The Treasury is to undertake this review and is to report to the Minister for Superannuation, Financial Services and the Digital Economy by no later than 30 June 2021.</w:t>
      </w:r>
    </w:p>
    <w:p w14:paraId="2BD55F91" w14:textId="77777777" w:rsidR="00676F93" w:rsidRPr="00676F93" w:rsidRDefault="00676F93" w:rsidP="00676F93">
      <w:pPr>
        <w:spacing w:before="240" w:after="240"/>
        <w:rPr>
          <w:rFonts w:asciiTheme="minorHAnsi" w:hAnsiTheme="minorHAnsi"/>
          <w:sz w:val="24"/>
          <w:szCs w:val="24"/>
        </w:rPr>
      </w:pPr>
      <w:r w:rsidRPr="00676F93">
        <w:rPr>
          <w:rFonts w:asciiTheme="minorHAnsi" w:hAnsiTheme="minorHAnsi"/>
          <w:sz w:val="24"/>
          <w:szCs w:val="24"/>
        </w:rPr>
        <w:t>The review provides an opportunity for feedback on the operation of the Australian Financial Complaints Authority (AFCA) since its establishment and to consider whether further enhancements should be made to ensure the external dispute resolution (EDR) scheme is appropriately calibrated and operating effectively.</w:t>
      </w:r>
    </w:p>
    <w:p w14:paraId="33BFF739" w14:textId="77777777" w:rsidR="00676F93" w:rsidRPr="00676F93" w:rsidRDefault="00676F93" w:rsidP="00676F93">
      <w:pPr>
        <w:spacing w:before="240" w:after="240"/>
        <w:rPr>
          <w:rFonts w:asciiTheme="minorHAnsi" w:hAnsiTheme="minorHAnsi"/>
          <w:sz w:val="24"/>
          <w:szCs w:val="24"/>
        </w:rPr>
      </w:pPr>
      <w:r w:rsidRPr="00676F93">
        <w:rPr>
          <w:rFonts w:asciiTheme="minorHAnsi" w:hAnsiTheme="minorHAnsi"/>
          <w:sz w:val="24"/>
          <w:szCs w:val="24"/>
        </w:rPr>
        <w:t>Legislation requires the review to consider whether AFCA has been effective in resolving complaints in a way that is fair, efficient, timely and independent. In doing so, the review will take account of feedback provided by consumers and small businesses and by financial firms.</w:t>
      </w:r>
    </w:p>
    <w:p w14:paraId="667C0C5D" w14:textId="77777777" w:rsidR="00676F93" w:rsidRPr="00676F93" w:rsidRDefault="00676F93" w:rsidP="00676F93">
      <w:pPr>
        <w:spacing w:before="240" w:after="240"/>
        <w:rPr>
          <w:rFonts w:asciiTheme="minorHAnsi" w:hAnsiTheme="minorHAnsi"/>
          <w:sz w:val="24"/>
          <w:szCs w:val="24"/>
        </w:rPr>
      </w:pPr>
      <w:r w:rsidRPr="00676F93">
        <w:rPr>
          <w:rFonts w:asciiTheme="minorHAnsi" w:hAnsiTheme="minorHAnsi"/>
          <w:sz w:val="24"/>
          <w:szCs w:val="24"/>
        </w:rPr>
        <w:t>Legislation also requires the review to examine the appropriateness of the monetary limits on claims that may be made to, and remedies that may be determined by, AFCA in relation to disputes about credit facilities provided to primary production businesses, including agriculture, fisheries and forestry businesses.</w:t>
      </w:r>
    </w:p>
    <w:p w14:paraId="3FF330A4" w14:textId="77777777" w:rsidR="00676F93" w:rsidRPr="00676F93" w:rsidRDefault="00676F93" w:rsidP="00676F93">
      <w:pPr>
        <w:spacing w:before="240" w:after="240"/>
        <w:rPr>
          <w:rFonts w:asciiTheme="minorHAnsi" w:hAnsiTheme="minorHAnsi"/>
          <w:sz w:val="24"/>
          <w:szCs w:val="24"/>
        </w:rPr>
      </w:pPr>
      <w:r w:rsidRPr="00676F93">
        <w:rPr>
          <w:rFonts w:asciiTheme="minorHAnsi" w:hAnsiTheme="minorHAnsi"/>
          <w:sz w:val="24"/>
          <w:szCs w:val="24"/>
        </w:rPr>
        <w:t>The increased internal dispute resolution (IDR) transparency changes made by the Act will not be considered by the review as these are currently being implemented, with time being provided to affected financial firms to make necessary system changes to collect standardised IDR data and the Australian Securities and Investments Commission to consult on and determine IDR reporting requirements.</w:t>
      </w:r>
    </w:p>
    <w:p w14:paraId="6F9DC9C9" w14:textId="77777777" w:rsidR="008361B4" w:rsidRDefault="008361B4" w:rsidP="00676F93"/>
    <w:p w14:paraId="1353056E" w14:textId="77777777" w:rsidR="00676F93" w:rsidRDefault="00676F93" w:rsidP="00676F93"/>
    <w:p w14:paraId="73040587" w14:textId="77777777" w:rsidR="00676F93" w:rsidRDefault="00676F93" w:rsidP="00676F93"/>
    <w:p w14:paraId="7C551190" w14:textId="77777777" w:rsidR="00676F93" w:rsidRDefault="00676F93" w:rsidP="00676F93"/>
    <w:p w14:paraId="668FB586" w14:textId="77777777" w:rsidR="00676F93" w:rsidRDefault="00676F93" w:rsidP="00676F93"/>
    <w:p w14:paraId="3233CB65" w14:textId="77777777" w:rsidR="00676F93" w:rsidRDefault="00676F93" w:rsidP="00676F93"/>
    <w:p w14:paraId="080EA2E2" w14:textId="77777777" w:rsidR="00676F93" w:rsidRDefault="00676F93" w:rsidP="00676F93"/>
    <w:p w14:paraId="348B6CA1" w14:textId="77777777" w:rsidR="00676F93" w:rsidRDefault="00676F93" w:rsidP="00676F93"/>
    <w:p w14:paraId="63D31CA0" w14:textId="77777777" w:rsidR="00676F93" w:rsidRDefault="00676F93" w:rsidP="00676F93"/>
    <w:p w14:paraId="34FE128C" w14:textId="77777777" w:rsidR="00676F93" w:rsidRDefault="00676F93" w:rsidP="00676F93"/>
    <w:p w14:paraId="121A5855" w14:textId="77777777" w:rsidR="00676F93" w:rsidRDefault="00676F93" w:rsidP="00676F93"/>
    <w:p w14:paraId="17BB75B2" w14:textId="77777777" w:rsidR="00676F93" w:rsidRDefault="00676F93" w:rsidP="00676F93"/>
    <w:p w14:paraId="0D9EE5B7" w14:textId="77777777" w:rsidR="00676F93" w:rsidRDefault="00676F93" w:rsidP="00676F93">
      <w:pPr>
        <w:pStyle w:val="Heading1"/>
      </w:pPr>
      <w:bookmarkStart w:id="5" w:name="_Toc64283755"/>
      <w:r>
        <w:lastRenderedPageBreak/>
        <w:t>Guidance for Submissions</w:t>
      </w:r>
      <w:bookmarkEnd w:id="5"/>
    </w:p>
    <w:p w14:paraId="23DF4BDD" w14:textId="77777777" w:rsidR="00676F93" w:rsidRPr="00676F93" w:rsidRDefault="00676F93" w:rsidP="00676F93">
      <w:pPr>
        <w:spacing w:before="240" w:after="240"/>
        <w:rPr>
          <w:rFonts w:asciiTheme="minorHAnsi" w:hAnsiTheme="minorHAnsi"/>
          <w:sz w:val="24"/>
          <w:szCs w:val="24"/>
        </w:rPr>
      </w:pPr>
      <w:r w:rsidRPr="00676F93">
        <w:rPr>
          <w:rFonts w:asciiTheme="minorHAnsi" w:hAnsiTheme="minorHAnsi"/>
          <w:sz w:val="24"/>
          <w:szCs w:val="24"/>
        </w:rPr>
        <w:t>Submissions are due by Friday, 26 March 2021. Submissions should address the following:</w:t>
      </w:r>
    </w:p>
    <w:p w14:paraId="486E2178" w14:textId="77777777" w:rsidR="00676F93" w:rsidRPr="00676F93" w:rsidRDefault="00676F93" w:rsidP="00676F93">
      <w:pPr>
        <w:spacing w:before="240" w:after="240"/>
        <w:rPr>
          <w:rFonts w:asciiTheme="minorHAnsi" w:hAnsiTheme="minorHAnsi"/>
          <w:sz w:val="24"/>
          <w:szCs w:val="24"/>
        </w:rPr>
      </w:pPr>
      <w:r w:rsidRPr="00676F93">
        <w:rPr>
          <w:rFonts w:asciiTheme="minorHAnsi" w:hAnsiTheme="minorHAnsi"/>
          <w:b/>
          <w:sz w:val="24"/>
          <w:szCs w:val="24"/>
        </w:rPr>
        <w:t>Delivering against statutory objectives</w:t>
      </w:r>
    </w:p>
    <w:p w14:paraId="4406DDAC" w14:textId="77777777" w:rsidR="00676F93" w:rsidRPr="00676F93" w:rsidRDefault="00676F93" w:rsidP="00676F93">
      <w:pPr>
        <w:pStyle w:val="OutlineNumbered1"/>
        <w:numPr>
          <w:ilvl w:val="0"/>
          <w:numId w:val="15"/>
        </w:numPr>
        <w:spacing w:before="240" w:after="240" w:line="259" w:lineRule="auto"/>
        <w:rPr>
          <w:rFonts w:asciiTheme="minorHAnsi" w:hAnsiTheme="minorHAnsi"/>
          <w:sz w:val="24"/>
          <w:szCs w:val="24"/>
        </w:rPr>
      </w:pPr>
      <w:r w:rsidRPr="00676F93">
        <w:rPr>
          <w:rFonts w:asciiTheme="minorHAnsi" w:hAnsiTheme="minorHAnsi"/>
          <w:sz w:val="24"/>
          <w:szCs w:val="24"/>
        </w:rPr>
        <w:t>Is AFCA meeting its statutory objective of resolving complaints in a way that is fair, efficient, timely and independent?</w:t>
      </w:r>
    </w:p>
    <w:p w14:paraId="5672EA99" w14:textId="77777777" w:rsidR="00676F93" w:rsidRPr="00676F93" w:rsidRDefault="00676F93" w:rsidP="00676F93">
      <w:pPr>
        <w:pStyle w:val="OutlineNumbered2"/>
        <w:numPr>
          <w:ilvl w:val="1"/>
          <w:numId w:val="15"/>
        </w:numPr>
        <w:spacing w:before="240" w:after="240" w:line="259" w:lineRule="auto"/>
        <w:rPr>
          <w:rFonts w:asciiTheme="minorHAnsi" w:hAnsiTheme="minorHAnsi"/>
          <w:sz w:val="24"/>
          <w:szCs w:val="24"/>
        </w:rPr>
      </w:pPr>
      <w:r w:rsidRPr="00676F93">
        <w:rPr>
          <w:rFonts w:asciiTheme="minorHAnsi" w:hAnsiTheme="minorHAnsi"/>
          <w:sz w:val="24"/>
          <w:szCs w:val="24"/>
        </w:rPr>
        <w:t xml:space="preserve">Is AFCA’s dispute resolution approach and capability producing consistent, predictable and quality outcomes? </w:t>
      </w:r>
    </w:p>
    <w:p w14:paraId="119EC4A1" w14:textId="77777777" w:rsidR="00676F93" w:rsidRPr="00676F93" w:rsidRDefault="00676F93" w:rsidP="00676F93">
      <w:pPr>
        <w:pStyle w:val="OutlineNumbered2"/>
        <w:numPr>
          <w:ilvl w:val="1"/>
          <w:numId w:val="15"/>
        </w:numPr>
        <w:spacing w:before="240" w:after="240" w:line="259" w:lineRule="auto"/>
        <w:rPr>
          <w:rFonts w:asciiTheme="minorHAnsi" w:hAnsiTheme="minorHAnsi"/>
          <w:sz w:val="24"/>
          <w:szCs w:val="24"/>
        </w:rPr>
      </w:pPr>
      <w:r w:rsidRPr="00676F93">
        <w:rPr>
          <w:rFonts w:asciiTheme="minorHAnsi" w:hAnsiTheme="minorHAnsi"/>
          <w:sz w:val="24"/>
          <w:szCs w:val="24"/>
        </w:rPr>
        <w:t>Are AFCA’s processes for the identification and appropriate response to systemic issues arising from complaints effective?</w:t>
      </w:r>
    </w:p>
    <w:p w14:paraId="12EA0E30" w14:textId="77777777" w:rsidR="00676F93" w:rsidRPr="00676F93" w:rsidRDefault="00676F93" w:rsidP="00676F93">
      <w:pPr>
        <w:pStyle w:val="OutlineNumbered2"/>
        <w:numPr>
          <w:ilvl w:val="1"/>
          <w:numId w:val="15"/>
        </w:numPr>
        <w:spacing w:before="240" w:after="240" w:line="259" w:lineRule="auto"/>
        <w:rPr>
          <w:rFonts w:asciiTheme="minorHAnsi" w:hAnsiTheme="minorHAnsi"/>
          <w:sz w:val="24"/>
          <w:szCs w:val="24"/>
        </w:rPr>
      </w:pPr>
      <w:r w:rsidRPr="00676F93">
        <w:rPr>
          <w:rFonts w:asciiTheme="minorHAnsi" w:hAnsiTheme="minorHAnsi"/>
          <w:sz w:val="24"/>
          <w:szCs w:val="24"/>
        </w:rPr>
        <w:t xml:space="preserve">Do AFCA’s funding and fee structures impact competition? Are there enhancements to the funding model that should be considered by AFCA to alleviate any impacts on competition while balancing the need for a sustainable fee-for-service model? </w:t>
      </w:r>
    </w:p>
    <w:p w14:paraId="382EF5AB" w14:textId="77777777" w:rsidR="00676F93" w:rsidRPr="00676F93" w:rsidRDefault="00676F93" w:rsidP="00676F93">
      <w:pPr>
        <w:pStyle w:val="OutlineNumbered2"/>
        <w:numPr>
          <w:ilvl w:val="0"/>
          <w:numId w:val="0"/>
        </w:numPr>
        <w:spacing w:before="240" w:after="240"/>
        <w:ind w:left="520"/>
        <w:rPr>
          <w:rFonts w:asciiTheme="minorHAnsi" w:hAnsiTheme="minorHAnsi"/>
          <w:sz w:val="24"/>
          <w:szCs w:val="24"/>
        </w:rPr>
      </w:pPr>
      <w:r w:rsidRPr="00676F93">
        <w:rPr>
          <w:rFonts w:asciiTheme="minorHAnsi" w:hAnsiTheme="minorHAnsi"/>
          <w:sz w:val="24"/>
          <w:szCs w:val="24"/>
        </w:rPr>
        <w:t xml:space="preserve">Please provide specific examples or case studies to support your responses. These may be provided to Treasury confidentially with any personal details of complainants and case references numbers omitted.  </w:t>
      </w:r>
    </w:p>
    <w:p w14:paraId="7C937DBB" w14:textId="77777777" w:rsidR="00676F93" w:rsidRPr="00676F93" w:rsidRDefault="00676F93" w:rsidP="00676F93">
      <w:pPr>
        <w:pStyle w:val="OutlineNumbered2"/>
        <w:numPr>
          <w:ilvl w:val="0"/>
          <w:numId w:val="0"/>
        </w:numPr>
        <w:spacing w:before="240" w:after="240"/>
        <w:rPr>
          <w:rFonts w:asciiTheme="minorHAnsi" w:hAnsiTheme="minorHAnsi"/>
          <w:b/>
          <w:sz w:val="24"/>
          <w:szCs w:val="24"/>
        </w:rPr>
      </w:pPr>
      <w:r w:rsidRPr="00676F93">
        <w:rPr>
          <w:rFonts w:asciiTheme="minorHAnsi" w:hAnsiTheme="minorHAnsi"/>
          <w:b/>
          <w:sz w:val="24"/>
          <w:szCs w:val="24"/>
        </w:rPr>
        <w:t xml:space="preserve">Monetary jurisdiction in relation to primary production businesses </w:t>
      </w:r>
    </w:p>
    <w:p w14:paraId="414B5C41" w14:textId="77777777" w:rsidR="00676F93" w:rsidRPr="00676F93" w:rsidRDefault="00676F93" w:rsidP="00676F93">
      <w:pPr>
        <w:pStyle w:val="OutlineNumbered1"/>
        <w:numPr>
          <w:ilvl w:val="0"/>
          <w:numId w:val="15"/>
        </w:numPr>
        <w:spacing w:before="240" w:after="240" w:line="259" w:lineRule="auto"/>
        <w:rPr>
          <w:rFonts w:asciiTheme="minorHAnsi" w:hAnsiTheme="minorHAnsi"/>
          <w:sz w:val="24"/>
          <w:szCs w:val="24"/>
        </w:rPr>
      </w:pPr>
      <w:r w:rsidRPr="00676F93">
        <w:rPr>
          <w:rFonts w:asciiTheme="minorHAnsi" w:hAnsiTheme="minorHAnsi"/>
          <w:sz w:val="24"/>
          <w:szCs w:val="24"/>
        </w:rPr>
        <w:t xml:space="preserve">Do the monetary limits on claims that may be made to, and remedies that may be determined by, AFCA in relation to disputes about credit facilities provided to primary production businesses, including agriculture, fisheries and forestry businesses remain adequate? </w:t>
      </w:r>
    </w:p>
    <w:p w14:paraId="031F040E" w14:textId="77777777" w:rsidR="00676F93" w:rsidRPr="00676F93" w:rsidRDefault="00676F93" w:rsidP="00676F93">
      <w:pPr>
        <w:pStyle w:val="OutlineNumbered1"/>
        <w:numPr>
          <w:ilvl w:val="0"/>
          <w:numId w:val="0"/>
        </w:numPr>
        <w:spacing w:before="240" w:after="240"/>
        <w:rPr>
          <w:rFonts w:asciiTheme="minorHAnsi" w:hAnsiTheme="minorHAnsi"/>
          <w:b/>
          <w:sz w:val="24"/>
          <w:szCs w:val="24"/>
        </w:rPr>
      </w:pPr>
      <w:r w:rsidRPr="00676F93">
        <w:rPr>
          <w:rFonts w:asciiTheme="minorHAnsi" w:hAnsiTheme="minorHAnsi"/>
          <w:b/>
          <w:sz w:val="24"/>
          <w:szCs w:val="24"/>
        </w:rPr>
        <w:t>Internal review mechanism</w:t>
      </w:r>
    </w:p>
    <w:p w14:paraId="57EB49C7" w14:textId="77777777" w:rsidR="00676F93" w:rsidRPr="00676F93" w:rsidRDefault="00676F93" w:rsidP="00676F93">
      <w:pPr>
        <w:pStyle w:val="OutlineNumbered1"/>
        <w:numPr>
          <w:ilvl w:val="0"/>
          <w:numId w:val="15"/>
        </w:numPr>
        <w:spacing w:before="240" w:after="240" w:line="259" w:lineRule="auto"/>
        <w:rPr>
          <w:rFonts w:asciiTheme="minorHAnsi" w:hAnsiTheme="minorHAnsi"/>
          <w:sz w:val="24"/>
          <w:szCs w:val="24"/>
        </w:rPr>
      </w:pPr>
      <w:r w:rsidRPr="00676F93">
        <w:rPr>
          <w:rFonts w:asciiTheme="minorHAnsi" w:hAnsiTheme="minorHAnsi"/>
          <w:sz w:val="24"/>
          <w:szCs w:val="24"/>
        </w:rPr>
        <w:t xml:space="preserve">AFCA’s Independent Assessor has the ability to review complaints about the standard of service provided by AFCA in resolving complaints. The Independent Assessor does not have the power to review the merits or substance of an AFCA decision.   </w:t>
      </w:r>
      <w:r w:rsidRPr="00676F93">
        <w:rPr>
          <w:rFonts w:asciiTheme="minorHAnsi" w:hAnsiTheme="minorHAnsi"/>
          <w:sz w:val="24"/>
          <w:szCs w:val="24"/>
        </w:rPr>
        <w:br/>
      </w:r>
      <w:r w:rsidRPr="00676F93">
        <w:rPr>
          <w:rFonts w:asciiTheme="minorHAnsi" w:hAnsiTheme="minorHAnsi"/>
          <w:sz w:val="24"/>
          <w:szCs w:val="24"/>
        </w:rPr>
        <w:br/>
        <w:t>Is the scope, remit and operation of AFCA’s Independent Assessor function appropriate and effective?</w:t>
      </w:r>
    </w:p>
    <w:p w14:paraId="787A3614" w14:textId="77777777" w:rsidR="00676F93" w:rsidRPr="00676F93" w:rsidRDefault="00676F93" w:rsidP="00676F93">
      <w:pPr>
        <w:pStyle w:val="OutlineNumbered1"/>
        <w:numPr>
          <w:ilvl w:val="0"/>
          <w:numId w:val="15"/>
        </w:numPr>
        <w:spacing w:before="240" w:after="240" w:line="259" w:lineRule="auto"/>
        <w:rPr>
          <w:rFonts w:asciiTheme="minorHAnsi" w:hAnsiTheme="minorHAnsi"/>
          <w:sz w:val="24"/>
          <w:szCs w:val="24"/>
        </w:rPr>
      </w:pPr>
      <w:r w:rsidRPr="00676F93">
        <w:rPr>
          <w:rFonts w:asciiTheme="minorHAnsi" w:hAnsiTheme="minorHAnsi"/>
          <w:sz w:val="24"/>
          <w:szCs w:val="24"/>
        </w:rPr>
        <w:t>Is there a need for AFCA to have an internal mechanism where the substance of its decision can be reviewed? How should any such mechanism operate to ensure that consumers and small businesses have access to timely decisions by AFCA?</w:t>
      </w:r>
    </w:p>
    <w:sectPr w:rsidR="00676F93" w:rsidRPr="00676F93" w:rsidSect="00E1136B">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63239" w14:textId="77777777" w:rsidR="00147DFD" w:rsidRDefault="00147DFD">
      <w:pPr>
        <w:spacing w:before="0" w:after="0"/>
      </w:pPr>
      <w:r>
        <w:separator/>
      </w:r>
    </w:p>
  </w:endnote>
  <w:endnote w:type="continuationSeparator" w:id="0">
    <w:p w14:paraId="57EB0428" w14:textId="77777777" w:rsidR="00147DFD" w:rsidRDefault="00147D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636D" w14:textId="77777777" w:rsidR="002314D2" w:rsidRPr="00E77C89" w:rsidRDefault="002314D2"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D1B50" w14:textId="77777777" w:rsidR="002314D2" w:rsidRPr="00E77C89" w:rsidRDefault="002314D2"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0FD6" w14:textId="3C0EE80D" w:rsidR="00E1136B" w:rsidRPr="00E1136B" w:rsidRDefault="00E1136B" w:rsidP="00E1136B">
    <w:pPr>
      <w:pStyle w:val="Footer"/>
    </w:pPr>
    <w:r>
      <w:fldChar w:fldCharType="begin"/>
    </w:r>
    <w:r>
      <w:instrText xml:space="preserve"> PAGE   \* MERGEFORMAT </w:instrText>
    </w:r>
    <w:r>
      <w:fldChar w:fldCharType="separate"/>
    </w:r>
    <w:r w:rsidR="00F91BF5">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C789" w14:textId="77777777" w:rsidR="002314D2" w:rsidRDefault="00231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5F642" w14:textId="77777777" w:rsidR="00147DFD" w:rsidRDefault="00147DFD">
      <w:pPr>
        <w:spacing w:before="0" w:after="0"/>
      </w:pPr>
      <w:r>
        <w:separator/>
      </w:r>
    </w:p>
  </w:footnote>
  <w:footnote w:type="continuationSeparator" w:id="0">
    <w:p w14:paraId="046A2D93" w14:textId="77777777" w:rsidR="00147DFD" w:rsidRDefault="00147D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4EF9E" w14:textId="77777777" w:rsidR="00475B7B" w:rsidRDefault="00757816">
    <w:pPr>
      <w:pStyle w:val="Header"/>
    </w:pPr>
    <w:r>
      <w:rPr>
        <w:noProof/>
      </w:rPr>
      <w:drawing>
        <wp:anchor distT="0" distB="0" distL="114300" distR="114300" simplePos="0" relativeHeight="251661312" behindDoc="1" locked="0" layoutInCell="1" allowOverlap="1" wp14:anchorId="474EDB60" wp14:editId="3742D06F">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7C8F1" w14:textId="77777777" w:rsidR="002314D2" w:rsidRPr="001F3912" w:rsidRDefault="002314D2"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272E2" w14:textId="77777777" w:rsidR="002314D2" w:rsidRPr="001F3912" w:rsidRDefault="002314D2"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07B2B" w14:textId="77777777" w:rsidR="002314D2" w:rsidRPr="001F3912" w:rsidRDefault="002314D2"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C8CA6" w14:textId="70104FE2" w:rsidR="002314D2" w:rsidRPr="001F3912" w:rsidRDefault="00F91BF5" w:rsidP="001606CF">
    <w:pPr>
      <w:pStyle w:val="Header"/>
    </w:pPr>
    <w:fldSimple w:instr=" STYLEREF  Title  \* MERGEFORMAT ">
      <w:r w:rsidR="00153199">
        <w:rPr>
          <w:noProof/>
        </w:rPr>
        <w:t>Review of the Australian Financial Complaints Authority</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7ED6D" w14:textId="77777777" w:rsidR="002314D2" w:rsidRDefault="00231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10D2021"/>
    <w:multiLevelType w:val="multilevel"/>
    <w:tmpl w:val="72F8140E"/>
    <w:numStyleLink w:val="OutlineList"/>
  </w:abstractNum>
  <w:abstractNum w:abstractNumId="10" w15:restartNumberingAfterBreak="0">
    <w:nsid w:val="681423CE"/>
    <w:multiLevelType w:val="multilevel"/>
    <w:tmpl w:val="80E075A6"/>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6"/>
  </w:num>
  <w:num w:numId="2">
    <w:abstractNumId w:val="0"/>
  </w:num>
  <w:num w:numId="3">
    <w:abstractNumId w:val="8"/>
  </w:num>
  <w:num w:numId="4">
    <w:abstractNumId w:val="2"/>
  </w:num>
  <w:num w:numId="5">
    <w:abstractNumId w:val="3"/>
  </w:num>
  <w:num w:numId="6">
    <w:abstractNumId w:val="9"/>
  </w:num>
  <w:num w:numId="7">
    <w:abstractNumId w:val="7"/>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5"/>
  </w:num>
  <w:num w:numId="11">
    <w:abstractNumId w:val="11"/>
  </w:num>
  <w:num w:numId="12">
    <w:abstractNumId w:val="9"/>
  </w:num>
  <w:num w:numId="13">
    <w:abstractNumId w:val="5"/>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DFD"/>
    <w:rsid w:val="00000C47"/>
    <w:rsid w:val="00011725"/>
    <w:rsid w:val="00012C62"/>
    <w:rsid w:val="00024281"/>
    <w:rsid w:val="0002544D"/>
    <w:rsid w:val="00041A8B"/>
    <w:rsid w:val="0004274D"/>
    <w:rsid w:val="00044C0A"/>
    <w:rsid w:val="00056880"/>
    <w:rsid w:val="000675D1"/>
    <w:rsid w:val="0007102C"/>
    <w:rsid w:val="00072352"/>
    <w:rsid w:val="00073521"/>
    <w:rsid w:val="000775DE"/>
    <w:rsid w:val="000858F2"/>
    <w:rsid w:val="00087FAF"/>
    <w:rsid w:val="000C5F40"/>
    <w:rsid w:val="000E0B74"/>
    <w:rsid w:val="000F0BF8"/>
    <w:rsid w:val="000F7517"/>
    <w:rsid w:val="0014091C"/>
    <w:rsid w:val="00147DFD"/>
    <w:rsid w:val="00153199"/>
    <w:rsid w:val="001606CF"/>
    <w:rsid w:val="0016128D"/>
    <w:rsid w:val="0017089D"/>
    <w:rsid w:val="0019101A"/>
    <w:rsid w:val="001C358D"/>
    <w:rsid w:val="001D4EAA"/>
    <w:rsid w:val="0022190E"/>
    <w:rsid w:val="00231049"/>
    <w:rsid w:val="002314D2"/>
    <w:rsid w:val="002372A6"/>
    <w:rsid w:val="00257AEE"/>
    <w:rsid w:val="00263B6C"/>
    <w:rsid w:val="0027590B"/>
    <w:rsid w:val="00285969"/>
    <w:rsid w:val="002940EC"/>
    <w:rsid w:val="002B3829"/>
    <w:rsid w:val="002B4D4D"/>
    <w:rsid w:val="002B5C39"/>
    <w:rsid w:val="002D488F"/>
    <w:rsid w:val="002F617F"/>
    <w:rsid w:val="003122F4"/>
    <w:rsid w:val="003268D5"/>
    <w:rsid w:val="00344779"/>
    <w:rsid w:val="00354D27"/>
    <w:rsid w:val="00354FBB"/>
    <w:rsid w:val="003839F0"/>
    <w:rsid w:val="003858A6"/>
    <w:rsid w:val="00392DCC"/>
    <w:rsid w:val="003E38B0"/>
    <w:rsid w:val="003E4D87"/>
    <w:rsid w:val="003F71F2"/>
    <w:rsid w:val="00416762"/>
    <w:rsid w:val="00421351"/>
    <w:rsid w:val="00445265"/>
    <w:rsid w:val="004559CE"/>
    <w:rsid w:val="00475B7B"/>
    <w:rsid w:val="00475F4D"/>
    <w:rsid w:val="00482AD1"/>
    <w:rsid w:val="00483049"/>
    <w:rsid w:val="00492FCB"/>
    <w:rsid w:val="004938D1"/>
    <w:rsid w:val="004951A8"/>
    <w:rsid w:val="004A077D"/>
    <w:rsid w:val="004A7BC2"/>
    <w:rsid w:val="004F1164"/>
    <w:rsid w:val="00516785"/>
    <w:rsid w:val="0052419D"/>
    <w:rsid w:val="005301F8"/>
    <w:rsid w:val="005312FC"/>
    <w:rsid w:val="0053603D"/>
    <w:rsid w:val="005868DE"/>
    <w:rsid w:val="005D76E2"/>
    <w:rsid w:val="0060595B"/>
    <w:rsid w:val="00605AFD"/>
    <w:rsid w:val="00607C7C"/>
    <w:rsid w:val="006123D4"/>
    <w:rsid w:val="00637C14"/>
    <w:rsid w:val="00656356"/>
    <w:rsid w:val="006755BF"/>
    <w:rsid w:val="00676F93"/>
    <w:rsid w:val="00686165"/>
    <w:rsid w:val="00691CB5"/>
    <w:rsid w:val="006A6EE1"/>
    <w:rsid w:val="006A6EE3"/>
    <w:rsid w:val="006B5E7C"/>
    <w:rsid w:val="006C645D"/>
    <w:rsid w:val="006D42C7"/>
    <w:rsid w:val="006E3CC3"/>
    <w:rsid w:val="006F656C"/>
    <w:rsid w:val="00707014"/>
    <w:rsid w:val="00745A87"/>
    <w:rsid w:val="00757816"/>
    <w:rsid w:val="007739DC"/>
    <w:rsid w:val="0078509F"/>
    <w:rsid w:val="00794499"/>
    <w:rsid w:val="007D5AA6"/>
    <w:rsid w:val="007E2AB9"/>
    <w:rsid w:val="007E6456"/>
    <w:rsid w:val="00834243"/>
    <w:rsid w:val="008361B4"/>
    <w:rsid w:val="00855618"/>
    <w:rsid w:val="00857969"/>
    <w:rsid w:val="008A1187"/>
    <w:rsid w:val="008B1499"/>
    <w:rsid w:val="008C4D29"/>
    <w:rsid w:val="008D1705"/>
    <w:rsid w:val="008D339F"/>
    <w:rsid w:val="008D7F38"/>
    <w:rsid w:val="008E6292"/>
    <w:rsid w:val="008F5F84"/>
    <w:rsid w:val="00925AA5"/>
    <w:rsid w:val="0094019D"/>
    <w:rsid w:val="00942C11"/>
    <w:rsid w:val="009732EC"/>
    <w:rsid w:val="009821CE"/>
    <w:rsid w:val="009852CF"/>
    <w:rsid w:val="009A658F"/>
    <w:rsid w:val="009A668A"/>
    <w:rsid w:val="00A16E03"/>
    <w:rsid w:val="00A260CD"/>
    <w:rsid w:val="00A3749B"/>
    <w:rsid w:val="00A62E42"/>
    <w:rsid w:val="00A64A71"/>
    <w:rsid w:val="00AE2F90"/>
    <w:rsid w:val="00B3149D"/>
    <w:rsid w:val="00B770FF"/>
    <w:rsid w:val="00B82EF9"/>
    <w:rsid w:val="00B85F47"/>
    <w:rsid w:val="00B87927"/>
    <w:rsid w:val="00B92619"/>
    <w:rsid w:val="00BD5650"/>
    <w:rsid w:val="00C30297"/>
    <w:rsid w:val="00C54E4E"/>
    <w:rsid w:val="00C663AB"/>
    <w:rsid w:val="00C85314"/>
    <w:rsid w:val="00CA46D6"/>
    <w:rsid w:val="00CA4BC0"/>
    <w:rsid w:val="00CC559D"/>
    <w:rsid w:val="00CD654B"/>
    <w:rsid w:val="00CD6BD4"/>
    <w:rsid w:val="00CE223E"/>
    <w:rsid w:val="00CE5B0C"/>
    <w:rsid w:val="00D145F5"/>
    <w:rsid w:val="00D355F0"/>
    <w:rsid w:val="00D45AF8"/>
    <w:rsid w:val="00D51C05"/>
    <w:rsid w:val="00D83BD9"/>
    <w:rsid w:val="00D95FB9"/>
    <w:rsid w:val="00DA686B"/>
    <w:rsid w:val="00DB7F09"/>
    <w:rsid w:val="00DC00E8"/>
    <w:rsid w:val="00E10D39"/>
    <w:rsid w:val="00E1136B"/>
    <w:rsid w:val="00E22D51"/>
    <w:rsid w:val="00E35FA1"/>
    <w:rsid w:val="00E50E7C"/>
    <w:rsid w:val="00E51545"/>
    <w:rsid w:val="00E55326"/>
    <w:rsid w:val="00E711D7"/>
    <w:rsid w:val="00E902B0"/>
    <w:rsid w:val="00E902E8"/>
    <w:rsid w:val="00EB030F"/>
    <w:rsid w:val="00EC6B16"/>
    <w:rsid w:val="00EE677F"/>
    <w:rsid w:val="00EF2FBF"/>
    <w:rsid w:val="00F0082D"/>
    <w:rsid w:val="00F07C90"/>
    <w:rsid w:val="00F20469"/>
    <w:rsid w:val="00F66B9F"/>
    <w:rsid w:val="00F71A0E"/>
    <w:rsid w:val="00F91BF5"/>
    <w:rsid w:val="00F92279"/>
    <w:rsid w:val="00FB64AA"/>
    <w:rsid w:val="00FC6AD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3EEAF2"/>
  <w15:docId w15:val="{1608ACF1-3211-45A5-8335-083015214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link w:val="OutlineNumbered2Char"/>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OutlineNumbered1Char">
    <w:name w:val="Outline Numbered 1 Char"/>
    <w:basedOn w:val="DefaultParagraphFont"/>
    <w:link w:val="OutlineNumbered1"/>
    <w:rsid w:val="00676F93"/>
    <w:rPr>
      <w:rFonts w:ascii="Calibri" w:eastAsia="Times New Roman" w:hAnsi="Calibri" w:cs="Times New Roman"/>
      <w:szCs w:val="20"/>
      <w:lang w:eastAsia="en-AU"/>
    </w:rPr>
  </w:style>
  <w:style w:type="character" w:customStyle="1" w:styleId="OutlineNumbered2Char">
    <w:name w:val="Outline Numbered 2 Char"/>
    <w:basedOn w:val="DefaultParagraphFont"/>
    <w:link w:val="OutlineNumbered2"/>
    <w:rsid w:val="00676F93"/>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2.wmf"/><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media@treasury.gov.au"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creativecommons.org/licenses/by/3.0/au/legalcode" TargetMode="External"/><Relationship Id="rId25" Type="http://schemas.openxmlformats.org/officeDocument/2006/relationships/hyperlink" Target="mailto:AFCAreview@treasury.gov.a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creativecommons.org/licenses/by/3.0/au/deed.en"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9E0E5D040C4B2FB562512912705BA7"/>
        <w:category>
          <w:name w:val="General"/>
          <w:gallery w:val="placeholder"/>
        </w:category>
        <w:types>
          <w:type w:val="bbPlcHdr"/>
        </w:types>
        <w:behaviors>
          <w:behavior w:val="content"/>
        </w:behaviors>
        <w:guid w:val="{81464F16-290C-42B2-AD5C-1F186CB4F038}"/>
      </w:docPartPr>
      <w:docPartBody>
        <w:p w:rsidR="00E0748B" w:rsidRDefault="00E0748B">
          <w:pPr>
            <w:pStyle w:val="389E0E5D040C4B2FB562512912705BA7"/>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48B"/>
    <w:rsid w:val="00E074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B38CD2F2B445DF8E1F6955440D9C55">
    <w:name w:val="FCB38CD2F2B445DF8E1F6955440D9C55"/>
  </w:style>
  <w:style w:type="character" w:styleId="PlaceholderText">
    <w:name w:val="Placeholder Text"/>
    <w:basedOn w:val="DefaultParagraphFont"/>
    <w:uiPriority w:val="99"/>
    <w:semiHidden/>
    <w:rPr>
      <w:color w:val="808080"/>
    </w:rPr>
  </w:style>
  <w:style w:type="paragraph" w:customStyle="1" w:styleId="389E0E5D040C4B2FB562512912705BA7">
    <w:name w:val="389E0E5D040C4B2FB562512912705B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BCBF50F8A60B9C40BFC256C0F7AAB54B00F5088A88D1B1E44F859F5530583103DC" ma:contentTypeVersion="2352" ma:contentTypeDescription="" ma:contentTypeScope="" ma:versionID="17ab850ea7d8bb06b9764574c0cac627">
  <xsd:schema xmlns:xsd="http://www.w3.org/2001/XMLSchema" xmlns:xs="http://www.w3.org/2001/XMLSchema" xmlns:p="http://schemas.microsoft.com/office/2006/metadata/properties" xmlns:ns1="http://schemas.microsoft.com/sharepoint/v3" xmlns:ns2="0f563589-9cf9-4143-b1eb-fb0534803d38" targetNamespace="http://schemas.microsoft.com/office/2006/metadata/properties" ma:root="true" ma:fieldsID="4fee24ff7597ba62a74efa0ff2bca502" ns1:_="" ns2:_="">
    <xsd:import namespace="http://schemas.microsoft.com/sharepoint/v3"/>
    <xsd:import namespace="0f563589-9cf9-4143-b1eb-fb0534803d38"/>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e985234-3f4f-4a88-8988-bc112778147b}" ma:internalName="TaxCatchAll" ma:showField="CatchAllData"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e985234-3f4f-4a88-8988-bc112778147b}" ma:internalName="TaxCatchAllLabel" ma:readOnly="true" ma:showField="CatchAllDataLabel"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7b7a547-5880-464f-83f8-cefe583c3af4" ContentTypeId="0x010100BCBF50F8A60B9C40BFC256C0F7AAB54B"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TaxCatchAll xmlns="0f563589-9cf9-4143-b1eb-fb0534803d38"/>
    <TaxKeywordTaxHTField xmlns="0f563589-9cf9-4143-b1eb-fb0534803d38">
      <Terms xmlns="http://schemas.microsoft.com/office/infopath/2007/PartnerControls"/>
    </TaxKeywordTaxHTField>
    <_dlc_DocId xmlns="0f563589-9cf9-4143-b1eb-fb0534803d38">2021A6EXK24D-2110055990-101</_dlc_DocId>
    <_dlc_DocIdUrl xmlns="0f563589-9cf9-4143-b1eb-fb0534803d38">
      <Url>http://tweb/sites/fsr/redress/_layouts/15/DocIdRedir.aspx?ID=2021A6EXK24D-2110055990-101</Url>
      <Description>2021A6EXK24D-2110055990-101</Description>
    </_dlc_DocIdUrl>
  </documentManagement>
</p:properties>
</file>

<file path=customXml/item5.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926BC-06DE-4F12-9FBE-9FAFC3594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F33B29-FEFC-4709-A4C6-DD6A9DDA7A2E}">
  <ds:schemaRefs>
    <ds:schemaRef ds:uri="Microsoft.SharePoint.Taxonomy.ContentTypeSync"/>
  </ds:schemaRefs>
</ds:datastoreItem>
</file>

<file path=customXml/itemProps3.xml><?xml version="1.0" encoding="utf-8"?>
<ds:datastoreItem xmlns:ds="http://schemas.openxmlformats.org/officeDocument/2006/customXml" ds:itemID="{74681F86-3134-4F8E-B824-26D41B36C687}">
  <ds:schemaRefs>
    <ds:schemaRef ds:uri="http://schemas.microsoft.com/office/2006/metadata/customXsn"/>
  </ds:schemaRefs>
</ds:datastoreItem>
</file>

<file path=customXml/itemProps4.xml><?xml version="1.0" encoding="utf-8"?>
<ds:datastoreItem xmlns:ds="http://schemas.openxmlformats.org/officeDocument/2006/customXml" ds:itemID="{1455913D-E383-4140-BAC7-ED49D3CE9626}">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56A58026-F340-493B-9E73-F31708259446}">
  <ds:schemaRefs>
    <ds:schemaRef ds:uri="office.server.policy"/>
  </ds:schemaRefs>
</ds:datastoreItem>
</file>

<file path=customXml/itemProps6.xml><?xml version="1.0" encoding="utf-8"?>
<ds:datastoreItem xmlns:ds="http://schemas.openxmlformats.org/officeDocument/2006/customXml" ds:itemID="{99C240BD-057F-4E73-84CC-00A6D95C0E61}">
  <ds:schemaRefs>
    <ds:schemaRef ds:uri="http://schemas.microsoft.com/sharepoint/events"/>
  </ds:schemaRefs>
</ds:datastoreItem>
</file>

<file path=customXml/itemProps7.xml><?xml version="1.0" encoding="utf-8"?>
<ds:datastoreItem xmlns:ds="http://schemas.openxmlformats.org/officeDocument/2006/customXml" ds:itemID="{7C229106-B7BF-41A2-B283-F55838A1BE3F}">
  <ds:schemaRefs>
    <ds:schemaRef ds:uri="http://schemas.microsoft.com/sharepoint/v3/contenttype/forms"/>
  </ds:schemaRefs>
</ds:datastoreItem>
</file>

<file path=customXml/itemProps8.xml><?xml version="1.0" encoding="utf-8"?>
<ds:datastoreItem xmlns:ds="http://schemas.openxmlformats.org/officeDocument/2006/customXml" ds:itemID="{42E26E64-D5E0-4AEA-9A94-E2425D949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77</TotalTime>
  <Pages>5</Pages>
  <Words>847</Words>
  <Characters>4921</Characters>
  <Application>Microsoft Office Word</Application>
  <DocSecurity>0</DocSecurity>
  <Lines>128</Lines>
  <Paragraphs>49</Paragraphs>
  <ScaleCrop>false</ScaleCrop>
  <HeadingPairs>
    <vt:vector size="2" baseType="variant">
      <vt:variant>
        <vt:lpstr>Title</vt:lpstr>
      </vt:variant>
      <vt:variant>
        <vt:i4>1</vt:i4>
      </vt:variant>
    </vt:vector>
  </HeadingPairs>
  <TitlesOfParts>
    <vt:vector size="1" baseType="lpstr">
      <vt:lpstr>Review of the Australian Financial Complaints Authority - Terms of Reference</vt:lpstr>
    </vt:vector>
  </TitlesOfParts>
  <Company>Australian Government - The Treasury</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Australian Financial Complaints Authority - Terms of Reference</dc:title>
  <dc:subject/>
  <dc:creator>Treasury</dc:creator>
  <cp:keywords/>
  <dc:description/>
  <cp:lastModifiedBy>Hill, Christine</cp:lastModifiedBy>
  <cp:revision>4</cp:revision>
  <dcterms:created xsi:type="dcterms:W3CDTF">2021-02-15T00:24:00Z</dcterms:created>
  <dcterms:modified xsi:type="dcterms:W3CDTF">2021-02-19T03:25:00Z</dcterms:modified>
  <cp:category/>
</cp:coreProperties>
</file>