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96BDEF" w14:textId="77777777" w:rsidR="000E0B74" w:rsidRPr="006D0240" w:rsidRDefault="000E0B74" w:rsidP="008E6292"/>
    <w:p w14:paraId="27016845" w14:textId="77777777" w:rsidR="000E0B74" w:rsidRPr="006D0240" w:rsidRDefault="000E0B74" w:rsidP="001D4EAA">
      <w:pPr>
        <w:pStyle w:val="Crest"/>
        <w:spacing w:after="1320"/>
        <w:jc w:val="left"/>
      </w:pPr>
    </w:p>
    <w:p w14:paraId="7C09EF03" w14:textId="77777777" w:rsidR="000E0B74" w:rsidRPr="001D4EAA" w:rsidRDefault="00A0246A" w:rsidP="001D4EAA">
      <w:pPr>
        <w:pStyle w:val="Title"/>
      </w:pPr>
      <w:r>
        <w:t xml:space="preserve">Increasing financial reporting thresholds for </w:t>
      </w:r>
      <w:r w:rsidR="009850E9">
        <w:t>ACNC-registered</w:t>
      </w:r>
      <w:r>
        <w:t xml:space="preserve"> charities</w:t>
      </w:r>
      <w:bookmarkStart w:id="0" w:name="_GoBack"/>
      <w:bookmarkEnd w:id="0"/>
    </w:p>
    <w:p w14:paraId="24233F07" w14:textId="77777777" w:rsidR="000E0B74" w:rsidRPr="001D4EAA" w:rsidRDefault="00A0246A" w:rsidP="001D4EAA">
      <w:pPr>
        <w:pStyle w:val="Subtitle"/>
      </w:pPr>
      <w:r>
        <w:t xml:space="preserve">A consultation </w:t>
      </w:r>
      <w:proofErr w:type="gramStart"/>
      <w:r>
        <w:t>paper</w:t>
      </w:r>
      <w:proofErr w:type="gramEnd"/>
    </w:p>
    <w:p w14:paraId="7735A99C" w14:textId="77777777" w:rsidR="00056880" w:rsidRDefault="00A0246A" w:rsidP="001D4EAA">
      <w:pPr>
        <w:pStyle w:val="ReportDate"/>
        <w:rPr>
          <w:rFonts w:ascii="Rockwell" w:hAnsi="Rockwell"/>
          <w:sz w:val="24"/>
        </w:rPr>
      </w:pPr>
      <w:r>
        <w:rPr>
          <w:rStyle w:val="ReportDateChar"/>
        </w:rPr>
        <w:t>February 2021</w:t>
      </w:r>
    </w:p>
    <w:p w14:paraId="60B8BD1B" w14:textId="77777777" w:rsidR="002F617F" w:rsidRDefault="002F617F"/>
    <w:p w14:paraId="2A3BA354" w14:textId="77777777" w:rsidR="000E0B74" w:rsidRDefault="000E0B74" w:rsidP="000E0B74">
      <w:pPr>
        <w:rPr>
          <w:rFonts w:cs="Calibri"/>
          <w:sz w:val="20"/>
        </w:rPr>
      </w:pPr>
    </w:p>
    <w:p w14:paraId="4CF5A448" w14:textId="77777777" w:rsidR="000E0B74" w:rsidRDefault="000E0B74" w:rsidP="000E0B74">
      <w:pPr>
        <w:sectPr w:rsidR="000E0B74" w:rsidSect="00E1136B">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418" w:left="1418" w:header="709" w:footer="709" w:gutter="0"/>
          <w:pgNumType w:fmt="lowerRoman" w:start="1"/>
          <w:cols w:space="720"/>
        </w:sectPr>
      </w:pPr>
    </w:p>
    <w:p w14:paraId="06AC4509" w14:textId="77777777" w:rsidR="00EA3E79" w:rsidRDefault="00EA3E79" w:rsidP="000E0B74">
      <w:pPr>
        <w:tabs>
          <w:tab w:val="left" w:pos="1650"/>
        </w:tabs>
        <w:spacing w:before="240"/>
      </w:pPr>
    </w:p>
    <w:p w14:paraId="19E12CCF" w14:textId="77777777" w:rsidR="00EA3E79" w:rsidRDefault="00EA3E79" w:rsidP="000E0B74">
      <w:pPr>
        <w:tabs>
          <w:tab w:val="left" w:pos="1650"/>
        </w:tabs>
        <w:spacing w:before="240"/>
      </w:pPr>
    </w:p>
    <w:p w14:paraId="6E80C010" w14:textId="77777777" w:rsidR="00EA3E79" w:rsidRDefault="00EA3E79" w:rsidP="000E0B74">
      <w:pPr>
        <w:tabs>
          <w:tab w:val="left" w:pos="1650"/>
        </w:tabs>
        <w:spacing w:before="240"/>
      </w:pPr>
    </w:p>
    <w:p w14:paraId="5C550EDC" w14:textId="77777777" w:rsidR="00EA3E79" w:rsidRDefault="00EA3E79" w:rsidP="000E0B74">
      <w:pPr>
        <w:tabs>
          <w:tab w:val="left" w:pos="1650"/>
        </w:tabs>
        <w:spacing w:before="240"/>
      </w:pPr>
    </w:p>
    <w:p w14:paraId="4628013D" w14:textId="77777777" w:rsidR="00EA3E79" w:rsidRDefault="00EA3E79" w:rsidP="000E0B74">
      <w:pPr>
        <w:tabs>
          <w:tab w:val="left" w:pos="1650"/>
        </w:tabs>
        <w:spacing w:before="240"/>
      </w:pPr>
    </w:p>
    <w:p w14:paraId="07C4498B" w14:textId="77777777" w:rsidR="00EA3E79" w:rsidRDefault="00EA3E79" w:rsidP="000E0B74">
      <w:pPr>
        <w:tabs>
          <w:tab w:val="left" w:pos="1650"/>
        </w:tabs>
        <w:spacing w:before="240"/>
      </w:pPr>
    </w:p>
    <w:p w14:paraId="10461ECF" w14:textId="77777777" w:rsidR="00EA3E79" w:rsidRDefault="00EA3E79" w:rsidP="000E0B74">
      <w:pPr>
        <w:tabs>
          <w:tab w:val="left" w:pos="1650"/>
        </w:tabs>
        <w:spacing w:before="240"/>
      </w:pPr>
    </w:p>
    <w:p w14:paraId="6D189F59" w14:textId="77777777" w:rsidR="00EA3E79" w:rsidRDefault="00EA3E79" w:rsidP="000E0B74">
      <w:pPr>
        <w:tabs>
          <w:tab w:val="left" w:pos="1650"/>
        </w:tabs>
        <w:spacing w:before="240"/>
      </w:pPr>
    </w:p>
    <w:p w14:paraId="64A6035B" w14:textId="77777777" w:rsidR="00EA3E79" w:rsidRDefault="00EA3E79" w:rsidP="000E0B74">
      <w:pPr>
        <w:tabs>
          <w:tab w:val="left" w:pos="1650"/>
        </w:tabs>
        <w:spacing w:before="240"/>
      </w:pPr>
    </w:p>
    <w:p w14:paraId="4FDB94CC" w14:textId="77777777" w:rsidR="00EA3E79" w:rsidRDefault="00EA3E79" w:rsidP="000E0B74">
      <w:pPr>
        <w:tabs>
          <w:tab w:val="left" w:pos="1650"/>
        </w:tabs>
        <w:spacing w:before="240"/>
      </w:pPr>
    </w:p>
    <w:p w14:paraId="35E82EAD" w14:textId="77777777" w:rsidR="00EA3E79" w:rsidRDefault="00EA3E79" w:rsidP="000E0B74">
      <w:pPr>
        <w:tabs>
          <w:tab w:val="left" w:pos="1650"/>
        </w:tabs>
        <w:spacing w:before="240"/>
      </w:pPr>
    </w:p>
    <w:p w14:paraId="27537126" w14:textId="77777777" w:rsidR="00EA3E79" w:rsidRDefault="00EA3E79" w:rsidP="000E0B74">
      <w:pPr>
        <w:tabs>
          <w:tab w:val="left" w:pos="1650"/>
        </w:tabs>
        <w:spacing w:before="240"/>
      </w:pPr>
    </w:p>
    <w:p w14:paraId="47289187" w14:textId="77777777" w:rsidR="00EA3E79" w:rsidRDefault="00EA3E79" w:rsidP="000E0B74">
      <w:pPr>
        <w:tabs>
          <w:tab w:val="left" w:pos="1650"/>
        </w:tabs>
        <w:spacing w:before="240"/>
      </w:pPr>
    </w:p>
    <w:p w14:paraId="7A63AFE5" w14:textId="77777777" w:rsidR="00EA3E79" w:rsidRDefault="00EA3E79" w:rsidP="000E0B74">
      <w:pPr>
        <w:tabs>
          <w:tab w:val="left" w:pos="1650"/>
        </w:tabs>
        <w:spacing w:before="240"/>
      </w:pPr>
    </w:p>
    <w:p w14:paraId="5D5FEBCF" w14:textId="77777777" w:rsidR="00EA3E79" w:rsidRDefault="00EA3E79" w:rsidP="000E0B74">
      <w:pPr>
        <w:tabs>
          <w:tab w:val="left" w:pos="1650"/>
        </w:tabs>
        <w:spacing w:before="240"/>
      </w:pPr>
    </w:p>
    <w:p w14:paraId="43E65BB6" w14:textId="77777777" w:rsidR="00EA3E79" w:rsidRDefault="00EA3E79" w:rsidP="000E0B74">
      <w:pPr>
        <w:tabs>
          <w:tab w:val="left" w:pos="1650"/>
        </w:tabs>
        <w:spacing w:before="240"/>
      </w:pPr>
    </w:p>
    <w:p w14:paraId="77592417" w14:textId="77777777" w:rsidR="00EA3E79" w:rsidRDefault="00EA3E79" w:rsidP="000E0B74">
      <w:pPr>
        <w:tabs>
          <w:tab w:val="left" w:pos="1650"/>
        </w:tabs>
        <w:spacing w:before="240"/>
      </w:pPr>
    </w:p>
    <w:p w14:paraId="31CA716E" w14:textId="77777777" w:rsidR="00EA3E79" w:rsidRDefault="00EA3E79" w:rsidP="000E0B74">
      <w:pPr>
        <w:tabs>
          <w:tab w:val="left" w:pos="1650"/>
        </w:tabs>
        <w:spacing w:before="240"/>
      </w:pPr>
    </w:p>
    <w:p w14:paraId="3E6E522B" w14:textId="77777777" w:rsidR="00EA3E79" w:rsidRDefault="00EA3E79" w:rsidP="000E0B74">
      <w:pPr>
        <w:tabs>
          <w:tab w:val="left" w:pos="1650"/>
        </w:tabs>
        <w:spacing w:before="240"/>
      </w:pPr>
    </w:p>
    <w:p w14:paraId="295300DB" w14:textId="77777777" w:rsidR="00EA3E79" w:rsidRDefault="00EA3E79" w:rsidP="000E0B74">
      <w:pPr>
        <w:tabs>
          <w:tab w:val="left" w:pos="1650"/>
        </w:tabs>
        <w:spacing w:before="240"/>
      </w:pPr>
    </w:p>
    <w:p w14:paraId="7054A51A" w14:textId="77777777" w:rsidR="00EA3E79" w:rsidRDefault="00EA3E79" w:rsidP="000E0B74">
      <w:pPr>
        <w:tabs>
          <w:tab w:val="left" w:pos="1650"/>
        </w:tabs>
        <w:spacing w:before="240"/>
      </w:pPr>
    </w:p>
    <w:p w14:paraId="7A4EC496" w14:textId="77777777" w:rsidR="00EA3E79" w:rsidRDefault="00EA3E79" w:rsidP="000E0B74">
      <w:pPr>
        <w:tabs>
          <w:tab w:val="left" w:pos="1650"/>
        </w:tabs>
        <w:spacing w:before="240"/>
      </w:pPr>
    </w:p>
    <w:p w14:paraId="3AD8AF4B" w14:textId="77777777"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9" w:history="1">
        <w:r w:rsidRPr="006627B4">
          <w:rPr>
            <w:rStyle w:val="Hyperlink"/>
          </w:rPr>
          <w:t>Creative Commons Attribution 3.0 Australia</w:t>
        </w:r>
      </w:hyperlink>
      <w:r w:rsidRPr="00476F09">
        <w:rPr>
          <w:rFonts w:cstheme="minorHAnsi"/>
          <w:sz w:val="24"/>
          <w:szCs w:val="24"/>
        </w:rPr>
        <w:t xml:space="preserve"> </w:t>
      </w:r>
      <w:r w:rsidRPr="002F1BC2">
        <w:t>licence</w:t>
      </w:r>
      <w:r w:rsidR="00DB1AF8">
        <w:t xml:space="preserve">. </w:t>
      </w:r>
      <w:r w:rsidRPr="002F1BC2">
        <w:t>The full licence terms are available from</w:t>
      </w:r>
      <w:r w:rsidRPr="00476F09">
        <w:rPr>
          <w:rFonts w:cstheme="minorHAnsi"/>
          <w:sz w:val="24"/>
          <w:szCs w:val="24"/>
        </w:rPr>
        <w:t xml:space="preserve"> </w:t>
      </w:r>
      <w:hyperlink r:id="rId20"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25C9B361" w14:textId="77777777" w:rsidR="000E0B74" w:rsidRDefault="000E0B74" w:rsidP="000E0B74">
      <w:pPr>
        <w:pStyle w:val="ChartGraphic"/>
        <w:jc w:val="left"/>
      </w:pPr>
      <w:r w:rsidRPr="00E56DFB">
        <w:rPr>
          <w:noProof/>
        </w:rPr>
        <w:drawing>
          <wp:inline distT="0" distB="0" distL="0" distR="0" wp14:anchorId="5881ABAA" wp14:editId="01A371A0">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5F34FA1" w14:textId="77777777" w:rsidR="000E0B74" w:rsidRPr="006627B4" w:rsidRDefault="000E0B74" w:rsidP="000E0B74">
      <w:pPr>
        <w:tabs>
          <w:tab w:val="left" w:pos="1650"/>
        </w:tabs>
        <w:spacing w:before="240"/>
      </w:pPr>
      <w:r w:rsidRPr="006627B4">
        <w:t xml:space="preserve">Use of </w:t>
      </w:r>
      <w:r w:rsidR="00DB1AF8">
        <w:t>this</w:t>
      </w:r>
      <w:r w:rsidRPr="006627B4">
        <w:t xml:space="preserve"> material under a</w:t>
      </w:r>
      <w:r w:rsidRPr="00476F09">
        <w:rPr>
          <w:rFonts w:cstheme="minorHAnsi"/>
          <w:sz w:val="24"/>
          <w:szCs w:val="24"/>
        </w:rPr>
        <w:t xml:space="preserve"> </w:t>
      </w:r>
      <w:hyperlink r:id="rId22" w:history="1">
        <w:r w:rsidRPr="002F1BC2">
          <w:rPr>
            <w:rStyle w:val="Hyperlink"/>
          </w:rPr>
          <w:t>Creative Commons Attribution 3.0 Australia</w:t>
        </w:r>
      </w:hyperlink>
      <w:r w:rsidRPr="002F1BC2">
        <w:rPr>
          <w:rStyle w:val="Hyperlink"/>
        </w:rPr>
        <w:t xml:space="preserve"> </w:t>
      </w:r>
      <w:r w:rsidRPr="006627B4">
        <w:t xml:space="preserve">licence requires you to attribute the work (but not in any way that suggests that the </w:t>
      </w:r>
      <w:r w:rsidR="00DB1AF8">
        <w:t>Commonwealth or state and territory governments</w:t>
      </w:r>
      <w:r w:rsidRPr="006627B4">
        <w:t xml:space="preserve"> endorse</w:t>
      </w:r>
      <w:r>
        <w:t xml:space="preserve"> you or your use of the work).</w:t>
      </w:r>
    </w:p>
    <w:p w14:paraId="2242A097" w14:textId="77777777" w:rsidR="000E0B74" w:rsidRPr="002F1BC2" w:rsidRDefault="00DB1AF8" w:rsidP="000E0B74">
      <w:pPr>
        <w:ind w:left="709"/>
        <w:rPr>
          <w:i/>
        </w:rPr>
      </w:pPr>
      <w:r>
        <w:rPr>
          <w:i/>
        </w:rPr>
        <w:t>M</w:t>
      </w:r>
      <w:r w:rsidR="000E0B74" w:rsidRPr="002F1BC2">
        <w:rPr>
          <w:i/>
        </w:rPr>
        <w:t xml:space="preserve">aterial used </w:t>
      </w:r>
      <w:r w:rsidR="000E0B74">
        <w:rPr>
          <w:i/>
        </w:rPr>
        <w:t>‘</w:t>
      </w:r>
      <w:r w:rsidR="000E0B74" w:rsidRPr="002F1BC2">
        <w:rPr>
          <w:i/>
        </w:rPr>
        <w:t>as supplied</w:t>
      </w:r>
      <w:r w:rsidR="000E0B74">
        <w:rPr>
          <w:i/>
        </w:rPr>
        <w:t>’.</w:t>
      </w:r>
    </w:p>
    <w:p w14:paraId="7117972C" w14:textId="77777777" w:rsidR="000E0B74" w:rsidRDefault="000E0B74" w:rsidP="000E0B74">
      <w:pPr>
        <w:pStyle w:val="SingleParagraph"/>
        <w:sectPr w:rsidR="000E0B74" w:rsidSect="00475B7B">
          <w:headerReference w:type="even" r:id="rId23"/>
          <w:headerReference w:type="default" r:id="rId24"/>
          <w:footerReference w:type="even" r:id="rId25"/>
          <w:pgSz w:w="11906" w:h="16838" w:code="9"/>
          <w:pgMar w:top="1418" w:right="1418" w:bottom="1418" w:left="1418" w:header="709" w:footer="709" w:gutter="0"/>
          <w:pgNumType w:fmt="lowerRoman"/>
          <w:cols w:space="708"/>
          <w:titlePg/>
          <w:docGrid w:linePitch="360"/>
        </w:sectPr>
      </w:pPr>
    </w:p>
    <w:p w14:paraId="310F566A" w14:textId="77777777" w:rsidR="000E0B74" w:rsidRPr="00354FBB" w:rsidRDefault="000E0B74" w:rsidP="00354FBB">
      <w:pPr>
        <w:pStyle w:val="Heading1"/>
      </w:pPr>
      <w:bookmarkStart w:id="1" w:name="_Toc63934873"/>
      <w:r w:rsidRPr="00354FBB">
        <w:lastRenderedPageBreak/>
        <w:t>Contents</w:t>
      </w:r>
      <w:bookmarkEnd w:id="1"/>
    </w:p>
    <w:p w14:paraId="208BCBA4" w14:textId="1873D068" w:rsidR="00B1739F"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63934873" w:history="1">
        <w:r w:rsidR="00B1739F" w:rsidRPr="00F97004">
          <w:rPr>
            <w:rStyle w:val="Hyperlink"/>
          </w:rPr>
          <w:t>Contents</w:t>
        </w:r>
        <w:r w:rsidR="00B1739F">
          <w:rPr>
            <w:webHidden/>
          </w:rPr>
          <w:tab/>
        </w:r>
        <w:r w:rsidR="00B1739F">
          <w:rPr>
            <w:webHidden/>
          </w:rPr>
          <w:fldChar w:fldCharType="begin"/>
        </w:r>
        <w:r w:rsidR="00B1739F">
          <w:rPr>
            <w:webHidden/>
          </w:rPr>
          <w:instrText xml:space="preserve"> PAGEREF _Toc63934873 \h </w:instrText>
        </w:r>
        <w:r w:rsidR="00B1739F">
          <w:rPr>
            <w:webHidden/>
          </w:rPr>
        </w:r>
        <w:r w:rsidR="00B1739F">
          <w:rPr>
            <w:webHidden/>
          </w:rPr>
          <w:fldChar w:fldCharType="separate"/>
        </w:r>
        <w:r w:rsidR="004645DF">
          <w:rPr>
            <w:webHidden/>
          </w:rPr>
          <w:t>iii</w:t>
        </w:r>
        <w:r w:rsidR="00B1739F">
          <w:rPr>
            <w:webHidden/>
          </w:rPr>
          <w:fldChar w:fldCharType="end"/>
        </w:r>
      </w:hyperlink>
    </w:p>
    <w:p w14:paraId="2E101A49" w14:textId="72EC13FC" w:rsidR="00B1739F" w:rsidRDefault="007275AF">
      <w:pPr>
        <w:pStyle w:val="TOC1"/>
        <w:rPr>
          <w:rFonts w:asciiTheme="minorHAnsi" w:eastAsiaTheme="minorEastAsia" w:hAnsiTheme="minorHAnsi" w:cstheme="minorBidi"/>
          <w:b w:val="0"/>
          <w:color w:val="auto"/>
        </w:rPr>
      </w:pPr>
      <w:hyperlink w:anchor="_Toc63934874" w:history="1">
        <w:r w:rsidR="00B1739F" w:rsidRPr="00F97004">
          <w:rPr>
            <w:rStyle w:val="Hyperlink"/>
          </w:rPr>
          <w:t>Consultation Process</w:t>
        </w:r>
        <w:r w:rsidR="00B1739F">
          <w:rPr>
            <w:webHidden/>
          </w:rPr>
          <w:tab/>
        </w:r>
        <w:r w:rsidR="00B1739F">
          <w:rPr>
            <w:webHidden/>
          </w:rPr>
          <w:fldChar w:fldCharType="begin"/>
        </w:r>
        <w:r w:rsidR="00B1739F">
          <w:rPr>
            <w:webHidden/>
          </w:rPr>
          <w:instrText xml:space="preserve"> PAGEREF _Toc63934874 \h </w:instrText>
        </w:r>
        <w:r w:rsidR="00B1739F">
          <w:rPr>
            <w:webHidden/>
          </w:rPr>
        </w:r>
        <w:r w:rsidR="00B1739F">
          <w:rPr>
            <w:webHidden/>
          </w:rPr>
          <w:fldChar w:fldCharType="separate"/>
        </w:r>
        <w:r w:rsidR="004645DF">
          <w:rPr>
            <w:webHidden/>
          </w:rPr>
          <w:t>1</w:t>
        </w:r>
        <w:r w:rsidR="00B1739F">
          <w:rPr>
            <w:webHidden/>
          </w:rPr>
          <w:fldChar w:fldCharType="end"/>
        </w:r>
      </w:hyperlink>
    </w:p>
    <w:p w14:paraId="3ACD35D7" w14:textId="34E07CAD" w:rsidR="00B1739F" w:rsidRDefault="007275AF">
      <w:pPr>
        <w:pStyle w:val="TOC2"/>
        <w:rPr>
          <w:rFonts w:asciiTheme="minorHAnsi" w:eastAsiaTheme="minorEastAsia" w:hAnsiTheme="minorHAnsi" w:cstheme="minorBidi"/>
          <w:color w:val="auto"/>
          <w:szCs w:val="22"/>
        </w:rPr>
      </w:pPr>
      <w:hyperlink w:anchor="_Toc63934875" w:history="1">
        <w:r w:rsidR="00B1739F" w:rsidRPr="00F97004">
          <w:rPr>
            <w:rStyle w:val="Hyperlink"/>
          </w:rPr>
          <w:t>Request for feedback and comments</w:t>
        </w:r>
        <w:r w:rsidR="00B1739F">
          <w:rPr>
            <w:webHidden/>
          </w:rPr>
          <w:tab/>
        </w:r>
        <w:r w:rsidR="00B1739F">
          <w:rPr>
            <w:webHidden/>
          </w:rPr>
          <w:fldChar w:fldCharType="begin"/>
        </w:r>
        <w:r w:rsidR="00B1739F">
          <w:rPr>
            <w:webHidden/>
          </w:rPr>
          <w:instrText xml:space="preserve"> PAGEREF _Toc63934875 \h </w:instrText>
        </w:r>
        <w:r w:rsidR="00B1739F">
          <w:rPr>
            <w:webHidden/>
          </w:rPr>
        </w:r>
        <w:r w:rsidR="00B1739F">
          <w:rPr>
            <w:webHidden/>
          </w:rPr>
          <w:fldChar w:fldCharType="separate"/>
        </w:r>
        <w:r w:rsidR="004645DF">
          <w:rPr>
            <w:webHidden/>
          </w:rPr>
          <w:t>1</w:t>
        </w:r>
        <w:r w:rsidR="00B1739F">
          <w:rPr>
            <w:webHidden/>
          </w:rPr>
          <w:fldChar w:fldCharType="end"/>
        </w:r>
      </w:hyperlink>
    </w:p>
    <w:p w14:paraId="6D975258" w14:textId="79EAC416" w:rsidR="00B1739F" w:rsidRDefault="007275AF">
      <w:pPr>
        <w:pStyle w:val="TOC1"/>
        <w:rPr>
          <w:rFonts w:asciiTheme="minorHAnsi" w:eastAsiaTheme="minorEastAsia" w:hAnsiTheme="minorHAnsi" w:cstheme="minorBidi"/>
          <w:b w:val="0"/>
          <w:color w:val="auto"/>
        </w:rPr>
      </w:pPr>
      <w:hyperlink w:anchor="_Toc63934876" w:history="1">
        <w:r w:rsidR="00B1739F" w:rsidRPr="00F97004">
          <w:rPr>
            <w:rStyle w:val="Hyperlink"/>
          </w:rPr>
          <w:t>Increasing financial reporting thresholds for ACNC-registered charities</w:t>
        </w:r>
        <w:r w:rsidR="00B1739F">
          <w:rPr>
            <w:webHidden/>
          </w:rPr>
          <w:tab/>
        </w:r>
        <w:r w:rsidR="00B1739F">
          <w:rPr>
            <w:webHidden/>
          </w:rPr>
          <w:fldChar w:fldCharType="begin"/>
        </w:r>
        <w:r w:rsidR="00B1739F">
          <w:rPr>
            <w:webHidden/>
          </w:rPr>
          <w:instrText xml:space="preserve"> PAGEREF _Toc63934876 \h </w:instrText>
        </w:r>
        <w:r w:rsidR="00B1739F">
          <w:rPr>
            <w:webHidden/>
          </w:rPr>
        </w:r>
        <w:r w:rsidR="00B1739F">
          <w:rPr>
            <w:webHidden/>
          </w:rPr>
          <w:fldChar w:fldCharType="separate"/>
        </w:r>
        <w:r w:rsidR="004645DF">
          <w:rPr>
            <w:webHidden/>
          </w:rPr>
          <w:t>2</w:t>
        </w:r>
        <w:r w:rsidR="00B1739F">
          <w:rPr>
            <w:webHidden/>
          </w:rPr>
          <w:fldChar w:fldCharType="end"/>
        </w:r>
      </w:hyperlink>
    </w:p>
    <w:p w14:paraId="613EE09E" w14:textId="2113C993" w:rsidR="00B1739F" w:rsidRDefault="007275AF">
      <w:pPr>
        <w:pStyle w:val="TOC2"/>
        <w:rPr>
          <w:rFonts w:asciiTheme="minorHAnsi" w:eastAsiaTheme="minorEastAsia" w:hAnsiTheme="minorHAnsi" w:cstheme="minorBidi"/>
          <w:color w:val="auto"/>
          <w:szCs w:val="22"/>
        </w:rPr>
      </w:pPr>
      <w:hyperlink w:anchor="_Toc63934877" w:history="1">
        <w:r w:rsidR="00B1739F" w:rsidRPr="00F97004">
          <w:rPr>
            <w:rStyle w:val="Hyperlink"/>
          </w:rPr>
          <w:t>Introduction</w:t>
        </w:r>
        <w:r w:rsidR="00B1739F">
          <w:rPr>
            <w:webHidden/>
          </w:rPr>
          <w:tab/>
        </w:r>
        <w:r w:rsidR="00B1739F">
          <w:rPr>
            <w:webHidden/>
          </w:rPr>
          <w:fldChar w:fldCharType="begin"/>
        </w:r>
        <w:r w:rsidR="00B1739F">
          <w:rPr>
            <w:webHidden/>
          </w:rPr>
          <w:instrText xml:space="preserve"> PAGEREF _Toc63934877 \h </w:instrText>
        </w:r>
        <w:r w:rsidR="00B1739F">
          <w:rPr>
            <w:webHidden/>
          </w:rPr>
        </w:r>
        <w:r w:rsidR="00B1739F">
          <w:rPr>
            <w:webHidden/>
          </w:rPr>
          <w:fldChar w:fldCharType="separate"/>
        </w:r>
        <w:r w:rsidR="004645DF">
          <w:rPr>
            <w:webHidden/>
          </w:rPr>
          <w:t>2</w:t>
        </w:r>
        <w:r w:rsidR="00B1739F">
          <w:rPr>
            <w:webHidden/>
          </w:rPr>
          <w:fldChar w:fldCharType="end"/>
        </w:r>
      </w:hyperlink>
    </w:p>
    <w:p w14:paraId="443C07E8" w14:textId="2B6F743A" w:rsidR="00B1739F" w:rsidRDefault="007275AF">
      <w:pPr>
        <w:pStyle w:val="TOC2"/>
        <w:rPr>
          <w:rFonts w:asciiTheme="minorHAnsi" w:eastAsiaTheme="minorEastAsia" w:hAnsiTheme="minorHAnsi" w:cstheme="minorBidi"/>
          <w:color w:val="auto"/>
          <w:szCs w:val="22"/>
        </w:rPr>
      </w:pPr>
      <w:hyperlink w:anchor="_Toc63934878" w:history="1">
        <w:r w:rsidR="00B1739F" w:rsidRPr="00F97004">
          <w:rPr>
            <w:rStyle w:val="Hyperlink"/>
          </w:rPr>
          <w:t>Context</w:t>
        </w:r>
        <w:r w:rsidR="00B1739F">
          <w:rPr>
            <w:webHidden/>
          </w:rPr>
          <w:tab/>
        </w:r>
        <w:r w:rsidR="00B1739F">
          <w:rPr>
            <w:webHidden/>
          </w:rPr>
          <w:fldChar w:fldCharType="begin"/>
        </w:r>
        <w:r w:rsidR="00B1739F">
          <w:rPr>
            <w:webHidden/>
          </w:rPr>
          <w:instrText xml:space="preserve"> PAGEREF _Toc63934878 \h </w:instrText>
        </w:r>
        <w:r w:rsidR="00B1739F">
          <w:rPr>
            <w:webHidden/>
          </w:rPr>
        </w:r>
        <w:r w:rsidR="00B1739F">
          <w:rPr>
            <w:webHidden/>
          </w:rPr>
          <w:fldChar w:fldCharType="separate"/>
        </w:r>
        <w:r w:rsidR="004645DF">
          <w:rPr>
            <w:webHidden/>
          </w:rPr>
          <w:t>2</w:t>
        </w:r>
        <w:r w:rsidR="00B1739F">
          <w:rPr>
            <w:webHidden/>
          </w:rPr>
          <w:fldChar w:fldCharType="end"/>
        </w:r>
      </w:hyperlink>
    </w:p>
    <w:p w14:paraId="4E082872" w14:textId="131258EA" w:rsidR="00B1739F" w:rsidRDefault="007275AF">
      <w:pPr>
        <w:pStyle w:val="TOC2"/>
        <w:rPr>
          <w:rFonts w:asciiTheme="minorHAnsi" w:eastAsiaTheme="minorEastAsia" w:hAnsiTheme="minorHAnsi" w:cstheme="minorBidi"/>
          <w:color w:val="auto"/>
          <w:szCs w:val="22"/>
        </w:rPr>
      </w:pPr>
      <w:hyperlink w:anchor="_Toc63934879" w:history="1">
        <w:r w:rsidR="00B1739F" w:rsidRPr="00F97004">
          <w:rPr>
            <w:rStyle w:val="Hyperlink"/>
          </w:rPr>
          <w:t>Current reporting requirements and thresholds</w:t>
        </w:r>
        <w:r w:rsidR="00B1739F">
          <w:rPr>
            <w:webHidden/>
          </w:rPr>
          <w:tab/>
        </w:r>
        <w:r w:rsidR="00B1739F">
          <w:rPr>
            <w:webHidden/>
          </w:rPr>
          <w:fldChar w:fldCharType="begin"/>
        </w:r>
        <w:r w:rsidR="00B1739F">
          <w:rPr>
            <w:webHidden/>
          </w:rPr>
          <w:instrText xml:space="preserve"> PAGEREF _Toc63934879 \h </w:instrText>
        </w:r>
        <w:r w:rsidR="00B1739F">
          <w:rPr>
            <w:webHidden/>
          </w:rPr>
        </w:r>
        <w:r w:rsidR="00B1739F">
          <w:rPr>
            <w:webHidden/>
          </w:rPr>
          <w:fldChar w:fldCharType="separate"/>
        </w:r>
        <w:r w:rsidR="004645DF">
          <w:rPr>
            <w:webHidden/>
          </w:rPr>
          <w:t>3</w:t>
        </w:r>
        <w:r w:rsidR="00B1739F">
          <w:rPr>
            <w:webHidden/>
          </w:rPr>
          <w:fldChar w:fldCharType="end"/>
        </w:r>
      </w:hyperlink>
    </w:p>
    <w:p w14:paraId="2A047D19" w14:textId="41A293AE" w:rsidR="00B1739F" w:rsidRDefault="007275AF">
      <w:pPr>
        <w:pStyle w:val="TOC3"/>
        <w:rPr>
          <w:rFonts w:asciiTheme="minorHAnsi" w:eastAsiaTheme="minorEastAsia" w:hAnsiTheme="minorHAnsi" w:cstheme="minorBidi"/>
          <w:color w:val="auto"/>
          <w:szCs w:val="22"/>
        </w:rPr>
      </w:pPr>
      <w:hyperlink w:anchor="_Toc63934880" w:history="1">
        <w:r w:rsidR="00B1739F" w:rsidRPr="00F97004">
          <w:rPr>
            <w:rStyle w:val="Hyperlink"/>
          </w:rPr>
          <w:t>Table 1: Current thresholds for financial reporting for ACNC-registered charities</w:t>
        </w:r>
        <w:r w:rsidR="00B1739F">
          <w:rPr>
            <w:webHidden/>
          </w:rPr>
          <w:tab/>
        </w:r>
        <w:r w:rsidR="00B1739F">
          <w:rPr>
            <w:webHidden/>
          </w:rPr>
          <w:fldChar w:fldCharType="begin"/>
        </w:r>
        <w:r w:rsidR="00B1739F">
          <w:rPr>
            <w:webHidden/>
          </w:rPr>
          <w:instrText xml:space="preserve"> PAGEREF _Toc63934880 \h </w:instrText>
        </w:r>
        <w:r w:rsidR="00B1739F">
          <w:rPr>
            <w:webHidden/>
          </w:rPr>
        </w:r>
        <w:r w:rsidR="00B1739F">
          <w:rPr>
            <w:webHidden/>
          </w:rPr>
          <w:fldChar w:fldCharType="separate"/>
        </w:r>
        <w:r w:rsidR="004645DF">
          <w:rPr>
            <w:webHidden/>
          </w:rPr>
          <w:t>3</w:t>
        </w:r>
        <w:r w:rsidR="00B1739F">
          <w:rPr>
            <w:webHidden/>
          </w:rPr>
          <w:fldChar w:fldCharType="end"/>
        </w:r>
      </w:hyperlink>
    </w:p>
    <w:p w14:paraId="09400034" w14:textId="7CBDFAAF" w:rsidR="00B1739F" w:rsidRDefault="007275AF">
      <w:pPr>
        <w:pStyle w:val="TOC2"/>
        <w:rPr>
          <w:rFonts w:asciiTheme="minorHAnsi" w:eastAsiaTheme="minorEastAsia" w:hAnsiTheme="minorHAnsi" w:cstheme="minorBidi"/>
          <w:color w:val="auto"/>
          <w:szCs w:val="22"/>
        </w:rPr>
      </w:pPr>
      <w:hyperlink w:anchor="_Toc63934881" w:history="1">
        <w:r w:rsidR="00B1739F" w:rsidRPr="00F97004">
          <w:rPr>
            <w:rStyle w:val="Hyperlink"/>
          </w:rPr>
          <w:t>Proposed new thresholds for financial reporting for ACNC</w:t>
        </w:r>
        <w:r w:rsidR="00B1739F" w:rsidRPr="00F97004">
          <w:rPr>
            <w:rStyle w:val="Hyperlink"/>
          </w:rPr>
          <w:noBreakHyphen/>
          <w:t>registered charities</w:t>
        </w:r>
        <w:r w:rsidR="00B1739F">
          <w:rPr>
            <w:webHidden/>
          </w:rPr>
          <w:tab/>
        </w:r>
        <w:r w:rsidR="00B1739F">
          <w:rPr>
            <w:webHidden/>
          </w:rPr>
          <w:fldChar w:fldCharType="begin"/>
        </w:r>
        <w:r w:rsidR="00B1739F">
          <w:rPr>
            <w:webHidden/>
          </w:rPr>
          <w:instrText xml:space="preserve"> PAGEREF _Toc63934881 \h </w:instrText>
        </w:r>
        <w:r w:rsidR="00B1739F">
          <w:rPr>
            <w:webHidden/>
          </w:rPr>
        </w:r>
        <w:r w:rsidR="00B1739F">
          <w:rPr>
            <w:webHidden/>
          </w:rPr>
          <w:fldChar w:fldCharType="separate"/>
        </w:r>
        <w:r w:rsidR="004645DF">
          <w:rPr>
            <w:webHidden/>
          </w:rPr>
          <w:t>5</w:t>
        </w:r>
        <w:r w:rsidR="00B1739F">
          <w:rPr>
            <w:webHidden/>
          </w:rPr>
          <w:fldChar w:fldCharType="end"/>
        </w:r>
      </w:hyperlink>
    </w:p>
    <w:p w14:paraId="77546F61" w14:textId="01513D6D" w:rsidR="00B1739F" w:rsidRDefault="007275AF">
      <w:pPr>
        <w:pStyle w:val="TOC3"/>
        <w:rPr>
          <w:rFonts w:asciiTheme="minorHAnsi" w:eastAsiaTheme="minorEastAsia" w:hAnsiTheme="minorHAnsi" w:cstheme="minorBidi"/>
          <w:color w:val="auto"/>
          <w:szCs w:val="22"/>
        </w:rPr>
      </w:pPr>
      <w:hyperlink w:anchor="_Toc63934882" w:history="1">
        <w:r w:rsidR="00B1739F" w:rsidRPr="00F97004">
          <w:rPr>
            <w:rStyle w:val="Hyperlink"/>
          </w:rPr>
          <w:t>Table 2: Proposed thresholds for financial reporting for ACNC-registered charities</w:t>
        </w:r>
        <w:r w:rsidR="00B1739F">
          <w:rPr>
            <w:webHidden/>
          </w:rPr>
          <w:tab/>
        </w:r>
        <w:r w:rsidR="00B1739F">
          <w:rPr>
            <w:webHidden/>
          </w:rPr>
          <w:fldChar w:fldCharType="begin"/>
        </w:r>
        <w:r w:rsidR="00B1739F">
          <w:rPr>
            <w:webHidden/>
          </w:rPr>
          <w:instrText xml:space="preserve"> PAGEREF _Toc63934882 \h </w:instrText>
        </w:r>
        <w:r w:rsidR="00B1739F">
          <w:rPr>
            <w:webHidden/>
          </w:rPr>
        </w:r>
        <w:r w:rsidR="00B1739F">
          <w:rPr>
            <w:webHidden/>
          </w:rPr>
          <w:fldChar w:fldCharType="separate"/>
        </w:r>
        <w:r w:rsidR="004645DF">
          <w:rPr>
            <w:webHidden/>
          </w:rPr>
          <w:t>5</w:t>
        </w:r>
        <w:r w:rsidR="00B1739F">
          <w:rPr>
            <w:webHidden/>
          </w:rPr>
          <w:fldChar w:fldCharType="end"/>
        </w:r>
      </w:hyperlink>
    </w:p>
    <w:p w14:paraId="7D41C7AF" w14:textId="4A3F6F04" w:rsidR="00B1739F" w:rsidRDefault="007275AF">
      <w:pPr>
        <w:pStyle w:val="TOC2"/>
        <w:rPr>
          <w:rFonts w:asciiTheme="minorHAnsi" w:eastAsiaTheme="minorEastAsia" w:hAnsiTheme="minorHAnsi" w:cstheme="minorBidi"/>
          <w:color w:val="auto"/>
          <w:szCs w:val="22"/>
        </w:rPr>
      </w:pPr>
      <w:hyperlink w:anchor="_Toc63934883" w:history="1">
        <w:r w:rsidR="00B1739F" w:rsidRPr="00F97004">
          <w:rPr>
            <w:rStyle w:val="Hyperlink"/>
          </w:rPr>
          <w:t>Benefits of increasing reporting thresholds</w:t>
        </w:r>
        <w:r w:rsidR="00B1739F">
          <w:rPr>
            <w:webHidden/>
          </w:rPr>
          <w:tab/>
        </w:r>
        <w:r w:rsidR="00B1739F">
          <w:rPr>
            <w:webHidden/>
          </w:rPr>
          <w:fldChar w:fldCharType="begin"/>
        </w:r>
        <w:r w:rsidR="00B1739F">
          <w:rPr>
            <w:webHidden/>
          </w:rPr>
          <w:instrText xml:space="preserve"> PAGEREF _Toc63934883 \h </w:instrText>
        </w:r>
        <w:r w:rsidR="00B1739F">
          <w:rPr>
            <w:webHidden/>
          </w:rPr>
        </w:r>
        <w:r w:rsidR="00B1739F">
          <w:rPr>
            <w:webHidden/>
          </w:rPr>
          <w:fldChar w:fldCharType="separate"/>
        </w:r>
        <w:r w:rsidR="004645DF">
          <w:rPr>
            <w:webHidden/>
          </w:rPr>
          <w:t>5</w:t>
        </w:r>
        <w:r w:rsidR="00B1739F">
          <w:rPr>
            <w:webHidden/>
          </w:rPr>
          <w:fldChar w:fldCharType="end"/>
        </w:r>
      </w:hyperlink>
    </w:p>
    <w:p w14:paraId="5F9670B2" w14:textId="5DE6C2CD" w:rsidR="00B1739F" w:rsidRDefault="007275AF">
      <w:pPr>
        <w:pStyle w:val="TOC3"/>
        <w:rPr>
          <w:rFonts w:asciiTheme="minorHAnsi" w:eastAsiaTheme="minorEastAsia" w:hAnsiTheme="minorHAnsi" w:cstheme="minorBidi"/>
          <w:color w:val="auto"/>
          <w:szCs w:val="22"/>
        </w:rPr>
      </w:pPr>
      <w:hyperlink w:anchor="_Toc63934884" w:history="1">
        <w:r w:rsidR="00B1739F" w:rsidRPr="00F97004">
          <w:rPr>
            <w:rStyle w:val="Hyperlink"/>
          </w:rPr>
          <w:t>Table 3: ACNC-registered charities that would potentially change tiers under proposed thresholds</w:t>
        </w:r>
        <w:r w:rsidR="00B1739F">
          <w:rPr>
            <w:webHidden/>
          </w:rPr>
          <w:tab/>
        </w:r>
        <w:r w:rsidR="00B1739F">
          <w:rPr>
            <w:webHidden/>
          </w:rPr>
          <w:fldChar w:fldCharType="begin"/>
        </w:r>
        <w:r w:rsidR="00B1739F">
          <w:rPr>
            <w:webHidden/>
          </w:rPr>
          <w:instrText xml:space="preserve"> PAGEREF _Toc63934884 \h </w:instrText>
        </w:r>
        <w:r w:rsidR="00B1739F">
          <w:rPr>
            <w:webHidden/>
          </w:rPr>
        </w:r>
        <w:r w:rsidR="00B1739F">
          <w:rPr>
            <w:webHidden/>
          </w:rPr>
          <w:fldChar w:fldCharType="separate"/>
        </w:r>
        <w:r w:rsidR="004645DF">
          <w:rPr>
            <w:webHidden/>
          </w:rPr>
          <w:t>6</w:t>
        </w:r>
        <w:r w:rsidR="00B1739F">
          <w:rPr>
            <w:webHidden/>
          </w:rPr>
          <w:fldChar w:fldCharType="end"/>
        </w:r>
      </w:hyperlink>
    </w:p>
    <w:p w14:paraId="296E3AB3" w14:textId="47A2237E" w:rsidR="00B1739F" w:rsidRDefault="007275AF">
      <w:pPr>
        <w:pStyle w:val="TOC2"/>
        <w:rPr>
          <w:rFonts w:asciiTheme="minorHAnsi" w:eastAsiaTheme="minorEastAsia" w:hAnsiTheme="minorHAnsi" w:cstheme="minorBidi"/>
          <w:color w:val="auto"/>
          <w:szCs w:val="22"/>
        </w:rPr>
      </w:pPr>
      <w:hyperlink w:anchor="_Toc63934885" w:history="1">
        <w:r w:rsidR="00B1739F" w:rsidRPr="00F97004">
          <w:rPr>
            <w:rStyle w:val="Hyperlink"/>
          </w:rPr>
          <w:t>How accountability and transparency will be retained</w:t>
        </w:r>
        <w:r w:rsidR="00B1739F">
          <w:rPr>
            <w:webHidden/>
          </w:rPr>
          <w:tab/>
        </w:r>
        <w:r w:rsidR="00B1739F">
          <w:rPr>
            <w:webHidden/>
          </w:rPr>
          <w:fldChar w:fldCharType="begin"/>
        </w:r>
        <w:r w:rsidR="00B1739F">
          <w:rPr>
            <w:webHidden/>
          </w:rPr>
          <w:instrText xml:space="preserve"> PAGEREF _Toc63934885 \h </w:instrText>
        </w:r>
        <w:r w:rsidR="00B1739F">
          <w:rPr>
            <w:webHidden/>
          </w:rPr>
        </w:r>
        <w:r w:rsidR="00B1739F">
          <w:rPr>
            <w:webHidden/>
          </w:rPr>
          <w:fldChar w:fldCharType="separate"/>
        </w:r>
        <w:r w:rsidR="004645DF">
          <w:rPr>
            <w:webHidden/>
          </w:rPr>
          <w:t>6</w:t>
        </w:r>
        <w:r w:rsidR="00B1739F">
          <w:rPr>
            <w:webHidden/>
          </w:rPr>
          <w:fldChar w:fldCharType="end"/>
        </w:r>
      </w:hyperlink>
    </w:p>
    <w:p w14:paraId="04CEBD4C" w14:textId="3A6F4442" w:rsidR="00B1739F" w:rsidRDefault="007275AF">
      <w:pPr>
        <w:pStyle w:val="TOC2"/>
        <w:rPr>
          <w:rFonts w:asciiTheme="minorHAnsi" w:eastAsiaTheme="minorEastAsia" w:hAnsiTheme="minorHAnsi" w:cstheme="minorBidi"/>
          <w:color w:val="auto"/>
          <w:szCs w:val="22"/>
        </w:rPr>
      </w:pPr>
      <w:hyperlink w:anchor="_Toc63934886" w:history="1">
        <w:r w:rsidR="00B1739F" w:rsidRPr="00F97004">
          <w:rPr>
            <w:rStyle w:val="Hyperlink"/>
          </w:rPr>
          <w:t>Key consultation topics relating to implementation</w:t>
        </w:r>
        <w:r w:rsidR="00B1739F">
          <w:rPr>
            <w:webHidden/>
          </w:rPr>
          <w:tab/>
        </w:r>
        <w:r w:rsidR="00B1739F">
          <w:rPr>
            <w:webHidden/>
          </w:rPr>
          <w:fldChar w:fldCharType="begin"/>
        </w:r>
        <w:r w:rsidR="00B1739F">
          <w:rPr>
            <w:webHidden/>
          </w:rPr>
          <w:instrText xml:space="preserve"> PAGEREF _Toc63934886 \h </w:instrText>
        </w:r>
        <w:r w:rsidR="00B1739F">
          <w:rPr>
            <w:webHidden/>
          </w:rPr>
        </w:r>
        <w:r w:rsidR="00B1739F">
          <w:rPr>
            <w:webHidden/>
          </w:rPr>
          <w:fldChar w:fldCharType="separate"/>
        </w:r>
        <w:r w:rsidR="004645DF">
          <w:rPr>
            <w:webHidden/>
          </w:rPr>
          <w:t>7</w:t>
        </w:r>
        <w:r w:rsidR="00B1739F">
          <w:rPr>
            <w:webHidden/>
          </w:rPr>
          <w:fldChar w:fldCharType="end"/>
        </w:r>
      </w:hyperlink>
    </w:p>
    <w:p w14:paraId="0A40BF0A" w14:textId="16A55E3C" w:rsidR="00B1739F" w:rsidRDefault="007275AF">
      <w:pPr>
        <w:pStyle w:val="TOC3"/>
        <w:rPr>
          <w:rFonts w:asciiTheme="minorHAnsi" w:eastAsiaTheme="minorEastAsia" w:hAnsiTheme="minorHAnsi" w:cstheme="minorBidi"/>
          <w:color w:val="auto"/>
          <w:szCs w:val="22"/>
        </w:rPr>
      </w:pPr>
      <w:hyperlink w:anchor="_Toc63934887" w:history="1">
        <w:r w:rsidR="00B1739F" w:rsidRPr="00F97004">
          <w:rPr>
            <w:rStyle w:val="Hyperlink"/>
          </w:rPr>
          <w:t>Timing of implementation</w:t>
        </w:r>
        <w:r w:rsidR="00B1739F">
          <w:rPr>
            <w:webHidden/>
          </w:rPr>
          <w:tab/>
        </w:r>
        <w:r w:rsidR="00B1739F">
          <w:rPr>
            <w:webHidden/>
          </w:rPr>
          <w:fldChar w:fldCharType="begin"/>
        </w:r>
        <w:r w:rsidR="00B1739F">
          <w:rPr>
            <w:webHidden/>
          </w:rPr>
          <w:instrText xml:space="preserve"> PAGEREF _Toc63934887 \h </w:instrText>
        </w:r>
        <w:r w:rsidR="00B1739F">
          <w:rPr>
            <w:webHidden/>
          </w:rPr>
        </w:r>
        <w:r w:rsidR="00B1739F">
          <w:rPr>
            <w:webHidden/>
          </w:rPr>
          <w:fldChar w:fldCharType="separate"/>
        </w:r>
        <w:r w:rsidR="004645DF">
          <w:rPr>
            <w:webHidden/>
          </w:rPr>
          <w:t>7</w:t>
        </w:r>
        <w:r w:rsidR="00B1739F">
          <w:rPr>
            <w:webHidden/>
          </w:rPr>
          <w:fldChar w:fldCharType="end"/>
        </w:r>
      </w:hyperlink>
    </w:p>
    <w:p w14:paraId="70ED9F79" w14:textId="2EB4397A" w:rsidR="00B1739F" w:rsidRDefault="007275AF">
      <w:pPr>
        <w:pStyle w:val="TOC3"/>
        <w:rPr>
          <w:rFonts w:asciiTheme="minorHAnsi" w:eastAsiaTheme="minorEastAsia" w:hAnsiTheme="minorHAnsi" w:cstheme="minorBidi"/>
          <w:color w:val="auto"/>
          <w:szCs w:val="22"/>
        </w:rPr>
      </w:pPr>
      <w:hyperlink w:anchor="_Toc63934888" w:history="1">
        <w:r w:rsidR="00B1739F" w:rsidRPr="00F97004">
          <w:rPr>
            <w:rStyle w:val="Hyperlink"/>
          </w:rPr>
          <w:t>Creating different reporting thresholds for ACNC-registered and non-ACNC</w:t>
        </w:r>
        <w:r w:rsidR="00B1739F" w:rsidRPr="00F97004">
          <w:rPr>
            <w:rStyle w:val="Hyperlink"/>
          </w:rPr>
          <w:noBreakHyphen/>
          <w:t>registered entities</w:t>
        </w:r>
        <w:r w:rsidR="00B1739F">
          <w:rPr>
            <w:webHidden/>
          </w:rPr>
          <w:tab/>
        </w:r>
        <w:r w:rsidR="00B1739F">
          <w:rPr>
            <w:webHidden/>
          </w:rPr>
          <w:fldChar w:fldCharType="begin"/>
        </w:r>
        <w:r w:rsidR="00B1739F">
          <w:rPr>
            <w:webHidden/>
          </w:rPr>
          <w:instrText xml:space="preserve"> PAGEREF _Toc63934888 \h </w:instrText>
        </w:r>
        <w:r w:rsidR="00B1739F">
          <w:rPr>
            <w:webHidden/>
          </w:rPr>
        </w:r>
        <w:r w:rsidR="00B1739F">
          <w:rPr>
            <w:webHidden/>
          </w:rPr>
          <w:fldChar w:fldCharType="separate"/>
        </w:r>
        <w:r w:rsidR="004645DF">
          <w:rPr>
            <w:webHidden/>
          </w:rPr>
          <w:t>8</w:t>
        </w:r>
        <w:r w:rsidR="00B1739F">
          <w:rPr>
            <w:webHidden/>
          </w:rPr>
          <w:fldChar w:fldCharType="end"/>
        </w:r>
      </w:hyperlink>
    </w:p>
    <w:p w14:paraId="670BD1AD" w14:textId="52B3EC35" w:rsidR="00B1739F" w:rsidRDefault="007275AF">
      <w:pPr>
        <w:pStyle w:val="TOC3"/>
        <w:rPr>
          <w:rFonts w:asciiTheme="minorHAnsi" w:eastAsiaTheme="minorEastAsia" w:hAnsiTheme="minorHAnsi" w:cstheme="minorBidi"/>
          <w:color w:val="auto"/>
          <w:szCs w:val="22"/>
        </w:rPr>
      </w:pPr>
      <w:hyperlink w:anchor="_Toc63934889" w:history="1">
        <w:r w:rsidR="00B1739F" w:rsidRPr="00F97004">
          <w:rPr>
            <w:rStyle w:val="Hyperlink"/>
          </w:rPr>
          <w:t>Overlap with the regulation of fundraising</w:t>
        </w:r>
        <w:r w:rsidR="00B1739F">
          <w:rPr>
            <w:webHidden/>
          </w:rPr>
          <w:tab/>
        </w:r>
        <w:r w:rsidR="00B1739F">
          <w:rPr>
            <w:webHidden/>
          </w:rPr>
          <w:fldChar w:fldCharType="begin"/>
        </w:r>
        <w:r w:rsidR="00B1739F">
          <w:rPr>
            <w:webHidden/>
          </w:rPr>
          <w:instrText xml:space="preserve"> PAGEREF _Toc63934889 \h </w:instrText>
        </w:r>
        <w:r w:rsidR="00B1739F">
          <w:rPr>
            <w:webHidden/>
          </w:rPr>
        </w:r>
        <w:r w:rsidR="00B1739F">
          <w:rPr>
            <w:webHidden/>
          </w:rPr>
          <w:fldChar w:fldCharType="separate"/>
        </w:r>
        <w:r w:rsidR="004645DF">
          <w:rPr>
            <w:webHidden/>
          </w:rPr>
          <w:t>9</w:t>
        </w:r>
        <w:r w:rsidR="00B1739F">
          <w:rPr>
            <w:webHidden/>
          </w:rPr>
          <w:fldChar w:fldCharType="end"/>
        </w:r>
      </w:hyperlink>
    </w:p>
    <w:p w14:paraId="4B77C944" w14:textId="60ECEDA1" w:rsidR="00B1739F" w:rsidRDefault="007275AF">
      <w:pPr>
        <w:pStyle w:val="TOC3"/>
        <w:rPr>
          <w:rFonts w:asciiTheme="minorHAnsi" w:eastAsiaTheme="minorEastAsia" w:hAnsiTheme="minorHAnsi" w:cstheme="minorBidi"/>
          <w:color w:val="auto"/>
          <w:szCs w:val="22"/>
        </w:rPr>
      </w:pPr>
      <w:hyperlink w:anchor="_Toc63934890" w:history="1">
        <w:r w:rsidR="00B1739F" w:rsidRPr="00F97004">
          <w:rPr>
            <w:rStyle w:val="Hyperlink"/>
          </w:rPr>
          <w:t>AASB NFP Reporting Framework</w:t>
        </w:r>
        <w:r w:rsidR="00B1739F">
          <w:rPr>
            <w:webHidden/>
          </w:rPr>
          <w:tab/>
        </w:r>
        <w:r w:rsidR="00B1739F">
          <w:rPr>
            <w:webHidden/>
          </w:rPr>
          <w:fldChar w:fldCharType="begin"/>
        </w:r>
        <w:r w:rsidR="00B1739F">
          <w:rPr>
            <w:webHidden/>
          </w:rPr>
          <w:instrText xml:space="preserve"> PAGEREF _Toc63934890 \h </w:instrText>
        </w:r>
        <w:r w:rsidR="00B1739F">
          <w:rPr>
            <w:webHidden/>
          </w:rPr>
        </w:r>
        <w:r w:rsidR="00B1739F">
          <w:rPr>
            <w:webHidden/>
          </w:rPr>
          <w:fldChar w:fldCharType="separate"/>
        </w:r>
        <w:r w:rsidR="004645DF">
          <w:rPr>
            <w:webHidden/>
          </w:rPr>
          <w:t>9</w:t>
        </w:r>
        <w:r w:rsidR="00B1739F">
          <w:rPr>
            <w:webHidden/>
          </w:rPr>
          <w:fldChar w:fldCharType="end"/>
        </w:r>
      </w:hyperlink>
    </w:p>
    <w:p w14:paraId="4D71135D" w14:textId="4FC26B3C" w:rsidR="00B1739F" w:rsidRDefault="007275AF">
      <w:pPr>
        <w:pStyle w:val="TOC2"/>
        <w:rPr>
          <w:rFonts w:asciiTheme="minorHAnsi" w:eastAsiaTheme="minorEastAsia" w:hAnsiTheme="minorHAnsi" w:cstheme="minorBidi"/>
          <w:color w:val="auto"/>
          <w:szCs w:val="22"/>
        </w:rPr>
      </w:pPr>
      <w:hyperlink w:anchor="_Toc63934891" w:history="1">
        <w:r w:rsidR="00B1739F" w:rsidRPr="00F97004">
          <w:rPr>
            <w:rStyle w:val="Hyperlink"/>
          </w:rPr>
          <w:t>Consultation questions</w:t>
        </w:r>
        <w:r w:rsidR="00B1739F">
          <w:rPr>
            <w:webHidden/>
          </w:rPr>
          <w:tab/>
        </w:r>
        <w:r w:rsidR="00B1739F">
          <w:rPr>
            <w:webHidden/>
          </w:rPr>
          <w:fldChar w:fldCharType="begin"/>
        </w:r>
        <w:r w:rsidR="00B1739F">
          <w:rPr>
            <w:webHidden/>
          </w:rPr>
          <w:instrText xml:space="preserve"> PAGEREF _Toc63934891 \h </w:instrText>
        </w:r>
        <w:r w:rsidR="00B1739F">
          <w:rPr>
            <w:webHidden/>
          </w:rPr>
        </w:r>
        <w:r w:rsidR="00B1739F">
          <w:rPr>
            <w:webHidden/>
          </w:rPr>
          <w:fldChar w:fldCharType="separate"/>
        </w:r>
        <w:r w:rsidR="004645DF">
          <w:rPr>
            <w:webHidden/>
          </w:rPr>
          <w:t>10</w:t>
        </w:r>
        <w:r w:rsidR="00B1739F">
          <w:rPr>
            <w:webHidden/>
          </w:rPr>
          <w:fldChar w:fldCharType="end"/>
        </w:r>
      </w:hyperlink>
    </w:p>
    <w:p w14:paraId="0600B294" w14:textId="2E5B549C" w:rsidR="00B1739F" w:rsidRDefault="007275AF">
      <w:pPr>
        <w:pStyle w:val="TOC1"/>
        <w:rPr>
          <w:rFonts w:asciiTheme="minorHAnsi" w:eastAsiaTheme="minorEastAsia" w:hAnsiTheme="minorHAnsi" w:cstheme="minorBidi"/>
          <w:b w:val="0"/>
          <w:color w:val="auto"/>
        </w:rPr>
      </w:pPr>
      <w:hyperlink w:anchor="_Toc63934892" w:history="1">
        <w:r w:rsidR="00B1739F" w:rsidRPr="00F97004">
          <w:rPr>
            <w:rStyle w:val="Hyperlink"/>
          </w:rPr>
          <w:t>Attachment A: Regulatory requirements for ACNC charities that are incorporated associations</w:t>
        </w:r>
        <w:r w:rsidR="00B1739F">
          <w:rPr>
            <w:webHidden/>
          </w:rPr>
          <w:tab/>
        </w:r>
        <w:r w:rsidR="00B1739F">
          <w:rPr>
            <w:webHidden/>
          </w:rPr>
          <w:fldChar w:fldCharType="begin"/>
        </w:r>
        <w:r w:rsidR="00B1739F">
          <w:rPr>
            <w:webHidden/>
          </w:rPr>
          <w:instrText xml:space="preserve"> PAGEREF _Toc63934892 \h </w:instrText>
        </w:r>
        <w:r w:rsidR="00B1739F">
          <w:rPr>
            <w:webHidden/>
          </w:rPr>
        </w:r>
        <w:r w:rsidR="00B1739F">
          <w:rPr>
            <w:webHidden/>
          </w:rPr>
          <w:fldChar w:fldCharType="separate"/>
        </w:r>
        <w:r w:rsidR="004645DF">
          <w:rPr>
            <w:webHidden/>
          </w:rPr>
          <w:t>1</w:t>
        </w:r>
        <w:r w:rsidR="00B1739F">
          <w:rPr>
            <w:webHidden/>
          </w:rPr>
          <w:fldChar w:fldCharType="end"/>
        </w:r>
      </w:hyperlink>
    </w:p>
    <w:p w14:paraId="1BE2F8E9" w14:textId="109E360A"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6D73D3F0" w14:textId="77777777" w:rsidR="000E0B74" w:rsidRDefault="000E0B74" w:rsidP="00354FBB">
      <w:pPr>
        <w:pStyle w:val="Heading1"/>
      </w:pPr>
      <w:bookmarkStart w:id="2" w:name="_Toc63934874"/>
      <w:bookmarkStart w:id="3" w:name="_Toc432067103"/>
      <w:r>
        <w:lastRenderedPageBreak/>
        <w:t>Consultation Process</w:t>
      </w:r>
      <w:bookmarkEnd w:id="2"/>
    </w:p>
    <w:p w14:paraId="0F96A177" w14:textId="77777777" w:rsidR="000E0B74" w:rsidRDefault="000E0B74" w:rsidP="000E0B74">
      <w:pPr>
        <w:pStyle w:val="Heading2"/>
      </w:pPr>
      <w:bookmarkStart w:id="4" w:name="_Toc63934875"/>
      <w:r>
        <w:t>Request for feedback and comments</w:t>
      </w:r>
      <w:bookmarkEnd w:id="4"/>
    </w:p>
    <w:p w14:paraId="20BD0EB3" w14:textId="3FB9CCBC" w:rsidR="000E0B74" w:rsidRDefault="00F2649A" w:rsidP="000E0B74">
      <w:r>
        <w:t xml:space="preserve">You are invited to lodge a written submission addressing the consultation questions which can be found on page </w:t>
      </w:r>
      <w:r>
        <w:fldChar w:fldCharType="begin"/>
      </w:r>
      <w:r>
        <w:instrText xml:space="preserve"> PAGEREF _Ref61955387 \h </w:instrText>
      </w:r>
      <w:r>
        <w:fldChar w:fldCharType="separate"/>
      </w:r>
      <w:r w:rsidR="004645DF">
        <w:rPr>
          <w:noProof/>
        </w:rPr>
        <w:t>10</w:t>
      </w:r>
      <w:r>
        <w:fldChar w:fldCharType="end"/>
      </w:r>
      <w:r>
        <w:t xml:space="preserve">.  </w:t>
      </w:r>
      <w:proofErr w:type="gramStart"/>
      <w:r>
        <w:t>Alternatively</w:t>
      </w:r>
      <w:proofErr w:type="gramEnd"/>
      <w:r>
        <w:t xml:space="preserve"> we have provided a short survey you can complete to register your views.</w:t>
      </w:r>
    </w:p>
    <w:p w14:paraId="0FE9B2E9" w14:textId="77777777" w:rsidR="000E0B74" w:rsidRDefault="000E0B74" w:rsidP="00257AEE">
      <w:pPr>
        <w:pStyle w:val="Heading3noTOC"/>
      </w:pPr>
      <w:r>
        <w:t xml:space="preserve">Closing date for submissions: </w:t>
      </w:r>
      <w:sdt>
        <w:sdtPr>
          <w:rPr>
            <w:rStyle w:val="Heading3Char"/>
          </w:rPr>
          <w:id w:val="1454836312"/>
          <w:placeholder>
            <w:docPart w:val="D10DC35216AB4CB98FDF550A8E6BF1F4"/>
          </w:placeholder>
          <w:date w:fullDate="2021-03-21T00:00:00Z">
            <w:dateFormat w:val="dd MMMM yyyy"/>
            <w:lid w:val="en-AU"/>
            <w:storeMappedDataAs w:val="dateTime"/>
            <w:calendar w:val="gregorian"/>
          </w:date>
        </w:sdtPr>
        <w:sdtEndPr>
          <w:rPr>
            <w:rStyle w:val="DefaultParagraphFont"/>
            <w:rFonts w:cs="Calibri"/>
          </w:rPr>
        </w:sdtEndPr>
        <w:sdtContent>
          <w:r w:rsidR="00F4150C">
            <w:rPr>
              <w:rStyle w:val="Heading3Char"/>
            </w:rPr>
            <w:t>21</w:t>
          </w:r>
          <w:r w:rsidR="00F2649A">
            <w:rPr>
              <w:rStyle w:val="Heading3Char"/>
            </w:rPr>
            <w:t xml:space="preserve"> March 2021</w:t>
          </w:r>
        </w:sdtContent>
      </w:sdt>
    </w:p>
    <w:tbl>
      <w:tblPr>
        <w:tblStyle w:val="TableGrid"/>
        <w:tblW w:w="0" w:type="auto"/>
        <w:tblLook w:val="04A0" w:firstRow="1" w:lastRow="0" w:firstColumn="1" w:lastColumn="0" w:noHBand="0" w:noVBand="1"/>
      </w:tblPr>
      <w:tblGrid>
        <w:gridCol w:w="1516"/>
        <w:gridCol w:w="7554"/>
      </w:tblGrid>
      <w:tr w:rsidR="000E0B74" w:rsidRPr="00B85F47" w14:paraId="0C76BEC0" w14:textId="77777777" w:rsidTr="00B85F47">
        <w:tc>
          <w:tcPr>
            <w:tcW w:w="1526" w:type="dxa"/>
            <w:shd w:val="clear" w:color="auto" w:fill="auto"/>
          </w:tcPr>
          <w:p w14:paraId="13814BDF" w14:textId="77777777" w:rsidR="000E0B74" w:rsidRPr="00B85F47" w:rsidRDefault="000E0B74" w:rsidP="0017089D">
            <w:pPr>
              <w:rPr>
                <w:sz w:val="22"/>
                <w:szCs w:val="22"/>
              </w:rPr>
            </w:pPr>
            <w:r w:rsidRPr="00B85F47">
              <w:rPr>
                <w:sz w:val="22"/>
                <w:szCs w:val="22"/>
              </w:rPr>
              <w:t>Email</w:t>
            </w:r>
          </w:p>
        </w:tc>
        <w:tc>
          <w:tcPr>
            <w:tcW w:w="7654" w:type="dxa"/>
            <w:shd w:val="clear" w:color="auto" w:fill="auto"/>
          </w:tcPr>
          <w:p w14:paraId="62485877" w14:textId="77777777" w:rsidR="000E0B74" w:rsidRPr="002D0D6C" w:rsidRDefault="002D0D6C" w:rsidP="00516785">
            <w:pPr>
              <w:rPr>
                <w:sz w:val="22"/>
                <w:szCs w:val="22"/>
              </w:rPr>
            </w:pPr>
            <w:r w:rsidRPr="002D0D6C">
              <w:rPr>
                <w:rFonts w:cs="Arial"/>
                <w:sz w:val="22"/>
                <w:szCs w:val="22"/>
              </w:rPr>
              <w:t>T</w:t>
            </w:r>
            <w:r w:rsidR="00F2649A" w:rsidRPr="002D0D6C">
              <w:rPr>
                <w:rFonts w:cs="Arial"/>
                <w:sz w:val="22"/>
                <w:szCs w:val="22"/>
              </w:rPr>
              <w:t>hresholds@</w:t>
            </w:r>
            <w:r w:rsidRPr="002D0D6C">
              <w:rPr>
                <w:rFonts w:cs="Arial"/>
                <w:sz w:val="22"/>
                <w:szCs w:val="22"/>
              </w:rPr>
              <w:t>treasury.gov.au</w:t>
            </w:r>
          </w:p>
        </w:tc>
      </w:tr>
      <w:tr w:rsidR="000E0B74" w:rsidRPr="00B85F47" w14:paraId="0DF5C52A" w14:textId="77777777" w:rsidTr="00B85F47">
        <w:tc>
          <w:tcPr>
            <w:tcW w:w="1526" w:type="dxa"/>
            <w:shd w:val="clear" w:color="auto" w:fill="auto"/>
          </w:tcPr>
          <w:p w14:paraId="42808658" w14:textId="77777777" w:rsidR="000E0B74" w:rsidRPr="00B85F47" w:rsidRDefault="000E0B74" w:rsidP="0017089D">
            <w:pPr>
              <w:rPr>
                <w:sz w:val="22"/>
                <w:szCs w:val="22"/>
              </w:rPr>
            </w:pPr>
            <w:r w:rsidRPr="00B85F47">
              <w:rPr>
                <w:sz w:val="22"/>
                <w:szCs w:val="22"/>
              </w:rPr>
              <w:t>Mail</w:t>
            </w:r>
          </w:p>
          <w:p w14:paraId="57AEB974" w14:textId="77777777" w:rsidR="008D7F38" w:rsidRPr="00B85F47" w:rsidRDefault="008D7F38" w:rsidP="0017089D">
            <w:pPr>
              <w:rPr>
                <w:sz w:val="22"/>
                <w:szCs w:val="22"/>
              </w:rPr>
            </w:pPr>
          </w:p>
          <w:p w14:paraId="650D8F06" w14:textId="77777777" w:rsidR="008D7F38" w:rsidRPr="00B85F47" w:rsidRDefault="008D7F38" w:rsidP="0017089D">
            <w:pPr>
              <w:rPr>
                <w:sz w:val="22"/>
                <w:szCs w:val="22"/>
              </w:rPr>
            </w:pPr>
          </w:p>
        </w:tc>
        <w:tc>
          <w:tcPr>
            <w:tcW w:w="7654" w:type="dxa"/>
            <w:shd w:val="clear" w:color="auto" w:fill="auto"/>
          </w:tcPr>
          <w:p w14:paraId="5434CAFF" w14:textId="77777777" w:rsidR="000E0B74" w:rsidRPr="002D0D6C" w:rsidRDefault="002D0D6C" w:rsidP="0017089D">
            <w:pPr>
              <w:pStyle w:val="SingleParagraph"/>
              <w:rPr>
                <w:rFonts w:cs="Arial"/>
                <w:sz w:val="22"/>
                <w:szCs w:val="22"/>
              </w:rPr>
            </w:pPr>
            <w:r w:rsidRPr="002D0D6C">
              <w:rPr>
                <w:rFonts w:cs="Arial"/>
                <w:sz w:val="22"/>
                <w:szCs w:val="22"/>
              </w:rPr>
              <w:t>Thresholds Working Group</w:t>
            </w:r>
          </w:p>
          <w:p w14:paraId="085C6F1C" w14:textId="77777777" w:rsidR="000E0B74" w:rsidRPr="002D0D6C" w:rsidRDefault="002D0D6C" w:rsidP="0017089D">
            <w:pPr>
              <w:pStyle w:val="SingleParagraph"/>
              <w:rPr>
                <w:rFonts w:cs="Arial"/>
                <w:sz w:val="22"/>
                <w:szCs w:val="22"/>
              </w:rPr>
            </w:pPr>
            <w:r w:rsidRPr="002D0D6C">
              <w:rPr>
                <w:rFonts w:cs="Arial"/>
                <w:sz w:val="22"/>
                <w:szCs w:val="22"/>
              </w:rPr>
              <w:t>C/- Not-for-profit Unit</w:t>
            </w:r>
          </w:p>
          <w:p w14:paraId="5D1F29CF" w14:textId="77777777" w:rsidR="002D0D6C" w:rsidRPr="002D0D6C" w:rsidRDefault="002D0D6C" w:rsidP="0017089D">
            <w:pPr>
              <w:pStyle w:val="SingleParagraph"/>
              <w:rPr>
                <w:rFonts w:cs="Arial"/>
                <w:sz w:val="22"/>
                <w:szCs w:val="22"/>
              </w:rPr>
            </w:pPr>
            <w:r w:rsidRPr="002D0D6C">
              <w:rPr>
                <w:rFonts w:cs="Arial"/>
                <w:sz w:val="22"/>
                <w:szCs w:val="22"/>
              </w:rPr>
              <w:t>Individuals and Indirect Tax Division</w:t>
            </w:r>
          </w:p>
          <w:p w14:paraId="0F93E396" w14:textId="77777777" w:rsidR="000E0B74" w:rsidRPr="002D0D6C" w:rsidRDefault="000E0B74" w:rsidP="0017089D">
            <w:pPr>
              <w:pStyle w:val="SingleParagraph"/>
              <w:rPr>
                <w:rFonts w:cs="Arial"/>
                <w:sz w:val="22"/>
                <w:szCs w:val="22"/>
              </w:rPr>
            </w:pPr>
            <w:r w:rsidRPr="002D0D6C">
              <w:rPr>
                <w:rFonts w:cs="Arial"/>
                <w:sz w:val="22"/>
                <w:szCs w:val="22"/>
              </w:rPr>
              <w:t>The Treasury</w:t>
            </w:r>
          </w:p>
          <w:p w14:paraId="378EAEDC" w14:textId="77777777" w:rsidR="000E0B74" w:rsidRPr="002D0D6C" w:rsidRDefault="000E0B74" w:rsidP="0017089D">
            <w:pPr>
              <w:pStyle w:val="SingleParagraph"/>
              <w:rPr>
                <w:rFonts w:cs="Arial"/>
                <w:sz w:val="22"/>
                <w:szCs w:val="22"/>
              </w:rPr>
            </w:pPr>
            <w:r w:rsidRPr="002D0D6C">
              <w:rPr>
                <w:rFonts w:cs="Arial"/>
                <w:sz w:val="22"/>
                <w:szCs w:val="22"/>
              </w:rPr>
              <w:t>Langton Crescent</w:t>
            </w:r>
          </w:p>
          <w:p w14:paraId="77D6FEB1" w14:textId="77777777" w:rsidR="000E0B74" w:rsidRPr="002D0D6C" w:rsidRDefault="000E0B74" w:rsidP="0017089D">
            <w:pPr>
              <w:pStyle w:val="SingleParagraph"/>
              <w:rPr>
                <w:sz w:val="22"/>
                <w:szCs w:val="22"/>
              </w:rPr>
            </w:pPr>
            <w:r w:rsidRPr="002D0D6C">
              <w:rPr>
                <w:sz w:val="22"/>
                <w:szCs w:val="22"/>
              </w:rPr>
              <w:t>PARKES ACT 2600</w:t>
            </w:r>
          </w:p>
        </w:tc>
      </w:tr>
      <w:tr w:rsidR="000E0B74" w:rsidRPr="00B85F47" w14:paraId="6921B823" w14:textId="77777777" w:rsidTr="00B85F47">
        <w:tc>
          <w:tcPr>
            <w:tcW w:w="1526" w:type="dxa"/>
            <w:shd w:val="clear" w:color="auto" w:fill="auto"/>
          </w:tcPr>
          <w:p w14:paraId="28998F49" w14:textId="77777777" w:rsidR="000E0B74" w:rsidRPr="00B85F47" w:rsidRDefault="000E0B74" w:rsidP="0017089D">
            <w:pPr>
              <w:rPr>
                <w:sz w:val="22"/>
                <w:szCs w:val="22"/>
              </w:rPr>
            </w:pPr>
            <w:r w:rsidRPr="00B85F47">
              <w:rPr>
                <w:sz w:val="22"/>
                <w:szCs w:val="22"/>
              </w:rPr>
              <w:t>Enquiries</w:t>
            </w:r>
          </w:p>
        </w:tc>
        <w:tc>
          <w:tcPr>
            <w:tcW w:w="7654" w:type="dxa"/>
            <w:shd w:val="clear" w:color="auto" w:fill="auto"/>
          </w:tcPr>
          <w:p w14:paraId="261AB1BF" w14:textId="77777777" w:rsidR="000E0B74" w:rsidRPr="002D0D6C" w:rsidRDefault="000E0B74" w:rsidP="002D0D6C">
            <w:pPr>
              <w:rPr>
                <w:sz w:val="22"/>
                <w:szCs w:val="22"/>
              </w:rPr>
            </w:pPr>
            <w:r w:rsidRPr="002D0D6C">
              <w:rPr>
                <w:rFonts w:cs="Arial"/>
                <w:sz w:val="22"/>
                <w:szCs w:val="22"/>
              </w:rPr>
              <w:t xml:space="preserve">Enquiries can be initially directed to </w:t>
            </w:r>
            <w:r w:rsidR="002D0D6C" w:rsidRPr="002D0D6C">
              <w:rPr>
                <w:rFonts w:cs="Arial"/>
                <w:sz w:val="22"/>
                <w:szCs w:val="22"/>
              </w:rPr>
              <w:t xml:space="preserve">Natashia </w:t>
            </w:r>
            <w:proofErr w:type="spellStart"/>
            <w:r w:rsidR="002D0D6C" w:rsidRPr="002D0D6C">
              <w:rPr>
                <w:rFonts w:cs="Arial"/>
                <w:sz w:val="22"/>
                <w:szCs w:val="22"/>
              </w:rPr>
              <w:t>Allitt</w:t>
            </w:r>
            <w:proofErr w:type="spellEnd"/>
            <w:r w:rsidR="002D0D6C" w:rsidRPr="002D0D6C">
              <w:rPr>
                <w:rFonts w:cs="Arial"/>
                <w:sz w:val="22"/>
                <w:szCs w:val="22"/>
              </w:rPr>
              <w:t>, A/g Manager, Not-for-profit Unit</w:t>
            </w:r>
          </w:p>
        </w:tc>
      </w:tr>
      <w:tr w:rsidR="000E0B74" w:rsidRPr="00B85F47" w14:paraId="7476849C" w14:textId="77777777" w:rsidTr="00B85F47">
        <w:tc>
          <w:tcPr>
            <w:tcW w:w="1526" w:type="dxa"/>
            <w:shd w:val="clear" w:color="auto" w:fill="auto"/>
          </w:tcPr>
          <w:p w14:paraId="4DA2090E" w14:textId="77777777" w:rsidR="000E0B74" w:rsidRPr="00B85F47" w:rsidRDefault="000E0B74" w:rsidP="0017089D">
            <w:pPr>
              <w:rPr>
                <w:sz w:val="22"/>
                <w:szCs w:val="22"/>
              </w:rPr>
            </w:pPr>
            <w:r w:rsidRPr="00B85F47">
              <w:rPr>
                <w:sz w:val="22"/>
                <w:szCs w:val="22"/>
              </w:rPr>
              <w:t>Phone</w:t>
            </w:r>
          </w:p>
        </w:tc>
        <w:tc>
          <w:tcPr>
            <w:tcW w:w="7654" w:type="dxa"/>
            <w:shd w:val="clear" w:color="auto" w:fill="auto"/>
          </w:tcPr>
          <w:p w14:paraId="5C423EF8" w14:textId="77777777" w:rsidR="000E0B74" w:rsidRPr="002D0D6C" w:rsidRDefault="000E0B74" w:rsidP="002D0D6C">
            <w:pPr>
              <w:rPr>
                <w:sz w:val="22"/>
                <w:szCs w:val="22"/>
              </w:rPr>
            </w:pPr>
            <w:r w:rsidRPr="002D0D6C">
              <w:rPr>
                <w:rFonts w:cs="Arial"/>
                <w:sz w:val="22"/>
                <w:szCs w:val="22"/>
              </w:rPr>
              <w:t xml:space="preserve">02 6263 </w:t>
            </w:r>
            <w:r w:rsidR="002D0D6C" w:rsidRPr="002D0D6C">
              <w:rPr>
                <w:rFonts w:cs="Arial"/>
                <w:sz w:val="22"/>
                <w:szCs w:val="22"/>
              </w:rPr>
              <w:t>4350</w:t>
            </w:r>
          </w:p>
        </w:tc>
      </w:tr>
      <w:bookmarkEnd w:id="3"/>
    </w:tbl>
    <w:p w14:paraId="01CA50AF" w14:textId="77777777" w:rsidR="00E10D39" w:rsidRDefault="00E10D39" w:rsidP="0007102C"/>
    <w:p w14:paraId="4985EE5D" w14:textId="77777777" w:rsidR="00E10D39" w:rsidRDefault="00E10D39">
      <w:pPr>
        <w:spacing w:before="0" w:after="160" w:line="259" w:lineRule="auto"/>
        <w:rPr>
          <w:rFonts w:cs="Arial"/>
          <w:color w:val="004A7F"/>
          <w:kern w:val="32"/>
          <w:sz w:val="48"/>
          <w:szCs w:val="36"/>
        </w:rPr>
      </w:pPr>
      <w:r>
        <w:br w:type="page"/>
      </w:r>
    </w:p>
    <w:p w14:paraId="321646BF" w14:textId="77777777" w:rsidR="000E0B74" w:rsidRDefault="00DB1AF8" w:rsidP="00354FBB">
      <w:pPr>
        <w:pStyle w:val="Heading1"/>
      </w:pPr>
      <w:bookmarkStart w:id="5" w:name="_Toc63934876"/>
      <w:r>
        <w:lastRenderedPageBreak/>
        <w:t xml:space="preserve">Increasing financial reporting thresholds for </w:t>
      </w:r>
      <w:r w:rsidR="009850E9">
        <w:t>ACNC-registered</w:t>
      </w:r>
      <w:r>
        <w:t xml:space="preserve"> charities</w:t>
      </w:r>
      <w:bookmarkEnd w:id="5"/>
    </w:p>
    <w:p w14:paraId="1BA4D984" w14:textId="77777777" w:rsidR="000E0B74" w:rsidRDefault="000E0B74" w:rsidP="000E0B74">
      <w:pPr>
        <w:pStyle w:val="Heading2"/>
      </w:pPr>
      <w:bookmarkStart w:id="6" w:name="_Toc306887371"/>
      <w:bookmarkStart w:id="7" w:name="_Toc432064635"/>
      <w:bookmarkStart w:id="8" w:name="_Toc63934877"/>
      <w:r>
        <w:t>Introduction</w:t>
      </w:r>
      <w:bookmarkEnd w:id="6"/>
      <w:bookmarkEnd w:id="7"/>
      <w:bookmarkEnd w:id="8"/>
    </w:p>
    <w:p w14:paraId="1E396569" w14:textId="77777777" w:rsidR="006D2172" w:rsidRDefault="006D2172" w:rsidP="006D2172">
      <w:pPr>
        <w:pStyle w:val="Bullet"/>
        <w:numPr>
          <w:ilvl w:val="0"/>
          <w:numId w:val="0"/>
        </w:numPr>
      </w:pPr>
      <w:r>
        <w:t>The charity sector is broad and diverse, as well as large</w:t>
      </w:r>
      <w:r w:rsidR="00231EA8">
        <w:t xml:space="preserve">. </w:t>
      </w:r>
      <w:r>
        <w:t>It covers entities working in aged care, education and social services, as well as the environment, culture and the arts</w:t>
      </w:r>
      <w:r w:rsidR="00231EA8">
        <w:t xml:space="preserve">. </w:t>
      </w:r>
      <w:r>
        <w:t xml:space="preserve">Organisations within the sector range in size from the very small, with no paid employees, operating in a single jurisdiction, through to entities with </w:t>
      </w:r>
      <w:proofErr w:type="gramStart"/>
      <w:r>
        <w:t>billion dollar</w:t>
      </w:r>
      <w:proofErr w:type="gramEnd"/>
      <w:r>
        <w:t xml:space="preserve"> revenue and many employees, working nationally</w:t>
      </w:r>
      <w:r w:rsidR="00231EA8">
        <w:t xml:space="preserve">. </w:t>
      </w:r>
      <w:r w:rsidR="003E6AC6">
        <w:t xml:space="preserve">Charity </w:t>
      </w:r>
      <w:r>
        <w:t>structures range from unincorporated associations through to public companies</w:t>
      </w:r>
      <w:r w:rsidR="00231EA8">
        <w:t xml:space="preserve">. </w:t>
      </w:r>
      <w:r>
        <w:t>Given this diversity, it is no surprise that an individual charity can be regulated by a number of state, territory and federal bodies, including the national charities regulator, the Australian Charities and Not-for-profits Commission (ACNC</w:t>
      </w:r>
      <w:r w:rsidR="0039456A">
        <w:rPr>
          <w:rStyle w:val="FootnoteReference"/>
        </w:rPr>
        <w:footnoteReference w:id="2"/>
      </w:r>
      <w:r>
        <w:t xml:space="preserve">), and, where a charity is an incorporated association, </w:t>
      </w:r>
      <w:r w:rsidR="00625C90">
        <w:t xml:space="preserve">or authorised to fundraise, </w:t>
      </w:r>
      <w:r>
        <w:t>by relevant state and territory authorities.</w:t>
      </w:r>
    </w:p>
    <w:p w14:paraId="1AF4396D" w14:textId="5C2EB447" w:rsidR="006D2172" w:rsidRDefault="006D2172" w:rsidP="006D2172">
      <w:pPr>
        <w:pStyle w:val="Bullet"/>
        <w:numPr>
          <w:ilvl w:val="0"/>
          <w:numId w:val="0"/>
        </w:numPr>
      </w:pPr>
      <w:r w:rsidRPr="00763AA0">
        <w:t>Multiple regulators, at the various levels of government, can result in charities facing a large regulatory burden as they seek to fulfil their charitable purposes</w:t>
      </w:r>
      <w:r w:rsidR="00231EA8" w:rsidRPr="00763AA0">
        <w:t xml:space="preserve">. </w:t>
      </w:r>
      <w:r w:rsidRPr="00763AA0">
        <w:t xml:space="preserve">In recognition of this, Commonwealth, state and territory governments have been working </w:t>
      </w:r>
      <w:r w:rsidR="007F4972" w:rsidRPr="00763AA0">
        <w:t xml:space="preserve">since 2014 </w:t>
      </w:r>
      <w:r w:rsidRPr="00763AA0">
        <w:t xml:space="preserve">to </w:t>
      </w:r>
      <w:r w:rsidR="007F4972" w:rsidRPr="00763AA0">
        <w:t xml:space="preserve">harmonise the reporting arrangements and obligations across jurisdictions for ACNC-registered </w:t>
      </w:r>
      <w:r w:rsidRPr="00763AA0">
        <w:t>charities</w:t>
      </w:r>
      <w:r w:rsidR="00231EA8" w:rsidRPr="00763AA0">
        <w:t xml:space="preserve">. </w:t>
      </w:r>
      <w:proofErr w:type="gramStart"/>
      <w:r w:rsidR="00D92203" w:rsidRPr="00763AA0">
        <w:t>In light of</w:t>
      </w:r>
      <w:proofErr w:type="gramEnd"/>
      <w:r w:rsidR="00D92203" w:rsidRPr="00763AA0">
        <w:t xml:space="preserve"> this, the </w:t>
      </w:r>
      <w:r w:rsidRPr="00763AA0">
        <w:t xml:space="preserve">proposal to increase the financial reporting thresholds for </w:t>
      </w:r>
      <w:r w:rsidR="009850E9" w:rsidRPr="00763AA0">
        <w:t>ACNC-registered</w:t>
      </w:r>
      <w:r w:rsidRPr="00763AA0">
        <w:t xml:space="preserve"> charities </w:t>
      </w:r>
      <w:r w:rsidR="00D92203" w:rsidRPr="00763AA0">
        <w:t xml:space="preserve">is being implemented with a view to </w:t>
      </w:r>
      <w:r w:rsidRPr="00763AA0">
        <w:t xml:space="preserve">maintaining </w:t>
      </w:r>
      <w:r w:rsidR="009C1CF8" w:rsidRPr="00763AA0">
        <w:t xml:space="preserve">the </w:t>
      </w:r>
      <w:r w:rsidRPr="00763AA0">
        <w:t>harmonisa</w:t>
      </w:r>
      <w:r w:rsidR="00777BC1" w:rsidRPr="00763AA0">
        <w:t xml:space="preserve">tion </w:t>
      </w:r>
      <w:r w:rsidR="009E13DE" w:rsidRPr="00763AA0">
        <w:t>across the various</w:t>
      </w:r>
      <w:r w:rsidR="00777BC1" w:rsidRPr="00763AA0">
        <w:t xml:space="preserve"> state and territory (S</w:t>
      </w:r>
      <w:r w:rsidRPr="00763AA0">
        <w:t xml:space="preserve">tate) </w:t>
      </w:r>
      <w:r w:rsidR="009E13DE" w:rsidRPr="00763AA0">
        <w:t>jurisdictions</w:t>
      </w:r>
      <w:r w:rsidR="007F4972" w:rsidRPr="00763AA0">
        <w:t xml:space="preserve"> achieved to date</w:t>
      </w:r>
      <w:r w:rsidR="00625C90" w:rsidRPr="00763AA0">
        <w:rPr>
          <w:rStyle w:val="FootnoteReference"/>
        </w:rPr>
        <w:footnoteReference w:id="3"/>
      </w:r>
      <w:r w:rsidR="00231EA8" w:rsidRPr="00763AA0">
        <w:t xml:space="preserve">. </w:t>
      </w:r>
      <w:r w:rsidRPr="00763AA0">
        <w:t>The purpose of this paper is to seek your views on this proposal.</w:t>
      </w:r>
      <w:r w:rsidR="006216F7" w:rsidRPr="00763AA0">
        <w:rPr>
          <w:rStyle w:val="FootnoteReference"/>
        </w:rPr>
        <w:footnoteReference w:id="4"/>
      </w:r>
    </w:p>
    <w:p w14:paraId="264BBAA1" w14:textId="77777777" w:rsidR="000E0B74" w:rsidRDefault="006D2172" w:rsidP="000E0B74">
      <w:pPr>
        <w:pStyle w:val="Heading2"/>
      </w:pPr>
      <w:bookmarkStart w:id="9" w:name="_Toc63934878"/>
      <w:r>
        <w:t>Context</w:t>
      </w:r>
      <w:bookmarkEnd w:id="9"/>
    </w:p>
    <w:p w14:paraId="42437686" w14:textId="77777777" w:rsidR="006D2172" w:rsidRDefault="006D2172" w:rsidP="006D2172">
      <w:pPr>
        <w:pStyle w:val="Bullet"/>
        <w:numPr>
          <w:ilvl w:val="0"/>
          <w:numId w:val="0"/>
        </w:numPr>
      </w:pPr>
      <w:r>
        <w:t xml:space="preserve">This proposal arises from the independent review of the ACNC, titled </w:t>
      </w:r>
      <w:r w:rsidRPr="007B1DD4">
        <w:rPr>
          <w:i/>
        </w:rPr>
        <w:t>Strengthening for Purpose: Australian Charities and Not-for-profits Commission Legislative Review 2018</w:t>
      </w:r>
      <w:r>
        <w:t xml:space="preserve"> </w:t>
      </w:r>
      <w:r w:rsidRPr="00337D73">
        <w:t>(ACNC Review)</w:t>
      </w:r>
      <w:r w:rsidR="009E13DE">
        <w:t>,</w:t>
      </w:r>
      <w:r>
        <w:rPr>
          <w:i/>
        </w:rPr>
        <w:t xml:space="preserve"> </w:t>
      </w:r>
      <w:r>
        <w:t xml:space="preserve">which recommended increasing the financial reporting thresholds for </w:t>
      </w:r>
      <w:r w:rsidR="009850E9">
        <w:t>ACNC-registered</w:t>
      </w:r>
      <w:r>
        <w:t xml:space="preserve"> charities (Recommendation 12 of the ACNC Review).</w:t>
      </w:r>
    </w:p>
    <w:p w14:paraId="3126C9D3" w14:textId="77777777" w:rsidR="006D2172" w:rsidRDefault="006D2172" w:rsidP="006D2172">
      <w:r>
        <w:t xml:space="preserve">The ACNC Review recommendation stated: </w:t>
      </w:r>
    </w:p>
    <w:p w14:paraId="381960A5" w14:textId="77777777" w:rsidR="006D2172" w:rsidRDefault="006D2172" w:rsidP="006D2172">
      <w:pPr>
        <w:pStyle w:val="Quote"/>
      </w:pPr>
      <w:r>
        <w:t>“Registered entities be required to report based on size</w:t>
      </w:r>
      <w:proofErr w:type="gramStart"/>
      <w:r>
        <w:t>. . . ,</w:t>
      </w:r>
      <w:proofErr w:type="gramEnd"/>
      <w:r>
        <w:t xml:space="preserve"> with thresholds of less than $1 million for a small entity, from $1 million to less than $5 million for a medium entity and $5 million or more for a large entity.”</w:t>
      </w:r>
    </w:p>
    <w:p w14:paraId="409D6E3C" w14:textId="77777777" w:rsidR="006D2172" w:rsidRDefault="006D2172" w:rsidP="006D2172">
      <w:r>
        <w:t xml:space="preserve">The Commonwealth Government supported the </w:t>
      </w:r>
      <w:proofErr w:type="gramStart"/>
      <w:r>
        <w:t>recommendation, but</w:t>
      </w:r>
      <w:proofErr w:type="gramEnd"/>
      <w:r>
        <w:t xml:space="preserve"> noted the importance of avoiding unintended consequences for charities and committed to consult with the </w:t>
      </w:r>
      <w:r w:rsidR="00231EA8">
        <w:t>States</w:t>
      </w:r>
      <w:r>
        <w:t xml:space="preserve"> on the appropriate level of revenue thresholds for minimum reporting requirements, before proceeding with legislative change.</w:t>
      </w:r>
    </w:p>
    <w:p w14:paraId="729ADAE5" w14:textId="77777777" w:rsidR="006D2172" w:rsidRDefault="006D2172" w:rsidP="006D2172">
      <w:r>
        <w:t xml:space="preserve">As a result, the Commonwealth Treasurer presented the proposal to the Council on Federal Financial Relations, where </w:t>
      </w:r>
      <w:r w:rsidR="00777BC1">
        <w:t>S</w:t>
      </w:r>
      <w:r>
        <w:t xml:space="preserve">tate Treasurers agreed that, in the context of COVID-19 and supporting charities to </w:t>
      </w:r>
      <w:r>
        <w:lastRenderedPageBreak/>
        <w:t xml:space="preserve">focus their resources on assisting vulnerable communities, this reform was significant and important. </w:t>
      </w:r>
      <w:r w:rsidR="00777BC1">
        <w:t xml:space="preserve">The Council on Federal Financial Relations </w:t>
      </w:r>
      <w:r>
        <w:t xml:space="preserve">has asked that a framework for increasing harmonised financial reporting thresholds </w:t>
      </w:r>
      <w:r w:rsidR="009E13DE">
        <w:t xml:space="preserve">across jurisdictions </w:t>
      </w:r>
      <w:r>
        <w:t>be announced by 30 June 2021</w:t>
      </w:r>
      <w:r w:rsidR="00231EA8">
        <w:t xml:space="preserve">. </w:t>
      </w:r>
      <w:r>
        <w:t>The Thresholds Working Group, comprised of Commonwealth and State officials, was tasked with developing this framework.</w:t>
      </w:r>
    </w:p>
    <w:p w14:paraId="39CC80FF" w14:textId="77777777" w:rsidR="000E0B74" w:rsidRDefault="006D2172" w:rsidP="006D2172">
      <w:r>
        <w:t>As part of developing the framework, the Thresholds Working Group is seeking the views of stakeholders on the issues associated with increasing financial reporting thresholds</w:t>
      </w:r>
      <w:r w:rsidR="00231EA8">
        <w:t xml:space="preserve">. </w:t>
      </w:r>
    </w:p>
    <w:p w14:paraId="757D8F93" w14:textId="77777777" w:rsidR="000E0B74" w:rsidRDefault="006D2172" w:rsidP="000E0B74">
      <w:pPr>
        <w:pStyle w:val="Heading2"/>
      </w:pPr>
      <w:bookmarkStart w:id="10" w:name="_Toc63934879"/>
      <w:r>
        <w:t xml:space="preserve">Current reporting </w:t>
      </w:r>
      <w:r w:rsidR="00EA3E79">
        <w:t>requirement</w:t>
      </w:r>
      <w:r>
        <w:t>s and thresholds</w:t>
      </w:r>
      <w:bookmarkEnd w:id="10"/>
    </w:p>
    <w:p w14:paraId="6CF9EB8B" w14:textId="77777777" w:rsidR="00606492" w:rsidRDefault="00573EF4" w:rsidP="006D2172">
      <w:pPr>
        <w:pStyle w:val="Bullet"/>
        <w:numPr>
          <w:ilvl w:val="0"/>
          <w:numId w:val="0"/>
        </w:numPr>
      </w:pPr>
      <w:r>
        <w:t>ACNC r</w:t>
      </w:r>
      <w:r w:rsidR="00B34E60">
        <w:t xml:space="preserve">eporting requirements for registered charities are proportional to the size of the charity (small, medium or large), determined </w:t>
      </w:r>
      <w:proofErr w:type="gramStart"/>
      <w:r w:rsidR="00B34E60">
        <w:t>on the basis of</w:t>
      </w:r>
      <w:proofErr w:type="gramEnd"/>
      <w:r w:rsidR="00B34E60">
        <w:t xml:space="preserve"> annual revenue.  The current thresholds for each tier </w:t>
      </w:r>
      <w:proofErr w:type="gramStart"/>
      <w:r w:rsidR="00B34E60">
        <w:t>is</w:t>
      </w:r>
      <w:proofErr w:type="gramEnd"/>
      <w:r w:rsidR="00B34E60">
        <w:t xml:space="preserve"> set out in Table 1.</w:t>
      </w:r>
      <w:r w:rsidR="00C57745">
        <w:t xml:space="preserve"> </w:t>
      </w:r>
      <w:r w:rsidR="006D2172">
        <w:t>The ACNC currently requires</w:t>
      </w:r>
      <w:r w:rsidR="00DA6554">
        <w:t xml:space="preserve"> all</w:t>
      </w:r>
      <w:r w:rsidR="006D2172">
        <w:t xml:space="preserve"> </w:t>
      </w:r>
      <w:r w:rsidR="00DA6554">
        <w:t xml:space="preserve">registered </w:t>
      </w:r>
      <w:r w:rsidR="006D2172">
        <w:t>charities</w:t>
      </w:r>
      <w:r w:rsidR="00DA6554">
        <w:t xml:space="preserve">, </w:t>
      </w:r>
      <w:r w:rsidR="00783385">
        <w:t>regardless of their size,</w:t>
      </w:r>
      <w:r w:rsidR="006D2172">
        <w:t xml:space="preserve"> to submit </w:t>
      </w:r>
      <w:r w:rsidR="00B42796">
        <w:t>an A</w:t>
      </w:r>
      <w:r w:rsidR="00783385">
        <w:t xml:space="preserve">nnual </w:t>
      </w:r>
      <w:r w:rsidR="00B42796">
        <w:t>I</w:t>
      </w:r>
      <w:r w:rsidR="00783385">
        <w:t xml:space="preserve">nformation </w:t>
      </w:r>
      <w:r w:rsidR="00B42796">
        <w:t>S</w:t>
      </w:r>
      <w:r w:rsidR="00783385">
        <w:t>tatement</w:t>
      </w:r>
      <w:r w:rsidR="00231EA8">
        <w:t xml:space="preserve">. </w:t>
      </w:r>
      <w:r w:rsidR="004A3121">
        <w:t>In addition</w:t>
      </w:r>
      <w:r w:rsidR="00777BC1">
        <w:t>,</w:t>
      </w:r>
      <w:r w:rsidR="004A3121">
        <w:t xml:space="preserve"> medium and large charities are obliged to provide the ACNC with financial </w:t>
      </w:r>
      <w:r w:rsidR="003E6AC6">
        <w:t>reports</w:t>
      </w:r>
      <w:r w:rsidR="00231EA8">
        <w:t xml:space="preserve">. </w:t>
      </w:r>
      <w:r w:rsidR="004A3121">
        <w:t xml:space="preserve">These financial </w:t>
      </w:r>
      <w:r w:rsidR="003E6AC6">
        <w:t xml:space="preserve">reports </w:t>
      </w:r>
      <w:r w:rsidR="004A3121">
        <w:t xml:space="preserve">must be either reviewed (medium charities) or audited (large charities) by a qualified professional, as set out in the </w:t>
      </w:r>
      <w:r w:rsidR="004A3121" w:rsidRPr="00813DBF">
        <w:rPr>
          <w:i/>
        </w:rPr>
        <w:t>Australian Charities and Not-for-profits Commission Act 2012</w:t>
      </w:r>
      <w:r w:rsidR="004A3121">
        <w:t xml:space="preserve"> (</w:t>
      </w:r>
      <w:proofErr w:type="spellStart"/>
      <w:r w:rsidR="004A3121">
        <w:t>Cth</w:t>
      </w:r>
      <w:proofErr w:type="spellEnd"/>
      <w:r w:rsidR="004A3121">
        <w:t>)</w:t>
      </w:r>
      <w:r w:rsidR="00B42796">
        <w:t xml:space="preserve"> (ACNC Act)</w:t>
      </w:r>
      <w:r w:rsidR="00231EA8">
        <w:t xml:space="preserve">. </w:t>
      </w:r>
      <w:r w:rsidR="00606492">
        <w:t xml:space="preserve">The provision of such information </w:t>
      </w:r>
      <w:r w:rsidR="006D2172">
        <w:t>allows the ACNC to ensure that charities remain appropriately governed and are focussed on their charitable purpose</w:t>
      </w:r>
      <w:r w:rsidR="00231EA8">
        <w:t xml:space="preserve">. </w:t>
      </w:r>
    </w:p>
    <w:p w14:paraId="4ACE1820" w14:textId="77777777" w:rsidR="00D13835" w:rsidRPr="0003787A" w:rsidRDefault="00D13835" w:rsidP="00D13835">
      <w:pPr>
        <w:pStyle w:val="Heading3"/>
      </w:pPr>
      <w:bookmarkStart w:id="11" w:name="_Toc63934880"/>
      <w:r>
        <w:t xml:space="preserve">Table 1: Current thresholds for financial reporting for </w:t>
      </w:r>
      <w:r w:rsidR="009850E9">
        <w:t>ACNC-registered</w:t>
      </w:r>
      <w:r>
        <w:t xml:space="preserve"> charities</w:t>
      </w:r>
      <w:bookmarkEnd w:id="11"/>
    </w:p>
    <w:tbl>
      <w:tblPr>
        <w:tblStyle w:val="GridTable1Light-Accent1"/>
        <w:tblW w:w="0" w:type="auto"/>
        <w:tblLook w:val="04A0" w:firstRow="1" w:lastRow="0" w:firstColumn="1" w:lastColumn="0" w:noHBand="0" w:noVBand="1"/>
      </w:tblPr>
      <w:tblGrid>
        <w:gridCol w:w="1170"/>
        <w:gridCol w:w="3012"/>
        <w:gridCol w:w="4878"/>
      </w:tblGrid>
      <w:tr w:rsidR="00D13835" w:rsidRPr="002A6EDA" w14:paraId="3D70413F" w14:textId="77777777" w:rsidTr="004A7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805B5D" w14:textId="77777777" w:rsidR="00D13835" w:rsidRPr="002A6EDA" w:rsidRDefault="00D13835" w:rsidP="004A7B9A">
            <w:pPr>
              <w:rPr>
                <w:b w:val="0"/>
              </w:rPr>
            </w:pPr>
            <w:r w:rsidRPr="002A6EDA">
              <w:t>Charity size</w:t>
            </w:r>
          </w:p>
        </w:tc>
        <w:tc>
          <w:tcPr>
            <w:tcW w:w="0" w:type="auto"/>
          </w:tcPr>
          <w:p w14:paraId="5A3DF386" w14:textId="77777777" w:rsidR="00D13835" w:rsidRPr="002A6EDA" w:rsidRDefault="00D13835" w:rsidP="004A7B9A">
            <w:pPr>
              <w:cnfStyle w:val="100000000000" w:firstRow="1" w:lastRow="0" w:firstColumn="0" w:lastColumn="0" w:oddVBand="0" w:evenVBand="0" w:oddHBand="0" w:evenHBand="0" w:firstRowFirstColumn="0" w:firstRowLastColumn="0" w:lastRowFirstColumn="0" w:lastRowLastColumn="0"/>
              <w:rPr>
                <w:b w:val="0"/>
              </w:rPr>
            </w:pPr>
            <w:r>
              <w:t>Current a</w:t>
            </w:r>
            <w:r w:rsidRPr="002A6EDA">
              <w:t xml:space="preserve">nnual revenue threshold </w:t>
            </w:r>
          </w:p>
        </w:tc>
        <w:tc>
          <w:tcPr>
            <w:tcW w:w="0" w:type="auto"/>
          </w:tcPr>
          <w:p w14:paraId="15B4355F" w14:textId="77777777" w:rsidR="00D13835" w:rsidRPr="00D76509" w:rsidRDefault="00D13835" w:rsidP="004A7B9A">
            <w:pPr>
              <w:cnfStyle w:val="100000000000" w:firstRow="1" w:lastRow="0" w:firstColumn="0" w:lastColumn="0" w:oddVBand="0" w:evenVBand="0" w:oddHBand="0" w:evenHBand="0" w:firstRowFirstColumn="0" w:firstRowLastColumn="0" w:lastRowFirstColumn="0" w:lastRowLastColumn="0"/>
            </w:pPr>
            <w:r>
              <w:t>ACNC Reporting requirements</w:t>
            </w:r>
          </w:p>
        </w:tc>
      </w:tr>
      <w:tr w:rsidR="00D13835" w:rsidRPr="002A6EDA" w14:paraId="6118A752" w14:textId="77777777" w:rsidTr="004A7B9A">
        <w:tc>
          <w:tcPr>
            <w:cnfStyle w:val="001000000000" w:firstRow="0" w:lastRow="0" w:firstColumn="1" w:lastColumn="0" w:oddVBand="0" w:evenVBand="0" w:oddHBand="0" w:evenHBand="0" w:firstRowFirstColumn="0" w:firstRowLastColumn="0" w:lastRowFirstColumn="0" w:lastRowLastColumn="0"/>
            <w:tcW w:w="0" w:type="auto"/>
          </w:tcPr>
          <w:p w14:paraId="1683EF85" w14:textId="77777777" w:rsidR="00D13835" w:rsidRPr="002A6EDA" w:rsidRDefault="00D13835" w:rsidP="004A7B9A">
            <w:pPr>
              <w:rPr>
                <w:b w:val="0"/>
              </w:rPr>
            </w:pPr>
            <w:r w:rsidRPr="002A6EDA">
              <w:t>Small</w:t>
            </w:r>
          </w:p>
        </w:tc>
        <w:tc>
          <w:tcPr>
            <w:tcW w:w="0" w:type="auto"/>
          </w:tcPr>
          <w:p w14:paraId="5E888ECA" w14:textId="77777777" w:rsidR="00D13835" w:rsidRPr="002A6EDA" w:rsidRDefault="00D13835" w:rsidP="004A7B9A">
            <w:pPr>
              <w:cnfStyle w:val="000000000000" w:firstRow="0" w:lastRow="0" w:firstColumn="0" w:lastColumn="0" w:oddVBand="0" w:evenVBand="0" w:oddHBand="0" w:evenHBand="0" w:firstRowFirstColumn="0" w:firstRowLastColumn="0" w:lastRowFirstColumn="0" w:lastRowLastColumn="0"/>
            </w:pPr>
            <w:r w:rsidRPr="002A6EDA">
              <w:t>less than $250,000</w:t>
            </w:r>
          </w:p>
        </w:tc>
        <w:tc>
          <w:tcPr>
            <w:tcW w:w="0" w:type="auto"/>
          </w:tcPr>
          <w:p w14:paraId="37DAD48B" w14:textId="77777777" w:rsidR="00D13835" w:rsidRDefault="00D13835" w:rsidP="004A7B9A">
            <w:pPr>
              <w:cnfStyle w:val="000000000000" w:firstRow="0" w:lastRow="0" w:firstColumn="0" w:lastColumn="0" w:oddVBand="0" w:evenVBand="0" w:oddHBand="0" w:evenHBand="0" w:firstRowFirstColumn="0" w:firstRowLastColumn="0" w:lastRowFirstColumn="0" w:lastRowLastColumn="0"/>
            </w:pPr>
            <w:r>
              <w:t>ACNC Annual Information Statement</w:t>
            </w:r>
            <w:r>
              <w:rPr>
                <w:rStyle w:val="FootnoteReference"/>
              </w:rPr>
              <w:footnoteReference w:id="5"/>
            </w:r>
          </w:p>
        </w:tc>
      </w:tr>
      <w:tr w:rsidR="00D13835" w:rsidRPr="002A6EDA" w14:paraId="0CA2D5AB" w14:textId="77777777" w:rsidTr="004A7B9A">
        <w:tc>
          <w:tcPr>
            <w:cnfStyle w:val="001000000000" w:firstRow="0" w:lastRow="0" w:firstColumn="1" w:lastColumn="0" w:oddVBand="0" w:evenVBand="0" w:oddHBand="0" w:evenHBand="0" w:firstRowFirstColumn="0" w:firstRowLastColumn="0" w:lastRowFirstColumn="0" w:lastRowLastColumn="0"/>
            <w:tcW w:w="0" w:type="auto"/>
          </w:tcPr>
          <w:p w14:paraId="09D7D1EE" w14:textId="77777777" w:rsidR="00D13835" w:rsidRPr="002A6EDA" w:rsidRDefault="00D13835" w:rsidP="004A7B9A">
            <w:pPr>
              <w:rPr>
                <w:b w:val="0"/>
              </w:rPr>
            </w:pPr>
            <w:r w:rsidRPr="002A6EDA">
              <w:t>Medium</w:t>
            </w:r>
          </w:p>
        </w:tc>
        <w:tc>
          <w:tcPr>
            <w:tcW w:w="0" w:type="auto"/>
          </w:tcPr>
          <w:p w14:paraId="379D4278" w14:textId="77777777" w:rsidR="00D13835" w:rsidRPr="002A6EDA" w:rsidRDefault="00D13835" w:rsidP="004A7B9A">
            <w:pPr>
              <w:cnfStyle w:val="000000000000" w:firstRow="0" w:lastRow="0" w:firstColumn="0" w:lastColumn="0" w:oddVBand="0" w:evenVBand="0" w:oddHBand="0" w:evenHBand="0" w:firstRowFirstColumn="0" w:firstRowLastColumn="0" w:lastRowFirstColumn="0" w:lastRowLastColumn="0"/>
            </w:pPr>
            <w:r w:rsidRPr="002A6EDA">
              <w:t>$250,000 or more and less than $1 million</w:t>
            </w:r>
          </w:p>
        </w:tc>
        <w:tc>
          <w:tcPr>
            <w:tcW w:w="0" w:type="auto"/>
          </w:tcPr>
          <w:p w14:paraId="270BD97A" w14:textId="77777777" w:rsidR="00D13835" w:rsidRDefault="00D13835" w:rsidP="003E6AC6">
            <w:pPr>
              <w:cnfStyle w:val="000000000000" w:firstRow="0" w:lastRow="0" w:firstColumn="0" w:lastColumn="0" w:oddVBand="0" w:evenVBand="0" w:oddHBand="0" w:evenHBand="0" w:firstRowFirstColumn="0" w:firstRowLastColumn="0" w:lastRowFirstColumn="0" w:lastRowLastColumn="0"/>
            </w:pPr>
            <w:r>
              <w:t xml:space="preserve">Annual Information Statement and reviewed </w:t>
            </w:r>
            <w:r w:rsidR="003E6AC6">
              <w:t xml:space="preserve">or audited </w:t>
            </w:r>
            <w:r>
              <w:t xml:space="preserve">financial </w:t>
            </w:r>
            <w:r w:rsidR="003E6AC6">
              <w:t>report</w:t>
            </w:r>
          </w:p>
        </w:tc>
      </w:tr>
      <w:tr w:rsidR="00D13835" w:rsidRPr="002A6EDA" w14:paraId="4199883B" w14:textId="77777777" w:rsidTr="004A7B9A">
        <w:tc>
          <w:tcPr>
            <w:cnfStyle w:val="001000000000" w:firstRow="0" w:lastRow="0" w:firstColumn="1" w:lastColumn="0" w:oddVBand="0" w:evenVBand="0" w:oddHBand="0" w:evenHBand="0" w:firstRowFirstColumn="0" w:firstRowLastColumn="0" w:lastRowFirstColumn="0" w:lastRowLastColumn="0"/>
            <w:tcW w:w="0" w:type="auto"/>
          </w:tcPr>
          <w:p w14:paraId="5DEBCB60" w14:textId="77777777" w:rsidR="00D13835" w:rsidRPr="002A6EDA" w:rsidRDefault="00D13835" w:rsidP="004A7B9A">
            <w:pPr>
              <w:rPr>
                <w:b w:val="0"/>
              </w:rPr>
            </w:pPr>
            <w:r w:rsidRPr="002A6EDA">
              <w:t>Large</w:t>
            </w:r>
          </w:p>
        </w:tc>
        <w:tc>
          <w:tcPr>
            <w:tcW w:w="0" w:type="auto"/>
          </w:tcPr>
          <w:p w14:paraId="39E5FBF1" w14:textId="77777777" w:rsidR="00D13835" w:rsidRPr="002A6EDA" w:rsidRDefault="00D13835" w:rsidP="004A7B9A">
            <w:pPr>
              <w:cnfStyle w:val="000000000000" w:firstRow="0" w:lastRow="0" w:firstColumn="0" w:lastColumn="0" w:oddVBand="0" w:evenVBand="0" w:oddHBand="0" w:evenHBand="0" w:firstRowFirstColumn="0" w:firstRowLastColumn="0" w:lastRowFirstColumn="0" w:lastRowLastColumn="0"/>
            </w:pPr>
            <w:r w:rsidRPr="002A6EDA">
              <w:t>$1 million or more</w:t>
            </w:r>
          </w:p>
        </w:tc>
        <w:tc>
          <w:tcPr>
            <w:tcW w:w="0" w:type="auto"/>
          </w:tcPr>
          <w:p w14:paraId="46FF0CC4" w14:textId="77777777" w:rsidR="00D13835" w:rsidRDefault="00D13835" w:rsidP="003E6AC6">
            <w:pPr>
              <w:cnfStyle w:val="000000000000" w:firstRow="0" w:lastRow="0" w:firstColumn="0" w:lastColumn="0" w:oddVBand="0" w:evenVBand="0" w:oddHBand="0" w:evenHBand="0" w:firstRowFirstColumn="0" w:firstRowLastColumn="0" w:lastRowFirstColumn="0" w:lastRowLastColumn="0"/>
            </w:pPr>
            <w:r>
              <w:t xml:space="preserve">Annual Information Statement and audited financial </w:t>
            </w:r>
            <w:r w:rsidR="003E6AC6">
              <w:t>report</w:t>
            </w:r>
            <w:r>
              <w:t>.</w:t>
            </w:r>
          </w:p>
        </w:tc>
      </w:tr>
    </w:tbl>
    <w:p w14:paraId="3A0C0EC9" w14:textId="77777777" w:rsidR="00D13835" w:rsidRDefault="00D13835" w:rsidP="00F92854">
      <w:pPr>
        <w:pStyle w:val="Bullet"/>
        <w:numPr>
          <w:ilvl w:val="0"/>
          <w:numId w:val="0"/>
        </w:numPr>
      </w:pPr>
    </w:p>
    <w:p w14:paraId="7B9FF634" w14:textId="77777777" w:rsidR="00777BC1" w:rsidRDefault="00777BC1" w:rsidP="00777BC1">
      <w:pPr>
        <w:pStyle w:val="Heading3noTOC"/>
      </w:pPr>
      <w:r>
        <w:t xml:space="preserve">Impact of </w:t>
      </w:r>
      <w:r w:rsidR="003E6AC6">
        <w:t xml:space="preserve">charity </w:t>
      </w:r>
      <w:r>
        <w:t>structures on reporting requirements</w:t>
      </w:r>
    </w:p>
    <w:p w14:paraId="42B52A24" w14:textId="04DAE900" w:rsidR="00B93F39" w:rsidRDefault="00777BC1" w:rsidP="00F92854">
      <w:pPr>
        <w:pStyle w:val="Bullet"/>
        <w:numPr>
          <w:ilvl w:val="0"/>
          <w:numId w:val="0"/>
        </w:numPr>
      </w:pPr>
      <w:r>
        <w:t>C</w:t>
      </w:r>
      <w:r w:rsidR="00540BBF">
        <w:t xml:space="preserve">harities </w:t>
      </w:r>
      <w:r w:rsidR="009E13DE">
        <w:t>can be</w:t>
      </w:r>
      <w:r w:rsidR="00540BBF">
        <w:t xml:space="preserve"> established using various structures</w:t>
      </w:r>
      <w:r w:rsidR="003B0A2F">
        <w:t xml:space="preserve">. Three common types of </w:t>
      </w:r>
      <w:r w:rsidR="003E6AC6">
        <w:t xml:space="preserve">charity </w:t>
      </w:r>
      <w:r w:rsidR="003B0A2F">
        <w:t>structure</w:t>
      </w:r>
      <w:r w:rsidR="00403C33">
        <w:t xml:space="preserve"> </w:t>
      </w:r>
      <w:r w:rsidR="003B0A2F">
        <w:t>are companies limited by guarantee, incorporated associations and unincorporated associations</w:t>
      </w:r>
      <w:r w:rsidR="00403C33">
        <w:rPr>
          <w:rStyle w:val="FootnoteReference"/>
        </w:rPr>
        <w:footnoteReference w:id="6"/>
      </w:r>
      <w:r w:rsidR="003B0A2F">
        <w:t xml:space="preserve">. A charity will establish its structure depending on its needs and its </w:t>
      </w:r>
      <w:proofErr w:type="gramStart"/>
      <w:r w:rsidR="003B0A2F">
        <w:t>future plans</w:t>
      </w:r>
      <w:proofErr w:type="gramEnd"/>
      <w:r w:rsidR="003B0A2F">
        <w:t xml:space="preserve">.  For </w:t>
      </w:r>
      <w:proofErr w:type="gramStart"/>
      <w:r w:rsidR="003B0A2F">
        <w:t>example</w:t>
      </w:r>
      <w:proofErr w:type="gramEnd"/>
      <w:r w:rsidR="003B0A2F">
        <w:t xml:space="preserve"> if a charity plans to operate in multiple states, it may consider setting up a compa</w:t>
      </w:r>
      <w:r w:rsidR="00B93F39">
        <w:t xml:space="preserve">ny limited by guarantee.  </w:t>
      </w:r>
      <w:r w:rsidR="00B42796">
        <w:t xml:space="preserve">A charity seeking legal indemnity for its members, and one that plans to hold assets, but which plans to operate solely in a single state may decide that </w:t>
      </w:r>
      <w:r w:rsidR="001E6A73">
        <w:t xml:space="preserve">an incorporated association </w:t>
      </w:r>
      <w:r w:rsidR="00B42796">
        <w:t xml:space="preserve">is appropriate for its structure.  </w:t>
      </w:r>
      <w:r w:rsidR="00B93F39">
        <w:t>A charity which plans to remain small, hold no assets, and operate using only volunteers may decide that the unincorporated structure is most appropriate for it.</w:t>
      </w:r>
    </w:p>
    <w:p w14:paraId="3B1E8DA8" w14:textId="77777777" w:rsidR="003B0A2F" w:rsidRDefault="003B0A2F" w:rsidP="00F92854">
      <w:pPr>
        <w:pStyle w:val="Bullet"/>
        <w:numPr>
          <w:ilvl w:val="0"/>
          <w:numId w:val="0"/>
        </w:numPr>
      </w:pPr>
      <w:r>
        <w:lastRenderedPageBreak/>
        <w:t xml:space="preserve">Different structures will result in different regulatory and reporting regimes, including regulation governed by the Commonwealth (for example </w:t>
      </w:r>
      <w:r w:rsidR="00B93F39">
        <w:t xml:space="preserve">the </w:t>
      </w:r>
      <w:r>
        <w:t>A</w:t>
      </w:r>
      <w:r w:rsidR="00B93F39">
        <w:t xml:space="preserve">ustralian </w:t>
      </w:r>
      <w:r>
        <w:t>S</w:t>
      </w:r>
      <w:r w:rsidR="00B93F39">
        <w:t xml:space="preserve">ecurities and </w:t>
      </w:r>
      <w:r>
        <w:t>I</w:t>
      </w:r>
      <w:r w:rsidR="00B93F39">
        <w:t xml:space="preserve">nvestment </w:t>
      </w:r>
      <w:r>
        <w:t>C</w:t>
      </w:r>
      <w:r w:rsidR="00B93F39">
        <w:t>ommission (ASIC)</w:t>
      </w:r>
      <w:r>
        <w:t xml:space="preserve">) or the States (such as </w:t>
      </w:r>
      <w:r w:rsidR="00B34E60">
        <w:t>t</w:t>
      </w:r>
      <w:r w:rsidR="000B6A46">
        <w:t>he New South Wales Office of Fair Trading</w:t>
      </w:r>
      <w:r>
        <w:t>).</w:t>
      </w:r>
      <w:r w:rsidR="009E13DE">
        <w:t xml:space="preserve"> </w:t>
      </w:r>
    </w:p>
    <w:p w14:paraId="1E2D330F" w14:textId="35FDCDA7" w:rsidR="00540BBF" w:rsidRDefault="00B93F39" w:rsidP="00F92854">
      <w:pPr>
        <w:pStyle w:val="Bullet"/>
        <w:numPr>
          <w:ilvl w:val="0"/>
          <w:numId w:val="0"/>
        </w:numPr>
      </w:pPr>
      <w:r>
        <w:t>If a</w:t>
      </w:r>
      <w:r w:rsidR="002A3C1E">
        <w:t>n</w:t>
      </w:r>
      <w:r w:rsidR="00B34E60">
        <w:t xml:space="preserve"> ACNC</w:t>
      </w:r>
      <w:r w:rsidR="00B34E60">
        <w:noBreakHyphen/>
        <w:t>registered</w:t>
      </w:r>
      <w:r>
        <w:t xml:space="preserve"> charity is an incorporated association, </w:t>
      </w:r>
      <w:r w:rsidR="00B34E60">
        <w:t xml:space="preserve">as well as its ACNC reporting requirements, </w:t>
      </w:r>
      <w:r>
        <w:t xml:space="preserve">it will </w:t>
      </w:r>
      <w:r w:rsidR="00B34E60">
        <w:t xml:space="preserve">also </w:t>
      </w:r>
      <w:r>
        <w:t xml:space="preserve">have a separate reporting </w:t>
      </w:r>
      <w:r w:rsidR="00EA3E79">
        <w:t>requirement</w:t>
      </w:r>
      <w:r>
        <w:t xml:space="preserve"> to the state where it is incorporated, and possibly different thresholds at which these </w:t>
      </w:r>
      <w:r w:rsidR="00EA3E79">
        <w:t>requirement</w:t>
      </w:r>
      <w:r>
        <w:t xml:space="preserve">s begin. There are approximately 18,000 ACNC-registered charities which are also incorporated associations. </w:t>
      </w:r>
    </w:p>
    <w:p w14:paraId="470C95CC" w14:textId="77777777" w:rsidR="00606492" w:rsidRPr="00763AA0" w:rsidRDefault="00606492" w:rsidP="00F92854">
      <w:pPr>
        <w:pStyle w:val="Bullet"/>
        <w:numPr>
          <w:ilvl w:val="0"/>
          <w:numId w:val="0"/>
        </w:numPr>
      </w:pPr>
      <w:r w:rsidRPr="00763AA0">
        <w:t xml:space="preserve">In recent years, </w:t>
      </w:r>
      <w:r w:rsidR="001B7EB0" w:rsidRPr="00763AA0">
        <w:t xml:space="preserve">the ACNC and </w:t>
      </w:r>
      <w:r w:rsidR="00231EA8" w:rsidRPr="00763AA0">
        <w:t>States</w:t>
      </w:r>
      <w:r w:rsidRPr="00763AA0">
        <w:t xml:space="preserve"> have made significant progress </w:t>
      </w:r>
      <w:r w:rsidR="00B05C7C" w:rsidRPr="00763AA0">
        <w:t xml:space="preserve">in </w:t>
      </w:r>
      <w:r w:rsidRPr="00763AA0">
        <w:t>reducing the reporting burden for charities tha</w:t>
      </w:r>
      <w:r w:rsidR="00F86A16" w:rsidRPr="00763AA0">
        <w:t>t are incorporated associations.</w:t>
      </w:r>
    </w:p>
    <w:p w14:paraId="48DB9AA9" w14:textId="77777777" w:rsidR="00564F0E" w:rsidRPr="00763AA0" w:rsidRDefault="00F86A16" w:rsidP="00606492">
      <w:pPr>
        <w:numPr>
          <w:ilvl w:val="0"/>
          <w:numId w:val="16"/>
        </w:numPr>
        <w:spacing w:after="200" w:line="276" w:lineRule="auto"/>
      </w:pPr>
      <w:r w:rsidRPr="00763AA0">
        <w:t>Victoria and Western Australia have l</w:t>
      </w:r>
      <w:r w:rsidR="00564F0E" w:rsidRPr="00763AA0">
        <w:t>egislat</w:t>
      </w:r>
      <w:r w:rsidRPr="00763AA0">
        <w:t>ed</w:t>
      </w:r>
      <w:r w:rsidR="00564F0E" w:rsidRPr="00763AA0">
        <w:t xml:space="preserve"> reporting thresholds for all incorporated associations </w:t>
      </w:r>
      <w:r w:rsidRPr="00763AA0">
        <w:t xml:space="preserve">mirroring </w:t>
      </w:r>
      <w:r w:rsidR="00564F0E" w:rsidRPr="00763AA0">
        <w:t xml:space="preserve">those </w:t>
      </w:r>
      <w:r w:rsidRPr="00763AA0">
        <w:t xml:space="preserve">currently set out in the </w:t>
      </w:r>
      <w:r w:rsidR="00564F0E" w:rsidRPr="00763AA0">
        <w:rPr>
          <w:i/>
        </w:rPr>
        <w:t>A</w:t>
      </w:r>
      <w:r w:rsidRPr="00763AA0">
        <w:rPr>
          <w:i/>
        </w:rPr>
        <w:t xml:space="preserve">ustralian </w:t>
      </w:r>
      <w:r w:rsidR="00564F0E" w:rsidRPr="00763AA0">
        <w:rPr>
          <w:i/>
        </w:rPr>
        <w:t>C</w:t>
      </w:r>
      <w:r w:rsidRPr="00763AA0">
        <w:rPr>
          <w:i/>
        </w:rPr>
        <w:t xml:space="preserve">harities and </w:t>
      </w:r>
      <w:r w:rsidR="00564F0E" w:rsidRPr="00763AA0">
        <w:rPr>
          <w:i/>
        </w:rPr>
        <w:t>N</w:t>
      </w:r>
      <w:r w:rsidRPr="00763AA0">
        <w:rPr>
          <w:i/>
        </w:rPr>
        <w:t xml:space="preserve">ot-for-profits </w:t>
      </w:r>
      <w:r w:rsidR="00564F0E" w:rsidRPr="00763AA0">
        <w:rPr>
          <w:i/>
        </w:rPr>
        <w:t>C</w:t>
      </w:r>
      <w:r w:rsidRPr="00763AA0">
        <w:rPr>
          <w:i/>
        </w:rPr>
        <w:t>ommission Act 2012</w:t>
      </w:r>
      <w:r w:rsidRPr="00763AA0">
        <w:t xml:space="preserve"> (</w:t>
      </w:r>
      <w:proofErr w:type="spellStart"/>
      <w:r w:rsidRPr="00763AA0">
        <w:t>Cth</w:t>
      </w:r>
      <w:proofErr w:type="spellEnd"/>
      <w:proofErr w:type="gramStart"/>
      <w:r w:rsidRPr="00763AA0">
        <w:t>)</w:t>
      </w:r>
      <w:r w:rsidR="00564F0E" w:rsidRPr="00763AA0">
        <w:t>, but</w:t>
      </w:r>
      <w:proofErr w:type="gramEnd"/>
      <w:r w:rsidR="00564F0E" w:rsidRPr="00763AA0">
        <w:t xml:space="preserve"> maintain different </w:t>
      </w:r>
      <w:r w:rsidRPr="00763AA0">
        <w:t>reporting requirements</w:t>
      </w:r>
      <w:r w:rsidR="00564F0E" w:rsidRPr="00763AA0">
        <w:t xml:space="preserve">. </w:t>
      </w:r>
    </w:p>
    <w:p w14:paraId="2BC92049" w14:textId="77777777" w:rsidR="00F86A16" w:rsidRPr="00763AA0" w:rsidRDefault="00F86A16" w:rsidP="00F86A16">
      <w:pPr>
        <w:numPr>
          <w:ilvl w:val="1"/>
          <w:numId w:val="16"/>
        </w:numPr>
        <w:spacing w:after="200" w:line="276" w:lineRule="auto"/>
      </w:pPr>
      <w:r w:rsidRPr="00763AA0">
        <w:t>As well as identical thresholds, Victoria and Western Australian also have in place legislative instruments which mean that as long as an ACNC-registered charity is meeting its reporting obligations to the ACNC, they do not need to provide any additional information specific to their state of incorporation.</w:t>
      </w:r>
    </w:p>
    <w:p w14:paraId="5DE850A8" w14:textId="77777777" w:rsidR="00606492" w:rsidRPr="00763AA0" w:rsidRDefault="00F86A16" w:rsidP="00606492">
      <w:pPr>
        <w:numPr>
          <w:ilvl w:val="0"/>
          <w:numId w:val="16"/>
        </w:numPr>
        <w:spacing w:after="200" w:line="276" w:lineRule="auto"/>
      </w:pPr>
      <w:r w:rsidRPr="00763AA0">
        <w:t>South Australia, Tasmania and the Australian Capital Territory have p</w:t>
      </w:r>
      <w:r w:rsidR="0044047A" w:rsidRPr="00763AA0">
        <w:t xml:space="preserve">ut in place exemptions for ACNC-registered </w:t>
      </w:r>
      <w:r w:rsidR="00B8113E" w:rsidRPr="00763AA0">
        <w:t xml:space="preserve">charities from </w:t>
      </w:r>
      <w:r w:rsidR="0044047A" w:rsidRPr="00763AA0">
        <w:t xml:space="preserve">needing to also meet </w:t>
      </w:r>
      <w:r w:rsidR="00B8113E" w:rsidRPr="00763AA0">
        <w:t>s</w:t>
      </w:r>
      <w:r w:rsidR="00606492" w:rsidRPr="00763AA0">
        <w:t xml:space="preserve">tate reporting </w:t>
      </w:r>
      <w:r w:rsidR="00EA3E79" w:rsidRPr="00763AA0">
        <w:t>requirement</w:t>
      </w:r>
      <w:r w:rsidR="00606492" w:rsidRPr="00763AA0">
        <w:t xml:space="preserve">s </w:t>
      </w:r>
      <w:proofErr w:type="gramStart"/>
      <w:r w:rsidR="00B05C7C" w:rsidRPr="00763AA0">
        <w:t>as long as</w:t>
      </w:r>
      <w:proofErr w:type="gramEnd"/>
      <w:r w:rsidR="00B05C7C" w:rsidRPr="00763AA0">
        <w:t xml:space="preserve"> </w:t>
      </w:r>
      <w:r w:rsidR="00606492" w:rsidRPr="00763AA0">
        <w:t xml:space="preserve">the charity </w:t>
      </w:r>
      <w:r w:rsidR="00B05C7C" w:rsidRPr="00763AA0">
        <w:t>remains registered with the ACNC (and therefore is submitting annual reports to the ACNC)</w:t>
      </w:r>
      <w:r w:rsidRPr="00763AA0">
        <w:t xml:space="preserve">.  </w:t>
      </w:r>
      <w:r w:rsidR="00F85006" w:rsidRPr="00763AA0">
        <w:t>Queensland has an exempti</w:t>
      </w:r>
      <w:r w:rsidR="00EA272B" w:rsidRPr="00763AA0">
        <w:t>on currently under consideration but not yet in force</w:t>
      </w:r>
      <w:r w:rsidRPr="00763AA0">
        <w:t>.</w:t>
      </w:r>
    </w:p>
    <w:p w14:paraId="346B2974" w14:textId="77777777" w:rsidR="00606492" w:rsidRPr="00763AA0" w:rsidRDefault="00606492" w:rsidP="00F86A16">
      <w:pPr>
        <w:numPr>
          <w:ilvl w:val="1"/>
          <w:numId w:val="16"/>
        </w:numPr>
        <w:spacing w:after="200" w:line="276" w:lineRule="auto"/>
      </w:pPr>
      <w:r w:rsidRPr="00763AA0">
        <w:t xml:space="preserve">This means both the reporting thresholds and reporting requirements for registered charities are aligned. </w:t>
      </w:r>
      <w:r w:rsidR="00B05C7C" w:rsidRPr="00763AA0">
        <w:t>In other words, a charity does not need to provide any additional information to the ACNC</w:t>
      </w:r>
      <w:r w:rsidR="00564F0E" w:rsidRPr="00763AA0">
        <w:t xml:space="preserve"> or to the State regulator</w:t>
      </w:r>
      <w:r w:rsidR="00B05C7C" w:rsidRPr="00763AA0">
        <w:t>.</w:t>
      </w:r>
    </w:p>
    <w:p w14:paraId="0E221A9D" w14:textId="77777777" w:rsidR="00606492" w:rsidRPr="00763AA0" w:rsidRDefault="00F86A16" w:rsidP="00606492">
      <w:pPr>
        <w:numPr>
          <w:ilvl w:val="0"/>
          <w:numId w:val="16"/>
        </w:numPr>
        <w:spacing w:after="200" w:line="276" w:lineRule="auto"/>
      </w:pPr>
      <w:r w:rsidRPr="00763AA0">
        <w:t>New South Wales and Northern Territory</w:t>
      </w:r>
      <w:r w:rsidRPr="00763AA0">
        <w:rPr>
          <w:rStyle w:val="FootnoteReference"/>
        </w:rPr>
        <w:footnoteReference w:id="7"/>
      </w:r>
      <w:r w:rsidRPr="00763AA0">
        <w:t xml:space="preserve"> m</w:t>
      </w:r>
      <w:r w:rsidR="00606492" w:rsidRPr="00763AA0">
        <w:t xml:space="preserve">aintain different reporting thresholds and reporting requirements relative to the </w:t>
      </w:r>
      <w:proofErr w:type="gramStart"/>
      <w:r w:rsidR="00606492" w:rsidRPr="00763AA0">
        <w:t>ACNC, but</w:t>
      </w:r>
      <w:proofErr w:type="gramEnd"/>
      <w:r w:rsidR="00606492" w:rsidRPr="00763AA0">
        <w:t xml:space="preserve"> allow entities to report all req</w:t>
      </w:r>
      <w:r w:rsidRPr="00763AA0">
        <w:t>uired information to the ACNC</w:t>
      </w:r>
      <w:r w:rsidR="00606492" w:rsidRPr="00763AA0">
        <w:t>.</w:t>
      </w:r>
    </w:p>
    <w:p w14:paraId="4D63B9D9" w14:textId="77777777" w:rsidR="00C57745" w:rsidRDefault="00C57745" w:rsidP="00C57745">
      <w:pPr>
        <w:pStyle w:val="Bullet"/>
        <w:numPr>
          <w:ilvl w:val="0"/>
          <w:numId w:val="0"/>
        </w:numPr>
      </w:pPr>
      <w:r>
        <w:t>The</w:t>
      </w:r>
      <w:r w:rsidR="006D2172">
        <w:t xml:space="preserve"> harmonisation arrangements are aimed at reducing the regulatory burden on </w:t>
      </w:r>
      <w:r w:rsidR="001B7EB0">
        <w:t>incorporated associations that are registered with the ACNC</w:t>
      </w:r>
      <w:r w:rsidR="00535E87">
        <w:t>,</w:t>
      </w:r>
      <w:r w:rsidR="001B7EB0">
        <w:t xml:space="preserve"> </w:t>
      </w:r>
      <w:r w:rsidR="004A3121">
        <w:t xml:space="preserve">while </w:t>
      </w:r>
      <w:r w:rsidR="001B7EB0">
        <w:t xml:space="preserve">still </w:t>
      </w:r>
      <w:r w:rsidR="004A3121">
        <w:t xml:space="preserve">maintaining transparency </w:t>
      </w:r>
      <w:r w:rsidR="00535E87">
        <w:t xml:space="preserve">over </w:t>
      </w:r>
      <w:r w:rsidR="004A3121">
        <w:t>charity operations and finances</w:t>
      </w:r>
      <w:r w:rsidR="00231EA8">
        <w:t xml:space="preserve">. </w:t>
      </w:r>
    </w:p>
    <w:p w14:paraId="05DD983F" w14:textId="77777777" w:rsidR="00C57745" w:rsidRDefault="00C57745" w:rsidP="00C57745">
      <w:pPr>
        <w:pStyle w:val="Bullet"/>
        <w:numPr>
          <w:ilvl w:val="0"/>
          <w:numId w:val="0"/>
        </w:numPr>
      </w:pPr>
      <w:r>
        <w:t>Attachment A sets out details on incorporated association regulation state by state</w:t>
      </w:r>
      <w:r w:rsidR="00231EA8">
        <w:t xml:space="preserve">. </w:t>
      </w:r>
    </w:p>
    <w:p w14:paraId="21265745" w14:textId="77777777" w:rsidR="00F86A16" w:rsidRDefault="00F86A16">
      <w:pPr>
        <w:spacing w:before="0" w:after="160" w:line="259" w:lineRule="auto"/>
        <w:rPr>
          <w:rFonts w:cs="Arial"/>
          <w:iCs/>
          <w:color w:val="002C47"/>
          <w:kern w:val="32"/>
          <w:sz w:val="36"/>
          <w:szCs w:val="28"/>
        </w:rPr>
      </w:pPr>
      <w:r>
        <w:br w:type="page"/>
      </w:r>
    </w:p>
    <w:p w14:paraId="56EEB640" w14:textId="77777777" w:rsidR="006D2172" w:rsidRDefault="00501CE3" w:rsidP="00501CE3">
      <w:pPr>
        <w:pStyle w:val="Heading2"/>
      </w:pPr>
      <w:bookmarkStart w:id="12" w:name="_Toc63934881"/>
      <w:r>
        <w:lastRenderedPageBreak/>
        <w:t xml:space="preserve">Proposed new thresholds for financial reporting for </w:t>
      </w:r>
      <w:r w:rsidR="009850E9">
        <w:t>ACNC</w:t>
      </w:r>
      <w:r w:rsidR="008A37D6">
        <w:noBreakHyphen/>
      </w:r>
      <w:r w:rsidR="009850E9">
        <w:t>registered</w:t>
      </w:r>
      <w:r>
        <w:t xml:space="preserve"> charities</w:t>
      </w:r>
      <w:bookmarkEnd w:id="12"/>
    </w:p>
    <w:p w14:paraId="1ED29A55" w14:textId="77777777" w:rsidR="00501CE3" w:rsidRDefault="00501CE3" w:rsidP="006D2172">
      <w:r>
        <w:t xml:space="preserve">The proposed new reporting thresholds for </w:t>
      </w:r>
      <w:r w:rsidR="009850E9">
        <w:t>ACNC-registered</w:t>
      </w:r>
      <w:r>
        <w:t xml:space="preserve"> charities are set out in Table 2 below.</w:t>
      </w:r>
    </w:p>
    <w:p w14:paraId="107763A2" w14:textId="77777777" w:rsidR="00501CE3" w:rsidRPr="0003787A" w:rsidRDefault="00501CE3" w:rsidP="00501CE3">
      <w:pPr>
        <w:pStyle w:val="Heading3"/>
      </w:pPr>
      <w:bookmarkStart w:id="13" w:name="_Toc63934882"/>
      <w:r>
        <w:t xml:space="preserve">Table 2: Proposed thresholds for financial reporting for </w:t>
      </w:r>
      <w:r w:rsidR="009850E9">
        <w:t>ACNC-registered</w:t>
      </w:r>
      <w:r>
        <w:t xml:space="preserve"> charities</w:t>
      </w:r>
      <w:bookmarkEnd w:id="13"/>
    </w:p>
    <w:tbl>
      <w:tblPr>
        <w:tblStyle w:val="GridTable1Light-Accent1"/>
        <w:tblW w:w="0" w:type="auto"/>
        <w:tblLook w:val="04A0" w:firstRow="1" w:lastRow="0" w:firstColumn="1" w:lastColumn="0" w:noHBand="0" w:noVBand="1"/>
      </w:tblPr>
      <w:tblGrid>
        <w:gridCol w:w="1194"/>
        <w:gridCol w:w="3267"/>
        <w:gridCol w:w="4599"/>
      </w:tblGrid>
      <w:tr w:rsidR="00501CE3" w:rsidRPr="002A6EDA" w14:paraId="0BEC8544" w14:textId="77777777" w:rsidTr="004A7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35EC88" w14:textId="77777777" w:rsidR="00501CE3" w:rsidRPr="002A6EDA" w:rsidRDefault="00501CE3" w:rsidP="004A7B9A">
            <w:pPr>
              <w:rPr>
                <w:b w:val="0"/>
              </w:rPr>
            </w:pPr>
            <w:r w:rsidRPr="002A6EDA">
              <w:t>Charity size</w:t>
            </w:r>
          </w:p>
        </w:tc>
        <w:tc>
          <w:tcPr>
            <w:tcW w:w="0" w:type="auto"/>
          </w:tcPr>
          <w:p w14:paraId="62BFFD76" w14:textId="77777777" w:rsidR="00501CE3" w:rsidRPr="002A6EDA" w:rsidRDefault="00501CE3" w:rsidP="004A7B9A">
            <w:pPr>
              <w:cnfStyle w:val="100000000000" w:firstRow="1" w:lastRow="0" w:firstColumn="0" w:lastColumn="0" w:oddVBand="0" w:evenVBand="0" w:oddHBand="0" w:evenHBand="0" w:firstRowFirstColumn="0" w:firstRowLastColumn="0" w:lastRowFirstColumn="0" w:lastRowLastColumn="0"/>
              <w:rPr>
                <w:b w:val="0"/>
              </w:rPr>
            </w:pPr>
            <w:r>
              <w:t>Proposed a</w:t>
            </w:r>
            <w:r w:rsidRPr="002A6EDA">
              <w:t xml:space="preserve">nnual revenue threshold </w:t>
            </w:r>
          </w:p>
        </w:tc>
        <w:tc>
          <w:tcPr>
            <w:tcW w:w="0" w:type="auto"/>
          </w:tcPr>
          <w:p w14:paraId="7A6B92D2" w14:textId="77777777" w:rsidR="00501CE3" w:rsidRPr="00D76509" w:rsidRDefault="0044047A" w:rsidP="004A7B9A">
            <w:pPr>
              <w:cnfStyle w:val="100000000000" w:firstRow="1" w:lastRow="0" w:firstColumn="0" w:lastColumn="0" w:oddVBand="0" w:evenVBand="0" w:oddHBand="0" w:evenHBand="0" w:firstRowFirstColumn="0" w:firstRowLastColumn="0" w:lastRowFirstColumn="0" w:lastRowLastColumn="0"/>
            </w:pPr>
            <w:r>
              <w:t xml:space="preserve">Minimum </w:t>
            </w:r>
            <w:r w:rsidR="00501CE3">
              <w:t>ACNC Reporting requirements</w:t>
            </w:r>
          </w:p>
        </w:tc>
      </w:tr>
      <w:tr w:rsidR="00501CE3" w:rsidRPr="002A6EDA" w14:paraId="58EAAA37" w14:textId="77777777" w:rsidTr="004A7B9A">
        <w:tc>
          <w:tcPr>
            <w:cnfStyle w:val="001000000000" w:firstRow="0" w:lastRow="0" w:firstColumn="1" w:lastColumn="0" w:oddVBand="0" w:evenVBand="0" w:oddHBand="0" w:evenHBand="0" w:firstRowFirstColumn="0" w:firstRowLastColumn="0" w:lastRowFirstColumn="0" w:lastRowLastColumn="0"/>
            <w:tcW w:w="0" w:type="auto"/>
          </w:tcPr>
          <w:p w14:paraId="0BC148AA" w14:textId="77777777" w:rsidR="00501CE3" w:rsidRPr="002A6EDA" w:rsidRDefault="00501CE3" w:rsidP="004A7B9A">
            <w:pPr>
              <w:rPr>
                <w:b w:val="0"/>
              </w:rPr>
            </w:pPr>
            <w:r w:rsidRPr="002A6EDA">
              <w:t>Small</w:t>
            </w:r>
          </w:p>
        </w:tc>
        <w:tc>
          <w:tcPr>
            <w:tcW w:w="0" w:type="auto"/>
          </w:tcPr>
          <w:p w14:paraId="110D55C3" w14:textId="77777777" w:rsidR="00501CE3" w:rsidRPr="002A6EDA" w:rsidRDefault="00501CE3" w:rsidP="00501CE3">
            <w:pPr>
              <w:cnfStyle w:val="000000000000" w:firstRow="0" w:lastRow="0" w:firstColumn="0" w:lastColumn="0" w:oddVBand="0" w:evenVBand="0" w:oddHBand="0" w:evenHBand="0" w:firstRowFirstColumn="0" w:firstRowLastColumn="0" w:lastRowFirstColumn="0" w:lastRowLastColumn="0"/>
            </w:pPr>
            <w:r w:rsidRPr="002A6EDA">
              <w:t>less than $</w:t>
            </w:r>
            <w:r>
              <w:t>50</w:t>
            </w:r>
            <w:r w:rsidRPr="002A6EDA">
              <w:t>0,000</w:t>
            </w:r>
          </w:p>
        </w:tc>
        <w:tc>
          <w:tcPr>
            <w:tcW w:w="0" w:type="auto"/>
          </w:tcPr>
          <w:p w14:paraId="479FCF90" w14:textId="77777777" w:rsidR="00501CE3" w:rsidRDefault="00501CE3" w:rsidP="00B8113E">
            <w:pPr>
              <w:cnfStyle w:val="000000000000" w:firstRow="0" w:lastRow="0" w:firstColumn="0" w:lastColumn="0" w:oddVBand="0" w:evenVBand="0" w:oddHBand="0" w:evenHBand="0" w:firstRowFirstColumn="0" w:firstRowLastColumn="0" w:lastRowFirstColumn="0" w:lastRowLastColumn="0"/>
            </w:pPr>
            <w:r>
              <w:t>ACNC Annual Information Statement</w:t>
            </w:r>
          </w:p>
        </w:tc>
      </w:tr>
      <w:tr w:rsidR="00501CE3" w:rsidRPr="002A6EDA" w14:paraId="211E5C43" w14:textId="77777777" w:rsidTr="004A7B9A">
        <w:tc>
          <w:tcPr>
            <w:cnfStyle w:val="001000000000" w:firstRow="0" w:lastRow="0" w:firstColumn="1" w:lastColumn="0" w:oddVBand="0" w:evenVBand="0" w:oddHBand="0" w:evenHBand="0" w:firstRowFirstColumn="0" w:firstRowLastColumn="0" w:lastRowFirstColumn="0" w:lastRowLastColumn="0"/>
            <w:tcW w:w="0" w:type="auto"/>
          </w:tcPr>
          <w:p w14:paraId="3D90F731" w14:textId="77777777" w:rsidR="00501CE3" w:rsidRPr="002A6EDA" w:rsidRDefault="00501CE3" w:rsidP="004A7B9A">
            <w:pPr>
              <w:rPr>
                <w:b w:val="0"/>
              </w:rPr>
            </w:pPr>
            <w:r w:rsidRPr="002A6EDA">
              <w:t>Medium</w:t>
            </w:r>
          </w:p>
        </w:tc>
        <w:tc>
          <w:tcPr>
            <w:tcW w:w="0" w:type="auto"/>
          </w:tcPr>
          <w:p w14:paraId="7D67EC43" w14:textId="77777777" w:rsidR="00501CE3" w:rsidRPr="002A6EDA" w:rsidRDefault="00501CE3" w:rsidP="00501CE3">
            <w:pPr>
              <w:cnfStyle w:val="000000000000" w:firstRow="0" w:lastRow="0" w:firstColumn="0" w:lastColumn="0" w:oddVBand="0" w:evenVBand="0" w:oddHBand="0" w:evenHBand="0" w:firstRowFirstColumn="0" w:firstRowLastColumn="0" w:lastRowFirstColumn="0" w:lastRowLastColumn="0"/>
            </w:pPr>
            <w:r>
              <w:t>$</w:t>
            </w:r>
            <w:r w:rsidRPr="002A6EDA">
              <w:t>50</w:t>
            </w:r>
            <w:r>
              <w:t>0</w:t>
            </w:r>
            <w:r w:rsidRPr="002A6EDA">
              <w:t>,000 or more and less than $</w:t>
            </w:r>
            <w:r>
              <w:t>3</w:t>
            </w:r>
            <w:r w:rsidRPr="002A6EDA">
              <w:t> million</w:t>
            </w:r>
          </w:p>
        </w:tc>
        <w:tc>
          <w:tcPr>
            <w:tcW w:w="0" w:type="auto"/>
          </w:tcPr>
          <w:p w14:paraId="16DFC1E6" w14:textId="77777777" w:rsidR="00501CE3" w:rsidRDefault="00501CE3" w:rsidP="0044047A">
            <w:pPr>
              <w:cnfStyle w:val="000000000000" w:firstRow="0" w:lastRow="0" w:firstColumn="0" w:lastColumn="0" w:oddVBand="0" w:evenVBand="0" w:oddHBand="0" w:evenHBand="0" w:firstRowFirstColumn="0" w:firstRowLastColumn="0" w:lastRowFirstColumn="0" w:lastRowLastColumn="0"/>
            </w:pPr>
            <w:r>
              <w:t xml:space="preserve">Annual Information Statement and reviewed financial </w:t>
            </w:r>
            <w:r w:rsidR="00B05C7C">
              <w:t>report</w:t>
            </w:r>
          </w:p>
        </w:tc>
      </w:tr>
      <w:tr w:rsidR="00501CE3" w:rsidRPr="002A6EDA" w14:paraId="1BAB7ADC" w14:textId="77777777" w:rsidTr="004A7B9A">
        <w:tc>
          <w:tcPr>
            <w:cnfStyle w:val="001000000000" w:firstRow="0" w:lastRow="0" w:firstColumn="1" w:lastColumn="0" w:oddVBand="0" w:evenVBand="0" w:oddHBand="0" w:evenHBand="0" w:firstRowFirstColumn="0" w:firstRowLastColumn="0" w:lastRowFirstColumn="0" w:lastRowLastColumn="0"/>
            <w:tcW w:w="0" w:type="auto"/>
          </w:tcPr>
          <w:p w14:paraId="24C649A9" w14:textId="77777777" w:rsidR="00501CE3" w:rsidRPr="002A6EDA" w:rsidRDefault="00501CE3" w:rsidP="004A7B9A">
            <w:pPr>
              <w:rPr>
                <w:b w:val="0"/>
              </w:rPr>
            </w:pPr>
            <w:r w:rsidRPr="002A6EDA">
              <w:t>Large</w:t>
            </w:r>
          </w:p>
        </w:tc>
        <w:tc>
          <w:tcPr>
            <w:tcW w:w="0" w:type="auto"/>
          </w:tcPr>
          <w:p w14:paraId="6604B1A2" w14:textId="77777777" w:rsidR="00501CE3" w:rsidRPr="002A6EDA" w:rsidRDefault="00501CE3" w:rsidP="00501CE3">
            <w:pPr>
              <w:cnfStyle w:val="000000000000" w:firstRow="0" w:lastRow="0" w:firstColumn="0" w:lastColumn="0" w:oddVBand="0" w:evenVBand="0" w:oddHBand="0" w:evenHBand="0" w:firstRowFirstColumn="0" w:firstRowLastColumn="0" w:lastRowFirstColumn="0" w:lastRowLastColumn="0"/>
            </w:pPr>
            <w:r w:rsidRPr="002A6EDA">
              <w:t>$</w:t>
            </w:r>
            <w:r>
              <w:t>3</w:t>
            </w:r>
            <w:r w:rsidRPr="002A6EDA">
              <w:t> million or more</w:t>
            </w:r>
          </w:p>
        </w:tc>
        <w:tc>
          <w:tcPr>
            <w:tcW w:w="0" w:type="auto"/>
          </w:tcPr>
          <w:p w14:paraId="5D1F7A80" w14:textId="77777777" w:rsidR="00501CE3" w:rsidRDefault="00501CE3" w:rsidP="00B05C7C">
            <w:pPr>
              <w:cnfStyle w:val="000000000000" w:firstRow="0" w:lastRow="0" w:firstColumn="0" w:lastColumn="0" w:oddVBand="0" w:evenVBand="0" w:oddHBand="0" w:evenHBand="0" w:firstRowFirstColumn="0" w:firstRowLastColumn="0" w:lastRowFirstColumn="0" w:lastRowLastColumn="0"/>
            </w:pPr>
            <w:r>
              <w:t xml:space="preserve">Annual Information Statement and audited financial </w:t>
            </w:r>
            <w:r w:rsidR="00B05C7C">
              <w:t>report</w:t>
            </w:r>
            <w:r>
              <w:t>.</w:t>
            </w:r>
          </w:p>
        </w:tc>
      </w:tr>
    </w:tbl>
    <w:p w14:paraId="1C951527" w14:textId="77777777" w:rsidR="00501CE3" w:rsidRDefault="00501CE3" w:rsidP="006D2172"/>
    <w:p w14:paraId="1E593ABC" w14:textId="77777777" w:rsidR="00403C33" w:rsidRDefault="00403C33" w:rsidP="006D2172">
      <w:r>
        <w:t xml:space="preserve">The proposed thresholds are </w:t>
      </w:r>
      <w:r w:rsidR="000B6A46">
        <w:t>lower than</w:t>
      </w:r>
      <w:r>
        <w:t xml:space="preserve"> those recommended </w:t>
      </w:r>
      <w:r w:rsidR="00594C0B">
        <w:t>by</w:t>
      </w:r>
      <w:r>
        <w:t xml:space="preserve"> the ACNC Review</w:t>
      </w:r>
      <w:r w:rsidR="00594C0B">
        <w:t xml:space="preserve"> Panel</w:t>
      </w:r>
      <w:r>
        <w:t xml:space="preserve">.  </w:t>
      </w:r>
      <w:r w:rsidR="006D2172">
        <w:t xml:space="preserve">In proposing these reporting thresholds, </w:t>
      </w:r>
      <w:r w:rsidR="000B6A46">
        <w:t>Commonwealth and State G</w:t>
      </w:r>
      <w:r w:rsidR="006D2172">
        <w:t xml:space="preserve">overnments are seeking to balance a reduction in regulatory red tape </w:t>
      </w:r>
      <w:r w:rsidR="00594C0B">
        <w:t>while</w:t>
      </w:r>
      <w:r w:rsidR="006D2172">
        <w:t xml:space="preserve"> maintaining transparency to promote accountability</w:t>
      </w:r>
      <w:r w:rsidR="00CD4A3A">
        <w:t>,</w:t>
      </w:r>
      <w:r w:rsidR="003A12F8">
        <w:t xml:space="preserve"> </w:t>
      </w:r>
      <w:r w:rsidR="006D2172">
        <w:t xml:space="preserve">public trust and confidence in the sector. </w:t>
      </w:r>
    </w:p>
    <w:p w14:paraId="602EEF4C" w14:textId="4A2B6511" w:rsidR="004A3121" w:rsidRPr="004A3121" w:rsidRDefault="004A3121" w:rsidP="006D2172">
      <w:r w:rsidRPr="004A3121">
        <w:t xml:space="preserve">By increasing the financial reporting thresholds for the ACNC, it is intended that the current level of harmonisation </w:t>
      </w:r>
      <w:r w:rsidR="00D429EA">
        <w:t xml:space="preserve">of reporting requirements for charities </w:t>
      </w:r>
      <w:r w:rsidR="00701CDD">
        <w:t>across jurisdiction</w:t>
      </w:r>
      <w:r w:rsidR="00A119D8">
        <w:t>s</w:t>
      </w:r>
      <w:r w:rsidR="00701CDD">
        <w:t xml:space="preserve"> </w:t>
      </w:r>
      <w:r w:rsidRPr="004A3121">
        <w:t>will be retained</w:t>
      </w:r>
      <w:r w:rsidR="00C95858">
        <w:t>, subject to formal agreement by each jurisdiction</w:t>
      </w:r>
      <w:r w:rsidRPr="004A3121">
        <w:t>. This ensures that there is no increase to the regulatory burden on charities.</w:t>
      </w:r>
    </w:p>
    <w:p w14:paraId="039F2EE0" w14:textId="77777777" w:rsidR="00951BDC" w:rsidRDefault="00951BDC" w:rsidP="006D2172">
      <w:pPr>
        <w:pStyle w:val="Heading2"/>
      </w:pPr>
      <w:bookmarkStart w:id="14" w:name="_Toc63934883"/>
      <w:r>
        <w:t>Benefits of increasing reporting thresholds</w:t>
      </w:r>
      <w:bookmarkEnd w:id="14"/>
    </w:p>
    <w:p w14:paraId="0CD5E8F2" w14:textId="1441E73D" w:rsidR="00701CDD" w:rsidRDefault="00701CDD" w:rsidP="00403C33">
      <w:pPr>
        <w:pStyle w:val="Bullet"/>
        <w:numPr>
          <w:ilvl w:val="0"/>
          <w:numId w:val="0"/>
        </w:numPr>
        <w:spacing w:after="160" w:line="259" w:lineRule="auto"/>
      </w:pPr>
      <w:r>
        <w:t xml:space="preserve">The clear benefit of the reform for charities is that it will decrease </w:t>
      </w:r>
      <w:r w:rsidR="00B05C7C">
        <w:t xml:space="preserve">professional service </w:t>
      </w:r>
      <w:r>
        <w:t xml:space="preserve">expenses for </w:t>
      </w:r>
      <w:r w:rsidR="00AD4091">
        <w:t>almost</w:t>
      </w:r>
      <w:r w:rsidR="006F70D9">
        <w:t xml:space="preserve"> 6,</w:t>
      </w:r>
      <w:r w:rsidR="00AD4091">
        <w:t>8</w:t>
      </w:r>
      <w:r w:rsidR="006F70D9">
        <w:t xml:space="preserve">00 </w:t>
      </w:r>
      <w:r>
        <w:t>charities that move to a lower threshold</w:t>
      </w:r>
      <w:r w:rsidR="006F70D9">
        <w:t xml:space="preserve"> (representing more than 10 percent of the sector)</w:t>
      </w:r>
      <w:r>
        <w:t>.</w:t>
      </w:r>
    </w:p>
    <w:p w14:paraId="05564DC8" w14:textId="77777777" w:rsidR="00403C33" w:rsidRDefault="006F70D9" w:rsidP="00403C33">
      <w:pPr>
        <w:pStyle w:val="Bullet"/>
        <w:numPr>
          <w:ilvl w:val="0"/>
          <w:numId w:val="0"/>
        </w:numPr>
        <w:spacing w:after="160" w:line="259" w:lineRule="auto"/>
      </w:pPr>
      <w:r>
        <w:t>A</w:t>
      </w:r>
      <w:r w:rsidR="00403C33">
        <w:t xml:space="preserve">pproximately </w:t>
      </w:r>
      <w:r w:rsidR="00403C33" w:rsidRPr="00D90333">
        <w:t>3</w:t>
      </w:r>
      <w:r w:rsidR="00403C33">
        <w:t>,</w:t>
      </w:r>
      <w:r w:rsidR="00701CDD">
        <w:t>3</w:t>
      </w:r>
      <w:r w:rsidR="00403C33" w:rsidRPr="00D90333">
        <w:t>00</w:t>
      </w:r>
      <w:r w:rsidR="00403C33">
        <w:t xml:space="preserve"> charities</w:t>
      </w:r>
      <w:r w:rsidR="00403C33" w:rsidRPr="008115AB">
        <w:t xml:space="preserve"> </w:t>
      </w:r>
      <w:r w:rsidR="00403C33">
        <w:t xml:space="preserve">would move from the medium category to the small category, and therefore no longer be required </w:t>
      </w:r>
      <w:r w:rsidR="00403C33" w:rsidRPr="008115AB">
        <w:t xml:space="preserve">to produce reviewed financial </w:t>
      </w:r>
      <w:r w:rsidR="00B05C7C">
        <w:t>reports</w:t>
      </w:r>
      <w:r>
        <w:t>. This</w:t>
      </w:r>
      <w:r w:rsidR="00403C33">
        <w:t xml:space="preserve"> would save </w:t>
      </w:r>
      <w:r>
        <w:t xml:space="preserve">these charities </w:t>
      </w:r>
      <w:r w:rsidR="00403C33">
        <w:t xml:space="preserve">around </w:t>
      </w:r>
      <w:r w:rsidR="00403C33" w:rsidRPr="008115AB">
        <w:t xml:space="preserve">$2,400 </w:t>
      </w:r>
      <w:r w:rsidR="00403C33">
        <w:t xml:space="preserve">in </w:t>
      </w:r>
      <w:r w:rsidR="00B05C7C">
        <w:t xml:space="preserve">professional service </w:t>
      </w:r>
      <w:r w:rsidR="00403C33">
        <w:t xml:space="preserve">expenses </w:t>
      </w:r>
      <w:r w:rsidR="00403C33" w:rsidRPr="008115AB">
        <w:t>annually</w:t>
      </w:r>
      <w:r w:rsidR="00403C33">
        <w:t xml:space="preserve">. </w:t>
      </w:r>
    </w:p>
    <w:p w14:paraId="5AF2982B" w14:textId="6E7D39A7" w:rsidR="00403C33" w:rsidRPr="008115AB" w:rsidRDefault="00AD4091" w:rsidP="00403C33">
      <w:pPr>
        <w:pStyle w:val="Bullet"/>
        <w:numPr>
          <w:ilvl w:val="0"/>
          <w:numId w:val="0"/>
        </w:numPr>
        <w:spacing w:after="160" w:line="259" w:lineRule="auto"/>
      </w:pPr>
      <w:r>
        <w:t>Nearly</w:t>
      </w:r>
      <w:r w:rsidR="00701CDD">
        <w:t xml:space="preserve"> </w:t>
      </w:r>
      <w:r w:rsidR="00403C33">
        <w:t>3,</w:t>
      </w:r>
      <w:r>
        <w:t>5</w:t>
      </w:r>
      <w:r w:rsidR="00403C33">
        <w:t>00 charities</w:t>
      </w:r>
      <w:r w:rsidR="00403C33" w:rsidRPr="008115AB">
        <w:t xml:space="preserve"> </w:t>
      </w:r>
      <w:r w:rsidR="00403C33">
        <w:t xml:space="preserve">would move from the large category to the medium category, and therefore </w:t>
      </w:r>
      <w:r w:rsidR="00403C33" w:rsidRPr="008115AB">
        <w:t xml:space="preserve">no longer </w:t>
      </w:r>
      <w:r w:rsidR="00403C33">
        <w:t xml:space="preserve">be required </w:t>
      </w:r>
      <w:r w:rsidR="00403C33" w:rsidRPr="008115AB">
        <w:t>to produce au</w:t>
      </w:r>
      <w:r w:rsidR="00403C33">
        <w:t xml:space="preserve">dited financial </w:t>
      </w:r>
      <w:r w:rsidR="00B05C7C">
        <w:t>reports</w:t>
      </w:r>
      <w:r w:rsidR="00701CDD">
        <w:t xml:space="preserve">.  These charities </w:t>
      </w:r>
      <w:r w:rsidR="00403C33">
        <w:t>would save</w:t>
      </w:r>
      <w:r w:rsidR="00403C33" w:rsidRPr="008115AB">
        <w:t xml:space="preserve"> </w:t>
      </w:r>
      <w:r w:rsidR="00403C33">
        <w:t xml:space="preserve">around </w:t>
      </w:r>
      <w:r w:rsidR="00403C33" w:rsidRPr="008115AB">
        <w:t xml:space="preserve">$3,000 </w:t>
      </w:r>
      <w:r w:rsidR="00403C33">
        <w:t xml:space="preserve">in </w:t>
      </w:r>
      <w:r w:rsidR="00B05C7C">
        <w:t xml:space="preserve">professional service </w:t>
      </w:r>
      <w:r w:rsidR="00403C33">
        <w:t xml:space="preserve">expenses </w:t>
      </w:r>
      <w:r w:rsidR="00403C33" w:rsidRPr="008115AB">
        <w:t>annually</w:t>
      </w:r>
      <w:r w:rsidR="00403C33">
        <w:t>.</w:t>
      </w:r>
    </w:p>
    <w:p w14:paraId="27C49166" w14:textId="77777777" w:rsidR="00403C33" w:rsidRDefault="00403C33" w:rsidP="006F70D9">
      <w:pPr>
        <w:pStyle w:val="Bullet"/>
        <w:numPr>
          <w:ilvl w:val="0"/>
          <w:numId w:val="0"/>
        </w:numPr>
        <w:spacing w:after="160" w:line="259" w:lineRule="auto"/>
      </w:pPr>
      <w:r>
        <w:t xml:space="preserve">This will allow these charities to redirect their resources </w:t>
      </w:r>
      <w:r w:rsidR="00573EF4">
        <w:t xml:space="preserve">to </w:t>
      </w:r>
      <w:r>
        <w:t>fulfilling their charitable purpose</w:t>
      </w:r>
      <w:r w:rsidR="006F70D9">
        <w:t xml:space="preserve">, including helping vulnerable Australians. </w:t>
      </w:r>
      <w:r>
        <w:t>This will support the charity sector at a time when</w:t>
      </w:r>
      <w:r w:rsidR="00B05C7C">
        <w:t>, for many charities,</w:t>
      </w:r>
      <w:r>
        <w:t xml:space="preserve"> donations have plummeted, access to volunteers is constrained, and demand for services has increased.</w:t>
      </w:r>
    </w:p>
    <w:p w14:paraId="3B0ABF7C" w14:textId="77777777" w:rsidR="00951BDC" w:rsidRDefault="00951BDC" w:rsidP="00951BDC">
      <w:r>
        <w:t xml:space="preserve">Table 3 below illustrates the number of </w:t>
      </w:r>
      <w:r w:rsidR="009850E9">
        <w:t>ACNC-registered</w:t>
      </w:r>
      <w:r>
        <w:t xml:space="preserve"> charities that would see a reduction in their reporting requirements under the proposed new thresholds</w:t>
      </w:r>
      <w:r w:rsidR="00231EA8">
        <w:t xml:space="preserve">. </w:t>
      </w:r>
      <w:r w:rsidR="00B8113E">
        <w:t xml:space="preserve">The table </w:t>
      </w:r>
      <w:r>
        <w:t xml:space="preserve">separates out </w:t>
      </w:r>
      <w:r w:rsidR="00701CDD">
        <w:lastRenderedPageBreak/>
        <w:t>ACNC</w:t>
      </w:r>
      <w:r w:rsidR="00701CDD">
        <w:noBreakHyphen/>
      </w:r>
      <w:r>
        <w:t xml:space="preserve">registered charities that are also incorporated associations from those </w:t>
      </w:r>
      <w:r w:rsidR="00701CDD">
        <w:t>ACNC</w:t>
      </w:r>
      <w:r w:rsidR="00701CDD">
        <w:noBreakHyphen/>
        <w:t>registered charities that use a different structure.  It also provides data on the number of ACNC</w:t>
      </w:r>
      <w:r w:rsidR="00701CDD">
        <w:noBreakHyphen/>
        <w:t xml:space="preserve">registered </w:t>
      </w:r>
      <w:r>
        <w:t xml:space="preserve">incorporated associations which would be impacted in each jurisdiction. </w:t>
      </w:r>
    </w:p>
    <w:p w14:paraId="2660D230" w14:textId="77777777" w:rsidR="00951BDC" w:rsidRDefault="00951BDC" w:rsidP="00951BDC">
      <w:pPr>
        <w:pStyle w:val="Heading3"/>
      </w:pPr>
      <w:bookmarkStart w:id="15" w:name="_Toc63934884"/>
      <w:r>
        <w:t>Table</w:t>
      </w:r>
      <w:r w:rsidR="009850E9">
        <w:t xml:space="preserve"> 3: ACNC-registered charities that</w:t>
      </w:r>
      <w:r>
        <w:t xml:space="preserve"> would potentially change tiers under proposed thresholds</w:t>
      </w:r>
      <w:bookmarkEnd w:id="15"/>
    </w:p>
    <w:tbl>
      <w:tblPr>
        <w:tblStyle w:val="ListTable3-Accent1"/>
        <w:tblW w:w="5395" w:type="pct"/>
        <w:tblLayout w:type="fixed"/>
        <w:tblLook w:val="04A0" w:firstRow="1" w:lastRow="0" w:firstColumn="1" w:lastColumn="0" w:noHBand="0" w:noVBand="1"/>
      </w:tblPr>
      <w:tblGrid>
        <w:gridCol w:w="1125"/>
        <w:gridCol w:w="1135"/>
        <w:gridCol w:w="1038"/>
        <w:gridCol w:w="620"/>
        <w:gridCol w:w="620"/>
        <w:gridCol w:w="622"/>
        <w:gridCol w:w="620"/>
        <w:gridCol w:w="620"/>
        <w:gridCol w:w="620"/>
        <w:gridCol w:w="487"/>
        <w:gridCol w:w="415"/>
        <w:gridCol w:w="1005"/>
        <w:gridCol w:w="849"/>
      </w:tblGrid>
      <w:tr w:rsidR="00C95858" w:rsidRPr="001708B7" w14:paraId="745E484E" w14:textId="77777777" w:rsidTr="00763AA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76" w:type="pct"/>
            <w:vMerge w:val="restart"/>
            <w:noWrap/>
            <w:hideMark/>
          </w:tcPr>
          <w:p w14:paraId="6B6C429E" w14:textId="77777777" w:rsidR="00C95858" w:rsidRPr="00DA6554" w:rsidRDefault="00C95858" w:rsidP="004A7B9A">
            <w:pPr>
              <w:rPr>
                <w:rFonts w:cstheme="minorHAnsi"/>
                <w:sz w:val="20"/>
              </w:rPr>
            </w:pPr>
          </w:p>
        </w:tc>
        <w:tc>
          <w:tcPr>
            <w:tcW w:w="581" w:type="pct"/>
            <w:vMerge w:val="restart"/>
            <w:noWrap/>
            <w:hideMark/>
          </w:tcPr>
          <w:p w14:paraId="334496AB" w14:textId="77777777" w:rsidR="00C95858" w:rsidRPr="00DA6554" w:rsidRDefault="00C95858" w:rsidP="004A7B9A">
            <w:pPr>
              <w:cnfStyle w:val="100000000000" w:firstRow="1" w:lastRow="0" w:firstColumn="0" w:lastColumn="0" w:oddVBand="0" w:evenVBand="0" w:oddHBand="0" w:evenHBand="0" w:firstRowFirstColumn="0" w:firstRowLastColumn="0" w:lastRowFirstColumn="0" w:lastRowLastColumn="0"/>
              <w:rPr>
                <w:rFonts w:cstheme="minorHAnsi"/>
                <w:sz w:val="20"/>
              </w:rPr>
            </w:pPr>
            <w:r>
              <w:rPr>
                <w:rFonts w:cstheme="minorHAnsi"/>
                <w:sz w:val="20"/>
              </w:rPr>
              <w:t>All other legal structures</w:t>
            </w:r>
          </w:p>
        </w:tc>
        <w:tc>
          <w:tcPr>
            <w:tcW w:w="2895" w:type="pct"/>
            <w:gridSpan w:val="9"/>
            <w:noWrap/>
            <w:hideMark/>
          </w:tcPr>
          <w:p w14:paraId="6954EDEB" w14:textId="77777777" w:rsidR="00C95858" w:rsidRPr="00DA6554" w:rsidRDefault="00C95858" w:rsidP="00992626">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DA6554">
              <w:rPr>
                <w:rFonts w:cstheme="minorHAnsi"/>
                <w:sz w:val="20"/>
              </w:rPr>
              <w:t>Incorporated associations</w:t>
            </w:r>
          </w:p>
        </w:tc>
        <w:tc>
          <w:tcPr>
            <w:tcW w:w="514" w:type="pct"/>
            <w:noWrap/>
            <w:hideMark/>
          </w:tcPr>
          <w:p w14:paraId="7A383B5E" w14:textId="77777777" w:rsidR="00C95858" w:rsidRPr="00DA6554" w:rsidRDefault="00C95858" w:rsidP="004A7B9A">
            <w:pPr>
              <w:cnfStyle w:val="100000000000" w:firstRow="1" w:lastRow="0" w:firstColumn="0" w:lastColumn="0" w:oddVBand="0" w:evenVBand="0" w:oddHBand="0" w:evenHBand="0" w:firstRowFirstColumn="0" w:firstRowLastColumn="0" w:lastRowFirstColumn="0" w:lastRowLastColumn="0"/>
              <w:rPr>
                <w:rFonts w:cstheme="minorHAnsi"/>
                <w:sz w:val="20"/>
              </w:rPr>
            </w:pPr>
          </w:p>
        </w:tc>
        <w:tc>
          <w:tcPr>
            <w:tcW w:w="434" w:type="pct"/>
            <w:vMerge w:val="restart"/>
            <w:noWrap/>
            <w:hideMark/>
          </w:tcPr>
          <w:p w14:paraId="5A4A6DAC" w14:textId="77777777" w:rsidR="00C95858" w:rsidRPr="00C95858" w:rsidRDefault="00C95858" w:rsidP="004A7B9A">
            <w:pPr>
              <w:cnfStyle w:val="100000000000" w:firstRow="1" w:lastRow="0" w:firstColumn="0" w:lastColumn="0" w:oddVBand="0" w:evenVBand="0" w:oddHBand="0" w:evenHBand="0" w:firstRowFirstColumn="0" w:firstRowLastColumn="0" w:lastRowFirstColumn="0" w:lastRowLastColumn="0"/>
              <w:rPr>
                <w:rFonts w:cstheme="minorHAnsi"/>
                <w:sz w:val="20"/>
              </w:rPr>
            </w:pPr>
            <w:r w:rsidRPr="00C95858">
              <w:rPr>
                <w:rFonts w:cstheme="minorHAnsi"/>
                <w:sz w:val="20"/>
              </w:rPr>
              <w:t xml:space="preserve">Total </w:t>
            </w:r>
          </w:p>
        </w:tc>
      </w:tr>
      <w:tr w:rsidR="00C95858" w:rsidRPr="001708B7" w14:paraId="6C7F5B27" w14:textId="77777777" w:rsidTr="00763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vMerge/>
            <w:noWrap/>
            <w:hideMark/>
          </w:tcPr>
          <w:p w14:paraId="6008DCF5" w14:textId="77777777" w:rsidR="00C95858" w:rsidRPr="001708B7" w:rsidRDefault="00C95858" w:rsidP="004A7B9A">
            <w:pPr>
              <w:rPr>
                <w:rFonts w:cstheme="minorHAnsi"/>
                <w:sz w:val="20"/>
              </w:rPr>
            </w:pPr>
          </w:p>
        </w:tc>
        <w:tc>
          <w:tcPr>
            <w:tcW w:w="581" w:type="pct"/>
            <w:vMerge/>
            <w:noWrap/>
            <w:hideMark/>
          </w:tcPr>
          <w:p w14:paraId="4F119053" w14:textId="77777777" w:rsidR="00C95858" w:rsidRPr="001708B7" w:rsidRDefault="00C95858" w:rsidP="004A7B9A">
            <w:pPr>
              <w:cnfStyle w:val="000000100000" w:firstRow="0" w:lastRow="0" w:firstColumn="0" w:lastColumn="0" w:oddVBand="0" w:evenVBand="0" w:oddHBand="1" w:evenHBand="0" w:firstRowFirstColumn="0" w:firstRowLastColumn="0" w:lastRowFirstColumn="0" w:lastRowLastColumn="0"/>
              <w:rPr>
                <w:rFonts w:cstheme="minorHAnsi"/>
                <w:color w:val="000000"/>
                <w:sz w:val="20"/>
              </w:rPr>
            </w:pPr>
          </w:p>
        </w:tc>
        <w:tc>
          <w:tcPr>
            <w:tcW w:w="531" w:type="pct"/>
            <w:noWrap/>
            <w:hideMark/>
          </w:tcPr>
          <w:p w14:paraId="6FDA9A83" w14:textId="77777777" w:rsidR="00C95858" w:rsidRPr="00CC5AED" w:rsidRDefault="00C95858" w:rsidP="004A7B9A">
            <w:pPr>
              <w:cnfStyle w:val="000000100000" w:firstRow="0" w:lastRow="0" w:firstColumn="0" w:lastColumn="0" w:oddVBand="0" w:evenVBand="0" w:oddHBand="1" w:evenHBand="0" w:firstRowFirstColumn="0" w:firstRowLastColumn="0" w:lastRowFirstColumn="0" w:lastRowLastColumn="0"/>
              <w:rPr>
                <w:rFonts w:cstheme="minorHAnsi"/>
                <w:i/>
                <w:color w:val="000000"/>
                <w:sz w:val="20"/>
              </w:rPr>
            </w:pPr>
            <w:r w:rsidRPr="00CC5AED">
              <w:rPr>
                <w:rFonts w:cstheme="minorHAnsi"/>
                <w:i/>
                <w:color w:val="000000"/>
                <w:sz w:val="20"/>
              </w:rPr>
              <w:t>NSW</w:t>
            </w:r>
          </w:p>
        </w:tc>
        <w:tc>
          <w:tcPr>
            <w:tcW w:w="317" w:type="pct"/>
            <w:noWrap/>
            <w:hideMark/>
          </w:tcPr>
          <w:p w14:paraId="3066960B" w14:textId="77777777" w:rsidR="00C95858" w:rsidRPr="00CC5AED" w:rsidRDefault="00C95858" w:rsidP="004A7B9A">
            <w:pPr>
              <w:cnfStyle w:val="000000100000" w:firstRow="0" w:lastRow="0" w:firstColumn="0" w:lastColumn="0" w:oddVBand="0" w:evenVBand="0" w:oddHBand="1" w:evenHBand="0" w:firstRowFirstColumn="0" w:firstRowLastColumn="0" w:lastRowFirstColumn="0" w:lastRowLastColumn="0"/>
              <w:rPr>
                <w:rFonts w:cstheme="minorHAnsi"/>
                <w:i/>
                <w:color w:val="000000"/>
                <w:sz w:val="20"/>
              </w:rPr>
            </w:pPr>
            <w:r w:rsidRPr="00CC5AED">
              <w:rPr>
                <w:rFonts w:cstheme="minorHAnsi"/>
                <w:i/>
                <w:color w:val="000000"/>
                <w:sz w:val="20"/>
              </w:rPr>
              <w:t>VIC</w:t>
            </w:r>
          </w:p>
        </w:tc>
        <w:tc>
          <w:tcPr>
            <w:tcW w:w="317" w:type="pct"/>
            <w:noWrap/>
            <w:hideMark/>
          </w:tcPr>
          <w:p w14:paraId="6A96E09C" w14:textId="77777777" w:rsidR="00C95858" w:rsidRPr="00CC5AED" w:rsidRDefault="00C95858" w:rsidP="004A7B9A">
            <w:pPr>
              <w:cnfStyle w:val="000000100000" w:firstRow="0" w:lastRow="0" w:firstColumn="0" w:lastColumn="0" w:oddVBand="0" w:evenVBand="0" w:oddHBand="1" w:evenHBand="0" w:firstRowFirstColumn="0" w:firstRowLastColumn="0" w:lastRowFirstColumn="0" w:lastRowLastColumn="0"/>
              <w:rPr>
                <w:rFonts w:cstheme="minorHAnsi"/>
                <w:i/>
                <w:color w:val="000000"/>
                <w:sz w:val="20"/>
              </w:rPr>
            </w:pPr>
            <w:r w:rsidRPr="00CC5AED">
              <w:rPr>
                <w:rFonts w:cstheme="minorHAnsi"/>
                <w:i/>
                <w:color w:val="000000"/>
                <w:sz w:val="20"/>
              </w:rPr>
              <w:t>QLD</w:t>
            </w:r>
          </w:p>
        </w:tc>
        <w:tc>
          <w:tcPr>
            <w:tcW w:w="318" w:type="pct"/>
            <w:noWrap/>
            <w:hideMark/>
          </w:tcPr>
          <w:p w14:paraId="3933BEDA" w14:textId="77777777" w:rsidR="00C95858" w:rsidRPr="00CC5AED" w:rsidRDefault="00C95858" w:rsidP="004A7B9A">
            <w:pPr>
              <w:cnfStyle w:val="000000100000" w:firstRow="0" w:lastRow="0" w:firstColumn="0" w:lastColumn="0" w:oddVBand="0" w:evenVBand="0" w:oddHBand="1" w:evenHBand="0" w:firstRowFirstColumn="0" w:firstRowLastColumn="0" w:lastRowFirstColumn="0" w:lastRowLastColumn="0"/>
              <w:rPr>
                <w:rFonts w:cstheme="minorHAnsi"/>
                <w:i/>
                <w:color w:val="000000"/>
                <w:sz w:val="20"/>
              </w:rPr>
            </w:pPr>
            <w:r w:rsidRPr="00CC5AED">
              <w:rPr>
                <w:rFonts w:cstheme="minorHAnsi"/>
                <w:i/>
                <w:color w:val="000000"/>
                <w:sz w:val="20"/>
              </w:rPr>
              <w:t>SA</w:t>
            </w:r>
          </w:p>
        </w:tc>
        <w:tc>
          <w:tcPr>
            <w:tcW w:w="317" w:type="pct"/>
            <w:noWrap/>
            <w:hideMark/>
          </w:tcPr>
          <w:p w14:paraId="112D868B" w14:textId="77777777" w:rsidR="00C95858" w:rsidRPr="00CC5AED" w:rsidRDefault="00C95858" w:rsidP="004A7B9A">
            <w:pPr>
              <w:cnfStyle w:val="000000100000" w:firstRow="0" w:lastRow="0" w:firstColumn="0" w:lastColumn="0" w:oddVBand="0" w:evenVBand="0" w:oddHBand="1" w:evenHBand="0" w:firstRowFirstColumn="0" w:firstRowLastColumn="0" w:lastRowFirstColumn="0" w:lastRowLastColumn="0"/>
              <w:rPr>
                <w:rFonts w:cstheme="minorHAnsi"/>
                <w:i/>
                <w:color w:val="000000"/>
                <w:sz w:val="20"/>
              </w:rPr>
            </w:pPr>
            <w:r w:rsidRPr="00CC5AED">
              <w:rPr>
                <w:rFonts w:cstheme="minorHAnsi"/>
                <w:i/>
                <w:color w:val="000000"/>
                <w:sz w:val="20"/>
              </w:rPr>
              <w:t>WA</w:t>
            </w:r>
          </w:p>
        </w:tc>
        <w:tc>
          <w:tcPr>
            <w:tcW w:w="317" w:type="pct"/>
            <w:noWrap/>
            <w:hideMark/>
          </w:tcPr>
          <w:p w14:paraId="1A8F31B4" w14:textId="77777777" w:rsidR="00C95858" w:rsidRPr="00CC5AED" w:rsidRDefault="00C95858" w:rsidP="004A7B9A">
            <w:pPr>
              <w:cnfStyle w:val="000000100000" w:firstRow="0" w:lastRow="0" w:firstColumn="0" w:lastColumn="0" w:oddVBand="0" w:evenVBand="0" w:oddHBand="1" w:evenHBand="0" w:firstRowFirstColumn="0" w:firstRowLastColumn="0" w:lastRowFirstColumn="0" w:lastRowLastColumn="0"/>
              <w:rPr>
                <w:rFonts w:cstheme="minorHAnsi"/>
                <w:i/>
                <w:color w:val="000000"/>
                <w:sz w:val="20"/>
              </w:rPr>
            </w:pPr>
            <w:r w:rsidRPr="00CC5AED">
              <w:rPr>
                <w:rFonts w:cstheme="minorHAnsi"/>
                <w:i/>
                <w:color w:val="000000"/>
                <w:sz w:val="20"/>
              </w:rPr>
              <w:t>TAS</w:t>
            </w:r>
          </w:p>
        </w:tc>
        <w:tc>
          <w:tcPr>
            <w:tcW w:w="317" w:type="pct"/>
            <w:noWrap/>
            <w:hideMark/>
          </w:tcPr>
          <w:p w14:paraId="02728A81" w14:textId="77777777" w:rsidR="00C95858" w:rsidRPr="00CC5AED" w:rsidRDefault="00C95858" w:rsidP="004A7B9A">
            <w:pPr>
              <w:cnfStyle w:val="000000100000" w:firstRow="0" w:lastRow="0" w:firstColumn="0" w:lastColumn="0" w:oddVBand="0" w:evenVBand="0" w:oddHBand="1" w:evenHBand="0" w:firstRowFirstColumn="0" w:firstRowLastColumn="0" w:lastRowFirstColumn="0" w:lastRowLastColumn="0"/>
              <w:rPr>
                <w:rFonts w:cstheme="minorHAnsi"/>
                <w:i/>
                <w:color w:val="000000"/>
                <w:sz w:val="20"/>
              </w:rPr>
            </w:pPr>
            <w:r w:rsidRPr="00CC5AED">
              <w:rPr>
                <w:rFonts w:cstheme="minorHAnsi"/>
                <w:i/>
                <w:color w:val="000000"/>
                <w:sz w:val="20"/>
              </w:rPr>
              <w:t>ACT</w:t>
            </w:r>
          </w:p>
        </w:tc>
        <w:tc>
          <w:tcPr>
            <w:tcW w:w="249" w:type="pct"/>
            <w:tcBorders>
              <w:right w:val="single" w:sz="4" w:space="0" w:color="auto"/>
            </w:tcBorders>
            <w:noWrap/>
            <w:hideMark/>
          </w:tcPr>
          <w:p w14:paraId="7F382E9B" w14:textId="77777777" w:rsidR="00C95858" w:rsidRPr="00CC5AED" w:rsidRDefault="00C95858" w:rsidP="004A7B9A">
            <w:pPr>
              <w:cnfStyle w:val="000000100000" w:firstRow="0" w:lastRow="0" w:firstColumn="0" w:lastColumn="0" w:oddVBand="0" w:evenVBand="0" w:oddHBand="1" w:evenHBand="0" w:firstRowFirstColumn="0" w:firstRowLastColumn="0" w:lastRowFirstColumn="0" w:lastRowLastColumn="0"/>
              <w:rPr>
                <w:rFonts w:cstheme="minorHAnsi"/>
                <w:i/>
                <w:color w:val="000000"/>
                <w:sz w:val="20"/>
              </w:rPr>
            </w:pPr>
            <w:r w:rsidRPr="00CC5AED">
              <w:rPr>
                <w:rFonts w:cstheme="minorHAnsi"/>
                <w:i/>
                <w:color w:val="000000"/>
                <w:sz w:val="20"/>
              </w:rPr>
              <w:t>NT</w:t>
            </w:r>
          </w:p>
        </w:tc>
        <w:tc>
          <w:tcPr>
            <w:tcW w:w="726" w:type="pct"/>
            <w:gridSpan w:val="2"/>
            <w:tcBorders>
              <w:left w:val="single" w:sz="4" w:space="0" w:color="auto"/>
            </w:tcBorders>
            <w:noWrap/>
            <w:hideMark/>
          </w:tcPr>
          <w:p w14:paraId="2960F5E9" w14:textId="77777777" w:rsidR="00C95858" w:rsidRPr="00336064" w:rsidRDefault="00C95858" w:rsidP="004A7B9A">
            <w:pP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1708B7">
              <w:rPr>
                <w:rFonts w:cstheme="minorHAnsi"/>
                <w:color w:val="000000"/>
                <w:sz w:val="20"/>
              </w:rPr>
              <w:t>Total incorporated</w:t>
            </w:r>
          </w:p>
        </w:tc>
        <w:tc>
          <w:tcPr>
            <w:tcW w:w="434" w:type="pct"/>
            <w:vMerge/>
          </w:tcPr>
          <w:p w14:paraId="07C6B0F5" w14:textId="77777777" w:rsidR="00C95858" w:rsidRPr="00CC5AED" w:rsidRDefault="00C95858" w:rsidP="004A7B9A">
            <w:pPr>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p>
        </w:tc>
      </w:tr>
      <w:tr w:rsidR="006F70D9" w:rsidRPr="001708B7" w14:paraId="6F5DD889" w14:textId="77777777" w:rsidTr="00763AA0">
        <w:trPr>
          <w:trHeight w:val="300"/>
        </w:trPr>
        <w:tc>
          <w:tcPr>
            <w:cnfStyle w:val="001000000000" w:firstRow="0" w:lastRow="0" w:firstColumn="1" w:lastColumn="0" w:oddVBand="0" w:evenVBand="0" w:oddHBand="0" w:evenHBand="0" w:firstRowFirstColumn="0" w:firstRowLastColumn="0" w:lastRowFirstColumn="0" w:lastRowLastColumn="0"/>
            <w:tcW w:w="576" w:type="pct"/>
            <w:tcBorders>
              <w:top w:val="single" w:sz="4" w:space="0" w:color="002C47" w:themeColor="accent1"/>
              <w:bottom w:val="single" w:sz="4" w:space="0" w:color="002C47" w:themeColor="accent1"/>
              <w:right w:val="single" w:sz="4" w:space="0" w:color="auto"/>
            </w:tcBorders>
            <w:noWrap/>
            <w:hideMark/>
          </w:tcPr>
          <w:p w14:paraId="6CD8D130" w14:textId="77777777" w:rsidR="00951BDC" w:rsidRPr="001708B7" w:rsidRDefault="00951BDC" w:rsidP="004A7B9A">
            <w:pPr>
              <w:jc w:val="right"/>
              <w:rPr>
                <w:rFonts w:cstheme="minorHAnsi"/>
                <w:color w:val="000000"/>
                <w:sz w:val="20"/>
              </w:rPr>
            </w:pPr>
            <w:r w:rsidRPr="00336064">
              <w:rPr>
                <w:rFonts w:cstheme="minorHAnsi"/>
                <w:color w:val="000000"/>
                <w:sz w:val="20"/>
              </w:rPr>
              <w:t>Charities</w:t>
            </w:r>
            <w:r w:rsidR="007A6DF0" w:rsidRPr="001E486D">
              <w:rPr>
                <w:sz w:val="18"/>
                <w:szCs w:val="18"/>
                <w:vertAlign w:val="superscript"/>
              </w:rPr>
              <w:t>#</w:t>
            </w:r>
            <w:r w:rsidRPr="00336064">
              <w:rPr>
                <w:rFonts w:cstheme="minorHAnsi"/>
                <w:color w:val="000000"/>
                <w:sz w:val="20"/>
              </w:rPr>
              <w:t xml:space="preserve"> moving from medium to small</w:t>
            </w:r>
          </w:p>
        </w:tc>
        <w:tc>
          <w:tcPr>
            <w:tcW w:w="581" w:type="pct"/>
            <w:tcBorders>
              <w:top w:val="single" w:sz="4" w:space="0" w:color="002C47" w:themeColor="accent1"/>
              <w:left w:val="single" w:sz="4" w:space="0" w:color="auto"/>
              <w:bottom w:val="single" w:sz="4" w:space="0" w:color="002C47" w:themeColor="accent1"/>
              <w:right w:val="single" w:sz="4" w:space="0" w:color="auto"/>
            </w:tcBorders>
            <w:noWrap/>
            <w:hideMark/>
          </w:tcPr>
          <w:p w14:paraId="54DE1F8A" w14:textId="77777777" w:rsidR="00951BDC" w:rsidRPr="001708B7" w:rsidRDefault="00951BDC" w:rsidP="004A7B9A">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1708B7">
              <w:rPr>
                <w:rFonts w:cstheme="minorHAnsi"/>
                <w:color w:val="000000"/>
                <w:sz w:val="20"/>
              </w:rPr>
              <w:t>1337</w:t>
            </w:r>
          </w:p>
        </w:tc>
        <w:tc>
          <w:tcPr>
            <w:tcW w:w="531" w:type="pct"/>
            <w:tcBorders>
              <w:left w:val="single" w:sz="4" w:space="0" w:color="auto"/>
            </w:tcBorders>
            <w:noWrap/>
            <w:hideMark/>
          </w:tcPr>
          <w:p w14:paraId="686CC9C5" w14:textId="77777777" w:rsidR="00951BDC" w:rsidRPr="006F70D9" w:rsidRDefault="00951BDC" w:rsidP="00636C0A">
            <w:pPr>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rPr>
            </w:pPr>
            <w:r w:rsidRPr="006F70D9">
              <w:rPr>
                <w:rFonts w:cstheme="minorHAnsi"/>
                <w:i/>
                <w:color w:val="000000"/>
                <w:sz w:val="20"/>
              </w:rPr>
              <w:t>594</w:t>
            </w:r>
          </w:p>
        </w:tc>
        <w:tc>
          <w:tcPr>
            <w:tcW w:w="317" w:type="pct"/>
            <w:noWrap/>
            <w:hideMark/>
          </w:tcPr>
          <w:p w14:paraId="30858633" w14:textId="77777777" w:rsidR="00951BDC" w:rsidRPr="006F70D9" w:rsidRDefault="00951BDC" w:rsidP="00636C0A">
            <w:pPr>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rPr>
            </w:pPr>
            <w:r w:rsidRPr="006F70D9">
              <w:rPr>
                <w:rFonts w:cstheme="minorHAnsi"/>
                <w:i/>
                <w:color w:val="000000"/>
                <w:sz w:val="20"/>
              </w:rPr>
              <w:t>516</w:t>
            </w:r>
          </w:p>
        </w:tc>
        <w:tc>
          <w:tcPr>
            <w:tcW w:w="317" w:type="pct"/>
            <w:noWrap/>
            <w:hideMark/>
          </w:tcPr>
          <w:p w14:paraId="0D7A2121" w14:textId="77777777" w:rsidR="00951BDC" w:rsidRPr="006F70D9" w:rsidRDefault="00951BDC" w:rsidP="00636C0A">
            <w:pPr>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rPr>
            </w:pPr>
            <w:r w:rsidRPr="006F70D9">
              <w:rPr>
                <w:rFonts w:cstheme="minorHAnsi"/>
                <w:i/>
                <w:color w:val="000000"/>
                <w:sz w:val="20"/>
              </w:rPr>
              <w:t>343</w:t>
            </w:r>
          </w:p>
        </w:tc>
        <w:tc>
          <w:tcPr>
            <w:tcW w:w="318" w:type="pct"/>
            <w:noWrap/>
            <w:hideMark/>
          </w:tcPr>
          <w:p w14:paraId="2155B739" w14:textId="77777777" w:rsidR="00951BDC" w:rsidRPr="006F70D9" w:rsidRDefault="00951BDC" w:rsidP="00636C0A">
            <w:pPr>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rPr>
            </w:pPr>
            <w:r w:rsidRPr="006F70D9">
              <w:rPr>
                <w:rFonts w:cstheme="minorHAnsi"/>
                <w:i/>
                <w:color w:val="000000"/>
                <w:sz w:val="20"/>
              </w:rPr>
              <w:t>151</w:t>
            </w:r>
          </w:p>
        </w:tc>
        <w:tc>
          <w:tcPr>
            <w:tcW w:w="317" w:type="pct"/>
            <w:noWrap/>
            <w:hideMark/>
          </w:tcPr>
          <w:p w14:paraId="7062BD14" w14:textId="77777777" w:rsidR="00951BDC" w:rsidRPr="006F70D9" w:rsidRDefault="00951BDC" w:rsidP="00636C0A">
            <w:pPr>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rPr>
            </w:pPr>
            <w:r w:rsidRPr="006F70D9">
              <w:rPr>
                <w:rFonts w:cstheme="minorHAnsi"/>
                <w:i/>
                <w:color w:val="000000"/>
                <w:sz w:val="20"/>
              </w:rPr>
              <w:t>227</w:t>
            </w:r>
          </w:p>
        </w:tc>
        <w:tc>
          <w:tcPr>
            <w:tcW w:w="317" w:type="pct"/>
            <w:noWrap/>
            <w:hideMark/>
          </w:tcPr>
          <w:p w14:paraId="16FC8B06" w14:textId="77777777" w:rsidR="00951BDC" w:rsidRPr="006F70D9" w:rsidRDefault="00951BDC" w:rsidP="00636C0A">
            <w:pPr>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rPr>
            </w:pPr>
            <w:r w:rsidRPr="006F70D9">
              <w:rPr>
                <w:rFonts w:cstheme="minorHAnsi"/>
                <w:i/>
                <w:color w:val="000000"/>
                <w:sz w:val="20"/>
              </w:rPr>
              <w:t>77</w:t>
            </w:r>
          </w:p>
        </w:tc>
        <w:tc>
          <w:tcPr>
            <w:tcW w:w="317" w:type="pct"/>
            <w:noWrap/>
            <w:hideMark/>
          </w:tcPr>
          <w:p w14:paraId="716E283D" w14:textId="77777777" w:rsidR="00951BDC" w:rsidRPr="006F70D9" w:rsidRDefault="00951BDC" w:rsidP="00636C0A">
            <w:pPr>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rPr>
            </w:pPr>
            <w:r w:rsidRPr="006F70D9">
              <w:rPr>
                <w:rFonts w:cstheme="minorHAnsi"/>
                <w:i/>
                <w:color w:val="000000"/>
                <w:sz w:val="20"/>
              </w:rPr>
              <w:t>49</w:t>
            </w:r>
          </w:p>
        </w:tc>
        <w:tc>
          <w:tcPr>
            <w:tcW w:w="249" w:type="pct"/>
            <w:tcBorders>
              <w:top w:val="single" w:sz="4" w:space="0" w:color="002C47" w:themeColor="accent1"/>
              <w:bottom w:val="single" w:sz="4" w:space="0" w:color="002C47" w:themeColor="accent1"/>
              <w:right w:val="single" w:sz="4" w:space="0" w:color="auto"/>
            </w:tcBorders>
            <w:noWrap/>
            <w:hideMark/>
          </w:tcPr>
          <w:p w14:paraId="2A0A9BCE" w14:textId="77777777" w:rsidR="00951BDC" w:rsidRPr="006F70D9" w:rsidRDefault="00951BDC" w:rsidP="00636C0A">
            <w:pPr>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20"/>
              </w:rPr>
            </w:pPr>
            <w:r w:rsidRPr="006F70D9">
              <w:rPr>
                <w:rFonts w:cstheme="minorHAnsi"/>
                <w:i/>
                <w:color w:val="000000"/>
                <w:sz w:val="20"/>
              </w:rPr>
              <w:t>20</w:t>
            </w:r>
          </w:p>
        </w:tc>
        <w:tc>
          <w:tcPr>
            <w:tcW w:w="726" w:type="pct"/>
            <w:gridSpan w:val="2"/>
            <w:tcBorders>
              <w:top w:val="nil"/>
              <w:left w:val="single" w:sz="4" w:space="0" w:color="auto"/>
              <w:bottom w:val="single" w:sz="4" w:space="0" w:color="002C47" w:themeColor="accent1"/>
              <w:right w:val="single" w:sz="4" w:space="0" w:color="auto"/>
            </w:tcBorders>
            <w:noWrap/>
            <w:hideMark/>
          </w:tcPr>
          <w:p w14:paraId="7407FA2F" w14:textId="77777777" w:rsidR="00951BDC" w:rsidRPr="001708B7" w:rsidRDefault="00951BDC" w:rsidP="00636C0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1708B7">
              <w:rPr>
                <w:rFonts w:cstheme="minorHAnsi"/>
                <w:color w:val="000000"/>
                <w:sz w:val="20"/>
              </w:rPr>
              <w:t>1977</w:t>
            </w:r>
          </w:p>
        </w:tc>
        <w:tc>
          <w:tcPr>
            <w:tcW w:w="434" w:type="pct"/>
            <w:tcBorders>
              <w:left w:val="single" w:sz="4" w:space="0" w:color="auto"/>
            </w:tcBorders>
            <w:noWrap/>
            <w:hideMark/>
          </w:tcPr>
          <w:p w14:paraId="7115E0CC" w14:textId="152BCCE9" w:rsidR="00951BDC" w:rsidRPr="006F70D9" w:rsidRDefault="00951BDC" w:rsidP="008C2915">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rPr>
            </w:pPr>
            <w:r w:rsidRPr="006F70D9">
              <w:rPr>
                <w:rFonts w:cstheme="minorHAnsi"/>
                <w:b/>
                <w:color w:val="000000"/>
                <w:sz w:val="20"/>
              </w:rPr>
              <w:t>3</w:t>
            </w:r>
            <w:r w:rsidR="008C2915">
              <w:rPr>
                <w:rFonts w:cstheme="minorHAnsi"/>
                <w:b/>
                <w:color w:val="000000"/>
                <w:sz w:val="20"/>
              </w:rPr>
              <w:t>314</w:t>
            </w:r>
          </w:p>
        </w:tc>
      </w:tr>
      <w:tr w:rsidR="006F70D9" w:rsidRPr="001708B7" w14:paraId="239E1D7D" w14:textId="77777777" w:rsidTr="00763A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tcBorders>
              <w:right w:val="single" w:sz="4" w:space="0" w:color="auto"/>
            </w:tcBorders>
            <w:noWrap/>
            <w:hideMark/>
          </w:tcPr>
          <w:p w14:paraId="7E48E54B" w14:textId="77777777" w:rsidR="00951BDC" w:rsidRPr="001708B7" w:rsidRDefault="00951BDC" w:rsidP="004A7B9A">
            <w:pPr>
              <w:jc w:val="right"/>
              <w:rPr>
                <w:rFonts w:cstheme="minorHAnsi"/>
                <w:color w:val="000000"/>
                <w:sz w:val="20"/>
              </w:rPr>
            </w:pPr>
            <w:r w:rsidRPr="00336064">
              <w:rPr>
                <w:rFonts w:cstheme="minorHAnsi"/>
                <w:color w:val="000000"/>
                <w:sz w:val="20"/>
              </w:rPr>
              <w:t>Charities moving from large to medium</w:t>
            </w:r>
          </w:p>
        </w:tc>
        <w:tc>
          <w:tcPr>
            <w:tcW w:w="581" w:type="pct"/>
            <w:tcBorders>
              <w:left w:val="single" w:sz="4" w:space="0" w:color="auto"/>
              <w:right w:val="single" w:sz="4" w:space="0" w:color="auto"/>
            </w:tcBorders>
            <w:noWrap/>
            <w:hideMark/>
          </w:tcPr>
          <w:p w14:paraId="4D91733E" w14:textId="77777777" w:rsidR="00951BDC" w:rsidRPr="001708B7" w:rsidRDefault="00951BDC" w:rsidP="004A7B9A">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1708B7">
              <w:rPr>
                <w:rFonts w:cstheme="minorHAnsi"/>
                <w:color w:val="000000"/>
                <w:sz w:val="20"/>
              </w:rPr>
              <w:t>1825</w:t>
            </w:r>
          </w:p>
        </w:tc>
        <w:tc>
          <w:tcPr>
            <w:tcW w:w="531" w:type="pct"/>
            <w:tcBorders>
              <w:left w:val="single" w:sz="4" w:space="0" w:color="auto"/>
            </w:tcBorders>
            <w:noWrap/>
            <w:hideMark/>
          </w:tcPr>
          <w:p w14:paraId="5FFEFB3F" w14:textId="77777777" w:rsidR="00951BDC" w:rsidRPr="006F70D9" w:rsidRDefault="00951BDC" w:rsidP="00636C0A">
            <w:pPr>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20"/>
              </w:rPr>
            </w:pPr>
            <w:r w:rsidRPr="006F70D9">
              <w:rPr>
                <w:rFonts w:cstheme="minorHAnsi"/>
                <w:i/>
                <w:color w:val="000000"/>
                <w:sz w:val="20"/>
              </w:rPr>
              <w:t>480</w:t>
            </w:r>
          </w:p>
        </w:tc>
        <w:tc>
          <w:tcPr>
            <w:tcW w:w="317" w:type="pct"/>
            <w:noWrap/>
            <w:hideMark/>
          </w:tcPr>
          <w:p w14:paraId="53F9850A" w14:textId="77777777" w:rsidR="00951BDC" w:rsidRPr="006F70D9" w:rsidRDefault="00951BDC" w:rsidP="00636C0A">
            <w:pPr>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20"/>
              </w:rPr>
            </w:pPr>
            <w:r w:rsidRPr="006F70D9">
              <w:rPr>
                <w:rFonts w:cstheme="minorHAnsi"/>
                <w:i/>
                <w:color w:val="000000"/>
                <w:sz w:val="20"/>
              </w:rPr>
              <w:t>367</w:t>
            </w:r>
          </w:p>
        </w:tc>
        <w:tc>
          <w:tcPr>
            <w:tcW w:w="317" w:type="pct"/>
            <w:noWrap/>
            <w:hideMark/>
          </w:tcPr>
          <w:p w14:paraId="2671B2B7" w14:textId="77777777" w:rsidR="00951BDC" w:rsidRPr="006F70D9" w:rsidRDefault="00951BDC" w:rsidP="00636C0A">
            <w:pPr>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20"/>
              </w:rPr>
            </w:pPr>
            <w:r w:rsidRPr="006F70D9">
              <w:rPr>
                <w:rFonts w:cstheme="minorHAnsi"/>
                <w:i/>
                <w:color w:val="000000"/>
                <w:sz w:val="20"/>
              </w:rPr>
              <w:t>238</w:t>
            </w:r>
          </w:p>
        </w:tc>
        <w:tc>
          <w:tcPr>
            <w:tcW w:w="318" w:type="pct"/>
            <w:noWrap/>
            <w:hideMark/>
          </w:tcPr>
          <w:p w14:paraId="72E1E766" w14:textId="77777777" w:rsidR="00951BDC" w:rsidRPr="006F70D9" w:rsidRDefault="00951BDC" w:rsidP="00636C0A">
            <w:pPr>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20"/>
              </w:rPr>
            </w:pPr>
            <w:r w:rsidRPr="006F70D9">
              <w:rPr>
                <w:rFonts w:cstheme="minorHAnsi"/>
                <w:i/>
                <w:color w:val="000000"/>
                <w:sz w:val="20"/>
              </w:rPr>
              <w:t>171</w:t>
            </w:r>
          </w:p>
        </w:tc>
        <w:tc>
          <w:tcPr>
            <w:tcW w:w="317" w:type="pct"/>
            <w:noWrap/>
            <w:hideMark/>
          </w:tcPr>
          <w:p w14:paraId="5F773AD9" w14:textId="77777777" w:rsidR="00951BDC" w:rsidRPr="006F70D9" w:rsidRDefault="00951BDC" w:rsidP="00636C0A">
            <w:pPr>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20"/>
              </w:rPr>
            </w:pPr>
            <w:r w:rsidRPr="006F70D9">
              <w:rPr>
                <w:rFonts w:cstheme="minorHAnsi"/>
                <w:i/>
                <w:color w:val="000000"/>
                <w:sz w:val="20"/>
              </w:rPr>
              <w:t>239</w:t>
            </w:r>
          </w:p>
        </w:tc>
        <w:tc>
          <w:tcPr>
            <w:tcW w:w="317" w:type="pct"/>
            <w:noWrap/>
            <w:hideMark/>
          </w:tcPr>
          <w:p w14:paraId="7C198E57" w14:textId="77777777" w:rsidR="00951BDC" w:rsidRPr="006F70D9" w:rsidRDefault="00951BDC" w:rsidP="00636C0A">
            <w:pPr>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20"/>
              </w:rPr>
            </w:pPr>
            <w:r w:rsidRPr="006F70D9">
              <w:rPr>
                <w:rFonts w:cstheme="minorHAnsi"/>
                <w:i/>
                <w:color w:val="000000"/>
                <w:sz w:val="20"/>
              </w:rPr>
              <w:t>62</w:t>
            </w:r>
          </w:p>
        </w:tc>
        <w:tc>
          <w:tcPr>
            <w:tcW w:w="317" w:type="pct"/>
            <w:noWrap/>
            <w:hideMark/>
          </w:tcPr>
          <w:p w14:paraId="7B7694F1" w14:textId="77777777" w:rsidR="00951BDC" w:rsidRPr="006F70D9" w:rsidRDefault="00951BDC" w:rsidP="00636C0A">
            <w:pPr>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20"/>
              </w:rPr>
            </w:pPr>
            <w:r w:rsidRPr="006F70D9">
              <w:rPr>
                <w:rFonts w:cstheme="minorHAnsi"/>
                <w:i/>
                <w:color w:val="000000"/>
                <w:sz w:val="20"/>
              </w:rPr>
              <w:t>56</w:t>
            </w:r>
          </w:p>
        </w:tc>
        <w:tc>
          <w:tcPr>
            <w:tcW w:w="249" w:type="pct"/>
            <w:tcBorders>
              <w:right w:val="single" w:sz="4" w:space="0" w:color="auto"/>
            </w:tcBorders>
            <w:noWrap/>
            <w:hideMark/>
          </w:tcPr>
          <w:p w14:paraId="0F3CCCC7" w14:textId="77777777" w:rsidR="00951BDC" w:rsidRPr="006F70D9" w:rsidRDefault="00951BDC" w:rsidP="00636C0A">
            <w:pPr>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20"/>
              </w:rPr>
            </w:pPr>
            <w:r w:rsidRPr="006F70D9">
              <w:rPr>
                <w:rFonts w:cstheme="minorHAnsi"/>
                <w:i/>
                <w:color w:val="000000"/>
                <w:sz w:val="20"/>
              </w:rPr>
              <w:t>45</w:t>
            </w:r>
          </w:p>
        </w:tc>
        <w:tc>
          <w:tcPr>
            <w:tcW w:w="726" w:type="pct"/>
            <w:gridSpan w:val="2"/>
            <w:tcBorders>
              <w:left w:val="single" w:sz="4" w:space="0" w:color="auto"/>
              <w:right w:val="single" w:sz="4" w:space="0" w:color="auto"/>
            </w:tcBorders>
            <w:noWrap/>
            <w:hideMark/>
          </w:tcPr>
          <w:p w14:paraId="2A889F13" w14:textId="77777777" w:rsidR="00951BDC" w:rsidRPr="001708B7" w:rsidRDefault="00951BDC" w:rsidP="00636C0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1708B7">
              <w:rPr>
                <w:rFonts w:cstheme="minorHAnsi"/>
                <w:color w:val="000000"/>
                <w:sz w:val="20"/>
              </w:rPr>
              <w:t>1658</w:t>
            </w:r>
          </w:p>
        </w:tc>
        <w:tc>
          <w:tcPr>
            <w:tcW w:w="434" w:type="pct"/>
            <w:tcBorders>
              <w:left w:val="single" w:sz="4" w:space="0" w:color="auto"/>
            </w:tcBorders>
            <w:noWrap/>
            <w:hideMark/>
          </w:tcPr>
          <w:p w14:paraId="564B58E5" w14:textId="5ABF51B8" w:rsidR="00951BDC" w:rsidRPr="006F70D9" w:rsidRDefault="00951BDC" w:rsidP="00972226">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rPr>
            </w:pPr>
            <w:r w:rsidRPr="006F70D9">
              <w:rPr>
                <w:rFonts w:cstheme="minorHAnsi"/>
                <w:b/>
                <w:color w:val="000000"/>
                <w:sz w:val="20"/>
              </w:rPr>
              <w:t>34</w:t>
            </w:r>
            <w:r w:rsidR="00972226">
              <w:rPr>
                <w:rFonts w:cstheme="minorHAnsi"/>
                <w:b/>
                <w:color w:val="000000"/>
                <w:sz w:val="20"/>
              </w:rPr>
              <w:t>83</w:t>
            </w:r>
          </w:p>
        </w:tc>
      </w:tr>
      <w:tr w:rsidR="006F70D9" w:rsidRPr="001708B7" w14:paraId="01B59500" w14:textId="77777777" w:rsidTr="00763AA0">
        <w:trPr>
          <w:trHeight w:val="300"/>
        </w:trPr>
        <w:tc>
          <w:tcPr>
            <w:cnfStyle w:val="001000000000" w:firstRow="0" w:lastRow="0" w:firstColumn="1" w:lastColumn="0" w:oddVBand="0" w:evenVBand="0" w:oddHBand="0" w:evenHBand="0" w:firstRowFirstColumn="0" w:firstRowLastColumn="0" w:lastRowFirstColumn="0" w:lastRowLastColumn="0"/>
            <w:tcW w:w="576" w:type="pct"/>
            <w:tcBorders>
              <w:top w:val="single" w:sz="4" w:space="0" w:color="002C47" w:themeColor="accent1"/>
              <w:bottom w:val="single" w:sz="4" w:space="0" w:color="002C47" w:themeColor="accent1"/>
              <w:right w:val="single" w:sz="4" w:space="0" w:color="auto"/>
            </w:tcBorders>
            <w:noWrap/>
            <w:hideMark/>
          </w:tcPr>
          <w:p w14:paraId="03DE0527" w14:textId="77777777" w:rsidR="00951BDC" w:rsidRPr="001708B7" w:rsidRDefault="00951BDC" w:rsidP="004A7B9A">
            <w:pPr>
              <w:rPr>
                <w:rFonts w:cstheme="minorHAnsi"/>
                <w:sz w:val="20"/>
              </w:rPr>
            </w:pPr>
            <w:r w:rsidRPr="00336064">
              <w:rPr>
                <w:rFonts w:cstheme="minorHAnsi"/>
                <w:sz w:val="20"/>
              </w:rPr>
              <w:t>Total charities impacted</w:t>
            </w:r>
          </w:p>
        </w:tc>
        <w:tc>
          <w:tcPr>
            <w:tcW w:w="581" w:type="pct"/>
            <w:tcBorders>
              <w:top w:val="single" w:sz="4" w:space="0" w:color="002C47" w:themeColor="accent1"/>
              <w:left w:val="single" w:sz="4" w:space="0" w:color="auto"/>
              <w:bottom w:val="single" w:sz="4" w:space="0" w:color="002C47" w:themeColor="accent1"/>
              <w:right w:val="single" w:sz="4" w:space="0" w:color="auto"/>
            </w:tcBorders>
            <w:noWrap/>
            <w:hideMark/>
          </w:tcPr>
          <w:p w14:paraId="77785A3E" w14:textId="77777777" w:rsidR="00951BDC" w:rsidRPr="001708B7" w:rsidRDefault="00951BDC" w:rsidP="004A7B9A">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531" w:type="pct"/>
            <w:tcBorders>
              <w:left w:val="single" w:sz="4" w:space="0" w:color="auto"/>
            </w:tcBorders>
            <w:noWrap/>
            <w:hideMark/>
          </w:tcPr>
          <w:p w14:paraId="5F2AFBC0" w14:textId="77777777" w:rsidR="00951BDC" w:rsidRPr="00636C0A" w:rsidRDefault="00636C0A" w:rsidP="00636C0A">
            <w:pPr>
              <w:jc w:val="center"/>
              <w:cnfStyle w:val="000000000000" w:firstRow="0" w:lastRow="0" w:firstColumn="0" w:lastColumn="0" w:oddVBand="0" w:evenVBand="0" w:oddHBand="0" w:evenHBand="0" w:firstRowFirstColumn="0" w:firstRowLastColumn="0" w:lastRowFirstColumn="0" w:lastRowLastColumn="0"/>
              <w:rPr>
                <w:rFonts w:cstheme="minorHAnsi"/>
                <w:i/>
                <w:sz w:val="20"/>
              </w:rPr>
            </w:pPr>
            <w:r w:rsidRPr="00636C0A">
              <w:rPr>
                <w:rFonts w:cstheme="minorHAnsi"/>
                <w:i/>
                <w:sz w:val="20"/>
              </w:rPr>
              <w:t>1074</w:t>
            </w:r>
          </w:p>
        </w:tc>
        <w:tc>
          <w:tcPr>
            <w:tcW w:w="317" w:type="pct"/>
            <w:noWrap/>
            <w:hideMark/>
          </w:tcPr>
          <w:p w14:paraId="0F08DF14" w14:textId="77777777" w:rsidR="00951BDC" w:rsidRPr="00636C0A" w:rsidRDefault="00636C0A" w:rsidP="00636C0A">
            <w:pPr>
              <w:jc w:val="center"/>
              <w:cnfStyle w:val="000000000000" w:firstRow="0" w:lastRow="0" w:firstColumn="0" w:lastColumn="0" w:oddVBand="0" w:evenVBand="0" w:oddHBand="0" w:evenHBand="0" w:firstRowFirstColumn="0" w:firstRowLastColumn="0" w:lastRowFirstColumn="0" w:lastRowLastColumn="0"/>
              <w:rPr>
                <w:rFonts w:cstheme="minorHAnsi"/>
                <w:i/>
                <w:sz w:val="20"/>
              </w:rPr>
            </w:pPr>
            <w:r w:rsidRPr="00636C0A">
              <w:rPr>
                <w:rFonts w:cstheme="minorHAnsi"/>
                <w:i/>
                <w:sz w:val="20"/>
              </w:rPr>
              <w:t>883</w:t>
            </w:r>
          </w:p>
        </w:tc>
        <w:tc>
          <w:tcPr>
            <w:tcW w:w="317" w:type="pct"/>
            <w:noWrap/>
            <w:hideMark/>
          </w:tcPr>
          <w:p w14:paraId="6262AC13" w14:textId="77777777" w:rsidR="00951BDC" w:rsidRPr="00636C0A" w:rsidRDefault="00636C0A" w:rsidP="00636C0A">
            <w:pPr>
              <w:jc w:val="center"/>
              <w:cnfStyle w:val="000000000000" w:firstRow="0" w:lastRow="0" w:firstColumn="0" w:lastColumn="0" w:oddVBand="0" w:evenVBand="0" w:oddHBand="0" w:evenHBand="0" w:firstRowFirstColumn="0" w:firstRowLastColumn="0" w:lastRowFirstColumn="0" w:lastRowLastColumn="0"/>
              <w:rPr>
                <w:rFonts w:cstheme="minorHAnsi"/>
                <w:i/>
                <w:sz w:val="20"/>
              </w:rPr>
            </w:pPr>
            <w:r w:rsidRPr="00636C0A">
              <w:rPr>
                <w:rFonts w:cstheme="minorHAnsi"/>
                <w:i/>
                <w:sz w:val="20"/>
              </w:rPr>
              <w:t>581</w:t>
            </w:r>
          </w:p>
        </w:tc>
        <w:tc>
          <w:tcPr>
            <w:tcW w:w="318" w:type="pct"/>
            <w:noWrap/>
            <w:hideMark/>
          </w:tcPr>
          <w:p w14:paraId="7E703C60" w14:textId="54BE5027" w:rsidR="00951BDC" w:rsidRPr="00636C0A" w:rsidRDefault="00584AE8" w:rsidP="00636C0A">
            <w:pPr>
              <w:jc w:val="center"/>
              <w:cnfStyle w:val="000000000000" w:firstRow="0" w:lastRow="0" w:firstColumn="0" w:lastColumn="0" w:oddVBand="0" w:evenVBand="0" w:oddHBand="0" w:evenHBand="0" w:firstRowFirstColumn="0" w:firstRowLastColumn="0" w:lastRowFirstColumn="0" w:lastRowLastColumn="0"/>
              <w:rPr>
                <w:rFonts w:cstheme="minorHAnsi"/>
                <w:i/>
                <w:sz w:val="20"/>
              </w:rPr>
            </w:pPr>
            <w:r>
              <w:rPr>
                <w:rFonts w:cstheme="minorHAnsi"/>
                <w:i/>
                <w:sz w:val="20"/>
              </w:rPr>
              <w:t>3</w:t>
            </w:r>
            <w:r w:rsidR="00636C0A" w:rsidRPr="00636C0A">
              <w:rPr>
                <w:rFonts w:cstheme="minorHAnsi"/>
                <w:i/>
                <w:sz w:val="20"/>
              </w:rPr>
              <w:t>22</w:t>
            </w:r>
          </w:p>
        </w:tc>
        <w:tc>
          <w:tcPr>
            <w:tcW w:w="317" w:type="pct"/>
            <w:noWrap/>
            <w:hideMark/>
          </w:tcPr>
          <w:p w14:paraId="32C92929" w14:textId="77777777" w:rsidR="00951BDC" w:rsidRPr="00636C0A" w:rsidRDefault="00636C0A" w:rsidP="00636C0A">
            <w:pPr>
              <w:jc w:val="center"/>
              <w:cnfStyle w:val="000000000000" w:firstRow="0" w:lastRow="0" w:firstColumn="0" w:lastColumn="0" w:oddVBand="0" w:evenVBand="0" w:oddHBand="0" w:evenHBand="0" w:firstRowFirstColumn="0" w:firstRowLastColumn="0" w:lastRowFirstColumn="0" w:lastRowLastColumn="0"/>
              <w:rPr>
                <w:rFonts w:cstheme="minorHAnsi"/>
                <w:i/>
                <w:sz w:val="20"/>
              </w:rPr>
            </w:pPr>
            <w:r w:rsidRPr="00636C0A">
              <w:rPr>
                <w:rFonts w:cstheme="minorHAnsi"/>
                <w:i/>
                <w:sz w:val="20"/>
              </w:rPr>
              <w:t>466</w:t>
            </w:r>
          </w:p>
        </w:tc>
        <w:tc>
          <w:tcPr>
            <w:tcW w:w="317" w:type="pct"/>
            <w:noWrap/>
            <w:hideMark/>
          </w:tcPr>
          <w:p w14:paraId="6A3CCE27" w14:textId="77777777" w:rsidR="00951BDC" w:rsidRPr="00636C0A" w:rsidRDefault="00636C0A" w:rsidP="00636C0A">
            <w:pPr>
              <w:jc w:val="center"/>
              <w:cnfStyle w:val="000000000000" w:firstRow="0" w:lastRow="0" w:firstColumn="0" w:lastColumn="0" w:oddVBand="0" w:evenVBand="0" w:oddHBand="0" w:evenHBand="0" w:firstRowFirstColumn="0" w:firstRowLastColumn="0" w:lastRowFirstColumn="0" w:lastRowLastColumn="0"/>
              <w:rPr>
                <w:rFonts w:cstheme="minorHAnsi"/>
                <w:i/>
                <w:sz w:val="20"/>
              </w:rPr>
            </w:pPr>
            <w:r w:rsidRPr="00636C0A">
              <w:rPr>
                <w:rFonts w:cstheme="minorHAnsi"/>
                <w:i/>
                <w:sz w:val="20"/>
              </w:rPr>
              <w:t>139</w:t>
            </w:r>
          </w:p>
        </w:tc>
        <w:tc>
          <w:tcPr>
            <w:tcW w:w="317" w:type="pct"/>
            <w:noWrap/>
            <w:hideMark/>
          </w:tcPr>
          <w:p w14:paraId="39BD9A37" w14:textId="77777777" w:rsidR="00951BDC" w:rsidRPr="00636C0A" w:rsidRDefault="00636C0A" w:rsidP="00636C0A">
            <w:pPr>
              <w:jc w:val="center"/>
              <w:cnfStyle w:val="000000000000" w:firstRow="0" w:lastRow="0" w:firstColumn="0" w:lastColumn="0" w:oddVBand="0" w:evenVBand="0" w:oddHBand="0" w:evenHBand="0" w:firstRowFirstColumn="0" w:firstRowLastColumn="0" w:lastRowFirstColumn="0" w:lastRowLastColumn="0"/>
              <w:rPr>
                <w:rFonts w:cstheme="minorHAnsi"/>
                <w:i/>
                <w:sz w:val="20"/>
              </w:rPr>
            </w:pPr>
            <w:r w:rsidRPr="00636C0A">
              <w:rPr>
                <w:rFonts w:cstheme="minorHAnsi"/>
                <w:i/>
                <w:sz w:val="20"/>
              </w:rPr>
              <w:t>105</w:t>
            </w:r>
          </w:p>
        </w:tc>
        <w:tc>
          <w:tcPr>
            <w:tcW w:w="249" w:type="pct"/>
            <w:tcBorders>
              <w:top w:val="single" w:sz="4" w:space="0" w:color="002C47" w:themeColor="accent1"/>
              <w:bottom w:val="single" w:sz="4" w:space="0" w:color="002C47" w:themeColor="accent1"/>
              <w:right w:val="single" w:sz="4" w:space="0" w:color="auto"/>
            </w:tcBorders>
            <w:noWrap/>
            <w:hideMark/>
          </w:tcPr>
          <w:p w14:paraId="39D206F9" w14:textId="77777777" w:rsidR="00951BDC" w:rsidRPr="00636C0A" w:rsidRDefault="00636C0A" w:rsidP="00636C0A">
            <w:pPr>
              <w:jc w:val="center"/>
              <w:cnfStyle w:val="000000000000" w:firstRow="0" w:lastRow="0" w:firstColumn="0" w:lastColumn="0" w:oddVBand="0" w:evenVBand="0" w:oddHBand="0" w:evenHBand="0" w:firstRowFirstColumn="0" w:firstRowLastColumn="0" w:lastRowFirstColumn="0" w:lastRowLastColumn="0"/>
              <w:rPr>
                <w:rFonts w:cstheme="minorHAnsi"/>
                <w:i/>
                <w:sz w:val="20"/>
              </w:rPr>
            </w:pPr>
            <w:r w:rsidRPr="00636C0A">
              <w:rPr>
                <w:rFonts w:cstheme="minorHAnsi"/>
                <w:i/>
                <w:sz w:val="20"/>
              </w:rPr>
              <w:t>65</w:t>
            </w:r>
          </w:p>
        </w:tc>
        <w:tc>
          <w:tcPr>
            <w:tcW w:w="726" w:type="pct"/>
            <w:gridSpan w:val="2"/>
            <w:tcBorders>
              <w:top w:val="single" w:sz="4" w:space="0" w:color="002C47" w:themeColor="accent1"/>
              <w:left w:val="single" w:sz="4" w:space="0" w:color="auto"/>
              <w:bottom w:val="single" w:sz="4" w:space="0" w:color="002C47" w:themeColor="accent1"/>
              <w:right w:val="single" w:sz="4" w:space="0" w:color="auto"/>
            </w:tcBorders>
            <w:noWrap/>
            <w:hideMark/>
          </w:tcPr>
          <w:p w14:paraId="496253E0" w14:textId="77777777" w:rsidR="00951BDC" w:rsidRPr="001708B7" w:rsidRDefault="00951BDC" w:rsidP="00636C0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rPr>
            </w:pPr>
            <w:r w:rsidRPr="001708B7">
              <w:rPr>
                <w:rFonts w:cstheme="minorHAnsi"/>
                <w:color w:val="000000"/>
                <w:sz w:val="20"/>
              </w:rPr>
              <w:t>3635</w:t>
            </w:r>
          </w:p>
        </w:tc>
        <w:tc>
          <w:tcPr>
            <w:tcW w:w="434" w:type="pct"/>
            <w:tcBorders>
              <w:left w:val="single" w:sz="4" w:space="0" w:color="auto"/>
            </w:tcBorders>
            <w:noWrap/>
            <w:hideMark/>
          </w:tcPr>
          <w:p w14:paraId="5C3894E9" w14:textId="3A1FE5B5" w:rsidR="00951BDC" w:rsidRPr="006F70D9" w:rsidRDefault="00E34877" w:rsidP="00E34877">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rPr>
            </w:pPr>
            <w:r>
              <w:rPr>
                <w:rFonts w:cstheme="minorHAnsi"/>
                <w:b/>
                <w:color w:val="000000"/>
                <w:sz w:val="20"/>
              </w:rPr>
              <w:t>6797</w:t>
            </w:r>
          </w:p>
        </w:tc>
      </w:tr>
    </w:tbl>
    <w:p w14:paraId="2E21D91F" w14:textId="77777777" w:rsidR="007A6DF0" w:rsidRDefault="00951BDC" w:rsidP="00951BDC">
      <w:pPr>
        <w:rPr>
          <w:sz w:val="18"/>
          <w:szCs w:val="18"/>
        </w:rPr>
      </w:pPr>
      <w:r w:rsidRPr="00771083">
        <w:rPr>
          <w:sz w:val="18"/>
          <w:szCs w:val="18"/>
        </w:rPr>
        <w:t>*Data calculated using 2018 Annual Information Statement data sourced from data.gov.au</w:t>
      </w:r>
      <w:r w:rsidR="00231EA8">
        <w:rPr>
          <w:sz w:val="18"/>
          <w:szCs w:val="18"/>
        </w:rPr>
        <w:t xml:space="preserve">. </w:t>
      </w:r>
      <w:r>
        <w:rPr>
          <w:sz w:val="18"/>
          <w:szCs w:val="18"/>
        </w:rPr>
        <w:t>Does not include basic religious charities</w:t>
      </w:r>
      <w:r w:rsidR="00175193">
        <w:rPr>
          <w:sz w:val="18"/>
          <w:szCs w:val="18"/>
        </w:rPr>
        <w:t xml:space="preserve">. </w:t>
      </w:r>
      <w:r w:rsidR="007A6DF0">
        <w:rPr>
          <w:sz w:val="18"/>
          <w:szCs w:val="18"/>
        </w:rPr>
        <w:t xml:space="preserve">All data sourced from </w:t>
      </w:r>
      <w:r w:rsidR="00C95858">
        <w:rPr>
          <w:sz w:val="18"/>
          <w:szCs w:val="18"/>
        </w:rPr>
        <w:t>ACNC-registered charities</w:t>
      </w:r>
      <w:r w:rsidR="007A6DF0">
        <w:rPr>
          <w:sz w:val="18"/>
          <w:szCs w:val="18"/>
        </w:rPr>
        <w:t xml:space="preserve"> as submitted to the ACNC</w:t>
      </w:r>
      <w:r w:rsidR="00C95858">
        <w:rPr>
          <w:sz w:val="18"/>
          <w:szCs w:val="18"/>
        </w:rPr>
        <w:t xml:space="preserve">.  </w:t>
      </w:r>
    </w:p>
    <w:p w14:paraId="639355F9" w14:textId="77777777" w:rsidR="00951BDC" w:rsidRPr="00771083" w:rsidRDefault="007A6DF0" w:rsidP="00951BDC">
      <w:pPr>
        <w:rPr>
          <w:sz w:val="18"/>
          <w:szCs w:val="18"/>
        </w:rPr>
      </w:pPr>
      <w:r w:rsidRPr="00A443FE">
        <w:rPr>
          <w:b/>
          <w:noProof/>
        </w:rPr>
        <mc:AlternateContent>
          <mc:Choice Requires="wps">
            <w:drawing>
              <wp:anchor distT="45720" distB="45720" distL="114300" distR="114300" simplePos="0" relativeHeight="251660293" behindDoc="0" locked="0" layoutInCell="1" allowOverlap="1" wp14:anchorId="764ACAEF" wp14:editId="2E581B6D">
                <wp:simplePos x="0" y="0"/>
                <wp:positionH relativeFrom="margin">
                  <wp:align>left</wp:align>
                </wp:positionH>
                <wp:positionV relativeFrom="paragraph">
                  <wp:posOffset>345795</wp:posOffset>
                </wp:positionV>
                <wp:extent cx="6201410" cy="1404620"/>
                <wp:effectExtent l="0" t="0" r="2794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1404620"/>
                        </a:xfrm>
                        <a:prstGeom prst="rect">
                          <a:avLst/>
                        </a:prstGeom>
                        <a:solidFill>
                          <a:schemeClr val="accent2">
                            <a:lumMod val="20000"/>
                            <a:lumOff val="80000"/>
                          </a:schemeClr>
                        </a:solidFill>
                        <a:ln w="9525">
                          <a:solidFill>
                            <a:srgbClr val="000000"/>
                          </a:solidFill>
                          <a:miter lim="800000"/>
                          <a:headEnd/>
                          <a:tailEnd/>
                        </a:ln>
                      </wps:spPr>
                      <wps:txbx>
                        <w:txbxContent>
                          <w:p w14:paraId="47E9A005" w14:textId="77777777" w:rsidR="00DD3BC1" w:rsidRDefault="00DD3BC1" w:rsidP="00403C33">
                            <w:r w:rsidRPr="00C903A3">
                              <w:rPr>
                                <w:b/>
                              </w:rPr>
                              <w:t>Question</w:t>
                            </w:r>
                            <w:r>
                              <w:rPr>
                                <w:b/>
                              </w:rPr>
                              <w:t xml:space="preserve"> 1</w:t>
                            </w:r>
                            <w:r w:rsidRPr="00C903A3">
                              <w:rPr>
                                <w:b/>
                              </w:rPr>
                              <w:t>:</w:t>
                            </w:r>
                            <w:r>
                              <w:t xml:space="preserve"> Do you consider the proposed new thresholds are suitable?  If no, why?  If no, what thresholds do you consider appropriate to balance regulatory red tape and the need for accountability and transparency?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4ACAEF" id="_x0000_t202" coordsize="21600,21600" o:spt="202" path="m,l,21600r21600,l21600,xe">
                <v:stroke joinstyle="miter"/>
                <v:path gradientshapeok="t" o:connecttype="rect"/>
              </v:shapetype>
              <v:shape id="Text Box 2" o:spid="_x0000_s1026" type="#_x0000_t202" style="position:absolute;margin-left:0;margin-top:27.25pt;width:488.3pt;height:110.6pt;z-index:25166029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" fillcolor="#d5e1f1 [661]">
                <v:textbox style="mso-fit-shape-to-text:t">
                  <w:txbxContent>
                    <w:p w14:paraId="47E9A005" w14:textId="77777777" w:rsidR="00DD3BC1" w:rsidRDefault="00DD3BC1" w:rsidP="00403C33">
                      <w:r w:rsidRPr="00C903A3">
                        <w:rPr>
                          <w:b/>
                        </w:rPr>
                        <w:t>Question</w:t>
                      </w:r>
                      <w:r>
                        <w:rPr>
                          <w:b/>
                        </w:rPr>
                        <w:t xml:space="preserve"> 1</w:t>
                      </w:r>
                      <w:r w:rsidRPr="00C903A3">
                        <w:rPr>
                          <w:b/>
                        </w:rPr>
                        <w:t>:</w:t>
                      </w:r>
                      <w:r>
                        <w:t xml:space="preserve"> Do you consider the proposed new thresholds are suitable?  If no, why?  If no, what thresholds do you consider appropriate to balance regulatory red tape and the need for accountability and transparency?</w:t>
                      </w:r>
                    </w:p>
                  </w:txbxContent>
                </v:textbox>
                <w10:wrap type="square" anchorx="margin"/>
              </v:shape>
            </w:pict>
          </mc:Fallback>
        </mc:AlternateContent>
      </w:r>
      <w:r w:rsidRPr="007A6DF0">
        <w:rPr>
          <w:sz w:val="18"/>
          <w:szCs w:val="18"/>
          <w:vertAlign w:val="superscript"/>
        </w:rPr>
        <w:t>#</w:t>
      </w:r>
      <w:r w:rsidR="00C95858">
        <w:rPr>
          <w:sz w:val="18"/>
          <w:szCs w:val="18"/>
        </w:rPr>
        <w:t>Any reference to charities in the table above is to ACNC-registered charities.</w:t>
      </w:r>
    </w:p>
    <w:p w14:paraId="26562EE4" w14:textId="77777777" w:rsidR="00C43CB8" w:rsidRDefault="00C43CB8" w:rsidP="0098026B">
      <w:pPr>
        <w:pStyle w:val="Heading2"/>
      </w:pPr>
      <w:bookmarkStart w:id="16" w:name="_Toc63934885"/>
      <w:r w:rsidRPr="00D864D0">
        <w:t xml:space="preserve">How accountability and transparency will </w:t>
      </w:r>
      <w:r>
        <w:t>be retained</w:t>
      </w:r>
      <w:bookmarkEnd w:id="16"/>
    </w:p>
    <w:p w14:paraId="535196DA" w14:textId="33AA0164" w:rsidR="00C43CB8" w:rsidRDefault="00C43CB8" w:rsidP="00C43CB8">
      <w:pPr>
        <w:pStyle w:val="Bullet"/>
        <w:numPr>
          <w:ilvl w:val="0"/>
          <w:numId w:val="0"/>
        </w:numPr>
      </w:pPr>
      <w:r>
        <w:t xml:space="preserve">While </w:t>
      </w:r>
      <w:r w:rsidR="00AD4091">
        <w:t>over</w:t>
      </w:r>
      <w:r>
        <w:t xml:space="preserve"> 3,</w:t>
      </w:r>
      <w:r w:rsidR="000F5254">
        <w:t>3</w:t>
      </w:r>
      <w:r>
        <w:t xml:space="preserve">00 charities will move from medium to small, and will no longer be required to submit reviewed financial </w:t>
      </w:r>
      <w:r w:rsidR="00B05C7C">
        <w:t xml:space="preserve">reports </w:t>
      </w:r>
      <w:r>
        <w:t xml:space="preserve">to the ACNC, they will </w:t>
      </w:r>
      <w:r w:rsidR="00720033">
        <w:t>still be required to submit an A</w:t>
      </w:r>
      <w:r>
        <w:t xml:space="preserve">nnual </w:t>
      </w:r>
      <w:r w:rsidR="00720033">
        <w:t>I</w:t>
      </w:r>
      <w:r>
        <w:t xml:space="preserve">nformation </w:t>
      </w:r>
      <w:r w:rsidR="00720033">
        <w:t>S</w:t>
      </w:r>
      <w:r>
        <w:t>tatement</w:t>
      </w:r>
      <w:r w:rsidR="00573EF4">
        <w:t>, which includes information about the charity, its governance and activities and basic financial information (revenue, expenses, assets and liabilities)</w:t>
      </w:r>
      <w:r>
        <w:t>.</w:t>
      </w:r>
    </w:p>
    <w:p w14:paraId="7C15019B" w14:textId="77777777" w:rsidR="00C43CB8" w:rsidRDefault="00C43CB8" w:rsidP="00C43CB8">
      <w:pPr>
        <w:pStyle w:val="Bullet"/>
        <w:numPr>
          <w:ilvl w:val="0"/>
          <w:numId w:val="0"/>
        </w:numPr>
      </w:pPr>
      <w:r>
        <w:t>Improvements in the info</w:t>
      </w:r>
      <w:r w:rsidR="00720033">
        <w:t>rmation being collected in the A</w:t>
      </w:r>
      <w:r>
        <w:t xml:space="preserve">nnual </w:t>
      </w:r>
      <w:r w:rsidR="00720033">
        <w:t>I</w:t>
      </w:r>
      <w:r>
        <w:t xml:space="preserve">nformation </w:t>
      </w:r>
      <w:r w:rsidR="00720033">
        <w:t>S</w:t>
      </w:r>
      <w:r>
        <w:t xml:space="preserve">tatement, through the simultaneous implementation of other recommendations </w:t>
      </w:r>
      <w:r w:rsidR="000F5254">
        <w:t xml:space="preserve">in </w:t>
      </w:r>
      <w:r>
        <w:t>the ACNC Review</w:t>
      </w:r>
      <w:r w:rsidR="00B8113E">
        <w:t>,</w:t>
      </w:r>
      <w:r>
        <w:t xml:space="preserve"> will increase transparency of all </w:t>
      </w:r>
      <w:r w:rsidR="00513D24">
        <w:t xml:space="preserve">ACNC-registered </w:t>
      </w:r>
      <w:r>
        <w:t>charities</w:t>
      </w:r>
      <w:r w:rsidR="00231EA8">
        <w:t xml:space="preserve">. </w:t>
      </w:r>
      <w:r>
        <w:t>Th</w:t>
      </w:r>
      <w:r w:rsidR="0098026B">
        <w:t>ese</w:t>
      </w:r>
      <w:r>
        <w:t xml:space="preserve"> improvement</w:t>
      </w:r>
      <w:r w:rsidR="0098026B">
        <w:t>s</w:t>
      </w:r>
      <w:r>
        <w:t xml:space="preserve"> include </w:t>
      </w:r>
      <w:r w:rsidR="0098026B">
        <w:t>mandating the reporting of related party transactions.</w:t>
      </w:r>
      <w:r w:rsidR="00992626">
        <w:t xml:space="preserve">  The ACNC is also implementing improved reporting on charity activities which will further assist with transparency.</w:t>
      </w:r>
    </w:p>
    <w:p w14:paraId="4CEBA466" w14:textId="77777777" w:rsidR="00C43CB8" w:rsidRDefault="00C43CB8" w:rsidP="00C43CB8">
      <w:pPr>
        <w:pStyle w:val="Bullet"/>
        <w:numPr>
          <w:ilvl w:val="0"/>
          <w:numId w:val="0"/>
        </w:numPr>
      </w:pPr>
      <w:r>
        <w:t xml:space="preserve">The ACNC will continue to monitor compliance with the ACNC Act, including that charities use their resources according to their charitable purposes, and will continue to </w:t>
      </w:r>
      <w:proofErr w:type="gramStart"/>
      <w:r>
        <w:t>take action</w:t>
      </w:r>
      <w:proofErr w:type="gramEnd"/>
      <w:r>
        <w:t xml:space="preserve"> where required</w:t>
      </w:r>
      <w:r w:rsidR="00231EA8">
        <w:t xml:space="preserve">. </w:t>
      </w:r>
      <w:r>
        <w:t>The ACNC will al</w:t>
      </w:r>
      <w:r w:rsidR="000F5254">
        <w:t>so continue to ensure that all A</w:t>
      </w:r>
      <w:r>
        <w:t xml:space="preserve">nnual </w:t>
      </w:r>
      <w:r w:rsidR="000F5254">
        <w:t>I</w:t>
      </w:r>
      <w:r>
        <w:t xml:space="preserve">nformation </w:t>
      </w:r>
      <w:r w:rsidR="000F5254">
        <w:t>S</w:t>
      </w:r>
      <w:r>
        <w:t xml:space="preserve">tatements are made available on </w:t>
      </w:r>
      <w:r>
        <w:lastRenderedPageBreak/>
        <w:t xml:space="preserve">the Charity Register, for public </w:t>
      </w:r>
      <w:r w:rsidR="00992626">
        <w:t>scrutiny</w:t>
      </w:r>
      <w:r w:rsidR="00231EA8">
        <w:t xml:space="preserve">. </w:t>
      </w:r>
      <w:r>
        <w:t xml:space="preserve">Finally, the ACNC will continue to provide data </w:t>
      </w:r>
      <w:r w:rsidR="00720033">
        <w:t>from incorporated association ACNC</w:t>
      </w:r>
      <w:r w:rsidR="00720033">
        <w:noBreakHyphen/>
        <w:t xml:space="preserve">registered charities </w:t>
      </w:r>
      <w:r>
        <w:t xml:space="preserve">to </w:t>
      </w:r>
      <w:r w:rsidR="00231EA8">
        <w:t>States</w:t>
      </w:r>
      <w:r>
        <w:t xml:space="preserve"> to allow </w:t>
      </w:r>
      <w:r w:rsidR="00231EA8">
        <w:t>States</w:t>
      </w:r>
      <w:r>
        <w:t xml:space="preserve"> to continue to regulate their incorporated associations.</w:t>
      </w:r>
    </w:p>
    <w:p w14:paraId="070EB819" w14:textId="77777777" w:rsidR="0098026B" w:rsidRDefault="0098026B" w:rsidP="00963D84">
      <w:pPr>
        <w:pStyle w:val="Heading2"/>
      </w:pPr>
      <w:bookmarkStart w:id="17" w:name="_Toc63934886"/>
      <w:r>
        <w:t>Key consultation topics relating to implementation</w:t>
      </w:r>
      <w:bookmarkEnd w:id="17"/>
    </w:p>
    <w:p w14:paraId="5AB93ECB" w14:textId="77777777" w:rsidR="0098026B" w:rsidRDefault="0098026B" w:rsidP="0098026B">
      <w:r>
        <w:t>While the Thresholds Working Group considers there are many benefits to increasing harmonised reporting thresholds</w:t>
      </w:r>
      <w:r w:rsidR="000F5254">
        <w:t xml:space="preserve"> across jurisdictions</w:t>
      </w:r>
      <w:r>
        <w:t xml:space="preserve">, it has also identified </w:t>
      </w:r>
      <w:r w:rsidR="00963D84">
        <w:t xml:space="preserve">four </w:t>
      </w:r>
      <w:r>
        <w:t>challenges with implementing this change</w:t>
      </w:r>
      <w:r w:rsidR="00231EA8">
        <w:t xml:space="preserve">. </w:t>
      </w:r>
      <w:r>
        <w:t>These challenges are set out in this section for your consideration and comment</w:t>
      </w:r>
      <w:r w:rsidR="00231EA8">
        <w:t xml:space="preserve">. </w:t>
      </w:r>
    </w:p>
    <w:p w14:paraId="0FAAD5EE" w14:textId="77777777" w:rsidR="0098026B" w:rsidRDefault="0098026B" w:rsidP="004C57CD">
      <w:pPr>
        <w:pStyle w:val="Heading3"/>
      </w:pPr>
      <w:bookmarkStart w:id="18" w:name="_Toc63934887"/>
      <w:r>
        <w:t>Timing of implementation</w:t>
      </w:r>
      <w:bookmarkEnd w:id="18"/>
    </w:p>
    <w:p w14:paraId="27DDB952" w14:textId="77777777" w:rsidR="00BC39A8" w:rsidRDefault="004C57CD" w:rsidP="0098026B">
      <w:r>
        <w:t>By 30 June 2021, t</w:t>
      </w:r>
      <w:r w:rsidR="0098026B">
        <w:t xml:space="preserve">he </w:t>
      </w:r>
      <w:r>
        <w:t xml:space="preserve">Council on Federal Financial Relations </w:t>
      </w:r>
      <w:r w:rsidR="00592F8B">
        <w:t>intends to</w:t>
      </w:r>
      <w:r w:rsidR="0098026B">
        <w:t xml:space="preserve"> announce</w:t>
      </w:r>
      <w:r>
        <w:t xml:space="preserve"> the new </w:t>
      </w:r>
      <w:r w:rsidR="00BC39A8">
        <w:t xml:space="preserve">ACNC </w:t>
      </w:r>
      <w:r w:rsidR="00592F8B">
        <w:t xml:space="preserve">financial reporting </w:t>
      </w:r>
      <w:r>
        <w:t xml:space="preserve">thresholds and </w:t>
      </w:r>
      <w:r w:rsidR="00CF60BC">
        <w:t xml:space="preserve">the </w:t>
      </w:r>
      <w:r w:rsidR="00592F8B">
        <w:t>commencement date for their implementation</w:t>
      </w:r>
      <w:r w:rsidR="00231EA8">
        <w:t xml:space="preserve">. </w:t>
      </w:r>
    </w:p>
    <w:p w14:paraId="001B3890" w14:textId="77777777" w:rsidR="00720CC1" w:rsidRPr="00763AA0" w:rsidRDefault="0098026B" w:rsidP="0098026B">
      <w:r w:rsidRPr="00763AA0">
        <w:t xml:space="preserve">While </w:t>
      </w:r>
      <w:r w:rsidR="00592F8B" w:rsidRPr="00763AA0">
        <w:t>the Commonwealth Government</w:t>
      </w:r>
      <w:r w:rsidRPr="00763AA0">
        <w:t xml:space="preserve"> can increase </w:t>
      </w:r>
      <w:r w:rsidR="00592F8B" w:rsidRPr="00763AA0">
        <w:t xml:space="preserve">the ACNC </w:t>
      </w:r>
      <w:r w:rsidRPr="00763AA0">
        <w:t xml:space="preserve">reporting thresholds with relative ease (through changes to the regulations), </w:t>
      </w:r>
      <w:r w:rsidR="005C2EF3" w:rsidRPr="00763AA0">
        <w:t>most</w:t>
      </w:r>
      <w:r w:rsidRPr="00763AA0">
        <w:t xml:space="preserve"> jurisdictions will need to change legislation</w:t>
      </w:r>
      <w:r w:rsidR="00111054" w:rsidRPr="00763AA0">
        <w:t xml:space="preserve"> or regulations</w:t>
      </w:r>
      <w:r w:rsidRPr="00763AA0">
        <w:t xml:space="preserve"> for incorporated associations to ensure harmonisation continues</w:t>
      </w:r>
      <w:r w:rsidR="00A94373" w:rsidRPr="00763AA0">
        <w:t>, or to ensure that reporting thresholds for ACNC-registered incorporated associations and all other incorporated associations in their jurisdiction remain harmonised</w:t>
      </w:r>
      <w:r w:rsidRPr="00763AA0">
        <w:t xml:space="preserve">. </w:t>
      </w:r>
    </w:p>
    <w:p w14:paraId="2F55A183" w14:textId="77777777" w:rsidR="0098026B" w:rsidRPr="00763AA0" w:rsidRDefault="0098026B" w:rsidP="0098026B">
      <w:r w:rsidRPr="00763AA0">
        <w:t xml:space="preserve">There are competing high priority reform agendas being implemented by </w:t>
      </w:r>
      <w:r w:rsidR="00231EA8" w:rsidRPr="00763AA0">
        <w:t>States</w:t>
      </w:r>
      <w:r w:rsidRPr="00763AA0">
        <w:t xml:space="preserve"> which reduces resources to implement this reform, and legislative capacity to introduce changes into Parliaments. </w:t>
      </w:r>
    </w:p>
    <w:p w14:paraId="0321F716" w14:textId="5C9FD8D8" w:rsidR="0098026B" w:rsidRPr="00763AA0" w:rsidRDefault="0098026B" w:rsidP="0098026B">
      <w:r w:rsidRPr="00763AA0">
        <w:t xml:space="preserve">Failure to align timing of the increased reporting thresholds </w:t>
      </w:r>
      <w:r w:rsidR="00235BB6" w:rsidRPr="00763AA0">
        <w:t xml:space="preserve">may </w:t>
      </w:r>
      <w:r w:rsidR="00592F8B" w:rsidRPr="00763AA0">
        <w:t>delay the reduction in</w:t>
      </w:r>
      <w:r w:rsidRPr="00763AA0">
        <w:t xml:space="preserve"> the regulatory burden faced by charities</w:t>
      </w:r>
      <w:r w:rsidR="00592F8B" w:rsidRPr="00763AA0">
        <w:t xml:space="preserve"> that are incorporated associations</w:t>
      </w:r>
      <w:r w:rsidRPr="00763AA0">
        <w:t xml:space="preserve">, as impacted charities </w:t>
      </w:r>
      <w:r w:rsidR="00235BB6" w:rsidRPr="00763AA0">
        <w:t xml:space="preserve">may </w:t>
      </w:r>
      <w:r w:rsidRPr="00763AA0">
        <w:t>need to continue to meet the higher reporting requirements for incorporated associations.</w:t>
      </w:r>
    </w:p>
    <w:p w14:paraId="4910B659" w14:textId="77777777" w:rsidR="00CF60BC" w:rsidRPr="00763AA0" w:rsidRDefault="00E11AF9" w:rsidP="00CF60BC">
      <w:r w:rsidRPr="00763AA0">
        <w:t xml:space="preserve">Table 3 above provides information on the number of </w:t>
      </w:r>
      <w:r w:rsidR="00CF60BC" w:rsidRPr="00763AA0">
        <w:t>ACNC</w:t>
      </w:r>
      <w:r w:rsidR="00CF60BC" w:rsidRPr="00763AA0">
        <w:noBreakHyphen/>
      </w:r>
      <w:r w:rsidR="00720CC1" w:rsidRPr="00763AA0">
        <w:t xml:space="preserve">registered incorporated associations in </w:t>
      </w:r>
      <w:r w:rsidRPr="00763AA0">
        <w:t xml:space="preserve">in each jurisdiction that </w:t>
      </w:r>
      <w:r w:rsidR="00720CC1" w:rsidRPr="00763AA0">
        <w:t>will be impacted</w:t>
      </w:r>
      <w:r w:rsidRPr="00763AA0">
        <w:t xml:space="preserve"> if legislation or regulations are not changed in a harmonised way</w:t>
      </w:r>
      <w:r w:rsidR="00720CC1" w:rsidRPr="00763AA0">
        <w:t>.</w:t>
      </w:r>
    </w:p>
    <w:p w14:paraId="21304662" w14:textId="77777777" w:rsidR="00CF60BC" w:rsidRDefault="00CF60BC" w:rsidP="00CF60BC">
      <w:r w:rsidRPr="00763AA0">
        <w:t>ACNC-registered charities that are incorporated associations in South Australia, Tasmania and the Australian Capital Territory will immedi</w:t>
      </w:r>
      <w:r w:rsidR="00573EF4" w:rsidRPr="00763AA0">
        <w:t>ately benefit from the increases in ACNC reporting</w:t>
      </w:r>
      <w:r w:rsidRPr="00763AA0">
        <w:t xml:space="preserve"> thresholds</w:t>
      </w:r>
      <w:r w:rsidR="00573EF4" w:rsidRPr="00763AA0">
        <w:t xml:space="preserve"> via changes to Commonwealth regulation</w:t>
      </w:r>
      <w:r w:rsidR="008B4D81" w:rsidRPr="00763AA0">
        <w:t>.  This is</w:t>
      </w:r>
      <w:r w:rsidR="00573EF4" w:rsidRPr="00763AA0">
        <w:t xml:space="preserve"> because their State legislation </w:t>
      </w:r>
      <w:r w:rsidR="00A119D8" w:rsidRPr="00763AA0">
        <w:t xml:space="preserve">currently </w:t>
      </w:r>
      <w:r w:rsidR="00573EF4" w:rsidRPr="00763AA0">
        <w:t>provides that an ACNC-registered entity is exempt from sta</w:t>
      </w:r>
      <w:r w:rsidR="008B4D81" w:rsidRPr="00763AA0">
        <w:t xml:space="preserve">te reporting requirements (including thresholds) </w:t>
      </w:r>
      <w:proofErr w:type="gramStart"/>
      <w:r w:rsidR="008B4D81" w:rsidRPr="00763AA0">
        <w:t>as long as</w:t>
      </w:r>
      <w:proofErr w:type="gramEnd"/>
      <w:r w:rsidR="008B4D81" w:rsidRPr="00763AA0">
        <w:t xml:space="preserve"> the charity is meeting its ACNC reporting requirements</w:t>
      </w:r>
      <w:r w:rsidRPr="00763AA0">
        <w:t>.</w:t>
      </w:r>
      <w:r w:rsidR="005C2EF3" w:rsidRPr="00763AA0">
        <w:t xml:space="preserve">  Victoria also has an exemption in place via a legislative instrument which would als</w:t>
      </w:r>
      <w:r w:rsidR="001E498F" w:rsidRPr="00763AA0">
        <w:t>o ensure immediate relief to ACNC-registered associations incorporated in Victoria.</w:t>
      </w:r>
    </w:p>
    <w:p w14:paraId="5408E41C" w14:textId="77777777" w:rsidR="004A7FAA" w:rsidRDefault="00E52944" w:rsidP="0098026B">
      <w:r w:rsidRPr="00A443FE">
        <w:rPr>
          <w:b/>
          <w:noProof/>
        </w:rPr>
        <mc:AlternateContent>
          <mc:Choice Requires="wps">
            <w:drawing>
              <wp:anchor distT="45720" distB="45720" distL="114300" distR="114300" simplePos="0" relativeHeight="251658243" behindDoc="0" locked="0" layoutInCell="1" allowOverlap="1" wp14:anchorId="0520F97F" wp14:editId="5D1028E5">
                <wp:simplePos x="0" y="0"/>
                <wp:positionH relativeFrom="margin">
                  <wp:align>left</wp:align>
                </wp:positionH>
                <wp:positionV relativeFrom="paragraph">
                  <wp:posOffset>871910</wp:posOffset>
                </wp:positionV>
                <wp:extent cx="6201410" cy="1404620"/>
                <wp:effectExtent l="0" t="0" r="27940" b="1968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1404620"/>
                        </a:xfrm>
                        <a:prstGeom prst="rect">
                          <a:avLst/>
                        </a:prstGeom>
                        <a:solidFill>
                          <a:schemeClr val="accent2">
                            <a:lumMod val="20000"/>
                            <a:lumOff val="80000"/>
                          </a:schemeClr>
                        </a:solidFill>
                        <a:ln w="9525">
                          <a:solidFill>
                            <a:srgbClr val="000000"/>
                          </a:solidFill>
                          <a:miter lim="800000"/>
                          <a:headEnd/>
                          <a:tailEnd/>
                        </a:ln>
                      </wps:spPr>
                      <wps:txbx>
                        <w:txbxContent>
                          <w:p w14:paraId="46554874" w14:textId="77777777" w:rsidR="00DD3BC1" w:rsidRDefault="00DD3BC1" w:rsidP="004A7FAA">
                            <w:r w:rsidRPr="004A7FAA">
                              <w:rPr>
                                <w:b/>
                              </w:rPr>
                              <w:t>Question</w:t>
                            </w:r>
                            <w:r>
                              <w:rPr>
                                <w:b/>
                              </w:rPr>
                              <w:t xml:space="preserve"> 2</w:t>
                            </w:r>
                            <w:r w:rsidRPr="004A7FAA">
                              <w:rPr>
                                <w:b/>
                              </w:rPr>
                              <w:t>:</w:t>
                            </w:r>
                            <w:r>
                              <w:t xml:space="preserve"> In your view, is it more important for the ACNC to increase reporting thresholds as soon as Commonwealth legislative priorities allow, or for the increased thresholds to be increased simultaneously across all jurisdictions consistent with a longer timeframe?</w:t>
                            </w:r>
                          </w:p>
                          <w:p w14:paraId="50C95644" w14:textId="77777777" w:rsidR="00DD3BC1" w:rsidRDefault="00DD3BC1" w:rsidP="004A7FAA">
                            <w:r w:rsidRPr="004A7FAA">
                              <w:rPr>
                                <w:b/>
                              </w:rPr>
                              <w:t>Question</w:t>
                            </w:r>
                            <w:r>
                              <w:rPr>
                                <w:b/>
                              </w:rPr>
                              <w:t xml:space="preserve"> 3</w:t>
                            </w:r>
                            <w:r w:rsidRPr="004A7FAA">
                              <w:rPr>
                                <w:b/>
                              </w:rPr>
                              <w:t>:</w:t>
                            </w:r>
                            <w:r>
                              <w:t xml:space="preserve"> What lead in time would you consider suitable for charities to make the necessary changes to their reporting processes?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20F97F" id="Text Box 4" o:spid="_x0000_s1027" type="#_x0000_t202" style="position:absolute;margin-left:0;margin-top:68.65pt;width:488.3pt;height:110.6pt;z-index:25165824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" fillcolor="#d5e1f1 [661]">
                <v:textbox style="mso-fit-shape-to-text:t">
                  <w:txbxContent>
                    <w:p w14:paraId="46554874" w14:textId="77777777" w:rsidR="00DD3BC1" w:rsidRDefault="00DD3BC1" w:rsidP="004A7FAA">
                      <w:r w:rsidRPr="004A7FAA">
                        <w:rPr>
                          <w:b/>
                        </w:rPr>
                        <w:t>Question</w:t>
                      </w:r>
                      <w:r>
                        <w:rPr>
                          <w:b/>
                        </w:rPr>
                        <w:t xml:space="preserve"> 2</w:t>
                      </w:r>
                      <w:r w:rsidRPr="004A7FAA">
                        <w:rPr>
                          <w:b/>
                        </w:rPr>
                        <w:t>:</w:t>
                      </w:r>
                      <w:r>
                        <w:t xml:space="preserve"> In your view, is it more important for the ACNC to increase reporting thresholds as soon as Commonwealth legislative priorities allow, or for the increased thresholds to be increased simultaneously across all jurisdictions consistent with a longer timeframe?</w:t>
                      </w:r>
                    </w:p>
                    <w:p w14:paraId="50C95644" w14:textId="77777777" w:rsidR="00DD3BC1" w:rsidRDefault="00DD3BC1" w:rsidP="004A7FAA">
                      <w:r w:rsidRPr="004A7FAA">
                        <w:rPr>
                          <w:b/>
                        </w:rPr>
                        <w:t>Question</w:t>
                      </w:r>
                      <w:r>
                        <w:rPr>
                          <w:b/>
                        </w:rPr>
                        <w:t xml:space="preserve"> 3</w:t>
                      </w:r>
                      <w:r w:rsidRPr="004A7FAA">
                        <w:rPr>
                          <w:b/>
                        </w:rPr>
                        <w:t>:</w:t>
                      </w:r>
                      <w:r>
                        <w:t xml:space="preserve"> What lead in time would you consider suitable for charities to make the necessary changes to their reporting processes?</w:t>
                      </w:r>
                    </w:p>
                  </w:txbxContent>
                </v:textbox>
                <w10:wrap type="square" anchorx="margin"/>
              </v:shape>
            </w:pict>
          </mc:Fallback>
        </mc:AlternateContent>
      </w:r>
      <w:r w:rsidR="00231EA8">
        <w:t>States</w:t>
      </w:r>
      <w:r w:rsidR="0098026B">
        <w:t xml:space="preserve"> and the Commonwealth will work to ensure that implementation of higher reporting thresholds is harmonised</w:t>
      </w:r>
      <w:r w:rsidR="008B4D81">
        <w:t xml:space="preserve"> where possible</w:t>
      </w:r>
      <w:r w:rsidR="0098026B">
        <w:t>.</w:t>
      </w:r>
      <w:r w:rsidR="00736229" w:rsidRPr="00736229">
        <w:t xml:space="preserve"> </w:t>
      </w:r>
      <w:r w:rsidR="00736229">
        <w:t xml:space="preserve">States have recently agreed to implement a cross-border recognition model for fundraising (see </w:t>
      </w:r>
      <w:r w:rsidR="00232919">
        <w:t>below</w:t>
      </w:r>
      <w:r w:rsidR="00736229">
        <w:t xml:space="preserve">). </w:t>
      </w:r>
      <w:r w:rsidR="001E498F">
        <w:t>States will consider</w:t>
      </w:r>
      <w:r w:rsidR="004F357B">
        <w:t xml:space="preserve"> </w:t>
      </w:r>
      <w:r w:rsidR="00736229">
        <w:t>align</w:t>
      </w:r>
      <w:r w:rsidR="004F357B">
        <w:t>ing</w:t>
      </w:r>
      <w:r w:rsidR="00736229">
        <w:t xml:space="preserve"> progression of these two reforms,</w:t>
      </w:r>
      <w:r w:rsidR="001E498F">
        <w:t xml:space="preserve"> where feasible,</w:t>
      </w:r>
      <w:r w:rsidR="00736229">
        <w:t xml:space="preserve"> to facilitate government approvals and legislative changes.</w:t>
      </w:r>
      <w:r w:rsidR="001E498F">
        <w:rPr>
          <w:rStyle w:val="FootnoteReference"/>
        </w:rPr>
        <w:footnoteReference w:id="8"/>
      </w:r>
    </w:p>
    <w:p w14:paraId="7423DD16" w14:textId="77777777" w:rsidR="00D419A8" w:rsidRDefault="0098026B" w:rsidP="0098026B">
      <w:pPr>
        <w:pStyle w:val="Heading3"/>
      </w:pPr>
      <w:bookmarkStart w:id="19" w:name="_Toc63934888"/>
      <w:r>
        <w:lastRenderedPageBreak/>
        <w:t xml:space="preserve">Creating different reporting thresholds for </w:t>
      </w:r>
      <w:r w:rsidR="009850E9">
        <w:t>ACNC-registered</w:t>
      </w:r>
      <w:r>
        <w:t xml:space="preserve"> and non-</w:t>
      </w:r>
      <w:r w:rsidR="009850E9">
        <w:t>ACNC</w:t>
      </w:r>
      <w:r w:rsidR="007300F7">
        <w:noBreakHyphen/>
      </w:r>
      <w:r w:rsidR="009850E9">
        <w:t>registered</w:t>
      </w:r>
      <w:r w:rsidR="00D419A8">
        <w:t xml:space="preserve"> entities</w:t>
      </w:r>
      <w:bookmarkEnd w:id="19"/>
    </w:p>
    <w:p w14:paraId="1EE589CF" w14:textId="77777777" w:rsidR="00222FFC" w:rsidRDefault="008B21DC" w:rsidP="00D419A8">
      <w:r>
        <w:t>This reform is focused solely on ACNC-registered charities.  The i</w:t>
      </w:r>
      <w:r w:rsidR="00D419A8">
        <w:t xml:space="preserve">ncorporated associations that are registered with the ACNC are a </w:t>
      </w:r>
      <w:r w:rsidR="00222FFC">
        <w:t xml:space="preserve">small </w:t>
      </w:r>
      <w:r w:rsidR="00D419A8">
        <w:t>subset of the total number of incorporated associations i</w:t>
      </w:r>
      <w:r>
        <w:t>n each S</w:t>
      </w:r>
      <w:r w:rsidR="00D419A8">
        <w:t>tate</w:t>
      </w:r>
      <w:r w:rsidR="00231EA8">
        <w:t xml:space="preserve">. </w:t>
      </w:r>
      <w:r w:rsidR="00222FFC">
        <w:t>For example, in Queensland there are approximately 22,000 incorporated associations, of which just over 2,700 are registered with the ACNC</w:t>
      </w:r>
      <w:r w:rsidR="00873976">
        <w:rPr>
          <w:rStyle w:val="FootnoteReference"/>
        </w:rPr>
        <w:footnoteReference w:id="9"/>
      </w:r>
      <w:r w:rsidR="00222FFC">
        <w:t xml:space="preserve">.  </w:t>
      </w:r>
    </w:p>
    <w:p w14:paraId="66E48491" w14:textId="77777777" w:rsidR="00D419A8" w:rsidRDefault="00D419A8" w:rsidP="00D419A8">
      <w:r>
        <w:t xml:space="preserve">In some </w:t>
      </w:r>
      <w:r w:rsidR="00231EA8">
        <w:t>States</w:t>
      </w:r>
      <w:r>
        <w:t>, all incorporated associations currently have the same reporting requirement thresholds (such as Victoria and Western Australia)</w:t>
      </w:r>
      <w:r w:rsidR="00231EA8">
        <w:t xml:space="preserve">. </w:t>
      </w:r>
      <w:r>
        <w:t xml:space="preserve">In others, there is a difference between </w:t>
      </w:r>
      <w:r w:rsidR="009850E9">
        <w:t>ACNC</w:t>
      </w:r>
      <w:r w:rsidR="00B45CD3">
        <w:noBreakHyphen/>
      </w:r>
      <w:r w:rsidR="009850E9">
        <w:t>registered</w:t>
      </w:r>
      <w:r>
        <w:t xml:space="preserve"> incorporated associations</w:t>
      </w:r>
      <w:r w:rsidR="008B21DC">
        <w:t xml:space="preserve"> reporting </w:t>
      </w:r>
      <w:r w:rsidR="00EA3E79">
        <w:t>requirement</w:t>
      </w:r>
      <w:r w:rsidR="008B21DC">
        <w:t>s</w:t>
      </w:r>
      <w:r>
        <w:t xml:space="preserve"> and </w:t>
      </w:r>
      <w:r w:rsidR="00EA3E79">
        <w:t>requirement</w:t>
      </w:r>
      <w:r w:rsidR="008B21DC">
        <w:t xml:space="preserve">s for </w:t>
      </w:r>
      <w:r>
        <w:t>all other incorporated associations.</w:t>
      </w:r>
    </w:p>
    <w:p w14:paraId="67BE9B9F" w14:textId="77777777" w:rsidR="00222FFC" w:rsidRDefault="00222FFC" w:rsidP="00222FFC">
      <w:pPr>
        <w:pStyle w:val="Bullet"/>
        <w:numPr>
          <w:ilvl w:val="0"/>
          <w:numId w:val="0"/>
        </w:numPr>
      </w:pPr>
      <w:r>
        <w:t xml:space="preserve">If reporting thresholds are increased solely for ACNC-registered incorporated associations, this may raise issues of consistency and equity across all incorporated associations. </w:t>
      </w:r>
    </w:p>
    <w:p w14:paraId="166500A6" w14:textId="77777777" w:rsidR="00D419A8" w:rsidRDefault="004F357B" w:rsidP="00D419A8">
      <w:r>
        <w:t>It is a decision for each S</w:t>
      </w:r>
      <w:r w:rsidR="00D419A8">
        <w:t>tate to make as to whether to also increase thresholds for incorporated associations that are not registered charities</w:t>
      </w:r>
      <w:r w:rsidR="00231EA8">
        <w:t xml:space="preserve">. </w:t>
      </w:r>
      <w:r w:rsidR="00D419A8">
        <w:t xml:space="preserve">Some </w:t>
      </w:r>
      <w:r w:rsidR="00231EA8">
        <w:t>States</w:t>
      </w:r>
      <w:r w:rsidR="00D419A8">
        <w:t xml:space="preserve"> will be holding separate consultations on incorporated association regulation later in 2021, which will provide an opportunity for considering this question further.</w:t>
      </w:r>
    </w:p>
    <w:p w14:paraId="3BD6AAA2" w14:textId="77777777" w:rsidR="00D419A8" w:rsidRDefault="00D419A8" w:rsidP="00D419A8">
      <w:pPr>
        <w:pStyle w:val="Bullet"/>
        <w:numPr>
          <w:ilvl w:val="0"/>
          <w:numId w:val="15"/>
        </w:numPr>
        <w:spacing w:after="160" w:line="259" w:lineRule="auto"/>
      </w:pPr>
      <w:r>
        <w:t xml:space="preserve">Queensland will be undertaking consultations on proposed exemptions from reporting requirements, and reporting thresholds for </w:t>
      </w:r>
      <w:r w:rsidR="00B45CD3">
        <w:t xml:space="preserve">incorporated associations </w:t>
      </w:r>
      <w:r>
        <w:t>and Collections Act entities that will not be exempted from reporting to the Queensland Government. This will occur under the process for remaking</w:t>
      </w:r>
      <w:r w:rsidRPr="003E5312">
        <w:t xml:space="preserve"> the </w:t>
      </w:r>
      <w:r w:rsidRPr="00114D9E">
        <w:rPr>
          <w:i/>
        </w:rPr>
        <w:t>Associations Incorporation Regulation 1999</w:t>
      </w:r>
      <w:r>
        <w:t>.</w:t>
      </w:r>
    </w:p>
    <w:p w14:paraId="355CE9E2" w14:textId="77777777" w:rsidR="003A12F8" w:rsidRDefault="003A12F8" w:rsidP="00D419A8">
      <w:pPr>
        <w:pStyle w:val="Bullet"/>
        <w:numPr>
          <w:ilvl w:val="0"/>
          <w:numId w:val="15"/>
        </w:numPr>
        <w:spacing w:after="160" w:line="259" w:lineRule="auto"/>
      </w:pPr>
      <w:r>
        <w:t>Later this year, W</w:t>
      </w:r>
      <w:r w:rsidR="001033FE">
        <w:t xml:space="preserve">estern </w:t>
      </w:r>
      <w:r>
        <w:t>A</w:t>
      </w:r>
      <w:r w:rsidR="001033FE">
        <w:t>ustralia</w:t>
      </w:r>
      <w:r>
        <w:t xml:space="preserve"> will undertake a legislated review of its </w:t>
      </w:r>
      <w:r w:rsidRPr="003222F3">
        <w:rPr>
          <w:i/>
        </w:rPr>
        <w:t>Associations Incorporation Act 2015</w:t>
      </w:r>
      <w:r>
        <w:t>.</w:t>
      </w:r>
    </w:p>
    <w:p w14:paraId="4885658F" w14:textId="77777777" w:rsidR="00D419A8" w:rsidRDefault="00D419A8" w:rsidP="00D419A8">
      <w:pPr>
        <w:pStyle w:val="Bullet"/>
        <w:numPr>
          <w:ilvl w:val="0"/>
          <w:numId w:val="15"/>
        </w:numPr>
        <w:spacing w:after="160" w:line="259" w:lineRule="auto"/>
      </w:pPr>
      <w:r>
        <w:t>S</w:t>
      </w:r>
      <w:r w:rsidR="001033FE">
        <w:t xml:space="preserve">outh </w:t>
      </w:r>
      <w:r>
        <w:t>A</w:t>
      </w:r>
      <w:r w:rsidR="001033FE">
        <w:t>ustralia</w:t>
      </w:r>
      <w:r>
        <w:t xml:space="preserve"> is also </w:t>
      </w:r>
      <w:r w:rsidR="00A119D8">
        <w:t xml:space="preserve">progressing its review of </w:t>
      </w:r>
      <w:r>
        <w:t xml:space="preserve">the </w:t>
      </w:r>
      <w:r w:rsidRPr="00114D9E">
        <w:rPr>
          <w:i/>
        </w:rPr>
        <w:t>Associations Incorporation Act 1985</w:t>
      </w:r>
      <w:r w:rsidR="00A119D8">
        <w:t xml:space="preserve"> (SA),</w:t>
      </w:r>
      <w:r w:rsidR="00595253">
        <w:t xml:space="preserve"> </w:t>
      </w:r>
      <w:r w:rsidR="00A119D8">
        <w:t>which will include a separate consultation on broader reform of the regulation of associations in South Australia</w:t>
      </w:r>
      <w:r>
        <w:t>.</w:t>
      </w:r>
    </w:p>
    <w:p w14:paraId="4095EC5A" w14:textId="4A03D06E" w:rsidR="00736229" w:rsidRDefault="00211530" w:rsidP="0098026B">
      <w:pPr>
        <w:pStyle w:val="Bullet"/>
        <w:numPr>
          <w:ilvl w:val="0"/>
          <w:numId w:val="0"/>
        </w:numPr>
      </w:pPr>
      <w:r w:rsidRPr="00A443FE">
        <w:rPr>
          <w:b/>
          <w:noProof/>
        </w:rPr>
        <mc:AlternateContent>
          <mc:Choice Requires="wps">
            <w:drawing>
              <wp:anchor distT="45720" distB="45720" distL="114300" distR="114300" simplePos="0" relativeHeight="251658244" behindDoc="0" locked="0" layoutInCell="1" allowOverlap="1" wp14:anchorId="4FFDB607" wp14:editId="533D0667">
                <wp:simplePos x="0" y="0"/>
                <wp:positionH relativeFrom="margin">
                  <wp:posOffset>-67775</wp:posOffset>
                </wp:positionH>
                <wp:positionV relativeFrom="paragraph">
                  <wp:posOffset>891047</wp:posOffset>
                </wp:positionV>
                <wp:extent cx="6201410" cy="1404620"/>
                <wp:effectExtent l="0" t="0" r="27940" b="1778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1404620"/>
                        </a:xfrm>
                        <a:prstGeom prst="rect">
                          <a:avLst/>
                        </a:prstGeom>
                        <a:solidFill>
                          <a:schemeClr val="accent2">
                            <a:lumMod val="20000"/>
                            <a:lumOff val="80000"/>
                          </a:schemeClr>
                        </a:solidFill>
                        <a:ln w="9525">
                          <a:solidFill>
                            <a:srgbClr val="000000"/>
                          </a:solidFill>
                          <a:miter lim="800000"/>
                          <a:headEnd/>
                          <a:tailEnd/>
                        </a:ln>
                      </wps:spPr>
                      <wps:txbx>
                        <w:txbxContent>
                          <w:p w14:paraId="1DB3A9F6" w14:textId="77777777" w:rsidR="00DD3BC1" w:rsidRDefault="00DD3BC1" w:rsidP="00721376">
                            <w:r w:rsidRPr="00C903A3">
                              <w:rPr>
                                <w:b/>
                              </w:rPr>
                              <w:t>Question</w:t>
                            </w:r>
                            <w:r>
                              <w:rPr>
                                <w:b/>
                              </w:rPr>
                              <w:t xml:space="preserve"> 4</w:t>
                            </w:r>
                            <w:r w:rsidRPr="007D1070">
                              <w:rPr>
                                <w:b/>
                              </w:rPr>
                              <w:t>:</w:t>
                            </w:r>
                            <w:r w:rsidRPr="007D1070">
                              <w:t xml:space="preserve"> In your view, if non-ACNC-registered incorporated associations were required to report similar financial information to that which ACNC-registered incorporated associations provide to the ACNC, would this provide sufficient accountability and transparency, including for the purposes of members, donors and the interested public?</w:t>
                            </w:r>
                          </w:p>
                          <w:p w14:paraId="108BF266" w14:textId="77777777" w:rsidR="00DD3BC1" w:rsidRDefault="00DD3BC1" w:rsidP="00721376">
                            <w:r w:rsidRPr="00721376">
                              <w:rPr>
                                <w:b/>
                              </w:rPr>
                              <w:t>Question</w:t>
                            </w:r>
                            <w:r>
                              <w:rPr>
                                <w:b/>
                              </w:rPr>
                              <w:t xml:space="preserve"> 5</w:t>
                            </w:r>
                            <w:r w:rsidRPr="00721376">
                              <w:rPr>
                                <w:b/>
                              </w:rPr>
                              <w:t>:</w:t>
                            </w:r>
                            <w:r w:rsidRPr="00721376">
                              <w:t xml:space="preserve"> </w:t>
                            </w:r>
                            <w:r>
                              <w:t>What, if any, issues do you consider potential differences in reporting thresholds for charity and non-charity incorporated associations will cause?  Why?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FDB607" id="Text Box 5" o:spid="_x0000_s1028" type="#_x0000_t202" style="position:absolute;margin-left:-5.35pt;margin-top:70.15pt;width:488.3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" fillcolor="#d5e1f1 [661]">
                <v:textbox style="mso-fit-shape-to-text:t">
                  <w:txbxContent>
                    <w:p w14:paraId="1DB3A9F6" w14:textId="77777777" w:rsidR="00DD3BC1" w:rsidRDefault="00DD3BC1" w:rsidP="00721376">
                      <w:r w:rsidRPr="00C903A3">
                        <w:rPr>
                          <w:b/>
                        </w:rPr>
                        <w:t>Question</w:t>
                      </w:r>
                      <w:r>
                        <w:rPr>
                          <w:b/>
                        </w:rPr>
                        <w:t xml:space="preserve"> 4</w:t>
                      </w:r>
                      <w:r w:rsidRPr="007D1070">
                        <w:rPr>
                          <w:b/>
                        </w:rPr>
                        <w:t>:</w:t>
                      </w:r>
                      <w:r w:rsidRPr="007D1070">
                        <w:t xml:space="preserve"> In your view, if non-ACNC-registered incorporated associations were required to report similar financial information to that which ACNC-registered incorporated associations provide to the ACNC, would this provide sufficient accountability and transparency, including for the purposes of members, donors and the interested public?</w:t>
                      </w:r>
                    </w:p>
                    <w:p w14:paraId="108BF266" w14:textId="77777777" w:rsidR="00DD3BC1" w:rsidRDefault="00DD3BC1" w:rsidP="00721376">
                      <w:r w:rsidRPr="00721376">
                        <w:rPr>
                          <w:b/>
                        </w:rPr>
                        <w:t>Question</w:t>
                      </w:r>
                      <w:r>
                        <w:rPr>
                          <w:b/>
                        </w:rPr>
                        <w:t xml:space="preserve"> 5</w:t>
                      </w:r>
                      <w:r w:rsidRPr="00721376">
                        <w:rPr>
                          <w:b/>
                        </w:rPr>
                        <w:t>:</w:t>
                      </w:r>
                      <w:r w:rsidRPr="00721376">
                        <w:t xml:space="preserve"> </w:t>
                      </w:r>
                      <w:r>
                        <w:t>What, if any, issues do you consider potential differences in reporting thresholds for charity and non-charity incorporated associations will cause?  Why?</w:t>
                      </w:r>
                    </w:p>
                  </w:txbxContent>
                </v:textbox>
                <w10:wrap type="square" anchorx="margin"/>
              </v:shape>
            </w:pict>
          </mc:Fallback>
        </mc:AlternateContent>
      </w:r>
      <w:r w:rsidR="0098026B">
        <w:t xml:space="preserve">While it may be possible to increase reporting thresholds for all incorporated associations, this then raises issues of whether these thresholds are fit-for-purpose, given the various purposes </w:t>
      </w:r>
      <w:r w:rsidR="00231EA8">
        <w:t>States</w:t>
      </w:r>
      <w:r w:rsidR="0098026B">
        <w:t xml:space="preserve"> have for collecting information from incorporated associations</w:t>
      </w:r>
      <w:r w:rsidR="00231EA8">
        <w:t xml:space="preserve">. </w:t>
      </w:r>
      <w:r w:rsidR="0098026B">
        <w:t>Incorporated association reporting is designed to provide accountability to members and to government</w:t>
      </w:r>
      <w:r w:rsidR="00231EA8">
        <w:t>.</w:t>
      </w:r>
      <w:r w:rsidR="00696F8E">
        <w:rPr>
          <w:rStyle w:val="FootnoteReference"/>
        </w:rPr>
        <w:footnoteReference w:id="10"/>
      </w:r>
      <w:r w:rsidR="00231EA8">
        <w:t xml:space="preserve"> </w:t>
      </w:r>
    </w:p>
    <w:p w14:paraId="52990486" w14:textId="77777777" w:rsidR="00992626" w:rsidRDefault="00992626" w:rsidP="00B45CD3">
      <w:pPr>
        <w:pStyle w:val="Heading3"/>
      </w:pPr>
      <w:bookmarkStart w:id="20" w:name="_Toc63934889"/>
      <w:r>
        <w:lastRenderedPageBreak/>
        <w:t>Overlap with the regulation of fundraising</w:t>
      </w:r>
      <w:bookmarkEnd w:id="20"/>
    </w:p>
    <w:p w14:paraId="534F5BA0" w14:textId="77777777" w:rsidR="00992626" w:rsidRPr="00E57145" w:rsidRDefault="00992626" w:rsidP="00992626">
      <w:pPr>
        <w:pStyle w:val="Dash"/>
        <w:numPr>
          <w:ilvl w:val="0"/>
          <w:numId w:val="0"/>
        </w:numPr>
        <w:tabs>
          <w:tab w:val="left" w:pos="720"/>
        </w:tabs>
        <w:spacing w:after="200"/>
        <w:jc w:val="both"/>
        <w:rPr>
          <w:rFonts w:ascii="Times New Roman" w:hAnsi="Times New Roman"/>
          <w:sz w:val="24"/>
          <w:szCs w:val="24"/>
        </w:rPr>
      </w:pPr>
      <w:r w:rsidRPr="00E57145">
        <w:t xml:space="preserve">In December 2020, the Commonwealth and </w:t>
      </w:r>
      <w:r>
        <w:t xml:space="preserve">States agreed to establish a cross-border recognition model to harmonise charitable fundraising regulation. </w:t>
      </w:r>
      <w:r w:rsidRPr="00E57145">
        <w:t>Under the model, a charity registered with the ACNC would be deemed to hold a local authority in each participating jurisdiction.</w:t>
      </w:r>
    </w:p>
    <w:p w14:paraId="267AE5E3" w14:textId="77777777" w:rsidR="004700C9" w:rsidRDefault="00E57618" w:rsidP="00992626">
      <w:pPr>
        <w:pStyle w:val="Bullet"/>
        <w:numPr>
          <w:ilvl w:val="0"/>
          <w:numId w:val="0"/>
        </w:numPr>
      </w:pPr>
      <w:r>
        <w:t xml:space="preserve">States (except the Northern Territory) require those undertaking </w:t>
      </w:r>
      <w:r w:rsidR="00717EE4">
        <w:t>fundraising activities (including ACNC-registered charities)</w:t>
      </w:r>
      <w:r w:rsidR="00992626">
        <w:t xml:space="preserve"> to lodge annual financial reports</w:t>
      </w:r>
      <w:r w:rsidR="00717EE4">
        <w:t xml:space="preserve">.  </w:t>
      </w:r>
      <w:r w:rsidR="00992626">
        <w:t>All States</w:t>
      </w:r>
      <w:r>
        <w:t>,</w:t>
      </w:r>
      <w:r w:rsidR="00992626">
        <w:t xml:space="preserve"> </w:t>
      </w:r>
      <w:r>
        <w:t xml:space="preserve">except New South Wales and Queensland, </w:t>
      </w:r>
      <w:r w:rsidR="00992626">
        <w:t xml:space="preserve">currently accept the </w:t>
      </w:r>
      <w:r w:rsidR="00717EE4">
        <w:t xml:space="preserve">financial </w:t>
      </w:r>
      <w:r w:rsidR="00992626">
        <w:t xml:space="preserve">report a charity lodges with the ACNC as </w:t>
      </w:r>
      <w:r>
        <w:t xml:space="preserve">meeting </w:t>
      </w:r>
      <w:r w:rsidR="00717EE4">
        <w:t>the</w:t>
      </w:r>
      <w:r>
        <w:t>ir</w:t>
      </w:r>
      <w:r w:rsidR="00717EE4">
        <w:t xml:space="preserve"> </w:t>
      </w:r>
      <w:r w:rsidR="00992626">
        <w:t>fun</w:t>
      </w:r>
      <w:r>
        <w:t>draising reporting requirements</w:t>
      </w:r>
      <w:r w:rsidR="00992626">
        <w:t xml:space="preserve">. </w:t>
      </w:r>
    </w:p>
    <w:p w14:paraId="53D20A5C" w14:textId="77777777" w:rsidR="00F73489" w:rsidRDefault="00992626" w:rsidP="00E57618">
      <w:pPr>
        <w:pStyle w:val="Bullet"/>
        <w:numPr>
          <w:ilvl w:val="0"/>
          <w:numId w:val="0"/>
        </w:numPr>
      </w:pPr>
      <w:r>
        <w:t xml:space="preserve">Queensland, under the </w:t>
      </w:r>
      <w:r w:rsidRPr="003222F3">
        <w:rPr>
          <w:i/>
        </w:rPr>
        <w:t>Collections Act 1966</w:t>
      </w:r>
      <w:r>
        <w:rPr>
          <w:i/>
        </w:rPr>
        <w:t xml:space="preserve">, </w:t>
      </w:r>
      <w:r>
        <w:t xml:space="preserve">currently requires all entities conducting fundraising, regardless of size, to submit audited financial statements. Recent legislative amendments provide for an exemption power (by regulation), </w:t>
      </w:r>
      <w:r w:rsidR="00122E66">
        <w:t>and exemption is under active consideration</w:t>
      </w:r>
      <w:r>
        <w:t xml:space="preserve">. </w:t>
      </w:r>
    </w:p>
    <w:p w14:paraId="3BE43D8B" w14:textId="77777777" w:rsidR="00E57618" w:rsidRDefault="00992626" w:rsidP="00E57618">
      <w:pPr>
        <w:pStyle w:val="Bullet"/>
        <w:numPr>
          <w:ilvl w:val="0"/>
          <w:numId w:val="0"/>
        </w:numPr>
      </w:pPr>
      <w:r>
        <w:t xml:space="preserve">New South Wales is currently working through implementation of the recommendations </w:t>
      </w:r>
      <w:r w:rsidRPr="006D6B32">
        <w:t xml:space="preserve">from the </w:t>
      </w:r>
      <w:r w:rsidRPr="004C57CD">
        <w:rPr>
          <w:i/>
        </w:rPr>
        <w:t>Bergin inquiry on the RSL NSW’s charitable fundraising activities</w:t>
      </w:r>
      <w:r>
        <w:t xml:space="preserve"> (Bergin Report). This response committed the Government to maintaining reporting thresholds for authorised fundraisers, currently set at $250,000. </w:t>
      </w:r>
    </w:p>
    <w:p w14:paraId="3E19DA55" w14:textId="02E89264" w:rsidR="00E57618" w:rsidRDefault="00E57618" w:rsidP="00E57618">
      <w:pPr>
        <w:pStyle w:val="Bullet"/>
        <w:numPr>
          <w:ilvl w:val="0"/>
          <w:numId w:val="0"/>
        </w:numPr>
      </w:pPr>
      <w:r w:rsidRPr="00A443FE">
        <w:rPr>
          <w:b/>
          <w:noProof/>
        </w:rPr>
        <mc:AlternateContent>
          <mc:Choice Requires="wps">
            <w:drawing>
              <wp:anchor distT="45720" distB="45720" distL="114300" distR="114300" simplePos="0" relativeHeight="251658242" behindDoc="0" locked="0" layoutInCell="1" allowOverlap="1" wp14:anchorId="672B91C8" wp14:editId="0D8482DF">
                <wp:simplePos x="0" y="0"/>
                <wp:positionH relativeFrom="margin">
                  <wp:align>left</wp:align>
                </wp:positionH>
                <wp:positionV relativeFrom="paragraph">
                  <wp:posOffset>1008431</wp:posOffset>
                </wp:positionV>
                <wp:extent cx="6201410" cy="1404620"/>
                <wp:effectExtent l="0" t="0" r="27940"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1404620"/>
                        </a:xfrm>
                        <a:prstGeom prst="rect">
                          <a:avLst/>
                        </a:prstGeom>
                        <a:solidFill>
                          <a:schemeClr val="accent2">
                            <a:lumMod val="20000"/>
                            <a:lumOff val="80000"/>
                          </a:schemeClr>
                        </a:solidFill>
                        <a:ln w="9525">
                          <a:solidFill>
                            <a:srgbClr val="000000"/>
                          </a:solidFill>
                          <a:miter lim="800000"/>
                          <a:headEnd/>
                          <a:tailEnd/>
                        </a:ln>
                      </wps:spPr>
                      <wps:txbx>
                        <w:txbxContent>
                          <w:p w14:paraId="7BBA047E" w14:textId="77777777" w:rsidR="00DD3BC1" w:rsidRDefault="00DD3BC1" w:rsidP="00963D84">
                            <w:r w:rsidRPr="00C903A3">
                              <w:rPr>
                                <w:b/>
                              </w:rPr>
                              <w:t>Question</w:t>
                            </w:r>
                            <w:r>
                              <w:rPr>
                                <w:b/>
                              </w:rPr>
                              <w:t xml:space="preserve"> 6</w:t>
                            </w:r>
                            <w:r w:rsidRPr="00C903A3">
                              <w:rPr>
                                <w:b/>
                              </w:rPr>
                              <w:t>:</w:t>
                            </w:r>
                            <w:r>
                              <w:t xml:space="preserve"> In your opinion, is the Thresholds Working Group overlooking any issues concerning the nexus between fundraising reporting requirements and financial reporting requirements for ACNC-registered charities?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2B91C8" id="_x0000_s1029" type="#_x0000_t202" style="position:absolute;margin-left:0;margin-top:79.4pt;width:488.3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" fillcolor="#d5e1f1 [661]">
                <v:textbox style="mso-fit-shape-to-text:t">
                  <w:txbxContent>
                    <w:p w14:paraId="7BBA047E" w14:textId="77777777" w:rsidR="00DD3BC1" w:rsidRDefault="00DD3BC1" w:rsidP="00963D84">
                      <w:r w:rsidRPr="00C903A3">
                        <w:rPr>
                          <w:b/>
                        </w:rPr>
                        <w:t>Question</w:t>
                      </w:r>
                      <w:r>
                        <w:rPr>
                          <w:b/>
                        </w:rPr>
                        <w:t xml:space="preserve"> 6</w:t>
                      </w:r>
                      <w:r w:rsidRPr="00C903A3">
                        <w:rPr>
                          <w:b/>
                        </w:rPr>
                        <w:t>:</w:t>
                      </w:r>
                      <w:r>
                        <w:t xml:space="preserve"> In your opinion, is the Thresholds Working Group overlooking any issues concerning the nexus between fundraising reporting requirements and financial reporting requirements for ACNC-registered charities?</w:t>
                      </w:r>
                    </w:p>
                  </w:txbxContent>
                </v:textbox>
                <w10:wrap type="square" anchorx="margin"/>
              </v:shape>
            </w:pict>
          </mc:Fallback>
        </mc:AlternateContent>
      </w:r>
      <w:r>
        <w:t xml:space="preserve">The increased </w:t>
      </w:r>
      <w:r w:rsidR="00F73489">
        <w:t xml:space="preserve">ACNC reporting </w:t>
      </w:r>
      <w:r>
        <w:t xml:space="preserve">thresholds will not result in </w:t>
      </w:r>
      <w:r w:rsidR="00F73489">
        <w:t xml:space="preserve">added </w:t>
      </w:r>
      <w:r>
        <w:t>regulatory burdens for charities that undertake fundraising.</w:t>
      </w:r>
      <w:r w:rsidR="00B8507B">
        <w:rPr>
          <w:rStyle w:val="FootnoteReference"/>
        </w:rPr>
        <w:footnoteReference w:id="11"/>
      </w:r>
      <w:r>
        <w:t xml:space="preserve"> </w:t>
      </w:r>
      <w:r w:rsidR="00A119D8">
        <w:t xml:space="preserve">This will only apply if those </w:t>
      </w:r>
      <w:r>
        <w:t xml:space="preserve">states </w:t>
      </w:r>
      <w:r w:rsidR="00A119D8">
        <w:t xml:space="preserve">continue to </w:t>
      </w:r>
      <w:r>
        <w:t xml:space="preserve">accept ACNC reports, and </w:t>
      </w:r>
      <w:r w:rsidR="00A339D1">
        <w:t xml:space="preserve">if </w:t>
      </w:r>
      <w:r>
        <w:t xml:space="preserve">the reporting requirements for fundraising in New South Wales and Queensland </w:t>
      </w:r>
      <w:r w:rsidR="00A339D1">
        <w:t xml:space="preserve">do </w:t>
      </w:r>
      <w:r>
        <w:t>not change.</w:t>
      </w:r>
    </w:p>
    <w:p w14:paraId="00D9CABF" w14:textId="77777777" w:rsidR="00736229" w:rsidRDefault="00736229" w:rsidP="00736229">
      <w:pPr>
        <w:pStyle w:val="Heading3"/>
      </w:pPr>
      <w:bookmarkStart w:id="21" w:name="_Toc63934890"/>
      <w:r>
        <w:t>AASB NFP Reporting Framework</w:t>
      </w:r>
      <w:bookmarkEnd w:id="21"/>
    </w:p>
    <w:p w14:paraId="3E43A906" w14:textId="77777777" w:rsidR="00670FF5" w:rsidRDefault="00736229" w:rsidP="00736229">
      <w:r>
        <w:t>The Australian Accounting Standards Board (AASB) is currently worki</w:t>
      </w:r>
      <w:r w:rsidR="00B45CD3">
        <w:t>ng on a project to create a fit</w:t>
      </w:r>
      <w:r w:rsidR="00B45CD3">
        <w:noBreakHyphen/>
      </w:r>
      <w:r>
        <w:t xml:space="preserve">for-purpose not-for-profit financial reporting framework.  </w:t>
      </w:r>
      <w:r w:rsidR="00670FF5">
        <w:t>This has direct relevance to ACNC-registered charities, as the ACNC requires financial reports to include certain information as set out in specified AASB standards.  Changes to the AASB standards will change the reporting charities must undertake.</w:t>
      </w:r>
    </w:p>
    <w:p w14:paraId="44B82864" w14:textId="77777777" w:rsidR="00736229" w:rsidRDefault="00670FF5" w:rsidP="00736229">
      <w:r>
        <w:t xml:space="preserve">The new not-for-profit financial reporting framework </w:t>
      </w:r>
      <w:r w:rsidR="00736229">
        <w:t xml:space="preserve">would replace the </w:t>
      </w:r>
      <w:r w:rsidR="00553FB3">
        <w:t xml:space="preserve">ability </w:t>
      </w:r>
      <w:r w:rsidR="00736229">
        <w:t>for not</w:t>
      </w:r>
      <w:r w:rsidR="00E069AD">
        <w:noBreakHyphen/>
      </w:r>
      <w:r w:rsidR="00736229">
        <w:t>for</w:t>
      </w:r>
      <w:r w:rsidR="00CD0D35">
        <w:noBreakHyphen/>
      </w:r>
      <w:r w:rsidR="00736229">
        <w:t xml:space="preserve">profits to </w:t>
      </w:r>
      <w:r w:rsidR="00553FB3">
        <w:t xml:space="preserve">prepare </w:t>
      </w:r>
      <w:r w:rsidR="00736229">
        <w:t>special purpose financial statements</w:t>
      </w:r>
      <w:r w:rsidR="00553FB3">
        <w:t xml:space="preserve"> under AASB Standards </w:t>
      </w:r>
      <w:r>
        <w:t xml:space="preserve">resulting in </w:t>
      </w:r>
      <w:r w:rsidR="00553FB3">
        <w:t>more proportionate and consistent financial reporting for charities and other not-for-profit entities</w:t>
      </w:r>
      <w:r w:rsidR="00736229">
        <w:t>.</w:t>
      </w:r>
    </w:p>
    <w:p w14:paraId="67F26821" w14:textId="77777777" w:rsidR="00736229" w:rsidRDefault="00736229" w:rsidP="00736229">
      <w:r>
        <w:t>The AASB is currently developing a discussion paper for public consu</w:t>
      </w:r>
      <w:r w:rsidR="000D7342">
        <w:t xml:space="preserve">ltation on the proposed </w:t>
      </w:r>
      <w:r w:rsidR="00553FB3">
        <w:t xml:space="preserve">future </w:t>
      </w:r>
      <w:r w:rsidR="000D7342">
        <w:t>not</w:t>
      </w:r>
      <w:r w:rsidR="00E069AD">
        <w:noBreakHyphen/>
      </w:r>
      <w:r w:rsidR="000D7342">
        <w:t>for</w:t>
      </w:r>
      <w:r w:rsidR="000D7342">
        <w:noBreakHyphen/>
      </w:r>
      <w:r>
        <w:t xml:space="preserve">profit financial reporting framework. It is anticipated that consultation will </w:t>
      </w:r>
      <w:r w:rsidR="00B45CD3">
        <w:t>commence</w:t>
      </w:r>
      <w:r>
        <w:t xml:space="preserve"> in the second </w:t>
      </w:r>
      <w:r w:rsidR="00553FB3">
        <w:t xml:space="preserve">half </w:t>
      </w:r>
      <w:r>
        <w:t>of 2021.</w:t>
      </w:r>
    </w:p>
    <w:p w14:paraId="5991B817" w14:textId="77777777" w:rsidR="00736229" w:rsidRDefault="00736229" w:rsidP="00736229">
      <w:pPr>
        <w:pStyle w:val="Bullet"/>
        <w:numPr>
          <w:ilvl w:val="0"/>
          <w:numId w:val="0"/>
        </w:numPr>
      </w:pPr>
      <w:r>
        <w:t xml:space="preserve">At this stage, it </w:t>
      </w:r>
      <w:r w:rsidR="00B45CD3">
        <w:t>appears unlikely that</w:t>
      </w:r>
      <w:r>
        <w:t xml:space="preserve"> the timing for the AASB’s not-for-profit financial reporting framework will align with the timing for increasing financial reporting thresholds for </w:t>
      </w:r>
      <w:r w:rsidR="009850E9">
        <w:t>ACNC-registered</w:t>
      </w:r>
      <w:r>
        <w:t xml:space="preserve"> charities, with the AASB framework due to be implemented later, </w:t>
      </w:r>
      <w:r w:rsidR="00B45CD3">
        <w:t>subject to</w:t>
      </w:r>
      <w:r>
        <w:t xml:space="preserve"> approv</w:t>
      </w:r>
      <w:r w:rsidR="00B45CD3">
        <w:t>al</w:t>
      </w:r>
      <w:r>
        <w:t>.</w:t>
      </w:r>
    </w:p>
    <w:p w14:paraId="46503F18" w14:textId="77777777" w:rsidR="00A723E6" w:rsidRDefault="00A723E6" w:rsidP="00A723E6">
      <w:pPr>
        <w:pStyle w:val="Heading2"/>
      </w:pPr>
      <w:bookmarkStart w:id="22" w:name="_Ref61955387"/>
      <w:bookmarkStart w:id="23" w:name="_Toc63934891"/>
      <w:r>
        <w:lastRenderedPageBreak/>
        <w:t>Consultation questions</w:t>
      </w:r>
      <w:bookmarkEnd w:id="22"/>
      <w:bookmarkEnd w:id="23"/>
    </w:p>
    <w:p w14:paraId="0F915569" w14:textId="77777777" w:rsidR="00A723E6" w:rsidRDefault="00595253" w:rsidP="00A723E6">
      <w:pPr>
        <w:pStyle w:val="Bullet"/>
        <w:numPr>
          <w:ilvl w:val="0"/>
          <w:numId w:val="0"/>
        </w:numPr>
      </w:pPr>
      <w:r>
        <w:t>Below</w:t>
      </w:r>
      <w:r w:rsidR="009C1CF8">
        <w:t xml:space="preserve"> is a consolidated list of the consultation questions found throughout this document, for ease of reference.</w:t>
      </w:r>
    </w:p>
    <w:p w14:paraId="558660E1" w14:textId="77777777" w:rsidR="00B45CD3" w:rsidRDefault="00B45CD3" w:rsidP="00CC5AED">
      <w:pPr>
        <w:pStyle w:val="OutlineNumbered1"/>
      </w:pPr>
      <w:r>
        <w:t xml:space="preserve">Do you consider the proposed new thresholds are suitable?  If no, why?  If no, what thresholds do you consider appropriate to balance regulatory red tape and the need for </w:t>
      </w:r>
      <w:r w:rsidR="000538CB">
        <w:t xml:space="preserve">accountability and </w:t>
      </w:r>
      <w:r>
        <w:t>transparency?</w:t>
      </w:r>
    </w:p>
    <w:p w14:paraId="1F3F795F" w14:textId="77777777" w:rsidR="00CC5AED" w:rsidRDefault="00AE46D2" w:rsidP="00CC5AED">
      <w:pPr>
        <w:pStyle w:val="OutlineNumbered1"/>
      </w:pPr>
      <w:r>
        <w:t>In your view, is it more important for the ACNC to increase reporting thresholds as soon as Commonwealth legislative priorities allow, or for the increased thresholds to be increased simultaneously across all jurisdictions consistent with a longer timeframe?</w:t>
      </w:r>
    </w:p>
    <w:p w14:paraId="611FFEFC" w14:textId="77777777" w:rsidR="00CC5AED" w:rsidRDefault="00CC5AED" w:rsidP="00CC5AED">
      <w:pPr>
        <w:pStyle w:val="OutlineNumbered1"/>
      </w:pPr>
      <w:r>
        <w:t>What lead in time would you consider suitable for charities to make the necessary changes to their reporting processes?</w:t>
      </w:r>
    </w:p>
    <w:p w14:paraId="238602B5" w14:textId="77777777" w:rsidR="00CC5AED" w:rsidRDefault="002433FE" w:rsidP="00CC5AED">
      <w:pPr>
        <w:pStyle w:val="OutlineNumbered1"/>
      </w:pPr>
      <w:r>
        <w:t xml:space="preserve">In your view, if non-ACNC-registered incorporated associations were required to report similar financial information to that which ACNC-registered incorporated associations provide to the ACNC, would this provide </w:t>
      </w:r>
      <w:proofErr w:type="gramStart"/>
      <w:r>
        <w:t>sufficient</w:t>
      </w:r>
      <w:proofErr w:type="gramEnd"/>
      <w:r>
        <w:t xml:space="preserve"> accountability and transparency, including for the purposes of members, donors and the interested public?</w:t>
      </w:r>
    </w:p>
    <w:p w14:paraId="6722A894" w14:textId="77777777" w:rsidR="00CC5AED" w:rsidRDefault="00CC5AED" w:rsidP="00CC5AED">
      <w:pPr>
        <w:pStyle w:val="OutlineNumbered1"/>
      </w:pPr>
      <w:r>
        <w:t>What, if any, issues do you consider potential differences in reporting thresholds for charity and non-charity incorporated associations will cause?  Why?</w:t>
      </w:r>
    </w:p>
    <w:p w14:paraId="37AA12E7" w14:textId="77777777" w:rsidR="00CC5AED" w:rsidRPr="00CC5AED" w:rsidRDefault="00CC5AED" w:rsidP="00CC5AED">
      <w:pPr>
        <w:pStyle w:val="OutlineNumbered1"/>
      </w:pPr>
      <w:r w:rsidRPr="00CC5AED">
        <w:t xml:space="preserve">In your opinion, is the Thresholds Working Group overlooking any issues </w:t>
      </w:r>
      <w:r w:rsidR="00F73489">
        <w:t>concerning</w:t>
      </w:r>
      <w:r w:rsidRPr="00CC5AED">
        <w:t xml:space="preserve"> the nexus between fundraising reporting requirements and financial reporting requirements for ACNC-registered charities?</w:t>
      </w:r>
    </w:p>
    <w:p w14:paraId="12A3F94B" w14:textId="77777777" w:rsidR="00A723E6" w:rsidRPr="00F64B57" w:rsidRDefault="00A723E6" w:rsidP="00A723E6">
      <w:pPr>
        <w:pStyle w:val="Bullet"/>
        <w:numPr>
          <w:ilvl w:val="0"/>
          <w:numId w:val="0"/>
        </w:numPr>
      </w:pPr>
      <w:r>
        <w:t>Thank you for taking time to engage on this important issue.</w:t>
      </w:r>
    </w:p>
    <w:p w14:paraId="379F6FC3" w14:textId="77777777" w:rsidR="00A723E6" w:rsidRDefault="00A723E6" w:rsidP="006D2172">
      <w:pPr>
        <w:sectPr w:rsidR="00A723E6" w:rsidSect="00E1136B">
          <w:headerReference w:type="even" r:id="rId26"/>
          <w:headerReference w:type="default" r:id="rId27"/>
          <w:footerReference w:type="even" r:id="rId28"/>
          <w:footerReference w:type="default" r:id="rId29"/>
          <w:headerReference w:type="first" r:id="rId30"/>
          <w:footerReference w:type="first" r:id="rId31"/>
          <w:pgSz w:w="11906" w:h="16838" w:code="9"/>
          <w:pgMar w:top="1418" w:right="1418" w:bottom="1418" w:left="1418" w:header="709" w:footer="709" w:gutter="0"/>
          <w:pgNumType w:start="1"/>
          <w:cols w:space="708"/>
          <w:docGrid w:linePitch="360"/>
        </w:sectPr>
      </w:pPr>
    </w:p>
    <w:p w14:paraId="7A8F6A8C" w14:textId="77777777" w:rsidR="00F92854" w:rsidRDefault="00501CE3" w:rsidP="00501CE3">
      <w:pPr>
        <w:pStyle w:val="Heading1"/>
      </w:pPr>
      <w:bookmarkStart w:id="24" w:name="_Toc63934892"/>
      <w:r>
        <w:lastRenderedPageBreak/>
        <w:t>Attachment A: Regulatory requirements for ACNC charities that are incorporated associations</w:t>
      </w:r>
      <w:bookmarkEnd w:id="24"/>
    </w:p>
    <w:tbl>
      <w:tblPr>
        <w:tblStyle w:val="GridTable1Light-Accent1"/>
        <w:tblW w:w="5130" w:type="pct"/>
        <w:tblLook w:val="04A0" w:firstRow="1" w:lastRow="0" w:firstColumn="1" w:lastColumn="0" w:noHBand="0" w:noVBand="1"/>
      </w:tblPr>
      <w:tblGrid>
        <w:gridCol w:w="2234"/>
        <w:gridCol w:w="1572"/>
        <w:gridCol w:w="785"/>
        <w:gridCol w:w="5133"/>
        <w:gridCol w:w="1641"/>
        <w:gridCol w:w="1210"/>
        <w:gridCol w:w="1781"/>
      </w:tblGrid>
      <w:tr w:rsidR="00F92854" w:rsidRPr="00237E6F" w14:paraId="5E93E2D9" w14:textId="77777777" w:rsidTr="004A7B9A">
        <w:trPr>
          <w:cnfStyle w:val="100000000000" w:firstRow="1" w:lastRow="0" w:firstColumn="0" w:lastColumn="0" w:oddVBand="0" w:evenVBand="0" w:oddHBand="0"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798" w:type="pct"/>
            <w:hideMark/>
          </w:tcPr>
          <w:p w14:paraId="6AF76D79" w14:textId="77777777" w:rsidR="00F92854" w:rsidRPr="00F844C3" w:rsidRDefault="00F92854" w:rsidP="004A7B9A">
            <w:pPr>
              <w:rPr>
                <w:rFonts w:ascii="Times New Roman" w:hAnsi="Times New Roman"/>
                <w:sz w:val="24"/>
                <w:szCs w:val="24"/>
              </w:rPr>
            </w:pPr>
          </w:p>
        </w:tc>
        <w:tc>
          <w:tcPr>
            <w:tcW w:w="470" w:type="pct"/>
            <w:hideMark/>
          </w:tcPr>
          <w:p w14:paraId="312FBB76" w14:textId="77777777" w:rsidR="00F92854" w:rsidRPr="00F844C3" w:rsidRDefault="00F92854" w:rsidP="004A7B9A">
            <w:pPr>
              <w:cnfStyle w:val="100000000000" w:firstRow="1" w:lastRow="0" w:firstColumn="0" w:lastColumn="0" w:oddVBand="0" w:evenVBand="0" w:oddHBand="0" w:evenHBand="0" w:firstRowFirstColumn="0" w:firstRowLastColumn="0" w:lastRowFirstColumn="0" w:lastRowLastColumn="0"/>
              <w:rPr>
                <w:rFonts w:cs="Calibri"/>
                <w:color w:val="000000"/>
                <w:sz w:val="20"/>
              </w:rPr>
            </w:pPr>
            <w:r w:rsidRPr="00F844C3">
              <w:rPr>
                <w:rFonts w:cs="Calibri"/>
                <w:color w:val="000000"/>
                <w:sz w:val="20"/>
              </w:rPr>
              <w:t>Exemp</w:t>
            </w:r>
            <w:r>
              <w:rPr>
                <w:rFonts w:cs="Calibri"/>
                <w:color w:val="000000"/>
                <w:sz w:val="20"/>
              </w:rPr>
              <w:t>t from state reporting requirements</w:t>
            </w:r>
          </w:p>
        </w:tc>
        <w:tc>
          <w:tcPr>
            <w:tcW w:w="283" w:type="pct"/>
            <w:hideMark/>
          </w:tcPr>
          <w:p w14:paraId="0F376521" w14:textId="77777777" w:rsidR="00F92854" w:rsidRPr="00F844C3" w:rsidRDefault="00F92854" w:rsidP="004A7B9A">
            <w:pPr>
              <w:cnfStyle w:val="100000000000" w:firstRow="1" w:lastRow="0" w:firstColumn="0" w:lastColumn="0" w:oddVBand="0" w:evenVBand="0" w:oddHBand="0" w:evenHBand="0" w:firstRowFirstColumn="0" w:firstRowLastColumn="0" w:lastRowFirstColumn="0" w:lastRowLastColumn="0"/>
              <w:rPr>
                <w:rFonts w:cs="Calibri"/>
                <w:color w:val="000000"/>
                <w:sz w:val="20"/>
              </w:rPr>
            </w:pPr>
            <w:r w:rsidRPr="00F844C3">
              <w:rPr>
                <w:rFonts w:cs="Calibri"/>
                <w:color w:val="000000"/>
                <w:sz w:val="20"/>
              </w:rPr>
              <w:t>Report once to ACNC</w:t>
            </w:r>
          </w:p>
        </w:tc>
        <w:tc>
          <w:tcPr>
            <w:tcW w:w="1793" w:type="pct"/>
            <w:hideMark/>
          </w:tcPr>
          <w:p w14:paraId="5B2F4C7F" w14:textId="77777777" w:rsidR="00F92854" w:rsidRPr="00F844C3" w:rsidRDefault="00F92854" w:rsidP="004A7B9A">
            <w:pPr>
              <w:cnfStyle w:val="100000000000" w:firstRow="1" w:lastRow="0" w:firstColumn="0" w:lastColumn="0" w:oddVBand="0" w:evenVBand="0" w:oddHBand="0" w:evenHBand="0" w:firstRowFirstColumn="0" w:firstRowLastColumn="0" w:lastRowFirstColumn="0" w:lastRowLastColumn="0"/>
              <w:rPr>
                <w:rFonts w:cs="Calibri"/>
                <w:color w:val="000000"/>
                <w:sz w:val="20"/>
              </w:rPr>
            </w:pPr>
            <w:r w:rsidRPr="00F844C3">
              <w:rPr>
                <w:rFonts w:cs="Calibri"/>
                <w:color w:val="000000"/>
                <w:sz w:val="20"/>
              </w:rPr>
              <w:t>Current Revenue Tiers</w:t>
            </w:r>
            <w:r>
              <w:rPr>
                <w:rFonts w:cs="Calibri"/>
                <w:color w:val="000000"/>
                <w:sz w:val="20"/>
              </w:rPr>
              <w:t xml:space="preserve"> triggering reporting requirements</w:t>
            </w:r>
          </w:p>
        </w:tc>
        <w:tc>
          <w:tcPr>
            <w:tcW w:w="573" w:type="pct"/>
            <w:hideMark/>
          </w:tcPr>
          <w:p w14:paraId="4096961A" w14:textId="77777777" w:rsidR="00F92854" w:rsidRPr="00F844C3" w:rsidRDefault="00F92854" w:rsidP="004A7B9A">
            <w:pPr>
              <w:cnfStyle w:val="100000000000" w:firstRow="1" w:lastRow="0" w:firstColumn="0" w:lastColumn="0" w:oddVBand="0" w:evenVBand="0" w:oddHBand="0" w:evenHBand="0" w:firstRowFirstColumn="0" w:firstRowLastColumn="0" w:lastRowFirstColumn="0" w:lastRowLastColumn="0"/>
              <w:rPr>
                <w:rFonts w:cs="Calibri"/>
                <w:color w:val="000000"/>
                <w:sz w:val="20"/>
              </w:rPr>
            </w:pPr>
            <w:r w:rsidRPr="00F844C3">
              <w:rPr>
                <w:rFonts w:cs="Calibri"/>
                <w:color w:val="000000"/>
                <w:sz w:val="20"/>
              </w:rPr>
              <w:t>Auditor</w:t>
            </w:r>
            <w:r>
              <w:rPr>
                <w:rFonts w:cs="Calibri"/>
                <w:color w:val="000000"/>
                <w:sz w:val="20"/>
              </w:rPr>
              <w:t>/Auditing</w:t>
            </w:r>
            <w:r w:rsidRPr="00F844C3">
              <w:rPr>
                <w:rFonts w:cs="Calibri"/>
                <w:color w:val="000000"/>
                <w:sz w:val="20"/>
              </w:rPr>
              <w:t xml:space="preserve"> Requirements</w:t>
            </w:r>
          </w:p>
        </w:tc>
        <w:tc>
          <w:tcPr>
            <w:tcW w:w="401" w:type="pct"/>
            <w:hideMark/>
          </w:tcPr>
          <w:p w14:paraId="6C0947D9" w14:textId="77777777" w:rsidR="00F92854" w:rsidRPr="00F844C3" w:rsidRDefault="00F92854" w:rsidP="004A7B9A">
            <w:pPr>
              <w:cnfStyle w:val="100000000000" w:firstRow="1" w:lastRow="0" w:firstColumn="0" w:lastColumn="0" w:oddVBand="0" w:evenVBand="0" w:oddHBand="0" w:evenHBand="0" w:firstRowFirstColumn="0" w:firstRowLastColumn="0" w:lastRowFirstColumn="0" w:lastRowLastColumn="0"/>
              <w:rPr>
                <w:rFonts w:cs="Calibri"/>
                <w:color w:val="000000"/>
                <w:sz w:val="20"/>
              </w:rPr>
            </w:pPr>
            <w:r w:rsidRPr="00F844C3">
              <w:rPr>
                <w:rFonts w:cs="Calibri"/>
                <w:color w:val="000000"/>
                <w:sz w:val="20"/>
              </w:rPr>
              <w:t xml:space="preserve">Accounting </w:t>
            </w:r>
            <w:r>
              <w:rPr>
                <w:rFonts w:cs="Calibri"/>
                <w:color w:val="000000"/>
                <w:sz w:val="20"/>
              </w:rPr>
              <w:t>information</w:t>
            </w:r>
            <w:r w:rsidRPr="00F844C3">
              <w:rPr>
                <w:rFonts w:cs="Calibri"/>
                <w:color w:val="000000"/>
                <w:sz w:val="20"/>
              </w:rPr>
              <w:t xml:space="preserve"> specified</w:t>
            </w:r>
          </w:p>
        </w:tc>
        <w:tc>
          <w:tcPr>
            <w:tcW w:w="682" w:type="pct"/>
          </w:tcPr>
          <w:p w14:paraId="3B1638F5" w14:textId="77777777" w:rsidR="00F92854" w:rsidRPr="00237E6F" w:rsidRDefault="00F92854" w:rsidP="004A7B9A">
            <w:pPr>
              <w:cnfStyle w:val="100000000000" w:firstRow="1" w:lastRow="0" w:firstColumn="0" w:lastColumn="0" w:oddVBand="0" w:evenVBand="0" w:oddHBand="0" w:evenHBand="0" w:firstRowFirstColumn="0" w:firstRowLastColumn="0" w:lastRowFirstColumn="0" w:lastRowLastColumn="0"/>
              <w:rPr>
                <w:rFonts w:cs="Calibri"/>
                <w:color w:val="000000"/>
                <w:sz w:val="20"/>
              </w:rPr>
            </w:pPr>
            <w:r w:rsidRPr="00237E6F">
              <w:rPr>
                <w:rFonts w:cs="Calibri"/>
                <w:color w:val="000000"/>
                <w:sz w:val="20"/>
              </w:rPr>
              <w:t>Fundraising requirements</w:t>
            </w:r>
          </w:p>
        </w:tc>
      </w:tr>
      <w:tr w:rsidR="00F92854" w:rsidRPr="00406DB0" w14:paraId="352F601D" w14:textId="77777777" w:rsidTr="004A7B9A">
        <w:trPr>
          <w:trHeight w:val="290"/>
        </w:trPr>
        <w:tc>
          <w:tcPr>
            <w:cnfStyle w:val="001000000000" w:firstRow="0" w:lastRow="0" w:firstColumn="1" w:lastColumn="0" w:oddVBand="0" w:evenVBand="0" w:oddHBand="0" w:evenHBand="0" w:firstRowFirstColumn="0" w:firstRowLastColumn="0" w:lastRowFirstColumn="0" w:lastRowLastColumn="0"/>
            <w:tcW w:w="798" w:type="pct"/>
            <w:noWrap/>
            <w:hideMark/>
          </w:tcPr>
          <w:p w14:paraId="6A72827C" w14:textId="77777777" w:rsidR="00F92854" w:rsidRPr="00F844C3" w:rsidRDefault="00F92854" w:rsidP="004A7B9A">
            <w:pPr>
              <w:rPr>
                <w:rFonts w:cs="Calibri"/>
                <w:color w:val="000000"/>
              </w:rPr>
            </w:pPr>
            <w:r w:rsidRPr="00F844C3">
              <w:rPr>
                <w:rFonts w:cs="Calibri"/>
                <w:color w:val="000000"/>
              </w:rPr>
              <w:t>NSW</w:t>
            </w:r>
          </w:p>
        </w:tc>
        <w:tc>
          <w:tcPr>
            <w:tcW w:w="470" w:type="pct"/>
            <w:noWrap/>
            <w:hideMark/>
          </w:tcPr>
          <w:p w14:paraId="4604BF37"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Calibri"/>
                <w:color w:val="000000"/>
              </w:rPr>
            </w:pPr>
            <w:r w:rsidRPr="00F844C3">
              <w:rPr>
                <w:rFonts w:cs="Calibri"/>
                <w:color w:val="000000"/>
              </w:rPr>
              <w:t>No</w:t>
            </w:r>
          </w:p>
        </w:tc>
        <w:tc>
          <w:tcPr>
            <w:tcW w:w="283" w:type="pct"/>
            <w:noWrap/>
            <w:hideMark/>
          </w:tcPr>
          <w:p w14:paraId="3F287799"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844C3">
              <w:rPr>
                <w:rFonts w:cstheme="minorHAnsi"/>
                <w:color w:val="000000"/>
              </w:rPr>
              <w:t>Yes</w:t>
            </w:r>
          </w:p>
        </w:tc>
        <w:tc>
          <w:tcPr>
            <w:tcW w:w="1793" w:type="pct"/>
            <w:noWrap/>
            <w:hideMark/>
          </w:tcPr>
          <w:p w14:paraId="0E810186" w14:textId="77777777" w:rsidR="00F92854" w:rsidRPr="00406DB0"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844C3">
              <w:rPr>
                <w:rFonts w:cstheme="minorHAnsi"/>
                <w:color w:val="000000"/>
                <w:u w:val="single"/>
              </w:rPr>
              <w:t>Tier 1</w:t>
            </w:r>
            <w:r w:rsidRPr="00406DB0">
              <w:rPr>
                <w:rFonts w:cstheme="minorHAnsi"/>
                <w:color w:val="000000"/>
              </w:rPr>
              <w:t xml:space="preserve"> </w:t>
            </w:r>
            <w:r w:rsidRPr="00F844C3">
              <w:rPr>
                <w:rFonts w:cstheme="minorHAnsi"/>
                <w:color w:val="000000"/>
              </w:rPr>
              <w:t>Revenue &gt;$250,000</w:t>
            </w:r>
            <w:r w:rsidRPr="00406DB0">
              <w:rPr>
                <w:rFonts w:cstheme="minorHAnsi"/>
                <w:color w:val="000000"/>
              </w:rPr>
              <w:t>, assets &gt;$500,000</w:t>
            </w:r>
          </w:p>
          <w:p w14:paraId="06243C76" w14:textId="77777777" w:rsidR="00F92854" w:rsidRPr="00406DB0"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06DB0">
              <w:rPr>
                <w:rFonts w:cstheme="minorHAnsi"/>
                <w:color w:val="000000"/>
                <w:u w:val="single"/>
              </w:rPr>
              <w:t>Tier 2</w:t>
            </w:r>
            <w:r w:rsidRPr="00406DB0">
              <w:rPr>
                <w:rFonts w:cstheme="minorHAnsi"/>
                <w:color w:val="000000"/>
              </w:rPr>
              <w:t xml:space="preserve"> – any other association</w:t>
            </w:r>
          </w:p>
        </w:tc>
        <w:tc>
          <w:tcPr>
            <w:tcW w:w="573" w:type="pct"/>
          </w:tcPr>
          <w:p w14:paraId="373038FC" w14:textId="77777777" w:rsidR="00F92854" w:rsidRPr="00406DB0"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Yes</w:t>
            </w:r>
          </w:p>
        </w:tc>
        <w:tc>
          <w:tcPr>
            <w:tcW w:w="401" w:type="pct"/>
          </w:tcPr>
          <w:p w14:paraId="5006E547"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Yes</w:t>
            </w:r>
          </w:p>
        </w:tc>
        <w:tc>
          <w:tcPr>
            <w:tcW w:w="682" w:type="pct"/>
          </w:tcPr>
          <w:p w14:paraId="3396A471" w14:textId="77777777" w:rsidR="00F92854" w:rsidRPr="00406DB0"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06DB0">
              <w:rPr>
                <w:rFonts w:cstheme="minorHAnsi"/>
                <w:color w:val="000000"/>
              </w:rPr>
              <w:t>Yes</w:t>
            </w:r>
          </w:p>
        </w:tc>
      </w:tr>
      <w:tr w:rsidR="00F92854" w:rsidRPr="00406DB0" w14:paraId="56132932" w14:textId="77777777" w:rsidTr="004A7B9A">
        <w:trPr>
          <w:trHeight w:val="290"/>
        </w:trPr>
        <w:tc>
          <w:tcPr>
            <w:cnfStyle w:val="001000000000" w:firstRow="0" w:lastRow="0" w:firstColumn="1" w:lastColumn="0" w:oddVBand="0" w:evenVBand="0" w:oddHBand="0" w:evenHBand="0" w:firstRowFirstColumn="0" w:firstRowLastColumn="0" w:lastRowFirstColumn="0" w:lastRowLastColumn="0"/>
            <w:tcW w:w="798" w:type="pct"/>
            <w:noWrap/>
            <w:hideMark/>
          </w:tcPr>
          <w:p w14:paraId="758702F0" w14:textId="77777777" w:rsidR="00F92854" w:rsidRPr="00F844C3" w:rsidRDefault="00F92854" w:rsidP="004A7B9A">
            <w:pPr>
              <w:rPr>
                <w:rFonts w:cs="Calibri"/>
                <w:color w:val="000000"/>
              </w:rPr>
            </w:pPr>
            <w:r w:rsidRPr="00F844C3">
              <w:rPr>
                <w:rFonts w:cs="Calibri"/>
                <w:color w:val="000000"/>
              </w:rPr>
              <w:t>Victoria</w:t>
            </w:r>
          </w:p>
        </w:tc>
        <w:tc>
          <w:tcPr>
            <w:tcW w:w="470" w:type="pct"/>
            <w:noWrap/>
            <w:hideMark/>
          </w:tcPr>
          <w:p w14:paraId="57889930"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Yes</w:t>
            </w:r>
          </w:p>
        </w:tc>
        <w:tc>
          <w:tcPr>
            <w:tcW w:w="283" w:type="pct"/>
            <w:noWrap/>
            <w:hideMark/>
          </w:tcPr>
          <w:p w14:paraId="2E69A4C6"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844C3">
              <w:rPr>
                <w:rFonts w:cstheme="minorHAnsi"/>
                <w:color w:val="000000"/>
              </w:rPr>
              <w:t>Yes</w:t>
            </w:r>
          </w:p>
        </w:tc>
        <w:tc>
          <w:tcPr>
            <w:tcW w:w="1793" w:type="pct"/>
            <w:noWrap/>
            <w:hideMark/>
          </w:tcPr>
          <w:p w14:paraId="25E30DB5"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06DB0">
              <w:rPr>
                <w:rFonts w:cstheme="minorHAnsi"/>
                <w:color w:val="000000"/>
              </w:rPr>
              <w:t>As per ACNC’s current tiers</w:t>
            </w:r>
          </w:p>
        </w:tc>
        <w:tc>
          <w:tcPr>
            <w:tcW w:w="573" w:type="pct"/>
            <w:noWrap/>
            <w:hideMark/>
          </w:tcPr>
          <w:p w14:paraId="1291A110"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401" w:type="pct"/>
            <w:noWrap/>
            <w:hideMark/>
          </w:tcPr>
          <w:p w14:paraId="77DCA126"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682" w:type="pct"/>
          </w:tcPr>
          <w:p w14:paraId="661F33CD" w14:textId="77777777" w:rsidR="00F92854" w:rsidRPr="00406DB0"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 can report via the ACNC</w:t>
            </w:r>
          </w:p>
        </w:tc>
      </w:tr>
      <w:tr w:rsidR="00F92854" w:rsidRPr="00406DB0" w14:paraId="78EC2D10" w14:textId="77777777" w:rsidTr="004A7B9A">
        <w:trPr>
          <w:trHeight w:val="290"/>
        </w:trPr>
        <w:tc>
          <w:tcPr>
            <w:cnfStyle w:val="001000000000" w:firstRow="0" w:lastRow="0" w:firstColumn="1" w:lastColumn="0" w:oddVBand="0" w:evenVBand="0" w:oddHBand="0" w:evenHBand="0" w:firstRowFirstColumn="0" w:firstRowLastColumn="0" w:lastRowFirstColumn="0" w:lastRowLastColumn="0"/>
            <w:tcW w:w="798" w:type="pct"/>
            <w:noWrap/>
            <w:hideMark/>
          </w:tcPr>
          <w:p w14:paraId="38204851" w14:textId="77777777" w:rsidR="00F92854" w:rsidRPr="00F844C3" w:rsidRDefault="00F92854" w:rsidP="004A7B9A">
            <w:pPr>
              <w:rPr>
                <w:rFonts w:cs="Calibri"/>
                <w:color w:val="000000"/>
              </w:rPr>
            </w:pPr>
            <w:r w:rsidRPr="00F844C3">
              <w:rPr>
                <w:rFonts w:cs="Calibri"/>
                <w:color w:val="000000"/>
              </w:rPr>
              <w:t>Queensland</w:t>
            </w:r>
          </w:p>
        </w:tc>
        <w:tc>
          <w:tcPr>
            <w:tcW w:w="470" w:type="pct"/>
            <w:noWrap/>
            <w:hideMark/>
          </w:tcPr>
          <w:p w14:paraId="49832D82" w14:textId="77777777" w:rsidR="00F92854" w:rsidRDefault="00F92854" w:rsidP="004A7B9A">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Under </w:t>
            </w:r>
          </w:p>
          <w:p w14:paraId="4875A526"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consideration</w:t>
            </w:r>
            <w:r>
              <w:rPr>
                <w:rStyle w:val="FootnoteReference"/>
                <w:rFonts w:cs="Calibri"/>
                <w:color w:val="000000"/>
              </w:rPr>
              <w:footnoteReference w:id="12"/>
            </w:r>
          </w:p>
        </w:tc>
        <w:tc>
          <w:tcPr>
            <w:tcW w:w="283" w:type="pct"/>
            <w:noWrap/>
            <w:hideMark/>
          </w:tcPr>
          <w:p w14:paraId="644D833C"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844C3">
              <w:rPr>
                <w:rFonts w:cstheme="minorHAnsi"/>
                <w:color w:val="000000"/>
              </w:rPr>
              <w:t>N/A</w:t>
            </w:r>
          </w:p>
        </w:tc>
        <w:tc>
          <w:tcPr>
            <w:tcW w:w="1793" w:type="pct"/>
            <w:noWrap/>
            <w:hideMark/>
          </w:tcPr>
          <w:p w14:paraId="0CB08C3C" w14:textId="77777777" w:rsidR="00F92854"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80B95">
              <w:rPr>
                <w:rFonts w:cstheme="minorHAnsi"/>
                <w:color w:val="000000"/>
                <w:u w:val="single"/>
              </w:rPr>
              <w:t>Level 3:</w:t>
            </w:r>
            <w:r>
              <w:rPr>
                <w:rFonts w:cstheme="minorHAnsi"/>
                <w:color w:val="000000"/>
              </w:rPr>
              <w:t xml:space="preserve"> Revenue &lt; $20,000</w:t>
            </w:r>
            <w:r w:rsidR="000538CB">
              <w:rPr>
                <w:rFonts w:cstheme="minorHAnsi"/>
                <w:color w:val="000000"/>
              </w:rPr>
              <w:t xml:space="preserve"> and</w:t>
            </w:r>
            <w:r>
              <w:rPr>
                <w:rFonts w:cstheme="minorHAnsi"/>
                <w:color w:val="000000"/>
              </w:rPr>
              <w:t xml:space="preserve"> Assets &lt; $20,000</w:t>
            </w:r>
          </w:p>
          <w:p w14:paraId="6C00A1CD" w14:textId="77777777" w:rsidR="00F92854"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80B95">
              <w:rPr>
                <w:rFonts w:cstheme="minorHAnsi"/>
                <w:color w:val="000000"/>
                <w:u w:val="single"/>
              </w:rPr>
              <w:t>Level 2:</w:t>
            </w:r>
            <w:r>
              <w:rPr>
                <w:rFonts w:cstheme="minorHAnsi"/>
                <w:color w:val="000000"/>
              </w:rPr>
              <w:t xml:space="preserve"> not level 1 or 3</w:t>
            </w:r>
          </w:p>
          <w:p w14:paraId="6F4C24AA"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80B95">
              <w:rPr>
                <w:rFonts w:cstheme="minorHAnsi"/>
                <w:color w:val="000000"/>
                <w:u w:val="single"/>
              </w:rPr>
              <w:t>Level 1:</w:t>
            </w:r>
            <w:r>
              <w:rPr>
                <w:rFonts w:cstheme="minorHAnsi"/>
                <w:color w:val="000000"/>
              </w:rPr>
              <w:t xml:space="preserve"> Revenue &gt; $100,000 </w:t>
            </w:r>
            <w:r w:rsidR="000538CB">
              <w:rPr>
                <w:rFonts w:cstheme="minorHAnsi"/>
                <w:color w:val="000000"/>
              </w:rPr>
              <w:t>or</w:t>
            </w:r>
            <w:r>
              <w:rPr>
                <w:rFonts w:cstheme="minorHAnsi"/>
                <w:color w:val="000000"/>
              </w:rPr>
              <w:t xml:space="preserve"> assets &gt; $100,000</w:t>
            </w:r>
          </w:p>
        </w:tc>
        <w:tc>
          <w:tcPr>
            <w:tcW w:w="573" w:type="pct"/>
            <w:noWrap/>
            <w:hideMark/>
          </w:tcPr>
          <w:p w14:paraId="57277CE0"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401" w:type="pct"/>
            <w:noWrap/>
            <w:hideMark/>
          </w:tcPr>
          <w:p w14:paraId="20EE859A"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682" w:type="pct"/>
          </w:tcPr>
          <w:p w14:paraId="798831D2" w14:textId="77777777" w:rsidR="00F92854" w:rsidRPr="00406DB0" w:rsidRDefault="000538CB" w:rsidP="004A7B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r w:rsidR="00F92854">
              <w:rPr>
                <w:rStyle w:val="FootnoteReference"/>
                <w:rFonts w:cstheme="minorHAnsi"/>
              </w:rPr>
              <w:footnoteReference w:id="13"/>
            </w:r>
          </w:p>
        </w:tc>
      </w:tr>
      <w:tr w:rsidR="00F92854" w:rsidRPr="00406DB0" w14:paraId="7FEA93A6" w14:textId="77777777" w:rsidTr="004A7B9A">
        <w:trPr>
          <w:trHeight w:val="290"/>
        </w:trPr>
        <w:tc>
          <w:tcPr>
            <w:cnfStyle w:val="001000000000" w:firstRow="0" w:lastRow="0" w:firstColumn="1" w:lastColumn="0" w:oddVBand="0" w:evenVBand="0" w:oddHBand="0" w:evenHBand="0" w:firstRowFirstColumn="0" w:firstRowLastColumn="0" w:lastRowFirstColumn="0" w:lastRowLastColumn="0"/>
            <w:tcW w:w="798" w:type="pct"/>
            <w:noWrap/>
          </w:tcPr>
          <w:p w14:paraId="1789AEAF" w14:textId="77777777" w:rsidR="00F92854" w:rsidRPr="003E2008" w:rsidRDefault="00F92854" w:rsidP="004A7B9A">
            <w:pPr>
              <w:rPr>
                <w:rFonts w:cs="Calibri"/>
                <w:color w:val="000000"/>
              </w:rPr>
            </w:pPr>
            <w:r w:rsidRPr="00BF2DEE">
              <w:rPr>
                <w:rFonts w:cs="Calibri"/>
                <w:color w:val="000000"/>
              </w:rPr>
              <w:t>Western Australia</w:t>
            </w:r>
          </w:p>
        </w:tc>
        <w:tc>
          <w:tcPr>
            <w:tcW w:w="470" w:type="pct"/>
            <w:noWrap/>
          </w:tcPr>
          <w:p w14:paraId="17FF2A65"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Calibri"/>
                <w:color w:val="000000"/>
              </w:rPr>
            </w:pPr>
            <w:r w:rsidRPr="00F844C3">
              <w:rPr>
                <w:rFonts w:cs="Calibri"/>
                <w:color w:val="000000"/>
              </w:rPr>
              <w:t>No</w:t>
            </w:r>
          </w:p>
        </w:tc>
        <w:tc>
          <w:tcPr>
            <w:tcW w:w="283" w:type="pct"/>
            <w:noWrap/>
          </w:tcPr>
          <w:p w14:paraId="330A2EB9"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844C3">
              <w:rPr>
                <w:rFonts w:cstheme="minorHAnsi"/>
                <w:color w:val="000000"/>
              </w:rPr>
              <w:t>Yes</w:t>
            </w:r>
          </w:p>
        </w:tc>
        <w:tc>
          <w:tcPr>
            <w:tcW w:w="1793" w:type="pct"/>
            <w:noWrap/>
          </w:tcPr>
          <w:p w14:paraId="28AF345E" w14:textId="77777777" w:rsidR="00F92854" w:rsidRPr="00B80B95"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u w:val="single"/>
              </w:rPr>
            </w:pPr>
            <w:r>
              <w:rPr>
                <w:rFonts w:cstheme="minorHAnsi"/>
                <w:color w:val="000000"/>
              </w:rPr>
              <w:t>As per ACNC’s current tiers</w:t>
            </w:r>
          </w:p>
        </w:tc>
        <w:tc>
          <w:tcPr>
            <w:tcW w:w="573" w:type="pct"/>
            <w:noWrap/>
          </w:tcPr>
          <w:p w14:paraId="6478C6B9" w14:textId="77777777" w:rsidR="00F92854"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401" w:type="pct"/>
            <w:noWrap/>
          </w:tcPr>
          <w:p w14:paraId="086C997A" w14:textId="77777777" w:rsidR="00F92854"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682" w:type="pct"/>
          </w:tcPr>
          <w:p w14:paraId="494890DF" w14:textId="77777777" w:rsidR="00F92854"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Yes, </w:t>
            </w:r>
            <w:r w:rsidR="009850E9">
              <w:rPr>
                <w:rFonts w:cstheme="minorHAnsi"/>
              </w:rPr>
              <w:t>ACNC-registered</w:t>
            </w:r>
            <w:r>
              <w:rPr>
                <w:rFonts w:cstheme="minorHAnsi"/>
              </w:rPr>
              <w:t xml:space="preserve"> entities are exempt</w:t>
            </w:r>
          </w:p>
        </w:tc>
      </w:tr>
      <w:tr w:rsidR="00F92854" w:rsidRPr="00406DB0" w14:paraId="644F7511" w14:textId="77777777" w:rsidTr="004A7B9A">
        <w:trPr>
          <w:trHeight w:val="290"/>
        </w:trPr>
        <w:tc>
          <w:tcPr>
            <w:cnfStyle w:val="001000000000" w:firstRow="0" w:lastRow="0" w:firstColumn="1" w:lastColumn="0" w:oddVBand="0" w:evenVBand="0" w:oddHBand="0" w:evenHBand="0" w:firstRowFirstColumn="0" w:firstRowLastColumn="0" w:lastRowFirstColumn="0" w:lastRowLastColumn="0"/>
            <w:tcW w:w="798" w:type="pct"/>
            <w:noWrap/>
            <w:hideMark/>
          </w:tcPr>
          <w:p w14:paraId="652F42EF" w14:textId="77777777" w:rsidR="00F92854" w:rsidRPr="000C1CAC" w:rsidRDefault="00F92854" w:rsidP="004A7B9A">
            <w:pPr>
              <w:rPr>
                <w:rFonts w:cs="Calibri"/>
                <w:color w:val="000000"/>
              </w:rPr>
            </w:pPr>
            <w:r w:rsidRPr="000C1CAC">
              <w:rPr>
                <w:rFonts w:cs="Calibri"/>
                <w:color w:val="000000"/>
              </w:rPr>
              <w:lastRenderedPageBreak/>
              <w:t>South Australia</w:t>
            </w:r>
          </w:p>
        </w:tc>
        <w:tc>
          <w:tcPr>
            <w:tcW w:w="470" w:type="pct"/>
            <w:noWrap/>
            <w:hideMark/>
          </w:tcPr>
          <w:p w14:paraId="6127BFEF"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Calibri"/>
                <w:color w:val="000000"/>
              </w:rPr>
            </w:pPr>
            <w:r w:rsidRPr="00F844C3">
              <w:rPr>
                <w:rFonts w:cs="Calibri"/>
                <w:color w:val="000000"/>
              </w:rPr>
              <w:t>Yes</w:t>
            </w:r>
          </w:p>
        </w:tc>
        <w:tc>
          <w:tcPr>
            <w:tcW w:w="283" w:type="pct"/>
            <w:noWrap/>
            <w:hideMark/>
          </w:tcPr>
          <w:p w14:paraId="4CFB305B"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844C3">
              <w:rPr>
                <w:rFonts w:cstheme="minorHAnsi"/>
                <w:color w:val="000000"/>
              </w:rPr>
              <w:t>N/A</w:t>
            </w:r>
          </w:p>
        </w:tc>
        <w:tc>
          <w:tcPr>
            <w:tcW w:w="1793" w:type="pct"/>
            <w:noWrap/>
            <w:hideMark/>
          </w:tcPr>
          <w:p w14:paraId="5B7AE88D"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80B95">
              <w:rPr>
                <w:rFonts w:cstheme="minorHAnsi"/>
                <w:color w:val="000000"/>
                <w:u w:val="single"/>
              </w:rPr>
              <w:t>Prescribed Association</w:t>
            </w:r>
            <w:r>
              <w:rPr>
                <w:rFonts w:cstheme="minorHAnsi"/>
                <w:color w:val="000000"/>
                <w:u w:val="single"/>
              </w:rPr>
              <w:t>:</w:t>
            </w:r>
            <w:r>
              <w:rPr>
                <w:rFonts w:cstheme="minorHAnsi"/>
                <w:color w:val="000000"/>
              </w:rPr>
              <w:t xml:space="preserve"> Revenue &gt;$500,000</w:t>
            </w:r>
          </w:p>
        </w:tc>
        <w:tc>
          <w:tcPr>
            <w:tcW w:w="573" w:type="pct"/>
            <w:noWrap/>
            <w:hideMark/>
          </w:tcPr>
          <w:p w14:paraId="15384CBB"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401" w:type="pct"/>
            <w:noWrap/>
            <w:hideMark/>
          </w:tcPr>
          <w:p w14:paraId="2BE45DCE"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682" w:type="pct"/>
          </w:tcPr>
          <w:p w14:paraId="72EF6054" w14:textId="77777777" w:rsidR="00F92854" w:rsidRPr="00406DB0"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Yes, </w:t>
            </w:r>
            <w:r w:rsidR="009850E9">
              <w:rPr>
                <w:rFonts w:cstheme="minorHAnsi"/>
              </w:rPr>
              <w:t>ACNC-registered</w:t>
            </w:r>
            <w:r>
              <w:rPr>
                <w:rFonts w:cstheme="minorHAnsi"/>
              </w:rPr>
              <w:t xml:space="preserve"> entities are exempt</w:t>
            </w:r>
          </w:p>
        </w:tc>
      </w:tr>
      <w:tr w:rsidR="00F92854" w:rsidRPr="00406DB0" w14:paraId="5B28C329" w14:textId="77777777" w:rsidTr="004A7B9A">
        <w:trPr>
          <w:trHeight w:val="290"/>
        </w:trPr>
        <w:tc>
          <w:tcPr>
            <w:cnfStyle w:val="001000000000" w:firstRow="0" w:lastRow="0" w:firstColumn="1" w:lastColumn="0" w:oddVBand="0" w:evenVBand="0" w:oddHBand="0" w:evenHBand="0" w:firstRowFirstColumn="0" w:firstRowLastColumn="0" w:lastRowFirstColumn="0" w:lastRowLastColumn="0"/>
            <w:tcW w:w="798" w:type="pct"/>
            <w:noWrap/>
            <w:hideMark/>
          </w:tcPr>
          <w:p w14:paraId="574B056F" w14:textId="77777777" w:rsidR="00F92854" w:rsidRPr="00F844C3" w:rsidRDefault="00F92854" w:rsidP="004A7B9A">
            <w:pPr>
              <w:rPr>
                <w:rFonts w:cs="Calibri"/>
                <w:color w:val="000000"/>
              </w:rPr>
            </w:pPr>
            <w:r w:rsidRPr="00F844C3">
              <w:rPr>
                <w:rFonts w:cs="Calibri"/>
                <w:color w:val="000000"/>
              </w:rPr>
              <w:t>Tasmania</w:t>
            </w:r>
          </w:p>
        </w:tc>
        <w:tc>
          <w:tcPr>
            <w:tcW w:w="470" w:type="pct"/>
            <w:noWrap/>
            <w:hideMark/>
          </w:tcPr>
          <w:p w14:paraId="741C619E"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Calibri"/>
                <w:color w:val="000000"/>
              </w:rPr>
            </w:pPr>
            <w:r w:rsidRPr="00F844C3">
              <w:rPr>
                <w:rFonts w:cs="Calibri"/>
                <w:color w:val="000000"/>
              </w:rPr>
              <w:t>Yes</w:t>
            </w:r>
            <w:r>
              <w:rPr>
                <w:rStyle w:val="FootnoteReference"/>
                <w:rFonts w:cs="Calibri"/>
                <w:color w:val="000000"/>
              </w:rPr>
              <w:footnoteReference w:id="14"/>
            </w:r>
          </w:p>
        </w:tc>
        <w:tc>
          <w:tcPr>
            <w:tcW w:w="283" w:type="pct"/>
            <w:noWrap/>
            <w:hideMark/>
          </w:tcPr>
          <w:p w14:paraId="7FD9D29F"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Yes</w:t>
            </w:r>
          </w:p>
        </w:tc>
        <w:tc>
          <w:tcPr>
            <w:tcW w:w="1793" w:type="pct"/>
            <w:noWrap/>
            <w:hideMark/>
          </w:tcPr>
          <w:p w14:paraId="62721113" w14:textId="77777777" w:rsidR="00F92854" w:rsidRPr="00185AA7"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85AA7">
              <w:rPr>
                <w:rFonts w:cstheme="minorHAnsi"/>
                <w:color w:val="000000"/>
              </w:rPr>
              <w:t>As per ACNC’s current tiers</w:t>
            </w:r>
          </w:p>
        </w:tc>
        <w:tc>
          <w:tcPr>
            <w:tcW w:w="573" w:type="pct"/>
            <w:noWrap/>
            <w:hideMark/>
          </w:tcPr>
          <w:p w14:paraId="4D05F4B9"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401" w:type="pct"/>
            <w:noWrap/>
            <w:hideMark/>
          </w:tcPr>
          <w:p w14:paraId="788A297B"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682" w:type="pct"/>
          </w:tcPr>
          <w:p w14:paraId="67665070" w14:textId="77777777" w:rsidR="00F92854" w:rsidRPr="00406DB0"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Associations incorporated in Tasmania exempt</w:t>
            </w:r>
          </w:p>
        </w:tc>
      </w:tr>
      <w:tr w:rsidR="00F92854" w:rsidRPr="00406DB0" w14:paraId="57A358E1" w14:textId="77777777" w:rsidTr="004A7B9A">
        <w:trPr>
          <w:trHeight w:val="290"/>
        </w:trPr>
        <w:tc>
          <w:tcPr>
            <w:cnfStyle w:val="001000000000" w:firstRow="0" w:lastRow="0" w:firstColumn="1" w:lastColumn="0" w:oddVBand="0" w:evenVBand="0" w:oddHBand="0" w:evenHBand="0" w:firstRowFirstColumn="0" w:firstRowLastColumn="0" w:lastRowFirstColumn="0" w:lastRowLastColumn="0"/>
            <w:tcW w:w="798" w:type="pct"/>
            <w:noWrap/>
            <w:hideMark/>
          </w:tcPr>
          <w:p w14:paraId="45D3DA01" w14:textId="77777777" w:rsidR="00F92854" w:rsidRPr="00F844C3" w:rsidRDefault="00F92854" w:rsidP="004A7B9A">
            <w:pPr>
              <w:rPr>
                <w:rFonts w:cs="Calibri"/>
                <w:color w:val="000000"/>
              </w:rPr>
            </w:pPr>
            <w:r w:rsidRPr="00F844C3">
              <w:rPr>
                <w:rFonts w:cs="Calibri"/>
                <w:color w:val="000000"/>
              </w:rPr>
              <w:t>ACT</w:t>
            </w:r>
          </w:p>
        </w:tc>
        <w:tc>
          <w:tcPr>
            <w:tcW w:w="470" w:type="pct"/>
            <w:noWrap/>
            <w:hideMark/>
          </w:tcPr>
          <w:p w14:paraId="6B5F3798"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Calibri"/>
                <w:color w:val="000000"/>
              </w:rPr>
            </w:pPr>
            <w:r w:rsidRPr="00F844C3">
              <w:rPr>
                <w:rFonts w:cs="Calibri"/>
                <w:color w:val="000000"/>
              </w:rPr>
              <w:t>Yes</w:t>
            </w:r>
          </w:p>
        </w:tc>
        <w:tc>
          <w:tcPr>
            <w:tcW w:w="283" w:type="pct"/>
            <w:noWrap/>
            <w:hideMark/>
          </w:tcPr>
          <w:p w14:paraId="3EE4BD40"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844C3">
              <w:rPr>
                <w:rFonts w:cstheme="minorHAnsi"/>
                <w:color w:val="000000"/>
              </w:rPr>
              <w:t>N/A</w:t>
            </w:r>
          </w:p>
        </w:tc>
        <w:tc>
          <w:tcPr>
            <w:tcW w:w="1793" w:type="pct"/>
            <w:noWrap/>
            <w:hideMark/>
          </w:tcPr>
          <w:p w14:paraId="683D23FA" w14:textId="77777777" w:rsidR="00F92854"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80B95">
              <w:rPr>
                <w:rFonts w:cstheme="minorHAnsi"/>
                <w:color w:val="000000"/>
                <w:u w:val="single"/>
              </w:rPr>
              <w:t>Small association:</w:t>
            </w:r>
            <w:r>
              <w:rPr>
                <w:rFonts w:cstheme="minorHAnsi"/>
                <w:color w:val="000000"/>
              </w:rPr>
              <w:t xml:space="preserve"> revenue &lt;$400,000</w:t>
            </w:r>
          </w:p>
          <w:p w14:paraId="0C9A24F6" w14:textId="77777777" w:rsidR="00F92854"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80B95">
              <w:rPr>
                <w:rFonts w:cstheme="minorHAnsi"/>
                <w:color w:val="000000"/>
                <w:u w:val="single"/>
              </w:rPr>
              <w:t>Medium:</w:t>
            </w:r>
            <w:r>
              <w:rPr>
                <w:rFonts w:cstheme="minorHAnsi"/>
                <w:color w:val="000000"/>
              </w:rPr>
              <w:t xml:space="preserve"> Revenue &gt;$400,000 but &lt; $1,000,000</w:t>
            </w:r>
          </w:p>
          <w:p w14:paraId="10889D81"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80B95">
              <w:rPr>
                <w:rFonts w:cstheme="minorHAnsi"/>
                <w:color w:val="000000"/>
                <w:u w:val="single"/>
              </w:rPr>
              <w:t>Large:</w:t>
            </w:r>
            <w:r>
              <w:rPr>
                <w:rFonts w:cstheme="minorHAnsi"/>
                <w:color w:val="000000"/>
              </w:rPr>
              <w:t xml:space="preserve"> Revenue &gt; $1,000,000</w:t>
            </w:r>
          </w:p>
        </w:tc>
        <w:tc>
          <w:tcPr>
            <w:tcW w:w="573" w:type="pct"/>
            <w:noWrap/>
            <w:hideMark/>
          </w:tcPr>
          <w:p w14:paraId="640F10D0"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401" w:type="pct"/>
            <w:noWrap/>
            <w:hideMark/>
          </w:tcPr>
          <w:p w14:paraId="3104E92F"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682" w:type="pct"/>
          </w:tcPr>
          <w:p w14:paraId="24727FF3" w14:textId="77777777" w:rsidR="00F92854" w:rsidRPr="00406DB0"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sidRPr="00406DB0">
              <w:rPr>
                <w:rFonts w:cstheme="minorHAnsi"/>
              </w:rPr>
              <w:t>Yes, ACNC- registered entities are exempt</w:t>
            </w:r>
          </w:p>
        </w:tc>
      </w:tr>
      <w:tr w:rsidR="00F92854" w:rsidRPr="00406DB0" w14:paraId="64FA3B60" w14:textId="77777777" w:rsidTr="004A7B9A">
        <w:trPr>
          <w:trHeight w:val="290"/>
        </w:trPr>
        <w:tc>
          <w:tcPr>
            <w:cnfStyle w:val="001000000000" w:firstRow="0" w:lastRow="0" w:firstColumn="1" w:lastColumn="0" w:oddVBand="0" w:evenVBand="0" w:oddHBand="0" w:evenHBand="0" w:firstRowFirstColumn="0" w:firstRowLastColumn="0" w:lastRowFirstColumn="0" w:lastRowLastColumn="0"/>
            <w:tcW w:w="798" w:type="pct"/>
            <w:noWrap/>
            <w:hideMark/>
          </w:tcPr>
          <w:p w14:paraId="30959425" w14:textId="77777777" w:rsidR="00F92854" w:rsidRPr="00F844C3" w:rsidRDefault="00F92854" w:rsidP="004A7B9A">
            <w:pPr>
              <w:rPr>
                <w:rFonts w:cs="Calibri"/>
                <w:color w:val="000000"/>
              </w:rPr>
            </w:pPr>
            <w:r w:rsidRPr="00F844C3">
              <w:rPr>
                <w:rFonts w:cs="Calibri"/>
                <w:color w:val="000000"/>
              </w:rPr>
              <w:t>Northern Territory</w:t>
            </w:r>
          </w:p>
        </w:tc>
        <w:tc>
          <w:tcPr>
            <w:tcW w:w="470" w:type="pct"/>
            <w:noWrap/>
            <w:hideMark/>
          </w:tcPr>
          <w:p w14:paraId="75611233"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Calibri"/>
                <w:color w:val="000000"/>
              </w:rPr>
            </w:pPr>
            <w:r w:rsidRPr="00F844C3">
              <w:rPr>
                <w:rFonts w:cs="Calibri"/>
                <w:color w:val="000000"/>
              </w:rPr>
              <w:t>No</w:t>
            </w:r>
          </w:p>
        </w:tc>
        <w:tc>
          <w:tcPr>
            <w:tcW w:w="283" w:type="pct"/>
            <w:noWrap/>
            <w:hideMark/>
          </w:tcPr>
          <w:p w14:paraId="280428AA"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844C3">
              <w:rPr>
                <w:rFonts w:cstheme="minorHAnsi"/>
                <w:color w:val="000000"/>
              </w:rPr>
              <w:t>Yes</w:t>
            </w:r>
          </w:p>
        </w:tc>
        <w:tc>
          <w:tcPr>
            <w:tcW w:w="1793" w:type="pct"/>
            <w:noWrap/>
            <w:hideMark/>
          </w:tcPr>
          <w:p w14:paraId="4298B83B" w14:textId="77777777" w:rsidR="00F92854"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80B95">
              <w:rPr>
                <w:rFonts w:cstheme="minorHAnsi"/>
                <w:color w:val="000000"/>
                <w:u w:val="single"/>
              </w:rPr>
              <w:t>Tier 1:</w:t>
            </w:r>
            <w:r>
              <w:rPr>
                <w:rFonts w:cstheme="minorHAnsi"/>
                <w:color w:val="000000"/>
              </w:rPr>
              <w:t xml:space="preserve"> not Tier 2 or 3</w:t>
            </w:r>
          </w:p>
          <w:p w14:paraId="77E08B4B" w14:textId="77777777" w:rsidR="00F92854"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36DB2">
              <w:rPr>
                <w:rFonts w:cstheme="minorHAnsi"/>
                <w:color w:val="000000"/>
                <w:u w:val="single"/>
              </w:rPr>
              <w:t>Tier 2:</w:t>
            </w:r>
            <w:r>
              <w:rPr>
                <w:rFonts w:cstheme="minorHAnsi"/>
                <w:color w:val="000000"/>
              </w:rPr>
              <w:t xml:space="preserve"> Revenue &gt;$25,000 or assets &gt;$50,000</w:t>
            </w:r>
          </w:p>
          <w:p w14:paraId="7C4CB09B"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36DB2">
              <w:rPr>
                <w:rFonts w:cstheme="minorHAnsi"/>
                <w:color w:val="000000"/>
                <w:u w:val="single"/>
              </w:rPr>
              <w:t>Tier 3:</w:t>
            </w:r>
            <w:r>
              <w:rPr>
                <w:rFonts w:cstheme="minorHAnsi"/>
                <w:color w:val="000000"/>
              </w:rPr>
              <w:t xml:space="preserve"> Revenue &gt;$250,000 or assets &gt; $500,000</w:t>
            </w:r>
          </w:p>
        </w:tc>
        <w:tc>
          <w:tcPr>
            <w:tcW w:w="573" w:type="pct"/>
            <w:noWrap/>
            <w:hideMark/>
          </w:tcPr>
          <w:p w14:paraId="25202DF6"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sidRPr="00406DB0">
              <w:rPr>
                <w:rFonts w:cstheme="minorHAnsi"/>
              </w:rPr>
              <w:t>Yes</w:t>
            </w:r>
          </w:p>
        </w:tc>
        <w:tc>
          <w:tcPr>
            <w:tcW w:w="401" w:type="pct"/>
            <w:noWrap/>
            <w:hideMark/>
          </w:tcPr>
          <w:p w14:paraId="5E8FEF63"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682" w:type="pct"/>
          </w:tcPr>
          <w:p w14:paraId="52DF8B92" w14:textId="77777777" w:rsidR="00F92854" w:rsidRPr="00406DB0"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sidRPr="00406DB0">
              <w:rPr>
                <w:rFonts w:cstheme="minorHAnsi"/>
              </w:rPr>
              <w:t>No</w:t>
            </w:r>
          </w:p>
        </w:tc>
      </w:tr>
      <w:tr w:rsidR="00F92854" w:rsidRPr="00406DB0" w14:paraId="5BE03C2B" w14:textId="77777777" w:rsidTr="004A7B9A">
        <w:trPr>
          <w:trHeight w:val="290"/>
        </w:trPr>
        <w:tc>
          <w:tcPr>
            <w:cnfStyle w:val="001000000000" w:firstRow="0" w:lastRow="0" w:firstColumn="1" w:lastColumn="0" w:oddVBand="0" w:evenVBand="0" w:oddHBand="0" w:evenHBand="0" w:firstRowFirstColumn="0" w:firstRowLastColumn="0" w:lastRowFirstColumn="0" w:lastRowLastColumn="0"/>
            <w:tcW w:w="798" w:type="pct"/>
            <w:noWrap/>
          </w:tcPr>
          <w:p w14:paraId="6EC4BBD2" w14:textId="77777777" w:rsidR="00F92854" w:rsidRPr="00F844C3" w:rsidRDefault="00F92854" w:rsidP="004A7B9A">
            <w:pPr>
              <w:rPr>
                <w:rFonts w:cs="Calibri"/>
                <w:color w:val="000000"/>
              </w:rPr>
            </w:pPr>
            <w:r>
              <w:rPr>
                <w:rFonts w:cs="Calibri"/>
                <w:color w:val="000000"/>
              </w:rPr>
              <w:t>Current ACNC</w:t>
            </w:r>
          </w:p>
        </w:tc>
        <w:tc>
          <w:tcPr>
            <w:tcW w:w="470" w:type="pct"/>
            <w:noWrap/>
          </w:tcPr>
          <w:p w14:paraId="0C66615A" w14:textId="77777777" w:rsidR="00F92854" w:rsidRPr="00F844C3" w:rsidRDefault="00F92854" w:rsidP="004A7B9A">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NA</w:t>
            </w:r>
          </w:p>
        </w:tc>
        <w:tc>
          <w:tcPr>
            <w:tcW w:w="283" w:type="pct"/>
            <w:noWrap/>
          </w:tcPr>
          <w:p w14:paraId="4EB16920" w14:textId="77777777" w:rsidR="00F92854" w:rsidRPr="00F844C3" w:rsidRDefault="00E51EB6"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N</w:t>
            </w:r>
            <w:r w:rsidR="009C1CF8">
              <w:rPr>
                <w:rFonts w:cstheme="minorHAnsi"/>
                <w:color w:val="000000"/>
              </w:rPr>
              <w:t>/</w:t>
            </w:r>
            <w:r>
              <w:rPr>
                <w:rFonts w:cstheme="minorHAnsi"/>
                <w:color w:val="000000"/>
              </w:rPr>
              <w:t>A</w:t>
            </w:r>
          </w:p>
        </w:tc>
        <w:tc>
          <w:tcPr>
            <w:tcW w:w="1793" w:type="pct"/>
            <w:noWrap/>
          </w:tcPr>
          <w:p w14:paraId="071AC9A5" w14:textId="77777777" w:rsidR="00F92854"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u w:val="single"/>
              </w:rPr>
              <w:t xml:space="preserve">Small: </w:t>
            </w:r>
            <w:r w:rsidRPr="0075088B">
              <w:rPr>
                <w:rFonts w:cstheme="minorHAnsi"/>
                <w:color w:val="000000"/>
              </w:rPr>
              <w:t>Revenue &lt;</w:t>
            </w:r>
            <w:r>
              <w:rPr>
                <w:rFonts w:cstheme="minorHAnsi"/>
                <w:color w:val="000000"/>
              </w:rPr>
              <w:t>$250,000</w:t>
            </w:r>
          </w:p>
          <w:p w14:paraId="29B66A54" w14:textId="77777777" w:rsidR="00F92854"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5088B">
              <w:rPr>
                <w:rFonts w:cstheme="minorHAnsi"/>
                <w:color w:val="000000"/>
                <w:u w:val="single"/>
              </w:rPr>
              <w:t>Medium:</w:t>
            </w:r>
            <w:r>
              <w:rPr>
                <w:rFonts w:cstheme="minorHAnsi"/>
                <w:color w:val="000000"/>
              </w:rPr>
              <w:t xml:space="preserve"> Revenue &gt;$250,000 and less than $1,000,000</w:t>
            </w:r>
          </w:p>
          <w:p w14:paraId="5619D282" w14:textId="77777777" w:rsidR="00F92854" w:rsidRPr="00B80B95"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color w:val="000000"/>
                <w:u w:val="single"/>
              </w:rPr>
            </w:pPr>
            <w:r w:rsidRPr="0075088B">
              <w:rPr>
                <w:rFonts w:cstheme="minorHAnsi"/>
                <w:color w:val="000000"/>
                <w:u w:val="single"/>
              </w:rPr>
              <w:t>Large:</w:t>
            </w:r>
            <w:r>
              <w:rPr>
                <w:rFonts w:cstheme="minorHAnsi"/>
                <w:color w:val="000000"/>
              </w:rPr>
              <w:t xml:space="preserve"> Revenue &gt;$1,000,000</w:t>
            </w:r>
          </w:p>
        </w:tc>
        <w:tc>
          <w:tcPr>
            <w:tcW w:w="573" w:type="pct"/>
            <w:noWrap/>
          </w:tcPr>
          <w:p w14:paraId="37ADB5B2" w14:textId="77777777" w:rsidR="00F92854" w:rsidRPr="00406DB0"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401" w:type="pct"/>
            <w:noWrap/>
          </w:tcPr>
          <w:p w14:paraId="1E2039CB" w14:textId="77777777" w:rsidR="00F92854"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w:t>
            </w:r>
          </w:p>
        </w:tc>
        <w:tc>
          <w:tcPr>
            <w:tcW w:w="682" w:type="pct"/>
          </w:tcPr>
          <w:p w14:paraId="5555E933" w14:textId="77777777" w:rsidR="00F92854" w:rsidRPr="00406DB0" w:rsidRDefault="00F92854" w:rsidP="004A7B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No</w:t>
            </w:r>
          </w:p>
        </w:tc>
      </w:tr>
    </w:tbl>
    <w:p w14:paraId="44711403" w14:textId="77777777" w:rsidR="00F92854" w:rsidRDefault="00F92854" w:rsidP="00F92854">
      <w:pPr>
        <w:pStyle w:val="Bullet"/>
        <w:numPr>
          <w:ilvl w:val="0"/>
          <w:numId w:val="0"/>
        </w:numPr>
      </w:pPr>
    </w:p>
    <w:p w14:paraId="4119A17D" w14:textId="77777777" w:rsidR="00F92854" w:rsidRPr="00EC78A3" w:rsidRDefault="00F92854" w:rsidP="00F92854">
      <w:pPr>
        <w:pStyle w:val="Bullet"/>
        <w:numPr>
          <w:ilvl w:val="0"/>
          <w:numId w:val="0"/>
        </w:numPr>
        <w:rPr>
          <w:u w:val="single"/>
        </w:rPr>
      </w:pPr>
      <w:r w:rsidRPr="00EC78A3">
        <w:rPr>
          <w:u w:val="single"/>
        </w:rPr>
        <w:t>Explanatory notes on table</w:t>
      </w:r>
    </w:p>
    <w:p w14:paraId="0F550F8E" w14:textId="77777777" w:rsidR="00F92854" w:rsidRDefault="00F92854" w:rsidP="00F92854">
      <w:pPr>
        <w:pStyle w:val="Bullet"/>
        <w:numPr>
          <w:ilvl w:val="6"/>
          <w:numId w:val="15"/>
        </w:numPr>
        <w:spacing w:after="160" w:line="259" w:lineRule="auto"/>
        <w:ind w:left="426"/>
      </w:pPr>
      <w:r>
        <w:t xml:space="preserve">The column </w:t>
      </w:r>
      <w:r w:rsidRPr="00554486">
        <w:rPr>
          <w:u w:val="single"/>
        </w:rPr>
        <w:t>Auditor/Auditing requirements</w:t>
      </w:r>
      <w:r>
        <w:t xml:space="preserve"> indicates that the legislation for incorporated associations in the relevant state specifies the requirements for an auditor or the audit to meet the reporting requirements for that state</w:t>
      </w:r>
      <w:r w:rsidR="00B45E07">
        <w:t>, even if these requirements are in place for just one tier, or under certain circumstances.</w:t>
      </w:r>
      <w:r w:rsidR="00231EA8">
        <w:t xml:space="preserve">. </w:t>
      </w:r>
      <w:r>
        <w:t>Jurisdictions across Australia have different criteria in terms of who can conduct an audit</w:t>
      </w:r>
      <w:r w:rsidR="00231EA8">
        <w:t xml:space="preserve">. </w:t>
      </w:r>
      <w:r>
        <w:t xml:space="preserve">For example, in the Northern Territory a Tier 1 incorporated association must have its financial statements audited by a person who is not a member of the association, is not the spouse, de facto </w:t>
      </w:r>
      <w:r>
        <w:lastRenderedPageBreak/>
        <w:t>partner, business partner, employer or employee of a member of the association, or is not the spouse, de facto partner or business partner of an employee of a member of the association</w:t>
      </w:r>
      <w:r w:rsidR="00231EA8">
        <w:t xml:space="preserve">. </w:t>
      </w:r>
      <w:r>
        <w:t>The legislation governing incorporated associations in Northern Territory does not specify other qualifications for a Tier 1 auditor.</w:t>
      </w:r>
    </w:p>
    <w:p w14:paraId="4D427794" w14:textId="77777777" w:rsidR="00F92854" w:rsidRDefault="00F92854" w:rsidP="00F92854">
      <w:pPr>
        <w:pStyle w:val="Bullet"/>
        <w:numPr>
          <w:ilvl w:val="6"/>
          <w:numId w:val="15"/>
        </w:numPr>
        <w:spacing w:after="160" w:line="259" w:lineRule="auto"/>
        <w:ind w:left="426"/>
      </w:pPr>
      <w:r>
        <w:t xml:space="preserve">In a similar way, the column </w:t>
      </w:r>
      <w:r w:rsidRPr="00554486">
        <w:rPr>
          <w:u w:val="single"/>
        </w:rPr>
        <w:t>Accounting information specified</w:t>
      </w:r>
      <w:r>
        <w:t xml:space="preserve"> does not refer to the Australian Accounting Standards, but rather indicates that the legislation governing incorporated associations requires specific information to be included in financial statements, or that certain standards must be met.</w:t>
      </w:r>
    </w:p>
    <w:p w14:paraId="09F23D10" w14:textId="77777777" w:rsidR="00F92854" w:rsidRDefault="00F92854" w:rsidP="00F92854">
      <w:pPr>
        <w:pStyle w:val="Bullet"/>
        <w:numPr>
          <w:ilvl w:val="6"/>
          <w:numId w:val="15"/>
        </w:numPr>
        <w:spacing w:after="160" w:line="259" w:lineRule="auto"/>
        <w:ind w:left="426"/>
      </w:pPr>
      <w:r>
        <w:t xml:space="preserve">Regulation of fundraising is a state </w:t>
      </w:r>
      <w:proofErr w:type="gramStart"/>
      <w:r>
        <w:t>responsibility, and</w:t>
      </w:r>
      <w:proofErr w:type="gramEnd"/>
      <w:r>
        <w:t xml:space="preserve"> sits outside regulation of incorporated associations</w:t>
      </w:r>
      <w:r w:rsidR="00231EA8">
        <w:t xml:space="preserve">. </w:t>
      </w:r>
      <w:r>
        <w:t>However, due to the overlap of incorporated associations that also conduct fundraising, information on fundraising requirements has also been included in the above table to indicate the breadth of the reporting requirements charities registered with the ACNC face where there is not harmonisation.</w:t>
      </w:r>
    </w:p>
    <w:p w14:paraId="2D1D4F8D" w14:textId="77777777" w:rsidR="00F92854" w:rsidRDefault="00F92854" w:rsidP="006D2172"/>
    <w:sectPr w:rsidR="00F92854" w:rsidSect="00F92854">
      <w:pgSz w:w="16838" w:h="11906" w:orient="landscape" w:code="9"/>
      <w:pgMar w:top="1418" w:right="1418" w:bottom="1418" w:left="1418" w:header="709"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CBC56" w16cex:dateUtc="2021-02-08T20:46:00Z"/>
  <w16cex:commentExtensible w16cex:durableId="23CCBE0C" w16cex:dateUtc="2021-02-08T20: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68395E" w14:textId="77777777" w:rsidR="00DD3BC1" w:rsidRDefault="00DD3BC1">
      <w:pPr>
        <w:spacing w:before="0" w:after="0"/>
      </w:pPr>
      <w:r>
        <w:separator/>
      </w:r>
    </w:p>
  </w:endnote>
  <w:endnote w:type="continuationSeparator" w:id="0">
    <w:p w14:paraId="21DBEF15" w14:textId="77777777" w:rsidR="00DD3BC1" w:rsidRDefault="00DD3BC1">
      <w:pPr>
        <w:spacing w:before="0" w:after="0"/>
      </w:pPr>
      <w:r>
        <w:continuationSeparator/>
      </w:r>
    </w:p>
  </w:endnote>
  <w:endnote w:type="continuationNotice" w:id="1">
    <w:p w14:paraId="146048FC" w14:textId="77777777" w:rsidR="00DD3BC1" w:rsidRDefault="00DD3BC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BEEC9" w14:textId="77777777" w:rsidR="00DD3BC1" w:rsidRDefault="00DD3B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9CC03" w14:textId="33BCD6C0" w:rsidR="00DD3BC1" w:rsidRPr="00E1136B" w:rsidRDefault="00DD3BC1" w:rsidP="00E1136B">
    <w:pPr>
      <w:pStyle w:val="Footer"/>
    </w:pPr>
    <w:r>
      <w:fldChar w:fldCharType="begin"/>
    </w:r>
    <w:r>
      <w:instrText xml:space="preserve"> PAGE   \* MERGEFORMAT </w:instrText>
    </w:r>
    <w:r>
      <w:fldChar w:fldCharType="separate"/>
    </w:r>
    <w:r w:rsidR="00763AA0">
      <w:rPr>
        <w:noProof/>
      </w:rPr>
      <w:t>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F0FA8" w14:textId="77777777" w:rsidR="00DD3BC1" w:rsidRDefault="00DD3B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CEEB0" w14:textId="77777777" w:rsidR="00DD3BC1" w:rsidRPr="00E77C89" w:rsidRDefault="00DD3BC1" w:rsidP="0017089D">
    <w:r>
      <w:fldChar w:fldCharType="begin"/>
    </w:r>
    <w:r>
      <w:instrText xml:space="preserve"> PAGE  \* Arabic  \* MERGEFORMAT </w:instrText>
    </w:r>
    <w:r>
      <w:fldChar w:fldCharType="separate"/>
    </w:r>
    <w:r>
      <w:t>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63C2B" w14:textId="77777777" w:rsidR="00DD3BC1" w:rsidRPr="00E77C89" w:rsidRDefault="00DD3BC1" w:rsidP="0017089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CA6AA" w14:textId="17D4611A" w:rsidR="00DD3BC1" w:rsidRPr="00E1136B" w:rsidRDefault="00DD3BC1" w:rsidP="00E1136B">
    <w:pPr>
      <w:pStyle w:val="Footer"/>
    </w:pPr>
    <w:r>
      <w:fldChar w:fldCharType="begin"/>
    </w:r>
    <w:r>
      <w:instrText xml:space="preserve"> PAGE   \* MERGEFORMAT </w:instrText>
    </w:r>
    <w:r>
      <w:fldChar w:fldCharType="separate"/>
    </w:r>
    <w:r w:rsidR="00763AA0">
      <w:rPr>
        <w:noProof/>
      </w:rPr>
      <w:t>3</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8DB4B" w14:textId="77777777" w:rsidR="00DD3BC1" w:rsidRDefault="00DD3B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D56FD" w14:textId="77777777" w:rsidR="00DD3BC1" w:rsidRDefault="00DD3BC1">
      <w:pPr>
        <w:spacing w:before="0" w:after="0"/>
      </w:pPr>
      <w:r>
        <w:separator/>
      </w:r>
    </w:p>
  </w:footnote>
  <w:footnote w:type="continuationSeparator" w:id="0">
    <w:p w14:paraId="3B760A35" w14:textId="77777777" w:rsidR="00DD3BC1" w:rsidRDefault="00DD3BC1">
      <w:pPr>
        <w:spacing w:before="0" w:after="0"/>
      </w:pPr>
      <w:r>
        <w:continuationSeparator/>
      </w:r>
    </w:p>
  </w:footnote>
  <w:footnote w:type="continuationNotice" w:id="1">
    <w:p w14:paraId="4FF3045E" w14:textId="77777777" w:rsidR="00DD3BC1" w:rsidRDefault="00DD3BC1">
      <w:pPr>
        <w:spacing w:before="0" w:after="0"/>
      </w:pPr>
    </w:p>
  </w:footnote>
  <w:footnote w:id="2">
    <w:p w14:paraId="1E65D97E" w14:textId="77777777" w:rsidR="00DD3BC1" w:rsidRDefault="00DD3BC1">
      <w:pPr>
        <w:pStyle w:val="FootnoteText"/>
      </w:pPr>
      <w:r>
        <w:rPr>
          <w:rStyle w:val="FootnoteReference"/>
        </w:rPr>
        <w:footnoteRef/>
      </w:r>
      <w:r>
        <w:t xml:space="preserve"> While it is not mandatory for charities to register with the ACNC, r</w:t>
      </w:r>
      <w:r w:rsidRPr="00E51EB6">
        <w:t>egistration is required before an organisation can receive charity tax concessions from the Australian Taxation Office (ATO</w:t>
      </w:r>
      <w:r>
        <w:t>)</w:t>
      </w:r>
      <w:r w:rsidRPr="00E51EB6">
        <w:t>.</w:t>
      </w:r>
    </w:p>
  </w:footnote>
  <w:footnote w:id="3">
    <w:p w14:paraId="44556887" w14:textId="77777777" w:rsidR="00DD3BC1" w:rsidRDefault="00DD3BC1">
      <w:pPr>
        <w:pStyle w:val="FootnoteText"/>
      </w:pPr>
      <w:r>
        <w:rPr>
          <w:rStyle w:val="FootnoteReference"/>
        </w:rPr>
        <w:footnoteRef/>
      </w:r>
      <w:r>
        <w:t xml:space="preserve"> Any increases to thresholds would be subject to each jurisdiction’s Cabinet and legislative processes.</w:t>
      </w:r>
    </w:p>
  </w:footnote>
  <w:footnote w:id="4">
    <w:p w14:paraId="602B644F" w14:textId="799AE0EE" w:rsidR="00DD3BC1" w:rsidRDefault="00DD3BC1">
      <w:pPr>
        <w:pStyle w:val="FootnoteText"/>
      </w:pPr>
      <w:r>
        <w:rPr>
          <w:rStyle w:val="FootnoteReference"/>
        </w:rPr>
        <w:footnoteRef/>
      </w:r>
      <w:r>
        <w:t xml:space="preserve"> While the scope of this proposal is limited solely to increasing financial reporting thresholds for ACNC-registered charities, because of the impact this </w:t>
      </w:r>
      <w:r w:rsidR="00AC21AA">
        <w:t>may</w:t>
      </w:r>
      <w:r>
        <w:t xml:space="preserve"> have on all incorporated associations, issues relating to incorporated associations have also been considered in this paper.</w:t>
      </w:r>
    </w:p>
  </w:footnote>
  <w:footnote w:id="5">
    <w:p w14:paraId="1B97CDE6" w14:textId="77777777" w:rsidR="00DD3BC1" w:rsidRDefault="00DD3BC1" w:rsidP="00D13835">
      <w:pPr>
        <w:pStyle w:val="FootnoteText"/>
      </w:pPr>
      <w:r>
        <w:rPr>
          <w:rStyle w:val="FootnoteReference"/>
        </w:rPr>
        <w:footnoteRef/>
      </w:r>
      <w:r>
        <w:t xml:space="preserve"> The Annual Information Statement includes information about the charity, its governance and activities, and basic financial information (revenue, expenses, assets and liabilities). Although basic religious charities are required to submit an Annual Information Statement, they are not required to provide financial information or financial reports regardless of size.</w:t>
      </w:r>
    </w:p>
  </w:footnote>
  <w:footnote w:id="6">
    <w:p w14:paraId="29C2B5A4" w14:textId="77777777" w:rsidR="00DD3BC1" w:rsidRDefault="00DD3BC1" w:rsidP="00403C33">
      <w:pPr>
        <w:pStyle w:val="FootnoteText"/>
      </w:pPr>
      <w:r>
        <w:rPr>
          <w:rStyle w:val="FootnoteReference"/>
        </w:rPr>
        <w:footnoteRef/>
      </w:r>
      <w:r>
        <w:t xml:space="preserve"> These three are not the only type of structure available to charities, and have been used for illustrative purposes only.</w:t>
      </w:r>
    </w:p>
  </w:footnote>
  <w:footnote w:id="7">
    <w:p w14:paraId="2DBF1A30" w14:textId="77777777" w:rsidR="00DD3BC1" w:rsidRDefault="00DD3BC1" w:rsidP="00F86A16">
      <w:pPr>
        <w:pStyle w:val="FootnoteText"/>
      </w:pPr>
      <w:r>
        <w:rPr>
          <w:rStyle w:val="FootnoteReference"/>
        </w:rPr>
        <w:footnoteRef/>
      </w:r>
      <w:r>
        <w:t xml:space="preserve"> Northern Territory requires all incorporated associations to audit their financial reports, regardless of size, due to the unique composition of the population establishing incorporated associations in the Northern Territory.</w:t>
      </w:r>
    </w:p>
  </w:footnote>
  <w:footnote w:id="8">
    <w:p w14:paraId="175C7377" w14:textId="77777777" w:rsidR="00DD3BC1" w:rsidRDefault="00DD3BC1">
      <w:pPr>
        <w:pStyle w:val="FootnoteText"/>
      </w:pPr>
      <w:r>
        <w:rPr>
          <w:rStyle w:val="FootnoteReference"/>
        </w:rPr>
        <w:footnoteRef/>
      </w:r>
      <w:r>
        <w:t xml:space="preserve"> Noting that any increases to thresholds would be subject to Cabinet approval in each jurisdiction.</w:t>
      </w:r>
    </w:p>
  </w:footnote>
  <w:footnote w:id="9">
    <w:p w14:paraId="50C64F68" w14:textId="77777777" w:rsidR="00DD3BC1" w:rsidRDefault="00DD3BC1">
      <w:pPr>
        <w:pStyle w:val="FootnoteText"/>
      </w:pPr>
      <w:r>
        <w:rPr>
          <w:rStyle w:val="FootnoteReference"/>
        </w:rPr>
        <w:footnoteRef/>
      </w:r>
      <w:r>
        <w:t xml:space="preserve"> Data on ACNC-registered associations incorporated in each state is derived from publicly available data on data.gov.au, and as with Table 1 data is provided by charities.</w:t>
      </w:r>
    </w:p>
  </w:footnote>
  <w:footnote w:id="10">
    <w:p w14:paraId="0F5FEA39" w14:textId="33983E76" w:rsidR="00DD3BC1" w:rsidRDefault="00DD3BC1">
      <w:pPr>
        <w:pStyle w:val="FootnoteText"/>
      </w:pPr>
      <w:r>
        <w:rPr>
          <w:rStyle w:val="FootnoteReference"/>
        </w:rPr>
        <w:footnoteRef/>
      </w:r>
      <w:r>
        <w:t xml:space="preserve"> Question 4 seeks to draw out your views on the information interested parties require.  It does not seek to commit any State to implementing changes to their reporting regimes, noting that these reports are also used for State Government purposes.</w:t>
      </w:r>
    </w:p>
  </w:footnote>
  <w:footnote w:id="11">
    <w:p w14:paraId="2F44AEF1" w14:textId="3AD01363" w:rsidR="00DD3BC1" w:rsidRDefault="00DD3BC1">
      <w:pPr>
        <w:pStyle w:val="FootnoteText"/>
      </w:pPr>
      <w:r>
        <w:rPr>
          <w:rStyle w:val="FootnoteReference"/>
        </w:rPr>
        <w:footnoteRef/>
      </w:r>
      <w:r>
        <w:t xml:space="preserve"> While this proposal will not add a regulatory burden, it will also not remove any duplicative reporting burden.  This is because this reform does not specifically address fundraising issues. </w:t>
      </w:r>
    </w:p>
  </w:footnote>
  <w:footnote w:id="12">
    <w:p w14:paraId="62E124F1" w14:textId="77777777" w:rsidR="00DD3BC1" w:rsidRDefault="00DD3BC1" w:rsidP="00F92854">
      <w:pPr>
        <w:pStyle w:val="FootnoteText"/>
      </w:pPr>
      <w:r>
        <w:rPr>
          <w:rStyle w:val="FootnoteReference"/>
        </w:rPr>
        <w:footnoteRef/>
      </w:r>
      <w:r>
        <w:t xml:space="preserve"> Legislative amendments passed in June 2020 provide for the ability to exempt (by regulation) a class of incorporated association from local reporting requirements. This exemption regulation is under active consideration. </w:t>
      </w:r>
    </w:p>
  </w:footnote>
  <w:footnote w:id="13">
    <w:p w14:paraId="72531B6C" w14:textId="77777777" w:rsidR="00DD3BC1" w:rsidRDefault="00DD3BC1" w:rsidP="00F92854">
      <w:pPr>
        <w:pStyle w:val="FootnoteText"/>
      </w:pPr>
      <w:r>
        <w:rPr>
          <w:rStyle w:val="FootnoteReference"/>
        </w:rPr>
        <w:footnoteRef/>
      </w:r>
      <w:r>
        <w:t xml:space="preserve"> Legislative amendments passed in June 2020 provide for the ability to exempt (by regulation) a class of entity authorised to conduct appeals for support from the reporting requirements of the Collections Act 1966.  The exemption regulation is under active consideration.  </w:t>
      </w:r>
    </w:p>
  </w:footnote>
  <w:footnote w:id="14">
    <w:p w14:paraId="794FF152" w14:textId="77777777" w:rsidR="00DD3BC1" w:rsidRDefault="00DD3BC1" w:rsidP="00F92854">
      <w:pPr>
        <w:pStyle w:val="FootnoteText"/>
      </w:pPr>
      <w:r>
        <w:rPr>
          <w:rStyle w:val="FootnoteReference"/>
        </w:rPr>
        <w:footnoteRef/>
      </w:r>
      <w:r>
        <w:t xml:space="preserve"> If meeting ACNC reporting requirements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B2C2A" w14:textId="77777777" w:rsidR="00DD3BC1" w:rsidRDefault="00DD3B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81FEB" w14:textId="77777777" w:rsidR="00DD3BC1" w:rsidRDefault="00DD3BC1">
    <w:pPr>
      <w:pStyle w:val="Header"/>
    </w:pPr>
    <w:r>
      <w:rPr>
        <w:noProof/>
      </w:rPr>
      <w:drawing>
        <wp:anchor distT="0" distB="0" distL="114300" distR="114300" simplePos="0" relativeHeight="251657216" behindDoc="1" locked="0" layoutInCell="1" allowOverlap="1" wp14:anchorId="2594E32C" wp14:editId="5BDBE826">
          <wp:simplePos x="0" y="0"/>
          <wp:positionH relativeFrom="page">
            <wp:align>center</wp:align>
          </wp:positionH>
          <wp:positionV relativeFrom="page">
            <wp:posOffset>180340</wp:posOffset>
          </wp:positionV>
          <wp:extent cx="7199917" cy="10184400"/>
          <wp:effectExtent l="0" t="0" r="127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917" cy="10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5326F" w14:textId="77777777" w:rsidR="00DD3BC1" w:rsidRDefault="00DD3B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250D6" w14:textId="77777777" w:rsidR="00DD3BC1" w:rsidRPr="001F3912" w:rsidRDefault="00DD3BC1" w:rsidP="0017089D">
    <w:r>
      <w:fldChar w:fldCharType="begin"/>
    </w:r>
    <w:r>
      <w:instrText xml:space="preserve"> macrobutton nomacro [Click and add Publication Title] </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26876" w14:textId="77777777" w:rsidR="00DD3BC1" w:rsidRPr="001F3912" w:rsidRDefault="00DD3BC1" w:rsidP="0017089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B902A" w14:textId="77777777" w:rsidR="00DD3BC1" w:rsidRPr="001F3912" w:rsidRDefault="00DD3BC1" w:rsidP="0017089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81F52" w14:textId="753376AE" w:rsidR="00DD3BC1" w:rsidRPr="001F3912" w:rsidRDefault="00763AA0" w:rsidP="001606CF">
    <w:pPr>
      <w:pStyle w:val="Header"/>
    </w:pPr>
    <w:fldSimple w:instr=" STYLEREF  Title  \* MERGEFORMAT ">
      <w:r w:rsidR="007275AF">
        <w:rPr>
          <w:noProof/>
        </w:rPr>
        <w:t>Increasing financial reporting thresholds for ACNC-registered charities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BEF77" w14:textId="77777777" w:rsidR="00DD3BC1" w:rsidRDefault="00DD3B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E5FD8"/>
    <w:multiLevelType w:val="multilevel"/>
    <w:tmpl w:val="00C6E29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3A47B9"/>
    <w:multiLevelType w:val="multilevel"/>
    <w:tmpl w:val="C63C8106"/>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9" w15:restartNumberingAfterBreak="0">
    <w:nsid w:val="31C63CAE"/>
    <w:multiLevelType w:val="multilevel"/>
    <w:tmpl w:val="6448AE1C"/>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BBB4575"/>
    <w:multiLevelType w:val="multilevel"/>
    <w:tmpl w:val="1F38328A"/>
    <w:lvl w:ilvl="0">
      <w:start w:val="1"/>
      <w:numFmt w:val="decimal"/>
      <w:lvlText w:val="%1"/>
      <w:lvlJc w:val="left"/>
      <w:pPr>
        <w:ind w:left="360" w:hanging="360"/>
      </w:pPr>
      <w:rPr>
        <w:rFonts w:hint="default"/>
        <w:sz w:val="28"/>
      </w:rPr>
    </w:lvl>
    <w:lvl w:ilvl="1">
      <w:start w:val="1"/>
      <w:numFmt w:val="decimal"/>
      <w:lvlText w:val="%1.%2"/>
      <w:lvlJc w:val="left"/>
      <w:pPr>
        <w:tabs>
          <w:tab w:val="num" w:pos="340"/>
        </w:tabs>
        <w:ind w:left="34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10D2021"/>
    <w:multiLevelType w:val="multilevel"/>
    <w:tmpl w:val="72F8140E"/>
    <w:numStyleLink w:val="OutlineList"/>
  </w:abstractNum>
  <w:abstractNum w:abstractNumId="14"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8"/>
  </w:num>
  <w:num w:numId="2">
    <w:abstractNumId w:val="1"/>
  </w:num>
  <w:num w:numId="3">
    <w:abstractNumId w:val="11"/>
  </w:num>
  <w:num w:numId="4">
    <w:abstractNumId w:val="3"/>
  </w:num>
  <w:num w:numId="5">
    <w:abstractNumId w:val="4"/>
  </w:num>
  <w:num w:numId="6">
    <w:abstractNumId w:val="13"/>
  </w:num>
  <w:num w:numId="7">
    <w:abstractNumId w:val="1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6"/>
  </w:num>
  <w:num w:numId="9">
    <w:abstractNumId w:val="2"/>
  </w:num>
  <w:num w:numId="10">
    <w:abstractNumId w:val="7"/>
  </w:num>
  <w:num w:numId="11">
    <w:abstractNumId w:val="14"/>
  </w:num>
  <w:num w:numId="12">
    <w:abstractNumId w:val="13"/>
  </w:num>
  <w:num w:numId="13">
    <w:abstractNumId w:val="7"/>
  </w:num>
  <w:num w:numId="14">
    <w:abstractNumId w:val="10"/>
  </w:num>
  <w:num w:numId="15">
    <w:abstractNumId w:val="5"/>
  </w:num>
  <w:num w:numId="16">
    <w:abstractNumId w:val="0"/>
  </w:num>
  <w:num w:numId="17">
    <w:abstractNumId w:val="9"/>
  </w:num>
  <w:num w:numId="18">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066"/>
    <w:rsid w:val="00011725"/>
    <w:rsid w:val="00012C62"/>
    <w:rsid w:val="0002544D"/>
    <w:rsid w:val="00041A8B"/>
    <w:rsid w:val="0004274D"/>
    <w:rsid w:val="00044C0A"/>
    <w:rsid w:val="000538CB"/>
    <w:rsid w:val="00056880"/>
    <w:rsid w:val="000675D1"/>
    <w:rsid w:val="0007102C"/>
    <w:rsid w:val="00072352"/>
    <w:rsid w:val="00073521"/>
    <w:rsid w:val="000775DE"/>
    <w:rsid w:val="000858F2"/>
    <w:rsid w:val="00087FAF"/>
    <w:rsid w:val="000A2E4E"/>
    <w:rsid w:val="000B6A46"/>
    <w:rsid w:val="000C5F40"/>
    <w:rsid w:val="000D7342"/>
    <w:rsid w:val="000E0B74"/>
    <w:rsid w:val="000F0BF8"/>
    <w:rsid w:val="000F5254"/>
    <w:rsid w:val="000F7517"/>
    <w:rsid w:val="001033FE"/>
    <w:rsid w:val="00111054"/>
    <w:rsid w:val="00122E66"/>
    <w:rsid w:val="00125D9C"/>
    <w:rsid w:val="0014091C"/>
    <w:rsid w:val="001430A4"/>
    <w:rsid w:val="001606CF"/>
    <w:rsid w:val="0016128D"/>
    <w:rsid w:val="0017089D"/>
    <w:rsid w:val="00175193"/>
    <w:rsid w:val="0019101A"/>
    <w:rsid w:val="001A7D81"/>
    <w:rsid w:val="001B7EB0"/>
    <w:rsid w:val="001C358D"/>
    <w:rsid w:val="001D4EAA"/>
    <w:rsid w:val="001E498F"/>
    <w:rsid w:val="001E6A73"/>
    <w:rsid w:val="001F6180"/>
    <w:rsid w:val="00211530"/>
    <w:rsid w:val="00214BF7"/>
    <w:rsid w:val="0022190E"/>
    <w:rsid w:val="00222FFC"/>
    <w:rsid w:val="00230A5A"/>
    <w:rsid w:val="00231049"/>
    <w:rsid w:val="002314D2"/>
    <w:rsid w:val="00231EA8"/>
    <w:rsid w:val="00232919"/>
    <w:rsid w:val="00235BB6"/>
    <w:rsid w:val="002372A6"/>
    <w:rsid w:val="002433FE"/>
    <w:rsid w:val="00257AEE"/>
    <w:rsid w:val="00263B6C"/>
    <w:rsid w:val="0027590B"/>
    <w:rsid w:val="002773BF"/>
    <w:rsid w:val="00285969"/>
    <w:rsid w:val="002940EC"/>
    <w:rsid w:val="002A3C1E"/>
    <w:rsid w:val="002B3829"/>
    <w:rsid w:val="002B4D4D"/>
    <w:rsid w:val="002B5C39"/>
    <w:rsid w:val="002C1AAC"/>
    <w:rsid w:val="002D0D6C"/>
    <w:rsid w:val="002D488F"/>
    <w:rsid w:val="002F617F"/>
    <w:rsid w:val="003122F4"/>
    <w:rsid w:val="003268D5"/>
    <w:rsid w:val="00335818"/>
    <w:rsid w:val="00344779"/>
    <w:rsid w:val="00354D27"/>
    <w:rsid w:val="00354FBB"/>
    <w:rsid w:val="003839F0"/>
    <w:rsid w:val="003858A6"/>
    <w:rsid w:val="00392DCC"/>
    <w:rsid w:val="0039456A"/>
    <w:rsid w:val="003A12F8"/>
    <w:rsid w:val="003B0A2F"/>
    <w:rsid w:val="003E38B0"/>
    <w:rsid w:val="003E4D87"/>
    <w:rsid w:val="003E6AC6"/>
    <w:rsid w:val="003F71F2"/>
    <w:rsid w:val="00403C33"/>
    <w:rsid w:val="00416762"/>
    <w:rsid w:val="00421351"/>
    <w:rsid w:val="0044047A"/>
    <w:rsid w:val="00445265"/>
    <w:rsid w:val="004559CE"/>
    <w:rsid w:val="004645DF"/>
    <w:rsid w:val="004700C9"/>
    <w:rsid w:val="00475B7B"/>
    <w:rsid w:val="00475F4D"/>
    <w:rsid w:val="00482AD1"/>
    <w:rsid w:val="00483049"/>
    <w:rsid w:val="00492FCB"/>
    <w:rsid w:val="004938D1"/>
    <w:rsid w:val="004951A8"/>
    <w:rsid w:val="004A077D"/>
    <w:rsid w:val="004A3121"/>
    <w:rsid w:val="004A7B9A"/>
    <w:rsid w:val="004A7BC2"/>
    <w:rsid w:val="004A7FAA"/>
    <w:rsid w:val="004C57CD"/>
    <w:rsid w:val="004D68B3"/>
    <w:rsid w:val="004F1164"/>
    <w:rsid w:val="004F357B"/>
    <w:rsid w:val="00501CE3"/>
    <w:rsid w:val="00513D24"/>
    <w:rsid w:val="00516785"/>
    <w:rsid w:val="00517AC4"/>
    <w:rsid w:val="0052419D"/>
    <w:rsid w:val="005301F8"/>
    <w:rsid w:val="005312FC"/>
    <w:rsid w:val="00535E87"/>
    <w:rsid w:val="0053603D"/>
    <w:rsid w:val="00540BBF"/>
    <w:rsid w:val="00553FB3"/>
    <w:rsid w:val="00564F0E"/>
    <w:rsid w:val="00565C52"/>
    <w:rsid w:val="00573EF4"/>
    <w:rsid w:val="00580BA2"/>
    <w:rsid w:val="00584AE8"/>
    <w:rsid w:val="005868DE"/>
    <w:rsid w:val="00592F8B"/>
    <w:rsid w:val="00594C0B"/>
    <w:rsid w:val="00595253"/>
    <w:rsid w:val="005A206B"/>
    <w:rsid w:val="005B2ED4"/>
    <w:rsid w:val="005B63EC"/>
    <w:rsid w:val="005C2EF3"/>
    <w:rsid w:val="00600066"/>
    <w:rsid w:val="00600618"/>
    <w:rsid w:val="0060595B"/>
    <w:rsid w:val="00605AFD"/>
    <w:rsid w:val="00606492"/>
    <w:rsid w:val="00607C7C"/>
    <w:rsid w:val="006123D4"/>
    <w:rsid w:val="006216F7"/>
    <w:rsid w:val="00625C90"/>
    <w:rsid w:val="00636C0A"/>
    <w:rsid w:val="00637C14"/>
    <w:rsid w:val="00656356"/>
    <w:rsid w:val="00670FF5"/>
    <w:rsid w:val="006755BF"/>
    <w:rsid w:val="00686165"/>
    <w:rsid w:val="00691CB5"/>
    <w:rsid w:val="00696F8E"/>
    <w:rsid w:val="006A6EE1"/>
    <w:rsid w:val="006B5E7C"/>
    <w:rsid w:val="006C645D"/>
    <w:rsid w:val="006D2172"/>
    <w:rsid w:val="006D42C7"/>
    <w:rsid w:val="006E3CC3"/>
    <w:rsid w:val="006F656C"/>
    <w:rsid w:val="006F70D9"/>
    <w:rsid w:val="00701CDD"/>
    <w:rsid w:val="00707014"/>
    <w:rsid w:val="00717EE4"/>
    <w:rsid w:val="00720033"/>
    <w:rsid w:val="00720CC1"/>
    <w:rsid w:val="00721376"/>
    <w:rsid w:val="007275AF"/>
    <w:rsid w:val="00727D8F"/>
    <w:rsid w:val="007300F7"/>
    <w:rsid w:val="00736229"/>
    <w:rsid w:val="00745A87"/>
    <w:rsid w:val="00752A8A"/>
    <w:rsid w:val="00763AA0"/>
    <w:rsid w:val="007739DC"/>
    <w:rsid w:val="00777BC1"/>
    <w:rsid w:val="00783385"/>
    <w:rsid w:val="0078509F"/>
    <w:rsid w:val="00794499"/>
    <w:rsid w:val="007A6DF0"/>
    <w:rsid w:val="007D1070"/>
    <w:rsid w:val="007D5AA6"/>
    <w:rsid w:val="007E2AB9"/>
    <w:rsid w:val="007E6456"/>
    <w:rsid w:val="007F4972"/>
    <w:rsid w:val="00834243"/>
    <w:rsid w:val="00855618"/>
    <w:rsid w:val="00857969"/>
    <w:rsid w:val="00873976"/>
    <w:rsid w:val="00877A12"/>
    <w:rsid w:val="008A1187"/>
    <w:rsid w:val="008A37D6"/>
    <w:rsid w:val="008B1499"/>
    <w:rsid w:val="008B21DC"/>
    <w:rsid w:val="008B4D81"/>
    <w:rsid w:val="008C2915"/>
    <w:rsid w:val="008D1705"/>
    <w:rsid w:val="008D339F"/>
    <w:rsid w:val="008D7F38"/>
    <w:rsid w:val="008E6292"/>
    <w:rsid w:val="008F5F84"/>
    <w:rsid w:val="00925AA5"/>
    <w:rsid w:val="00927CEE"/>
    <w:rsid w:val="0094019D"/>
    <w:rsid w:val="00942C11"/>
    <w:rsid w:val="00951BDC"/>
    <w:rsid w:val="00963D84"/>
    <w:rsid w:val="00972226"/>
    <w:rsid w:val="009732EC"/>
    <w:rsid w:val="0098026B"/>
    <w:rsid w:val="009821CE"/>
    <w:rsid w:val="009850E9"/>
    <w:rsid w:val="009852CF"/>
    <w:rsid w:val="00985C4F"/>
    <w:rsid w:val="00992626"/>
    <w:rsid w:val="009A658F"/>
    <w:rsid w:val="009A668A"/>
    <w:rsid w:val="009B46EA"/>
    <w:rsid w:val="009C1CF8"/>
    <w:rsid w:val="009E13DE"/>
    <w:rsid w:val="00A0246A"/>
    <w:rsid w:val="00A119D8"/>
    <w:rsid w:val="00A16E03"/>
    <w:rsid w:val="00A260CD"/>
    <w:rsid w:val="00A2795B"/>
    <w:rsid w:val="00A339D1"/>
    <w:rsid w:val="00A3749B"/>
    <w:rsid w:val="00A443FE"/>
    <w:rsid w:val="00A62E42"/>
    <w:rsid w:val="00A64A71"/>
    <w:rsid w:val="00A723E6"/>
    <w:rsid w:val="00A73323"/>
    <w:rsid w:val="00A94373"/>
    <w:rsid w:val="00AA3031"/>
    <w:rsid w:val="00AC21AA"/>
    <w:rsid w:val="00AC333F"/>
    <w:rsid w:val="00AD4091"/>
    <w:rsid w:val="00AE2F90"/>
    <w:rsid w:val="00AE46D2"/>
    <w:rsid w:val="00B05C7C"/>
    <w:rsid w:val="00B16F81"/>
    <w:rsid w:val="00B1739F"/>
    <w:rsid w:val="00B3149D"/>
    <w:rsid w:val="00B34E60"/>
    <w:rsid w:val="00B42796"/>
    <w:rsid w:val="00B45CD3"/>
    <w:rsid w:val="00B45E07"/>
    <w:rsid w:val="00B770FF"/>
    <w:rsid w:val="00B8113E"/>
    <w:rsid w:val="00B82EF9"/>
    <w:rsid w:val="00B8507B"/>
    <w:rsid w:val="00B85F47"/>
    <w:rsid w:val="00B87927"/>
    <w:rsid w:val="00B92619"/>
    <w:rsid w:val="00B93F39"/>
    <w:rsid w:val="00BC39A8"/>
    <w:rsid w:val="00BD5650"/>
    <w:rsid w:val="00C12515"/>
    <w:rsid w:val="00C30297"/>
    <w:rsid w:val="00C43CB8"/>
    <w:rsid w:val="00C54E4E"/>
    <w:rsid w:val="00C57745"/>
    <w:rsid w:val="00C663AB"/>
    <w:rsid w:val="00C85314"/>
    <w:rsid w:val="00C95858"/>
    <w:rsid w:val="00CA46D6"/>
    <w:rsid w:val="00CA4BC0"/>
    <w:rsid w:val="00CC559D"/>
    <w:rsid w:val="00CC5AED"/>
    <w:rsid w:val="00CD0D35"/>
    <w:rsid w:val="00CD4A3A"/>
    <w:rsid w:val="00CD654B"/>
    <w:rsid w:val="00CD6BD4"/>
    <w:rsid w:val="00CE223E"/>
    <w:rsid w:val="00CE5B0C"/>
    <w:rsid w:val="00CF60BC"/>
    <w:rsid w:val="00D13835"/>
    <w:rsid w:val="00D145F5"/>
    <w:rsid w:val="00D355F0"/>
    <w:rsid w:val="00D419A8"/>
    <w:rsid w:val="00D429EA"/>
    <w:rsid w:val="00D45AF8"/>
    <w:rsid w:val="00D47327"/>
    <w:rsid w:val="00D51C05"/>
    <w:rsid w:val="00D83BD9"/>
    <w:rsid w:val="00D877BE"/>
    <w:rsid w:val="00D92203"/>
    <w:rsid w:val="00D95FB9"/>
    <w:rsid w:val="00DA2139"/>
    <w:rsid w:val="00DA6554"/>
    <w:rsid w:val="00DA686B"/>
    <w:rsid w:val="00DB1AF8"/>
    <w:rsid w:val="00DB7F09"/>
    <w:rsid w:val="00DC00E8"/>
    <w:rsid w:val="00DD3BC1"/>
    <w:rsid w:val="00E069AD"/>
    <w:rsid w:val="00E10D39"/>
    <w:rsid w:val="00E1136B"/>
    <w:rsid w:val="00E11AF9"/>
    <w:rsid w:val="00E2253C"/>
    <w:rsid w:val="00E22D51"/>
    <w:rsid w:val="00E34877"/>
    <w:rsid w:val="00E35FA1"/>
    <w:rsid w:val="00E40847"/>
    <w:rsid w:val="00E50E7C"/>
    <w:rsid w:val="00E51545"/>
    <w:rsid w:val="00E51EB6"/>
    <w:rsid w:val="00E52944"/>
    <w:rsid w:val="00E55326"/>
    <w:rsid w:val="00E57145"/>
    <w:rsid w:val="00E57618"/>
    <w:rsid w:val="00E711D7"/>
    <w:rsid w:val="00E87178"/>
    <w:rsid w:val="00E902B0"/>
    <w:rsid w:val="00E902E8"/>
    <w:rsid w:val="00EA272B"/>
    <w:rsid w:val="00EA3E79"/>
    <w:rsid w:val="00EB030F"/>
    <w:rsid w:val="00EC6B16"/>
    <w:rsid w:val="00EE677F"/>
    <w:rsid w:val="00F0082D"/>
    <w:rsid w:val="00F07C90"/>
    <w:rsid w:val="00F20469"/>
    <w:rsid w:val="00F2649A"/>
    <w:rsid w:val="00F26E8F"/>
    <w:rsid w:val="00F32864"/>
    <w:rsid w:val="00F4150C"/>
    <w:rsid w:val="00F62CFF"/>
    <w:rsid w:val="00F66B9F"/>
    <w:rsid w:val="00F707C8"/>
    <w:rsid w:val="00F71A0E"/>
    <w:rsid w:val="00F73489"/>
    <w:rsid w:val="00F85006"/>
    <w:rsid w:val="00F86A16"/>
    <w:rsid w:val="00F92279"/>
    <w:rsid w:val="00F92854"/>
    <w:rsid w:val="00FB64AA"/>
    <w:rsid w:val="00FC6ADA"/>
    <w:rsid w:val="00FD5C7B"/>
    <w:rsid w:val="00FF73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947D705"/>
  <w15:docId w15:val="{3361B2FF-3513-4373-9259-D3FEB272B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354FBB"/>
    <w:pPr>
      <w:spacing w:before="240"/>
      <w:outlineLvl w:val="2"/>
    </w:pPr>
    <w:rPr>
      <w:bCs w:val="0"/>
      <w:color w:val="00827F" w:themeColor="accent3"/>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354FBB"/>
    <w:rPr>
      <w:rFonts w:ascii="Calibri" w:eastAsia="Times New Roman" w:hAnsi="Calibri" w:cs="Arial"/>
      <w:color w:val="00827F" w:themeColor="accent3"/>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354FBB"/>
    <w:pPr>
      <w:keepNext/>
      <w:spacing w:before="240"/>
    </w:pPr>
    <w:rPr>
      <w:b/>
      <w:color w:val="00827F" w:themeColor="accent3"/>
      <w:sz w:val="26"/>
      <w:szCs w:val="26"/>
    </w:rPr>
  </w:style>
  <w:style w:type="paragraph" w:customStyle="1" w:styleId="BoxText">
    <w:name w:val="Box Text"/>
    <w:basedOn w:val="Normal"/>
    <w:rsid w:val="000E0B74"/>
  </w:style>
  <w:style w:type="paragraph" w:customStyle="1" w:styleId="Bullet">
    <w:name w:val="Bullet"/>
    <w:aliases w:val="b,b1,b + line,level 1,Body,Bullet + line,bulleted"/>
    <w:basedOn w:val="Normal"/>
    <w:link w:val="BulletChar"/>
    <w:qFormat/>
    <w:rsid w:val="000E0B74"/>
    <w:pPr>
      <w:numPr>
        <w:numId w:val="1"/>
      </w:numPr>
      <w:spacing w:before="0"/>
      <w:ind w:left="284" w:hanging="284"/>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E0B7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0E0B7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link w:val="DashChar"/>
    <w:qFormat/>
    <w:rsid w:val="000E0B74"/>
    <w:pPr>
      <w:numPr>
        <w:ilvl w:val="1"/>
        <w:numId w:val="1"/>
      </w:numPr>
      <w:spacing w:before="0"/>
      <w:ind w:left="568"/>
    </w:pPr>
  </w:style>
  <w:style w:type="paragraph" w:customStyle="1" w:styleId="DoubleDot">
    <w:name w:val="Double Dot"/>
    <w:basedOn w:val="Normal"/>
    <w:qFormat/>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CE5B0C"/>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0E0B74"/>
    <w:pPr>
      <w:jc w:val="center"/>
    </w:pPr>
    <w:rPr>
      <w:b/>
      <w:color w:val="004A7F"/>
      <w:sz w:val="20"/>
    </w:rPr>
  </w:style>
  <w:style w:type="paragraph" w:customStyle="1" w:styleId="TableColumnHeadingLeft">
    <w:name w:val="Table Column Heading Left"/>
    <w:basedOn w:val="TableTextLeft"/>
    <w:rsid w:val="000E0B74"/>
    <w:rPr>
      <w:b/>
      <w:color w:val="004A7F"/>
      <w:sz w:val="20"/>
    </w:r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356"/>
    <w:pPr>
      <w:keepNext/>
      <w:tabs>
        <w:tab w:val="right" w:leader="dot" w:pos="9072"/>
      </w:tabs>
      <w:spacing w:before="180" w:after="0"/>
      <w:ind w:right="-2"/>
    </w:pPr>
    <w:rPr>
      <w:b/>
      <w:noProof/>
      <w:color w:val="004A7F"/>
      <w:szCs w:val="22"/>
    </w:rPr>
  </w:style>
  <w:style w:type="paragraph" w:styleId="TOC2">
    <w:name w:val="toc 2"/>
    <w:basedOn w:val="Normal"/>
    <w:next w:val="Normal"/>
    <w:uiPriority w:val="39"/>
    <w:qFormat/>
    <w:rsid w:val="00656356"/>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E55326"/>
    <w:pPr>
      <w:tabs>
        <w:tab w:val="right" w:leader="dot" w:pos="9072"/>
      </w:tabs>
      <w:spacing w:before="20" w:after="0"/>
      <w:ind w:left="284" w:right="-2"/>
    </w:pPr>
    <w:rPr>
      <w:rFonts w:cs="Calibri"/>
      <w:noProof/>
      <w:color w:val="7F7F7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F06252"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F06252"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customStyle="1" w:styleId="BulletChar">
    <w:name w:val="Bullet Char"/>
    <w:aliases w:val="b Char,b + line Char Char,b Char Char,Body Char,Bullet + line Char,Number Char,Recommendation Char,b + line Char,b1 Char,level 1 Char,Bullets Char,L Char,List Paragraph Char,List Paragraph1 Char,List Paragraph11 Char,List Paragraph2 Char"/>
    <w:basedOn w:val="DefaultParagraphFont"/>
    <w:link w:val="Bullet"/>
    <w:qFormat/>
    <w:rsid w:val="006D2172"/>
    <w:rPr>
      <w:rFonts w:ascii="Calibri" w:eastAsia="Times New Roman" w:hAnsi="Calibri" w:cs="Times New Roman"/>
      <w:szCs w:val="20"/>
      <w:lang w:eastAsia="en-AU"/>
    </w:rPr>
  </w:style>
  <w:style w:type="paragraph" w:styleId="Quote">
    <w:name w:val="Quote"/>
    <w:basedOn w:val="Normal"/>
    <w:next w:val="Normal"/>
    <w:link w:val="QuoteChar"/>
    <w:uiPriority w:val="29"/>
    <w:qFormat/>
    <w:rsid w:val="006D2172"/>
    <w:pPr>
      <w:spacing w:before="200" w:after="160" w:line="259" w:lineRule="auto"/>
      <w:ind w:left="864" w:right="864"/>
      <w:jc w:val="center"/>
    </w:pPr>
    <w:rPr>
      <w:rFonts w:asciiTheme="minorHAnsi" w:eastAsiaTheme="minorHAnsi" w:hAnsiTheme="minorHAnsi" w:cstheme="minorBidi"/>
      <w:i/>
      <w:iCs/>
      <w:color w:val="404040" w:themeColor="text1" w:themeTint="BF"/>
      <w:szCs w:val="22"/>
      <w:lang w:eastAsia="en-US"/>
    </w:rPr>
  </w:style>
  <w:style w:type="character" w:customStyle="1" w:styleId="QuoteChar">
    <w:name w:val="Quote Char"/>
    <w:basedOn w:val="DefaultParagraphFont"/>
    <w:link w:val="Quote"/>
    <w:uiPriority w:val="29"/>
    <w:rsid w:val="006D2172"/>
    <w:rPr>
      <w:i/>
      <w:iCs/>
      <w:color w:val="404040" w:themeColor="text1" w:themeTint="BF"/>
    </w:rPr>
  </w:style>
  <w:style w:type="table" w:styleId="GridTable1Light-Accent1">
    <w:name w:val="Grid Table 1 Light Accent 1"/>
    <w:basedOn w:val="TableNormal"/>
    <w:uiPriority w:val="46"/>
    <w:rsid w:val="006D2172"/>
    <w:pPr>
      <w:spacing w:after="0" w:line="240" w:lineRule="auto"/>
    </w:pPr>
    <w:tblPr>
      <w:tblStyleRowBandSize w:val="1"/>
      <w:tblStyleColBandSize w:val="1"/>
      <w:tblBorders>
        <w:top w:val="single" w:sz="4" w:space="0" w:color="4FBCFF" w:themeColor="accent1" w:themeTint="66"/>
        <w:left w:val="single" w:sz="4" w:space="0" w:color="4FBCFF" w:themeColor="accent1" w:themeTint="66"/>
        <w:bottom w:val="single" w:sz="4" w:space="0" w:color="4FBCFF" w:themeColor="accent1" w:themeTint="66"/>
        <w:right w:val="single" w:sz="4" w:space="0" w:color="4FBCFF" w:themeColor="accent1" w:themeTint="66"/>
        <w:insideH w:val="single" w:sz="4" w:space="0" w:color="4FBCFF" w:themeColor="accent1" w:themeTint="66"/>
        <w:insideV w:val="single" w:sz="4" w:space="0" w:color="4FBCFF" w:themeColor="accent1" w:themeTint="66"/>
      </w:tblBorders>
    </w:tblPr>
    <w:tblStylePr w:type="firstRow">
      <w:rPr>
        <w:b/>
        <w:bCs/>
      </w:rPr>
      <w:tblPr/>
      <w:tcPr>
        <w:tcBorders>
          <w:bottom w:val="single" w:sz="12" w:space="0" w:color="0098F6" w:themeColor="accent1" w:themeTint="99"/>
        </w:tcBorders>
      </w:tcPr>
    </w:tblStylePr>
    <w:tblStylePr w:type="lastRow">
      <w:rPr>
        <w:b/>
        <w:bCs/>
      </w:rPr>
      <w:tblPr/>
      <w:tcPr>
        <w:tcBorders>
          <w:top w:val="double" w:sz="2" w:space="0" w:color="0098F6"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6D2172"/>
    <w:pPr>
      <w:spacing w:after="0" w:line="240" w:lineRule="auto"/>
    </w:pPr>
    <w:tblPr>
      <w:tblStyleRowBandSize w:val="1"/>
      <w:tblStyleColBandSize w:val="1"/>
      <w:tblBorders>
        <w:top w:val="single" w:sz="4" w:space="0" w:color="002C47" w:themeColor="accent1"/>
        <w:left w:val="single" w:sz="4" w:space="0" w:color="002C47" w:themeColor="accent1"/>
        <w:bottom w:val="single" w:sz="4" w:space="0" w:color="002C47" w:themeColor="accent1"/>
        <w:right w:val="single" w:sz="4" w:space="0" w:color="002C47" w:themeColor="accent1"/>
      </w:tblBorders>
    </w:tblPr>
    <w:tblStylePr w:type="firstRow">
      <w:rPr>
        <w:b/>
        <w:bCs/>
        <w:color w:val="FFFFFF" w:themeColor="background1"/>
      </w:rPr>
      <w:tblPr/>
      <w:tcPr>
        <w:shd w:val="clear" w:color="auto" w:fill="002C47" w:themeFill="accent1"/>
      </w:tcPr>
    </w:tblStylePr>
    <w:tblStylePr w:type="lastRow">
      <w:rPr>
        <w:b/>
        <w:bCs/>
      </w:rPr>
      <w:tblPr/>
      <w:tcPr>
        <w:tcBorders>
          <w:top w:val="double" w:sz="4" w:space="0" w:color="002C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C47" w:themeColor="accent1"/>
          <w:right w:val="single" w:sz="4" w:space="0" w:color="002C47" w:themeColor="accent1"/>
        </w:tcBorders>
      </w:tcPr>
    </w:tblStylePr>
    <w:tblStylePr w:type="band1Horz">
      <w:tblPr/>
      <w:tcPr>
        <w:tcBorders>
          <w:top w:val="single" w:sz="4" w:space="0" w:color="002C47" w:themeColor="accent1"/>
          <w:bottom w:val="single" w:sz="4" w:space="0" w:color="002C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C47" w:themeColor="accent1"/>
          <w:left w:val="nil"/>
        </w:tcBorders>
      </w:tcPr>
    </w:tblStylePr>
    <w:tblStylePr w:type="swCell">
      <w:tblPr/>
      <w:tcPr>
        <w:tcBorders>
          <w:top w:val="double" w:sz="4" w:space="0" w:color="002C47" w:themeColor="accent1"/>
          <w:right w:val="nil"/>
        </w:tcBorders>
      </w:tcPr>
    </w:tblStylePr>
  </w:style>
  <w:style w:type="character" w:styleId="CommentReference">
    <w:name w:val="annotation reference"/>
    <w:basedOn w:val="DefaultParagraphFont"/>
    <w:uiPriority w:val="99"/>
    <w:semiHidden/>
    <w:unhideWhenUsed/>
    <w:rsid w:val="00F92854"/>
    <w:rPr>
      <w:sz w:val="16"/>
      <w:szCs w:val="16"/>
    </w:rPr>
  </w:style>
  <w:style w:type="paragraph" w:styleId="CommentText">
    <w:name w:val="annotation text"/>
    <w:basedOn w:val="Normal"/>
    <w:link w:val="CommentTextChar"/>
    <w:uiPriority w:val="99"/>
    <w:semiHidden/>
    <w:unhideWhenUsed/>
    <w:rsid w:val="00F92854"/>
    <w:rPr>
      <w:sz w:val="20"/>
    </w:rPr>
  </w:style>
  <w:style w:type="character" w:customStyle="1" w:styleId="CommentTextChar">
    <w:name w:val="Comment Text Char"/>
    <w:basedOn w:val="DefaultParagraphFont"/>
    <w:link w:val="CommentText"/>
    <w:uiPriority w:val="99"/>
    <w:semiHidden/>
    <w:rsid w:val="00F92854"/>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F92854"/>
    <w:rPr>
      <w:b/>
      <w:bCs/>
    </w:rPr>
  </w:style>
  <w:style w:type="character" w:customStyle="1" w:styleId="CommentSubjectChar">
    <w:name w:val="Comment Subject Char"/>
    <w:basedOn w:val="CommentTextChar"/>
    <w:link w:val="CommentSubject"/>
    <w:uiPriority w:val="99"/>
    <w:semiHidden/>
    <w:rsid w:val="00F92854"/>
    <w:rPr>
      <w:rFonts w:ascii="Calibri" w:eastAsia="Times New Roman" w:hAnsi="Calibri" w:cs="Times New Roman"/>
      <w:b/>
      <w:bCs/>
      <w:sz w:val="20"/>
      <w:szCs w:val="20"/>
      <w:lang w:eastAsia="en-AU"/>
    </w:rPr>
  </w:style>
  <w:style w:type="paragraph" w:styleId="Revision">
    <w:name w:val="Revision"/>
    <w:hidden/>
    <w:uiPriority w:val="99"/>
    <w:semiHidden/>
    <w:rsid w:val="0098026B"/>
    <w:pPr>
      <w:spacing w:after="0" w:line="240" w:lineRule="auto"/>
    </w:pPr>
  </w:style>
  <w:style w:type="character" w:customStyle="1" w:styleId="DashChar">
    <w:name w:val="Dash Char"/>
    <w:basedOn w:val="DefaultParagraphFont"/>
    <w:link w:val="Dash"/>
    <w:locked/>
    <w:rsid w:val="00E57145"/>
    <w:rPr>
      <w:rFonts w:ascii="Calibri" w:eastAsia="Times New Roman" w:hAnsi="Calibri"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54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2.wmf"/><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creativecommons.org/licenses/by/3.0/au/legalcode"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5.xml"/><Relationship Id="rId32" Type="http://schemas.openxmlformats.org/officeDocument/2006/relationships/fontTable" Target="fontTable.xml"/><Relationship Id="rId37"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hyperlink" Target="http://creativecommons.org/licenses/by/3.0/au/deed.en" TargetMode="Externa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creativecommons.org/licenses/by/3.0/au/deed.en" TargetMode="External"/><Relationship Id="rId27" Type="http://schemas.openxmlformats.org/officeDocument/2006/relationships/header" Target="header7.xml"/><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0DC35216AB4CB98FDF550A8E6BF1F4"/>
        <w:category>
          <w:name w:val="General"/>
          <w:gallery w:val="placeholder"/>
        </w:category>
        <w:types>
          <w:type w:val="bbPlcHdr"/>
        </w:types>
        <w:behaviors>
          <w:behavior w:val="content"/>
        </w:behaviors>
        <w:guid w:val="{DDCBB454-20C8-44E4-AD9D-EA8E51246612}"/>
      </w:docPartPr>
      <w:docPartBody>
        <w:p w:rsidR="00CB25A3" w:rsidRDefault="00CB25A3">
          <w:pPr>
            <w:pStyle w:val="D10DC35216AB4CB98FDF550A8E6BF1F4"/>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5A3"/>
    <w:rsid w:val="00393E5C"/>
    <w:rsid w:val="00626406"/>
    <w:rsid w:val="00AE7A7E"/>
    <w:rsid w:val="00BA3358"/>
    <w:rsid w:val="00CB25A3"/>
    <w:rsid w:val="00D51F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10DC35216AB4CB98FDF550A8E6BF1F4">
    <w:name w:val="D10DC35216AB4CB98FDF550A8E6BF1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rporate">
      <a:dk1>
        <a:sysClr val="windowText" lastClr="000000"/>
      </a:dk1>
      <a:lt1>
        <a:sysClr val="window" lastClr="FFFFFF"/>
      </a:lt1>
      <a:dk2>
        <a:srgbClr val="F06252"/>
      </a:dk2>
      <a:lt2>
        <a:srgbClr val="E2E0CB"/>
      </a:lt2>
      <a:accent1>
        <a:srgbClr val="002C47"/>
      </a:accent1>
      <a:accent2>
        <a:srgbClr val="3A6FAF"/>
      </a:accent2>
      <a:accent3>
        <a:srgbClr val="00827F"/>
      </a:accent3>
      <a:accent4>
        <a:srgbClr val="F7901E"/>
      </a:accent4>
      <a:accent5>
        <a:srgbClr val="00ABBD"/>
      </a:accent5>
      <a:accent6>
        <a:srgbClr val="844D9E"/>
      </a:accent6>
      <a:hlink>
        <a:srgbClr val="3A6FAF"/>
      </a:hlink>
      <a:folHlink>
        <a:srgbClr val="E61E2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36BB8DE7EC542E42A8B2E98CC20CB697|1757814118" UniqueId="eb9354fb-4177-4e01-8c43-989761893d04">
      <p:Name>Auditing</p:Name>
      <p:Description>Audits user actions on documents and list items to the Audit Log.</p:Description>
      <p:CustomData>
        <Audit>
          <Update/>
          <DeleteRestore/>
        </Audit>
      </p:CustomData>
    </p:PolicyItem>
  </p:PolicyItems>
</p:Policy>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Treasury Document" ma:contentTypeID="0x01010036BB8DE7EC542E42A8B2E98CC20CB69700A178ACB32DF169409130AAE1FDE802F9" ma:contentTypeVersion="35651" ma:contentTypeDescription="" ma:contentTypeScope="" ma:versionID="43d1ec8cc42fa7d26618c63159b7a86e">
  <xsd:schema xmlns:xsd="http://www.w3.org/2001/XMLSchema" xmlns:xs="http://www.w3.org/2001/XMLSchema" xmlns:p="http://schemas.microsoft.com/office/2006/metadata/properties" xmlns:ns1="http://schemas.microsoft.com/sharepoint/v3" xmlns:ns2="0f563589-9cf9-4143-b1eb-fb0534803d38" xmlns:ns3="9f7bc583-7cbe-45b9-a2bd-8bbb6543b37e" xmlns:ns5="http://schemas.microsoft.com/sharepoint/v4" targetNamespace="http://schemas.microsoft.com/office/2006/metadata/properties" ma:root="true" ma:fieldsID="77543dadd1837e386caab991a93928a1" ns1:_="" ns2:_="" ns3:_="" ns5:_="">
    <xsd:import namespace="http://schemas.microsoft.com/sharepoint/v3"/>
    <xsd:import namespace="0f563589-9cf9-4143-b1eb-fb0534803d38"/>
    <xsd:import namespace="9f7bc583-7cbe-45b9-a2bd-8bbb6543b37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5426e91-c895-42ba-91bf-fe5e23c4f0ec}" ma:internalName="TaxCatchAll" ma:showField="CatchAllData" ma:web="9f7bc583-7cbe-45b9-a2bd-8bbb6543b37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5426e91-c895-42ba-91bf-fe5e23c4f0ec}" ma:internalName="TaxCatchAllLabel" ma:readOnly="true" ma:showField="CatchAllDataLabel" ma:web="9f7bc583-7cbe-45b9-a2bd-8bbb6543b3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7bc583-7cbe-45b9-a2bd-8bbb6543b37e"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59;#TSY RA-9278 - Destroy 30 years after action completed|c086dcfc-5e12-4afb-9fc8-394791410cc9"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b508a4dc5e84436a0fe496b536466aa xmlns="9f7bc583-7cbe-45b9-a2bd-8bbb6543b37e">
      <Terms xmlns="http://schemas.microsoft.com/office/infopath/2007/PartnerControls">
        <TermInfo xmlns="http://schemas.microsoft.com/office/infopath/2007/PartnerControls">
          <TermName xmlns="http://schemas.microsoft.com/office/infopath/2007/PartnerControls">TSY RA-9278 - Destroy 30 years after action completed</TermName>
          <TermId xmlns="http://schemas.microsoft.com/office/infopath/2007/PartnerControls">c086dcfc-5e12-4afb-9fc8-394791410cc9</TermId>
        </TermInfo>
      </Terms>
    </lb508a4dc5e84436a0fe496b536466aa>
    <IconOverlay xmlns="http://schemas.microsoft.com/sharepoint/v4" xsi:nil="true"/>
    <TaxCatchAll xmlns="0f563589-9cf9-4143-b1eb-fb0534803d38">
      <Value>59</Value>
    </TaxCatchAll>
    <_dlc_DocId xmlns="0f563589-9cf9-4143-b1eb-fb0534803d38">2021RG-386-3987</_dlc_DocId>
    <_dlc_DocIdUrl xmlns="0f563589-9cf9-4143-b1eb-fb0534803d38">
      <Url>http://tweb/sites/rg/iitd/nfp/_layouts/15/DocIdRedir.aspx?ID=2021RG-386-3987</Url>
      <Description>2021RG-386-3987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7F31E-6C9F-4F72-837E-C89103E42169}">
  <ds:schemaRefs>
    <ds:schemaRef ds:uri="office.server.policy"/>
  </ds:schemaRefs>
</ds:datastoreItem>
</file>

<file path=customXml/itemProps2.xml><?xml version="1.0" encoding="utf-8"?>
<ds:datastoreItem xmlns:ds="http://schemas.openxmlformats.org/officeDocument/2006/customXml" ds:itemID="{D9026255-6E64-4CCD-9784-1EC888F875B8}">
  <ds:schemaRefs>
    <ds:schemaRef ds:uri="http://schemas.microsoft.com/sharepoint/events"/>
  </ds:schemaRefs>
</ds:datastoreItem>
</file>

<file path=customXml/itemProps3.xml><?xml version="1.0" encoding="utf-8"?>
<ds:datastoreItem xmlns:ds="http://schemas.openxmlformats.org/officeDocument/2006/customXml" ds:itemID="{2EC229AE-0DB5-4969-B711-D0FE74A61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9f7bc583-7cbe-45b9-a2bd-8bbb6543b37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1AF655-D74B-4534-A460-AF66779FB523}">
  <ds:schemaRefs>
    <ds:schemaRef ds:uri="http://schemas.microsoft.com/sharepoint/v3/contenttype/forms"/>
  </ds:schemaRefs>
</ds:datastoreItem>
</file>

<file path=customXml/itemProps5.xml><?xml version="1.0" encoding="utf-8"?>
<ds:datastoreItem xmlns:ds="http://schemas.openxmlformats.org/officeDocument/2006/customXml" ds:itemID="{773AD976-A81A-466F-8EB4-37B7580B17BD}">
  <ds:schemaRefs>
    <ds:schemaRef ds:uri="0f563589-9cf9-4143-b1eb-fb0534803d38"/>
    <ds:schemaRef ds:uri="http://purl.org/dc/elements/1.1/"/>
    <ds:schemaRef ds:uri="http://schemas.microsoft.com/office/2006/metadata/properties"/>
    <ds:schemaRef ds:uri="http://schemas.microsoft.com/sharepoint/v3"/>
    <ds:schemaRef ds:uri="9f7bc583-7cbe-45b9-a2bd-8bbb6543b37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sharepoint/v4"/>
    <ds:schemaRef ds:uri="http://www.w3.org/XML/1998/namespace"/>
    <ds:schemaRef ds:uri="http://purl.org/dc/dcmitype/"/>
  </ds:schemaRefs>
</ds:datastoreItem>
</file>

<file path=customXml/itemProps6.xml><?xml version="1.0" encoding="utf-8"?>
<ds:datastoreItem xmlns:ds="http://schemas.openxmlformats.org/officeDocument/2006/customXml" ds:itemID="{0F5878D2-0A4A-4D60-BA98-0E6567EEC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165</TotalTime>
  <Pages>16</Pages>
  <Words>3863</Words>
  <Characters>23370</Characters>
  <Application>Microsoft Office Word</Application>
  <DocSecurity>0</DocSecurity>
  <Lines>569</Lines>
  <Paragraphs>282</Paragraphs>
  <ScaleCrop>false</ScaleCrop>
  <HeadingPairs>
    <vt:vector size="2" baseType="variant">
      <vt:variant>
        <vt:lpstr>Title</vt:lpstr>
      </vt:variant>
      <vt:variant>
        <vt:i4>1</vt:i4>
      </vt:variant>
    </vt:vector>
  </HeadingPairs>
  <TitlesOfParts>
    <vt:vector size="1" baseType="lpstr">
      <vt:lpstr>Increasing financial reporting thresholds for ACNC-registered charities</vt:lpstr>
    </vt:vector>
  </TitlesOfParts>
  <Company>Australian Government - The Treasury</Company>
  <LinksUpToDate>false</LinksUpToDate>
  <CharactersWithSpaces>27000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Increasing financial reporting thresholds for ACNC-registered charities</dc:title>
  <dc:subject/>
  <dc:creator>Treasury</dc:creator>
  <cp:keywords/>
  <dc:description/>
  <cp:lastModifiedBy>Hill, Christine</cp:lastModifiedBy>
  <cp:revision>10</cp:revision>
  <cp:lastPrinted>2021-02-11T03:17:00Z</cp:lastPrinted>
  <dcterms:created xsi:type="dcterms:W3CDTF">2021-02-10T05:56:00Z</dcterms:created>
  <dcterms:modified xsi:type="dcterms:W3CDTF">2021-02-16T00:44:00Z</dcterms:modified>
</cp:coreProperties>
</file>