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6A067" w14:textId="77777777" w:rsidR="00A15761" w:rsidRDefault="00A15761" w:rsidP="00A15761">
      <w:pPr>
        <w:pStyle w:val="Default"/>
        <w:jc w:val="center"/>
      </w:pPr>
      <w:bookmarkStart w:id="0" w:name="_GoBack"/>
      <w:bookmarkEnd w:id="0"/>
      <w:r w:rsidRPr="00062F89">
        <w:rPr>
          <w:noProof/>
          <w:lang w:eastAsia="en-AU"/>
        </w:rPr>
        <w:drawing>
          <wp:inline distT="0" distB="0" distL="0" distR="0" wp14:anchorId="1945C218" wp14:editId="2433E0B9">
            <wp:extent cx="2584450" cy="14224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48DD3" w14:textId="77777777" w:rsidR="00A15761" w:rsidRDefault="00A15761" w:rsidP="00A15761">
      <w:pPr>
        <w:pStyle w:val="Default"/>
        <w:spacing w:after="200"/>
        <w:jc w:val="center"/>
      </w:pPr>
    </w:p>
    <w:p w14:paraId="58D19B9C" w14:textId="77777777" w:rsidR="00A15761" w:rsidRDefault="00A15761" w:rsidP="00607210">
      <w:pPr>
        <w:pStyle w:val="Title"/>
      </w:pPr>
      <w:r>
        <w:t xml:space="preserve">National </w:t>
      </w:r>
      <w:r w:rsidRPr="00607210">
        <w:t>Interest</w:t>
      </w:r>
      <w:r>
        <w:t xml:space="preserve"> Statement: </w:t>
      </w:r>
    </w:p>
    <w:p w14:paraId="7C4BA634" w14:textId="77777777" w:rsidR="00A15761" w:rsidRDefault="00A15761" w:rsidP="00607210">
      <w:pPr>
        <w:pStyle w:val="Subtitle"/>
      </w:pPr>
      <w:r>
        <w:t xml:space="preserve">Loan Agreement between the Commonwealth of Australia and the </w:t>
      </w:r>
      <w:r w:rsidRPr="00A15761">
        <w:t xml:space="preserve">Independent State of Papua New </w:t>
      </w:r>
      <w:r w:rsidRPr="00607210">
        <w:t>Guinea</w:t>
      </w:r>
    </w:p>
    <w:p w14:paraId="150B5CBD" w14:textId="77777777" w:rsidR="00A15761" w:rsidRDefault="005F3045" w:rsidP="00607210">
      <w:pPr>
        <w:spacing w:before="8760"/>
        <w:jc w:val="right"/>
        <w:rPr>
          <w:sz w:val="28"/>
          <w:szCs w:val="28"/>
        </w:rPr>
      </w:pPr>
      <w:r w:rsidRPr="005F3045">
        <w:rPr>
          <w:sz w:val="28"/>
          <w:szCs w:val="28"/>
        </w:rPr>
        <w:t>DEC</w:t>
      </w:r>
      <w:r w:rsidR="00B557EE" w:rsidRPr="005F3045">
        <w:rPr>
          <w:sz w:val="28"/>
          <w:szCs w:val="28"/>
        </w:rPr>
        <w:t>EMB</w:t>
      </w:r>
      <w:r w:rsidR="00A15761" w:rsidRPr="005F3045">
        <w:rPr>
          <w:sz w:val="28"/>
          <w:szCs w:val="28"/>
        </w:rPr>
        <w:t>ER 2020</w:t>
      </w:r>
    </w:p>
    <w:p w14:paraId="6FF184A4" w14:textId="77777777" w:rsidR="00BC49FD" w:rsidRDefault="00BC49FD" w:rsidP="00A15761">
      <w:pPr>
        <w:jc w:val="right"/>
        <w:rPr>
          <w:sz w:val="28"/>
          <w:szCs w:val="28"/>
        </w:rPr>
      </w:pPr>
    </w:p>
    <w:p w14:paraId="1F7A7A72" w14:textId="77777777" w:rsidR="00695994" w:rsidRDefault="00695994" w:rsidP="00BC49FD">
      <w:pPr>
        <w:jc w:val="center"/>
        <w:rPr>
          <w:sz w:val="28"/>
          <w:szCs w:val="28"/>
        </w:rPr>
        <w:sectPr w:rsidR="00695994" w:rsidSect="00695994">
          <w:footerReference w:type="defaul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38B82C6C" w14:textId="77777777" w:rsidR="008F024A" w:rsidRPr="009E178F" w:rsidRDefault="008F024A" w:rsidP="00607210">
      <w:pPr>
        <w:pStyle w:val="Heading1"/>
      </w:pPr>
      <w:r w:rsidRPr="009E178F">
        <w:lastRenderedPageBreak/>
        <w:t xml:space="preserve">NATIONAL </w:t>
      </w:r>
      <w:r w:rsidRPr="00607210">
        <w:t>INTEREST</w:t>
      </w:r>
      <w:r w:rsidRPr="009E178F">
        <w:t xml:space="preserve"> STATEMENT </w:t>
      </w:r>
    </w:p>
    <w:p w14:paraId="0C8D103E" w14:textId="77777777" w:rsidR="008F024A" w:rsidRPr="009E178F" w:rsidRDefault="008F024A" w:rsidP="00607210">
      <w:pPr>
        <w:pStyle w:val="Heading2"/>
      </w:pPr>
      <w:r w:rsidRPr="009E178F">
        <w:t xml:space="preserve">Loan Agreement between the Australian Government and the </w:t>
      </w:r>
      <w:r w:rsidRPr="008F024A">
        <w:t xml:space="preserve">Independent State of Papua New </w:t>
      </w:r>
      <w:r w:rsidRPr="00607210">
        <w:t>Guinea</w:t>
      </w:r>
      <w:r w:rsidRPr="009E178F">
        <w:t xml:space="preserve"> </w:t>
      </w:r>
    </w:p>
    <w:p w14:paraId="1AB4C84F" w14:textId="77777777" w:rsidR="008F024A" w:rsidRPr="009E178F" w:rsidRDefault="008F024A" w:rsidP="00607210">
      <w:pPr>
        <w:pStyle w:val="Heading3"/>
      </w:pPr>
      <w:r w:rsidRPr="009E178F">
        <w:t xml:space="preserve">Summary </w:t>
      </w:r>
    </w:p>
    <w:p w14:paraId="24753181" w14:textId="77777777" w:rsidR="00DE6F91" w:rsidRDefault="00DE6F91">
      <w:r>
        <w:t xml:space="preserve">This National Interest Statement </w:t>
      </w:r>
      <w:r w:rsidR="00601BD9">
        <w:t xml:space="preserve">(Statement) </w:t>
      </w:r>
      <w:r w:rsidR="00BD7E79">
        <w:t xml:space="preserve">relates to the loan agreement between Australia and the Independent State of Papua New Guinea (PNG) for </w:t>
      </w:r>
      <w:r w:rsidR="00490D2B" w:rsidRPr="00490D2B">
        <w:t xml:space="preserve">$140 million plus </w:t>
      </w:r>
      <w:r w:rsidR="00BD7E79" w:rsidRPr="00490D2B">
        <w:t>approximately US$</w:t>
      </w:r>
      <w:r w:rsidR="00490D2B" w:rsidRPr="00490D2B">
        <w:t>3</w:t>
      </w:r>
      <w:r w:rsidR="00BD7E79" w:rsidRPr="00490D2B">
        <w:t xml:space="preserve">05.29 million. </w:t>
      </w:r>
      <w:r w:rsidR="00F40EFA" w:rsidRPr="00490D2B">
        <w:t xml:space="preserve">This Statement is </w:t>
      </w:r>
      <w:r w:rsidR="00326D8F" w:rsidRPr="00490D2B">
        <w:t>being</w:t>
      </w:r>
      <w:r w:rsidR="00F40EFA" w:rsidRPr="00490D2B">
        <w:t xml:space="preserve"> tabled pursuant to the requirem</w:t>
      </w:r>
      <w:r w:rsidR="00326D8F" w:rsidRPr="00490D2B">
        <w:t>e</w:t>
      </w:r>
      <w:r w:rsidR="00E23ECE" w:rsidRPr="00490D2B">
        <w:t xml:space="preserve">nts of </w:t>
      </w:r>
      <w:r w:rsidR="00EC1159" w:rsidRPr="00490D2B">
        <w:t>sections 8D</w:t>
      </w:r>
      <w:r w:rsidR="00EC1159" w:rsidRPr="00490D2B">
        <w:noBreakHyphen/>
        <w:t xml:space="preserve">8E </w:t>
      </w:r>
      <w:r w:rsidR="00F40EFA" w:rsidRPr="00490D2B">
        <w:t xml:space="preserve">of the </w:t>
      </w:r>
      <w:r w:rsidR="00F40EFA" w:rsidRPr="00490D2B">
        <w:rPr>
          <w:i/>
        </w:rPr>
        <w:t>International Monetary Agreements Act 1947</w:t>
      </w:r>
      <w:r w:rsidR="00326D8F" w:rsidRPr="00490D2B">
        <w:t xml:space="preserve"> (IMA</w:t>
      </w:r>
      <w:r w:rsidR="008C2FA0" w:rsidRPr="00490D2B">
        <w:t xml:space="preserve"> </w:t>
      </w:r>
      <w:r w:rsidR="00326D8F" w:rsidRPr="00490D2B">
        <w:t>A</w:t>
      </w:r>
      <w:r w:rsidR="008C2FA0" w:rsidRPr="00490D2B">
        <w:t>ct</w:t>
      </w:r>
      <w:r w:rsidR="00326D8F" w:rsidRPr="00490D2B">
        <w:t>)</w:t>
      </w:r>
      <w:r w:rsidR="00F40EFA" w:rsidRPr="00490D2B">
        <w:t xml:space="preserve">.  </w:t>
      </w:r>
    </w:p>
    <w:p w14:paraId="3EF8DB2F" w14:textId="77777777" w:rsidR="002A5DAB" w:rsidRDefault="001842F5" w:rsidP="002A5DAB">
      <w:r w:rsidRPr="00DF144E">
        <w:t>On 2</w:t>
      </w:r>
      <w:r w:rsidR="001F0B06" w:rsidRPr="00DF144E">
        <w:t>2</w:t>
      </w:r>
      <w:r w:rsidR="00326D8F" w:rsidRPr="00DF144E">
        <w:t xml:space="preserve"> </w:t>
      </w:r>
      <w:r w:rsidR="00C4651B" w:rsidRPr="00DF144E">
        <w:t>Novem</w:t>
      </w:r>
      <w:r w:rsidR="00326D8F" w:rsidRPr="00DF144E">
        <w:t>ber 2020, Austral</w:t>
      </w:r>
      <w:r w:rsidR="008C2FA0" w:rsidRPr="00DF144E">
        <w:t xml:space="preserve">ia entered into a loan agreement with PNG to </w:t>
      </w:r>
      <w:r w:rsidR="0046039E" w:rsidRPr="00DF144E">
        <w:t>provide budget support</w:t>
      </w:r>
      <w:r w:rsidR="0046039E" w:rsidRPr="00490D2B">
        <w:t xml:space="preserve"> to PNG and to support </w:t>
      </w:r>
      <w:r w:rsidR="00272787" w:rsidRPr="00490D2B">
        <w:t xml:space="preserve">its </w:t>
      </w:r>
      <w:r w:rsidR="0046039E" w:rsidRPr="00490D2B">
        <w:t xml:space="preserve">reform actions under the International Monetary Fund (IMF) </w:t>
      </w:r>
      <w:r w:rsidR="00D85529" w:rsidRPr="00490D2B">
        <w:t>Staff</w:t>
      </w:r>
      <w:r w:rsidR="00D85529" w:rsidRPr="00490D2B">
        <w:noBreakHyphen/>
      </w:r>
      <w:r w:rsidR="0046039E" w:rsidRPr="00490D2B">
        <w:t xml:space="preserve">Monitored Program (SMP). </w:t>
      </w:r>
      <w:r w:rsidR="002A5DAB" w:rsidRPr="00490D2B">
        <w:t xml:space="preserve">This loan </w:t>
      </w:r>
      <w:r w:rsidR="0046039E" w:rsidRPr="00490D2B">
        <w:t>will also reinforce the</w:t>
      </w:r>
      <w:r w:rsidR="00A74E24" w:rsidRPr="00490D2B">
        <w:t xml:space="preserve"> already strong ties and </w:t>
      </w:r>
      <w:r w:rsidR="0046039E" w:rsidRPr="00490D2B">
        <w:t xml:space="preserve">special relationship that Australia has </w:t>
      </w:r>
      <w:r w:rsidR="00A74E24" w:rsidRPr="00490D2B">
        <w:t xml:space="preserve">had </w:t>
      </w:r>
      <w:r w:rsidR="0046039E" w:rsidRPr="00490D2B">
        <w:t>with PNG</w:t>
      </w:r>
      <w:r w:rsidR="00A74E24" w:rsidRPr="00490D2B">
        <w:t xml:space="preserve"> over many years.  </w:t>
      </w:r>
      <w:r w:rsidR="002A5DAB" w:rsidRPr="00490D2B">
        <w:t xml:space="preserve"> </w:t>
      </w:r>
    </w:p>
    <w:p w14:paraId="6BFD7230" w14:textId="4F3D3C7C" w:rsidR="002F3665" w:rsidRPr="00DF144E" w:rsidRDefault="00A74E24" w:rsidP="002F3665">
      <w:r>
        <w:t>The Australian Government is providing the loan in response to a request from the PNG Prime Minister</w:t>
      </w:r>
      <w:r w:rsidR="006B4ADF">
        <w:t xml:space="preserve">, Mr James </w:t>
      </w:r>
      <w:proofErr w:type="spellStart"/>
      <w:r w:rsidR="006B4ADF">
        <w:t>Marape</w:t>
      </w:r>
      <w:proofErr w:type="spellEnd"/>
      <w:r w:rsidR="006B4ADF">
        <w:t>,</w:t>
      </w:r>
      <w:r>
        <w:t xml:space="preserve"> </w:t>
      </w:r>
      <w:r w:rsidR="00240455">
        <w:t xml:space="preserve">in February 2020. The </w:t>
      </w:r>
      <w:r w:rsidR="006B4ADF">
        <w:t xml:space="preserve">request </w:t>
      </w:r>
      <w:r w:rsidR="00240455">
        <w:t>was made to help address</w:t>
      </w:r>
      <w:r>
        <w:t xml:space="preserve"> the deteriorating </w:t>
      </w:r>
      <w:r w:rsidR="006B4ADF">
        <w:t>fiscal</w:t>
      </w:r>
      <w:r>
        <w:t xml:space="preserve"> position that PNG </w:t>
      </w:r>
      <w:r w:rsidR="00FD749D">
        <w:t xml:space="preserve">has been </w:t>
      </w:r>
      <w:r>
        <w:t>fac</w:t>
      </w:r>
      <w:r w:rsidR="006B4ADF">
        <w:t>ing</w:t>
      </w:r>
      <w:r>
        <w:t xml:space="preserve"> </w:t>
      </w:r>
      <w:r w:rsidR="00FD749D">
        <w:t>in recent years</w:t>
      </w:r>
      <w:r w:rsidR="00240455">
        <w:t xml:space="preserve"> and to support PNG’s </w:t>
      </w:r>
      <w:r w:rsidR="00240455" w:rsidRPr="00DF144E">
        <w:t>continued economic reform agenda.</w:t>
      </w:r>
      <w:r w:rsidRPr="00DF144E">
        <w:t xml:space="preserve"> </w:t>
      </w:r>
      <w:r w:rsidR="00240455" w:rsidRPr="00DF144E">
        <w:t xml:space="preserve">Since then </w:t>
      </w:r>
      <w:r w:rsidRPr="00DF144E">
        <w:t xml:space="preserve">COVID-19 has further exacerbated PNG’s financial position. </w:t>
      </w:r>
      <w:r w:rsidR="002F3665" w:rsidRPr="00DF144E">
        <w:t xml:space="preserve">The </w:t>
      </w:r>
      <w:r w:rsidR="00DF144E" w:rsidRPr="00DF144E">
        <w:t xml:space="preserve">Supplementary </w:t>
      </w:r>
      <w:r w:rsidR="00345271" w:rsidRPr="00DF144E">
        <w:t>Budget</w:t>
      </w:r>
      <w:r w:rsidR="002F3665" w:rsidRPr="00DF144E">
        <w:t xml:space="preserve">, released in </w:t>
      </w:r>
      <w:r w:rsidR="00345271" w:rsidRPr="00DF144E">
        <w:t>November</w:t>
      </w:r>
      <w:r w:rsidR="002F3665" w:rsidRPr="00DF144E">
        <w:t xml:space="preserve"> 2020, </w:t>
      </w:r>
      <w:r w:rsidR="00E6243B" w:rsidRPr="00DF144E">
        <w:t>estimated</w:t>
      </w:r>
      <w:r w:rsidR="002F3665" w:rsidRPr="00DF144E">
        <w:t xml:space="preserve"> a</w:t>
      </w:r>
      <w:r w:rsidR="00B5064F">
        <w:t xml:space="preserve"> </w:t>
      </w:r>
      <w:r w:rsidR="00DF144E" w:rsidRPr="00DF144E">
        <w:t>20.8</w:t>
      </w:r>
      <w:r w:rsidR="00490D2B" w:rsidRPr="00DF144E">
        <w:t> per </w:t>
      </w:r>
      <w:r w:rsidR="002F3665" w:rsidRPr="00DF144E">
        <w:t xml:space="preserve">cent decline in </w:t>
      </w:r>
      <w:r w:rsidR="00E6243B" w:rsidRPr="00DF144E">
        <w:t xml:space="preserve">total </w:t>
      </w:r>
      <w:r w:rsidR="002F3665" w:rsidRPr="00DF144E">
        <w:t>government revenue</w:t>
      </w:r>
      <w:r w:rsidR="00E6243B" w:rsidRPr="00DF144E">
        <w:t xml:space="preserve"> </w:t>
      </w:r>
      <w:r w:rsidR="00DF144E" w:rsidRPr="00DF144E">
        <w:t xml:space="preserve">for </w:t>
      </w:r>
      <w:r w:rsidR="00345271" w:rsidRPr="00DF144E">
        <w:t xml:space="preserve">2020 compared </w:t>
      </w:r>
      <w:r w:rsidR="00B5064F">
        <w:t xml:space="preserve">to </w:t>
      </w:r>
      <w:r w:rsidR="00DF144E" w:rsidRPr="00DF144E">
        <w:t xml:space="preserve">the revenue estimate released in </w:t>
      </w:r>
      <w:r w:rsidR="00345271" w:rsidRPr="00DF144E">
        <w:t xml:space="preserve">to </w:t>
      </w:r>
      <w:r w:rsidR="00E6243B" w:rsidRPr="00DF144E">
        <w:t>2019</w:t>
      </w:r>
      <w:r w:rsidR="002F3665" w:rsidRPr="00DF144E">
        <w:t xml:space="preserve">. </w:t>
      </w:r>
    </w:p>
    <w:p w14:paraId="75128CA7" w14:textId="77777777" w:rsidR="002A5DAB" w:rsidRDefault="00B94A50">
      <w:r w:rsidRPr="00DF144E">
        <w:t xml:space="preserve">The loan amount comprises a </w:t>
      </w:r>
      <w:r w:rsidR="00490D2B" w:rsidRPr="00DF144E">
        <w:t>$140</w:t>
      </w:r>
      <w:r w:rsidRPr="00DF144E">
        <w:t> million loan and a r</w:t>
      </w:r>
      <w:r w:rsidR="009D2177" w:rsidRPr="00DF144E">
        <w:t xml:space="preserve">efinancing </w:t>
      </w:r>
      <w:r w:rsidRPr="00DF144E">
        <w:t xml:space="preserve">of </w:t>
      </w:r>
      <w:r w:rsidR="001A2247" w:rsidRPr="00DF144E">
        <w:t xml:space="preserve">a </w:t>
      </w:r>
      <w:r w:rsidRPr="00DF144E">
        <w:t xml:space="preserve">US$300 million </w:t>
      </w:r>
      <w:r w:rsidR="009D2177" w:rsidRPr="00DF144E">
        <w:t>loan</w:t>
      </w:r>
      <w:r w:rsidR="003247B4" w:rsidRPr="00DF144E">
        <w:t xml:space="preserve"> </w:t>
      </w:r>
      <w:r w:rsidRPr="00DF144E">
        <w:t>that PNG already ha</w:t>
      </w:r>
      <w:r w:rsidR="00B5064F">
        <w:t>d</w:t>
      </w:r>
      <w:r w:rsidRPr="00DF144E">
        <w:t xml:space="preserve"> with </w:t>
      </w:r>
      <w:r w:rsidR="00DD0876" w:rsidRPr="00DF144E">
        <w:t>E</w:t>
      </w:r>
      <w:r w:rsidRPr="00DF144E">
        <w:t>xport Finance Australia</w:t>
      </w:r>
      <w:r w:rsidR="00DD0876" w:rsidRPr="00DF144E">
        <w:t xml:space="preserve"> (EFA)</w:t>
      </w:r>
      <w:r w:rsidR="007F780A" w:rsidRPr="00DF144E">
        <w:t>, the Australian Government’s export credit agency,</w:t>
      </w:r>
      <w:r w:rsidR="00DD0876">
        <w:t xml:space="preserve"> which PNG </w:t>
      </w:r>
      <w:r w:rsidR="003247B4">
        <w:t xml:space="preserve">entered into </w:t>
      </w:r>
      <w:r w:rsidR="00DD0876">
        <w:t xml:space="preserve">in </w:t>
      </w:r>
      <w:r w:rsidR="00AE68A6">
        <w:t xml:space="preserve">November 2019. </w:t>
      </w:r>
      <w:r w:rsidR="00DD0876">
        <w:t>In effect, this loan agreement provides PNG with $</w:t>
      </w:r>
      <w:r w:rsidR="00490D2B">
        <w:t>14</w:t>
      </w:r>
      <w:r w:rsidR="00DD0876">
        <w:t xml:space="preserve">0 million in new funding and </w:t>
      </w:r>
      <w:r w:rsidR="001A2247">
        <w:t>replaces</w:t>
      </w:r>
      <w:r w:rsidR="00DD0876">
        <w:t xml:space="preserve"> the debt PNG has with EFA with a debt to the Australian Government.  </w:t>
      </w:r>
    </w:p>
    <w:p w14:paraId="63AACE30" w14:textId="77777777" w:rsidR="008C2FA0" w:rsidRPr="009E178F" w:rsidRDefault="008C2FA0" w:rsidP="00607210">
      <w:pPr>
        <w:pStyle w:val="Heading3"/>
      </w:pPr>
      <w:r w:rsidRPr="009E178F">
        <w:t xml:space="preserve">Legislative requirements </w:t>
      </w:r>
    </w:p>
    <w:p w14:paraId="2AB4FA74" w14:textId="77777777" w:rsidR="008C2FA0" w:rsidRPr="002B31A3" w:rsidRDefault="008C2FA0" w:rsidP="002B31A3">
      <w:r w:rsidRPr="002B31A3">
        <w:t xml:space="preserve">The IMA Act </w:t>
      </w:r>
      <w:r w:rsidR="002B31A3" w:rsidRPr="002B31A3">
        <w:t>(section 8C(1))</w:t>
      </w:r>
      <w:r w:rsidR="002B31A3">
        <w:t xml:space="preserve"> provides</w:t>
      </w:r>
      <w:r w:rsidR="00CC759D" w:rsidRPr="002B31A3">
        <w:t xml:space="preserve"> </w:t>
      </w:r>
      <w:r w:rsidRPr="002B31A3">
        <w:t xml:space="preserve">that Australia </w:t>
      </w:r>
      <w:r w:rsidR="00CC759D" w:rsidRPr="002B31A3">
        <w:t>may</w:t>
      </w:r>
      <w:r w:rsidRPr="002B31A3">
        <w:t xml:space="preserve"> enter into an agreement for a loan </w:t>
      </w:r>
      <w:r w:rsidR="007B273E" w:rsidRPr="002B31A3">
        <w:t xml:space="preserve">to another country where the loan </w:t>
      </w:r>
      <w:r w:rsidRPr="002B31A3">
        <w:t xml:space="preserve">provides financial assistance in support of </w:t>
      </w:r>
      <w:r w:rsidR="00C312AD" w:rsidRPr="002B31A3">
        <w:t>an I</w:t>
      </w:r>
      <w:r w:rsidR="00CC759D" w:rsidRPr="002B31A3">
        <w:t xml:space="preserve">MF </w:t>
      </w:r>
      <w:r w:rsidRPr="002B31A3">
        <w:t xml:space="preserve">program to another country and </w:t>
      </w:r>
      <w:r w:rsidR="00E23ECE" w:rsidRPr="002B31A3">
        <w:t xml:space="preserve">if </w:t>
      </w:r>
      <w:r w:rsidRPr="002B31A3">
        <w:t xml:space="preserve">the Treasurer is satisfied that at least one other government or organisation </w:t>
      </w:r>
      <w:r w:rsidR="007B273E" w:rsidRPr="002B31A3">
        <w:t xml:space="preserve">has, or </w:t>
      </w:r>
      <w:r w:rsidRPr="002B31A3">
        <w:t>will be</w:t>
      </w:r>
      <w:r w:rsidR="007B273E" w:rsidRPr="002B31A3">
        <w:t>,</w:t>
      </w:r>
      <w:r w:rsidRPr="002B31A3">
        <w:t xml:space="preserve"> providing similar assistance. </w:t>
      </w:r>
    </w:p>
    <w:p w14:paraId="7BF90702" w14:textId="77777777" w:rsidR="00E23ECE" w:rsidRPr="002B31A3" w:rsidRDefault="00E23ECE" w:rsidP="002B31A3">
      <w:r w:rsidRPr="002B31A3">
        <w:t xml:space="preserve">PNG </w:t>
      </w:r>
      <w:r w:rsidR="007B273E" w:rsidRPr="002B31A3">
        <w:t>is currently undertaking an</w:t>
      </w:r>
      <w:r w:rsidRPr="002B31A3">
        <w:t xml:space="preserve"> IMF </w:t>
      </w:r>
      <w:r w:rsidR="005F3512" w:rsidRPr="002B31A3">
        <w:t>p</w:t>
      </w:r>
      <w:r w:rsidRPr="002B31A3">
        <w:t>rogram</w:t>
      </w:r>
      <w:r w:rsidR="005F3512" w:rsidRPr="002B31A3">
        <w:t xml:space="preserve"> through </w:t>
      </w:r>
      <w:r w:rsidR="00FD749D">
        <w:t xml:space="preserve">its </w:t>
      </w:r>
      <w:r w:rsidR="005F3512" w:rsidRPr="002B31A3">
        <w:t xml:space="preserve">participation in an IMF SMP. </w:t>
      </w:r>
      <w:r w:rsidR="006E3D97" w:rsidRPr="002B31A3">
        <w:t>O</w:t>
      </w:r>
      <w:r w:rsidR="005F3512" w:rsidRPr="002B31A3">
        <w:t xml:space="preserve">n </w:t>
      </w:r>
      <w:r w:rsidR="006E3D97" w:rsidRPr="002B31A3">
        <w:t>7 September </w:t>
      </w:r>
      <w:r w:rsidR="005F3512" w:rsidRPr="002B31A3">
        <w:t>2019</w:t>
      </w:r>
      <w:r w:rsidR="00FD749D">
        <w:t>, PNG</w:t>
      </w:r>
      <w:r w:rsidR="005F3512" w:rsidRPr="002B31A3">
        <w:t xml:space="preserve"> </w:t>
      </w:r>
      <w:r w:rsidR="006E3D97" w:rsidRPr="002B31A3">
        <w:t xml:space="preserve">wrote to the IMF requesting an IMF supported program. On </w:t>
      </w:r>
      <w:r w:rsidR="002B31A3" w:rsidRPr="002B31A3">
        <w:t>20</w:t>
      </w:r>
      <w:r w:rsidR="00802B4E">
        <w:t> February </w:t>
      </w:r>
      <w:r w:rsidR="002B31A3" w:rsidRPr="002B31A3">
        <w:t>2020</w:t>
      </w:r>
      <w:r w:rsidR="00FD749D">
        <w:t>,</w:t>
      </w:r>
      <w:r w:rsidR="002B31A3" w:rsidRPr="002B31A3">
        <w:t xml:space="preserve"> the IMF approved a</w:t>
      </w:r>
      <w:r w:rsidR="00802B4E">
        <w:t>n</w:t>
      </w:r>
      <w:r w:rsidR="00FD749D">
        <w:t xml:space="preserve"> 18</w:t>
      </w:r>
      <w:r w:rsidR="00802B4E">
        <w:noBreakHyphen/>
      </w:r>
      <w:r w:rsidR="00FD749D">
        <w:t xml:space="preserve">month </w:t>
      </w:r>
      <w:r w:rsidR="002B31A3">
        <w:t>SMP</w:t>
      </w:r>
      <w:r w:rsidR="00FD749D">
        <w:t xml:space="preserve"> that continues until mid</w:t>
      </w:r>
      <w:r w:rsidR="00802B4E">
        <w:noBreakHyphen/>
      </w:r>
      <w:r w:rsidR="00FD749D">
        <w:t>2021</w:t>
      </w:r>
      <w:r w:rsidR="002B31A3" w:rsidRPr="002B31A3">
        <w:t xml:space="preserve">. The SMP provides PNG with </w:t>
      </w:r>
      <w:r w:rsidR="002B31A3">
        <w:t>an</w:t>
      </w:r>
      <w:r w:rsidR="002B31A3" w:rsidRPr="002B31A3">
        <w:t xml:space="preserve"> opportunity to establish a track record of implement</w:t>
      </w:r>
      <w:r w:rsidR="00FB6851">
        <w:t>ing</w:t>
      </w:r>
      <w:r w:rsidR="002B31A3" w:rsidRPr="002B31A3">
        <w:t xml:space="preserve"> reforms, and </w:t>
      </w:r>
      <w:r w:rsidR="00272787">
        <w:t xml:space="preserve">can </w:t>
      </w:r>
      <w:r w:rsidR="002B31A3" w:rsidRPr="002B31A3">
        <w:t>also provide</w:t>
      </w:r>
      <w:r w:rsidR="00FB6851">
        <w:t xml:space="preserve"> a</w:t>
      </w:r>
      <w:r w:rsidR="002B31A3" w:rsidRPr="002B31A3">
        <w:t xml:space="preserve"> basis for a</w:t>
      </w:r>
      <w:r w:rsidR="00272787">
        <w:t xml:space="preserve"> future</w:t>
      </w:r>
      <w:r w:rsidR="00FB6851">
        <w:t xml:space="preserve"> IMF </w:t>
      </w:r>
      <w:r w:rsidR="002B31A3" w:rsidRPr="002B31A3">
        <w:t xml:space="preserve">financially-supported program. </w:t>
      </w:r>
      <w:r w:rsidR="00812455">
        <w:t xml:space="preserve">PNG’s reforms </w:t>
      </w:r>
      <w:r w:rsidR="00EB6F8B">
        <w:t xml:space="preserve">include fiscal consolidation, expansion of revenues, containing operating expenditure and reform of State-Owned Enterprises. </w:t>
      </w:r>
      <w:r w:rsidR="0070598B">
        <w:t>T</w:t>
      </w:r>
      <w:r w:rsidR="002B31A3" w:rsidRPr="002B31A3">
        <w:t xml:space="preserve">he reforms being undertaken by PNG are being supported with IMF </w:t>
      </w:r>
      <w:r w:rsidR="00FD749D">
        <w:t xml:space="preserve">technical advice in addition to </w:t>
      </w:r>
      <w:r w:rsidR="002B31A3" w:rsidRPr="00D864A0">
        <w:t>financi</w:t>
      </w:r>
      <w:r w:rsidR="00FB6851" w:rsidRPr="00D864A0">
        <w:t>al support</w:t>
      </w:r>
      <w:r w:rsidR="00272787">
        <w:t xml:space="preserve"> and technical assistance</w:t>
      </w:r>
      <w:r w:rsidR="00FB6851" w:rsidRPr="00D864A0">
        <w:t xml:space="preserve"> from the Australian G</w:t>
      </w:r>
      <w:r w:rsidR="002B31A3" w:rsidRPr="00D864A0">
        <w:t>overnment.</w:t>
      </w:r>
      <w:r w:rsidR="00812455">
        <w:t xml:space="preserve"> </w:t>
      </w:r>
    </w:p>
    <w:p w14:paraId="1B8ED3E3" w14:textId="77777777" w:rsidR="00FB6851" w:rsidRDefault="00FB6851" w:rsidP="002B31A3">
      <w:r w:rsidRPr="00DF144E">
        <w:t xml:space="preserve">In addition to the support that PNG is getting through the IMF SMP, the </w:t>
      </w:r>
      <w:r w:rsidR="001222E8" w:rsidRPr="00DF144E">
        <w:rPr>
          <w:iCs/>
          <w:lang w:val="en-NZ"/>
        </w:rPr>
        <w:t xml:space="preserve">New Zealand Government </w:t>
      </w:r>
      <w:r w:rsidR="00C43D65" w:rsidRPr="00DF144E">
        <w:rPr>
          <w:iCs/>
          <w:lang w:val="en-NZ"/>
        </w:rPr>
        <w:t>ha</w:t>
      </w:r>
      <w:r w:rsidR="001222E8" w:rsidRPr="00DF144E">
        <w:rPr>
          <w:iCs/>
          <w:lang w:val="en-NZ"/>
        </w:rPr>
        <w:t>s committed to provid</w:t>
      </w:r>
      <w:r w:rsidR="00BB2069" w:rsidRPr="00DF144E">
        <w:rPr>
          <w:iCs/>
          <w:lang w:val="en-NZ"/>
        </w:rPr>
        <w:t>e</w:t>
      </w:r>
      <w:r w:rsidR="001222E8" w:rsidRPr="00DF144E">
        <w:rPr>
          <w:iCs/>
          <w:lang w:val="en-NZ"/>
        </w:rPr>
        <w:t xml:space="preserve"> financial support to PNG’s reform agenda. New Zealand continues to explore options for providing grant funding to PNG’s Treasury</w:t>
      </w:r>
      <w:r w:rsidR="001222E8" w:rsidRPr="00DF144E">
        <w:t>.</w:t>
      </w:r>
      <w:r w:rsidR="00240455" w:rsidRPr="00DF144E">
        <w:t xml:space="preserve"> PNG has expressed a strong</w:t>
      </w:r>
      <w:r w:rsidR="00240455">
        <w:t xml:space="preserve"> </w:t>
      </w:r>
      <w:r w:rsidR="00374D4E">
        <w:t xml:space="preserve">interest in </w:t>
      </w:r>
      <w:r w:rsidR="00240455">
        <w:t>working with partners such as Australia, the Asia</w:t>
      </w:r>
      <w:r w:rsidR="00C43D65">
        <w:t>n</w:t>
      </w:r>
      <w:r w:rsidR="00240455">
        <w:t xml:space="preserve"> Development Bank (ADB) and the IMF in accessing credit, and is pursuing </w:t>
      </w:r>
      <w:r w:rsidR="0099647D">
        <w:t>discussions with the ADB and other trusted partners to help meet its financing needs.</w:t>
      </w:r>
    </w:p>
    <w:p w14:paraId="51635E31" w14:textId="77777777" w:rsidR="00CC759D" w:rsidRPr="002B31A3" w:rsidRDefault="00CC759D" w:rsidP="002B31A3">
      <w:r w:rsidRPr="002B31A3">
        <w:lastRenderedPageBreak/>
        <w:t>This Statement is tabled pursuant to the requirements of sections</w:t>
      </w:r>
      <w:r w:rsidR="00FB6851">
        <w:t> </w:t>
      </w:r>
      <w:r w:rsidRPr="002B31A3">
        <w:t>8D</w:t>
      </w:r>
      <w:r w:rsidR="002B31A3">
        <w:noBreakHyphen/>
      </w:r>
      <w:r w:rsidRPr="002B31A3">
        <w:t xml:space="preserve">8E of the IMA Act. The IMA Act requires the Treasurer </w:t>
      </w:r>
      <w:r w:rsidR="000457F0">
        <w:t xml:space="preserve">to </w:t>
      </w:r>
      <w:r w:rsidRPr="002B31A3">
        <w:t>table a Statement as soon as practicable after entering into such an agreement. The Statement should include</w:t>
      </w:r>
      <w:r w:rsidRPr="00CC759D">
        <w:t xml:space="preserve"> </w:t>
      </w:r>
      <w:r w:rsidRPr="002B31A3">
        <w:t xml:space="preserve">a description, in as much detail as practicable, of the nature and terms of the agreement; and the reasons why the agreement is in Australia’s national interest, having regard, in particular, to foreign policy, trade and economic interests.  </w:t>
      </w:r>
    </w:p>
    <w:p w14:paraId="6C215683" w14:textId="77777777" w:rsidR="00A64697" w:rsidRPr="00A64697" w:rsidRDefault="00A64697" w:rsidP="00607210">
      <w:pPr>
        <w:pStyle w:val="Heading3"/>
      </w:pPr>
      <w:r w:rsidRPr="009E178F">
        <w:t xml:space="preserve">National Interest Assessment </w:t>
      </w:r>
    </w:p>
    <w:p w14:paraId="5600E230" w14:textId="76529F9B" w:rsidR="00B96825" w:rsidRDefault="00B96825" w:rsidP="00B96825">
      <w:r>
        <w:t xml:space="preserve">This loan will provide PNG with financial relief and provide it space to undertake needed </w:t>
      </w:r>
      <w:r w:rsidR="00666BF1">
        <w:t xml:space="preserve">economic </w:t>
      </w:r>
      <w:r>
        <w:t>reforms</w:t>
      </w:r>
      <w:r w:rsidR="00666BF1">
        <w:t xml:space="preserve">. </w:t>
      </w:r>
      <w:r w:rsidR="00D864A0">
        <w:t xml:space="preserve">Australia has a unique history and relationship with PNG that has existed </w:t>
      </w:r>
      <w:r w:rsidR="00DB50EF">
        <w:t xml:space="preserve">since </w:t>
      </w:r>
      <w:r w:rsidR="00905088">
        <w:t xml:space="preserve">PNG’s </w:t>
      </w:r>
      <w:r w:rsidR="00DB50EF">
        <w:t>independence in 1975</w:t>
      </w:r>
      <w:r w:rsidR="00D864A0">
        <w:t xml:space="preserve">. </w:t>
      </w:r>
      <w:r w:rsidR="00D2771E">
        <w:t>PNG</w:t>
      </w:r>
      <w:r w:rsidR="00374D4E">
        <w:t xml:space="preserve"> is Australia’s closest neighbour, with just four kilometres separating the two countries at their nearest point.  </w:t>
      </w:r>
      <w:r w:rsidR="00D864A0">
        <w:t xml:space="preserve">As PNG’s closest partner in trade and investment, </w:t>
      </w:r>
      <w:r w:rsidR="002E0537">
        <w:t>development assistance</w:t>
      </w:r>
      <w:r w:rsidR="00D864A0">
        <w:t xml:space="preserve"> support and defence</w:t>
      </w:r>
      <w:r w:rsidR="00C43D65">
        <w:t>,</w:t>
      </w:r>
      <w:r w:rsidR="00D864A0">
        <w:t xml:space="preserve"> it is in Australia’s interests to have an economically </w:t>
      </w:r>
      <w:r w:rsidR="00374D4E">
        <w:t xml:space="preserve">stable </w:t>
      </w:r>
      <w:r w:rsidR="00D864A0">
        <w:t>partner</w:t>
      </w:r>
      <w:r w:rsidR="00374D4E">
        <w:t xml:space="preserve"> with sustainable fiscal management</w:t>
      </w:r>
      <w:r w:rsidR="00D864A0">
        <w:t>.</w:t>
      </w:r>
      <w:r w:rsidR="00601BD9">
        <w:t xml:space="preserve"> </w:t>
      </w:r>
    </w:p>
    <w:p w14:paraId="7AF23C5A" w14:textId="77777777" w:rsidR="00966780" w:rsidRDefault="00374D4E" w:rsidP="00966780">
      <w:r>
        <w:t>Without this, there is a risk that Australia would be</w:t>
      </w:r>
      <w:r w:rsidR="00966780">
        <w:t xml:space="preserve"> adversely affected by potential problems arising in PNG, including from issues related to public health, trans-national crime, and social unrest. An economically successful PNG w</w:t>
      </w:r>
      <w:r w:rsidR="00C43D65">
        <w:t>ould</w:t>
      </w:r>
      <w:r>
        <w:t xml:space="preserve"> also</w:t>
      </w:r>
      <w:r w:rsidR="00966780">
        <w:t xml:space="preserve"> be </w:t>
      </w:r>
      <w:proofErr w:type="spellStart"/>
      <w:r w:rsidR="00966780">
        <w:t>benefical</w:t>
      </w:r>
      <w:proofErr w:type="spellEnd"/>
      <w:r w:rsidR="00966780">
        <w:t xml:space="preserve"> for regional stability in the Pacific, and would create opportunities and reduce risks for Australian businesses and investments in PNG. </w:t>
      </w:r>
    </w:p>
    <w:p w14:paraId="3A023EA2" w14:textId="77777777" w:rsidR="0017577E" w:rsidRPr="00492F4D" w:rsidRDefault="0017577E" w:rsidP="00492F4D">
      <w:r w:rsidRPr="00492F4D">
        <w:t xml:space="preserve">Government relations </w:t>
      </w:r>
      <w:r w:rsidR="00D864A0">
        <w:t xml:space="preserve">between the two countries </w:t>
      </w:r>
      <w:r w:rsidRPr="00492F4D">
        <w:t>are underpinned by the</w:t>
      </w:r>
      <w:r w:rsidR="00492F4D">
        <w:t xml:space="preserve"> </w:t>
      </w:r>
      <w:hyperlink r:id="rId11" w:history="1">
        <w:r w:rsidRPr="00492F4D">
          <w:t>Comprehensive Strategic and Economic Partnership</w:t>
        </w:r>
      </w:hyperlink>
      <w:r w:rsidR="00492F4D">
        <w:t xml:space="preserve"> </w:t>
      </w:r>
      <w:r w:rsidRPr="00492F4D">
        <w:t>of 2020 and the</w:t>
      </w:r>
      <w:r w:rsidR="00492F4D">
        <w:t xml:space="preserve"> </w:t>
      </w:r>
      <w:hyperlink r:id="rId12" w:history="1">
        <w:r w:rsidRPr="00492F4D">
          <w:t>Joint Declaration for a New Papua New Guinea-Australia Partnership</w:t>
        </w:r>
      </w:hyperlink>
      <w:r w:rsidRPr="00492F4D">
        <w:t>, which is built on the</w:t>
      </w:r>
      <w:r w:rsidR="00492F4D">
        <w:t xml:space="preserve"> </w:t>
      </w:r>
      <w:hyperlink r:id="rId13" w:history="1">
        <w:r w:rsidRPr="00492F4D">
          <w:t>Joint Declaration of Principles</w:t>
        </w:r>
      </w:hyperlink>
      <w:r w:rsidR="00492F4D">
        <w:t xml:space="preserve"> </w:t>
      </w:r>
      <w:r w:rsidRPr="00492F4D">
        <w:t>of 1987 (revised in 1992).</w:t>
      </w:r>
      <w:r w:rsidR="0099472A">
        <w:t xml:space="preserve"> The </w:t>
      </w:r>
      <w:r w:rsidR="002E0537">
        <w:t xml:space="preserve">development assistance cooperation </w:t>
      </w:r>
      <w:r w:rsidR="0099472A">
        <w:t>program is underpinned by the Treaty on Development Cooperation (1999) and the PNG-Australia Partnership for Development (2008).</w:t>
      </w:r>
      <w:r w:rsidRPr="00492F4D">
        <w:t xml:space="preserve"> </w:t>
      </w:r>
      <w:r w:rsidR="006B4ADF">
        <w:t>Australian and PNG</w:t>
      </w:r>
      <w:r w:rsidRPr="00492F4D">
        <w:t xml:space="preserve"> leaders and ministers are in close and regular contact, including through an Annual Leaders' Dialogue and Ministerial Forum.</w:t>
      </w:r>
    </w:p>
    <w:p w14:paraId="0329A319" w14:textId="77777777" w:rsidR="0017577E" w:rsidRPr="00492F4D" w:rsidRDefault="0017577E" w:rsidP="00492F4D">
      <w:r w:rsidRPr="00492F4D">
        <w:t>Australia is PNG's largest trading and commercial partn</w:t>
      </w:r>
      <w:r w:rsidR="004428C2">
        <w:t xml:space="preserve">er, with bilateral trade worth </w:t>
      </w:r>
      <w:r w:rsidRPr="00492F4D">
        <w:t>$</w:t>
      </w:r>
      <w:r w:rsidR="00B15686">
        <w:t>7.5</w:t>
      </w:r>
      <w:r w:rsidRPr="00492F4D">
        <w:t xml:space="preserve"> billion in 2018</w:t>
      </w:r>
      <w:r w:rsidR="00B15686">
        <w:t>-19</w:t>
      </w:r>
      <w:r w:rsidRPr="00492F4D">
        <w:t xml:space="preserve">. Major Australian </w:t>
      </w:r>
      <w:r w:rsidRPr="0073588A">
        <w:t xml:space="preserve">exports to PNG are </w:t>
      </w:r>
      <w:r w:rsidR="00970DD6" w:rsidRPr="0073588A">
        <w:t>crude</w:t>
      </w:r>
      <w:r w:rsidRPr="0073588A">
        <w:t xml:space="preserve"> petroleum, meat, civil engineering equipment and parts, specialised machinery and parts and wheat. Major imports to Australia from PNG are gold, crude petroleum, silver and platinum.</w:t>
      </w:r>
    </w:p>
    <w:p w14:paraId="6F62AC2D" w14:textId="77777777" w:rsidR="0017577E" w:rsidRPr="00492F4D" w:rsidRDefault="0017577E" w:rsidP="00492F4D">
      <w:r w:rsidRPr="00492F4D">
        <w:t xml:space="preserve">Australian investment in PNG </w:t>
      </w:r>
      <w:r w:rsidR="00C4651B">
        <w:t>wa</w:t>
      </w:r>
      <w:r w:rsidRPr="00492F4D">
        <w:t xml:space="preserve">s worth $17 billion </w:t>
      </w:r>
      <w:r w:rsidR="00C4651B">
        <w:t xml:space="preserve">in </w:t>
      </w:r>
      <w:r w:rsidRPr="00492F4D">
        <w:t>2018. The resource sector has traditionally been a focus of this investment, particularly gold</w:t>
      </w:r>
      <w:r w:rsidR="0099472A">
        <w:t xml:space="preserve">, </w:t>
      </w:r>
      <w:r w:rsidRPr="00492F4D">
        <w:t>mining and oil</w:t>
      </w:r>
      <w:r w:rsidR="00C4651B">
        <w:t xml:space="preserve">, and </w:t>
      </w:r>
      <w:proofErr w:type="spellStart"/>
      <w:r w:rsidR="00C4651B">
        <w:t>l</w:t>
      </w:r>
      <w:r w:rsidR="0099472A">
        <w:t>iquified</w:t>
      </w:r>
      <w:proofErr w:type="spellEnd"/>
      <w:r w:rsidR="0099472A">
        <w:t xml:space="preserve"> </w:t>
      </w:r>
      <w:r w:rsidR="00C4651B">
        <w:t>n</w:t>
      </w:r>
      <w:r w:rsidR="0099472A">
        <w:t xml:space="preserve">atural </w:t>
      </w:r>
      <w:r w:rsidR="00C4651B">
        <w:t>g</w:t>
      </w:r>
      <w:r w:rsidR="0099472A">
        <w:t>as.</w:t>
      </w:r>
      <w:r w:rsidR="00C4651B">
        <w:t xml:space="preserve"> </w:t>
      </w:r>
      <w:r w:rsidRPr="00492F4D">
        <w:t>Australian investment has also been directed towards light manufacturing, infrastructure and service delivery.</w:t>
      </w:r>
      <w:r w:rsidR="000457F0">
        <w:t xml:space="preserve"> Over 4</w:t>
      </w:r>
      <w:r w:rsidR="00D46A6C">
        <w:t>,</w:t>
      </w:r>
      <w:r w:rsidR="000457F0">
        <w:t>000 Australian companies do business with PNG.</w:t>
      </w:r>
    </w:p>
    <w:p w14:paraId="37744019" w14:textId="77777777" w:rsidR="00492F4D" w:rsidRDefault="00492F4D" w:rsidP="00492F4D">
      <w:r w:rsidRPr="00492F4D">
        <w:t xml:space="preserve">However, PNG faces a number of challenges to its future prosperity including </w:t>
      </w:r>
      <w:r w:rsidR="00DB50EF">
        <w:t>under-funded</w:t>
      </w:r>
      <w:r w:rsidR="00DB50EF" w:rsidRPr="00492F4D">
        <w:t xml:space="preserve"> </w:t>
      </w:r>
      <w:r w:rsidRPr="00492F4D">
        <w:t>law and order</w:t>
      </w:r>
      <w:r w:rsidR="005234A3">
        <w:t xml:space="preserve"> agencies</w:t>
      </w:r>
      <w:r w:rsidRPr="00492F4D">
        <w:t xml:space="preserve">, </w:t>
      </w:r>
      <w:r w:rsidR="005234A3">
        <w:t xml:space="preserve">capacity </w:t>
      </w:r>
      <w:proofErr w:type="spellStart"/>
      <w:r w:rsidR="005234A3">
        <w:t>contraints</w:t>
      </w:r>
      <w:proofErr w:type="spellEnd"/>
      <w:r w:rsidR="005234A3">
        <w:t xml:space="preserve"> in the</w:t>
      </w:r>
      <w:r w:rsidR="005234A3" w:rsidRPr="00492F4D">
        <w:t xml:space="preserve"> </w:t>
      </w:r>
      <w:r w:rsidRPr="00492F4D">
        <w:t>public se</w:t>
      </w:r>
      <w:r w:rsidR="00AC4EFE">
        <w:t xml:space="preserve">rvice, lack of infrastructure, </w:t>
      </w:r>
      <w:r w:rsidR="00966780">
        <w:t xml:space="preserve">high </w:t>
      </w:r>
      <w:r w:rsidR="00A02F7F">
        <w:t xml:space="preserve">poverty, </w:t>
      </w:r>
      <w:r w:rsidR="003D5963">
        <w:t xml:space="preserve">income </w:t>
      </w:r>
      <w:r w:rsidRPr="00492F4D">
        <w:t>inequality, and a rapidly growing population. PNG also remains vulnerable to climate change and natural disasters, including earthquakes, volcanoes</w:t>
      </w:r>
      <w:r w:rsidR="005234A3">
        <w:t>, landslides</w:t>
      </w:r>
      <w:r w:rsidRPr="00492F4D">
        <w:t xml:space="preserve"> and tsunamis. </w:t>
      </w:r>
      <w:r>
        <w:t>Australia is a strong supporter of PNG</w:t>
      </w:r>
      <w:r w:rsidR="00A02F7F">
        <w:t xml:space="preserve"> – </w:t>
      </w:r>
      <w:r>
        <w:t xml:space="preserve">Australia is </w:t>
      </w:r>
      <w:r w:rsidRPr="00492F4D">
        <w:t>PNG</w:t>
      </w:r>
      <w:r w:rsidR="005234A3">
        <w:t>’s</w:t>
      </w:r>
      <w:r w:rsidRPr="00492F4D">
        <w:t xml:space="preserve"> </w:t>
      </w:r>
      <w:r>
        <w:t xml:space="preserve">largest </w:t>
      </w:r>
      <w:r w:rsidR="002E0537">
        <w:t xml:space="preserve">development assistance </w:t>
      </w:r>
      <w:r w:rsidR="00966780">
        <w:t>partner</w:t>
      </w:r>
      <w:r w:rsidR="00A02F7F">
        <w:t xml:space="preserve"> and </w:t>
      </w:r>
      <w:r>
        <w:t xml:space="preserve">PNG is also </w:t>
      </w:r>
      <w:r w:rsidRPr="00492F4D">
        <w:t xml:space="preserve">Australia’s biggest </w:t>
      </w:r>
      <w:r w:rsidR="002E0537" w:rsidRPr="002E0537">
        <w:t xml:space="preserve">development assistance </w:t>
      </w:r>
      <w:r w:rsidRPr="002E0537">
        <w:t>recipient</w:t>
      </w:r>
      <w:r w:rsidR="00A02F7F" w:rsidRPr="002E0537">
        <w:t xml:space="preserve">. </w:t>
      </w:r>
      <w:r w:rsidRPr="002E0537">
        <w:t xml:space="preserve">Australia </w:t>
      </w:r>
      <w:r w:rsidR="00C4651B" w:rsidRPr="002E0537">
        <w:t xml:space="preserve">will </w:t>
      </w:r>
      <w:r w:rsidRPr="002E0537">
        <w:t>provide</w:t>
      </w:r>
      <w:r w:rsidR="00C4651B" w:rsidRPr="002E0537">
        <w:t xml:space="preserve"> an estimated </w:t>
      </w:r>
      <w:r w:rsidRPr="002E0537">
        <w:t>$</w:t>
      </w:r>
      <w:r w:rsidR="002E0537" w:rsidRPr="002E0537">
        <w:t>491.1 </w:t>
      </w:r>
      <w:r w:rsidRPr="002E0537">
        <w:t>million in aid to PNG in 20</w:t>
      </w:r>
      <w:r w:rsidR="002E0537" w:rsidRPr="002E0537">
        <w:t>20</w:t>
      </w:r>
      <w:r w:rsidR="002E0537" w:rsidRPr="002E0537">
        <w:noBreakHyphen/>
        <w:t>2</w:t>
      </w:r>
      <w:r w:rsidRPr="002E0537">
        <w:t xml:space="preserve">1. The </w:t>
      </w:r>
      <w:r w:rsidR="00272787">
        <w:t xml:space="preserve">development </w:t>
      </w:r>
      <w:r w:rsidRPr="002E0537">
        <w:t xml:space="preserve">challenges facing PNG are being exacerbated by COVID-19.  </w:t>
      </w:r>
    </w:p>
    <w:p w14:paraId="01CBD255" w14:textId="77777777" w:rsidR="00B32277" w:rsidRPr="0052654E" w:rsidRDefault="003D5963" w:rsidP="00607210">
      <w:pPr>
        <w:pStyle w:val="Heading3"/>
      </w:pPr>
      <w:r>
        <w:br w:type="column"/>
      </w:r>
      <w:r w:rsidR="00B32277" w:rsidRPr="002708F6">
        <w:lastRenderedPageBreak/>
        <w:t>Nature and terms of the Loan Agreement</w:t>
      </w:r>
      <w:r w:rsidR="00B32277" w:rsidRPr="009E178F">
        <w:t xml:space="preserve"> </w:t>
      </w:r>
    </w:p>
    <w:p w14:paraId="0350B2CA" w14:textId="77777777" w:rsidR="005726C5" w:rsidRPr="00D45DE3" w:rsidRDefault="00B32277" w:rsidP="00B32277">
      <w:pPr>
        <w:rPr>
          <w:rFonts w:cstheme="minorHAnsi"/>
        </w:rPr>
      </w:pPr>
      <w:r w:rsidRPr="002708F6">
        <w:rPr>
          <w:rFonts w:cstheme="minorHAnsi"/>
          <w:color w:val="000000"/>
        </w:rPr>
        <w:t xml:space="preserve">On </w:t>
      </w:r>
      <w:r w:rsidR="00490D2B" w:rsidRPr="002708F6">
        <w:rPr>
          <w:rFonts w:cstheme="minorHAnsi"/>
          <w:color w:val="000000"/>
        </w:rPr>
        <w:t>22</w:t>
      </w:r>
      <w:r w:rsidRPr="002708F6">
        <w:rPr>
          <w:rFonts w:cstheme="minorHAnsi"/>
          <w:color w:val="000000"/>
        </w:rPr>
        <w:t xml:space="preserve"> </w:t>
      </w:r>
      <w:r w:rsidR="00C4651B" w:rsidRPr="002708F6">
        <w:rPr>
          <w:rFonts w:cstheme="minorHAnsi"/>
          <w:color w:val="000000"/>
        </w:rPr>
        <w:t>Novem</w:t>
      </w:r>
      <w:r w:rsidRPr="002708F6">
        <w:rPr>
          <w:rFonts w:cstheme="minorHAnsi"/>
          <w:color w:val="000000"/>
        </w:rPr>
        <w:t xml:space="preserve">ber 2020, </w:t>
      </w:r>
      <w:r w:rsidR="00F34DB9" w:rsidRPr="002708F6">
        <w:rPr>
          <w:rFonts w:cstheme="minorHAnsi"/>
          <w:color w:val="000000"/>
        </w:rPr>
        <w:t>Australia and PNG entered into a 15</w:t>
      </w:r>
      <w:r w:rsidR="00F34DB9" w:rsidRPr="002708F6">
        <w:rPr>
          <w:rFonts w:cstheme="minorHAnsi"/>
          <w:color w:val="000000"/>
        </w:rPr>
        <w:noBreakHyphen/>
        <w:t>year loan</w:t>
      </w:r>
      <w:r w:rsidR="0052654E" w:rsidRPr="002708F6">
        <w:rPr>
          <w:rFonts w:cstheme="minorHAnsi"/>
          <w:color w:val="000000"/>
        </w:rPr>
        <w:t xml:space="preserve">. </w:t>
      </w:r>
      <w:r w:rsidR="005726C5" w:rsidRPr="002708F6">
        <w:rPr>
          <w:rFonts w:cstheme="minorHAnsi"/>
        </w:rPr>
        <w:t xml:space="preserve">The loan is being provided in response to a request from the PNG Prime Minister, Mr James </w:t>
      </w:r>
      <w:proofErr w:type="spellStart"/>
      <w:r w:rsidR="005726C5" w:rsidRPr="002708F6">
        <w:rPr>
          <w:rFonts w:cstheme="minorHAnsi"/>
        </w:rPr>
        <w:t>Marape</w:t>
      </w:r>
      <w:proofErr w:type="spellEnd"/>
      <w:r w:rsidR="005726C5" w:rsidRPr="002708F6">
        <w:rPr>
          <w:rFonts w:cstheme="minorHAnsi"/>
        </w:rPr>
        <w:t xml:space="preserve">.  </w:t>
      </w:r>
    </w:p>
    <w:p w14:paraId="49E7B3CB" w14:textId="77777777" w:rsidR="005726C5" w:rsidRPr="00993192" w:rsidRDefault="005726C5" w:rsidP="00993192">
      <w:r w:rsidRPr="00993192">
        <w:t xml:space="preserve">The total loan comprises a </w:t>
      </w:r>
      <w:r w:rsidR="00490D2B">
        <w:t>$140</w:t>
      </w:r>
      <w:r w:rsidRPr="00993192">
        <w:t> million Australian dollar loan and a refinancing of a US$300 million loan that PNG already ha</w:t>
      </w:r>
      <w:r w:rsidR="00CA0D31" w:rsidRPr="00993192">
        <w:t>d</w:t>
      </w:r>
      <w:r w:rsidRPr="00993192">
        <w:t xml:space="preserve"> with </w:t>
      </w:r>
      <w:r w:rsidR="00D45DE3" w:rsidRPr="00993192">
        <w:t>EFA</w:t>
      </w:r>
      <w:r w:rsidR="00CA0D31" w:rsidRPr="00993192">
        <w:t xml:space="preserve">. The US$300 million loan also had associated </w:t>
      </w:r>
      <w:r w:rsidR="00CA0D31" w:rsidRPr="0050115E">
        <w:t xml:space="preserve">deferred interest repayments of </w:t>
      </w:r>
      <w:r w:rsidR="007F780A" w:rsidRPr="0050115E">
        <w:t>US$5.29</w:t>
      </w:r>
      <w:r w:rsidR="00CA0D31" w:rsidRPr="0050115E">
        <w:t> million. The deferred interest payments were the result of</w:t>
      </w:r>
      <w:r w:rsidR="00CA0D31" w:rsidRPr="00993192">
        <w:t xml:space="preserve"> PNG accepting </w:t>
      </w:r>
      <w:r w:rsidR="00B65E73" w:rsidRPr="00993192">
        <w:t>EFA’s</w:t>
      </w:r>
      <w:r w:rsidR="00CA0D31" w:rsidRPr="00993192">
        <w:t xml:space="preserve"> offer of a temporary suspension of loan repayments</w:t>
      </w:r>
      <w:r w:rsidR="004428C2" w:rsidRPr="00993192">
        <w:t xml:space="preserve">. </w:t>
      </w:r>
      <w:r w:rsidR="008F0867" w:rsidRPr="00993192">
        <w:t>This offer</w:t>
      </w:r>
      <w:r w:rsidR="00CA0D31" w:rsidRPr="00993192">
        <w:t xml:space="preserve"> follow</w:t>
      </w:r>
      <w:r w:rsidR="008F0867" w:rsidRPr="00993192">
        <w:t>ed</w:t>
      </w:r>
      <w:r w:rsidR="00CA0D31" w:rsidRPr="00993192">
        <w:t xml:space="preserve"> </w:t>
      </w:r>
      <w:r w:rsidR="008F0867" w:rsidRPr="00993192">
        <w:t xml:space="preserve">Australia’s participation in </w:t>
      </w:r>
      <w:r w:rsidR="00CA0D31" w:rsidRPr="00993192">
        <w:t xml:space="preserve">the G20 </w:t>
      </w:r>
      <w:r w:rsidR="00993192" w:rsidRPr="00993192">
        <w:t>decision</w:t>
      </w:r>
      <w:r w:rsidR="00B65E73" w:rsidRPr="00993192">
        <w:t xml:space="preserve"> that its </w:t>
      </w:r>
      <w:r w:rsidR="00CA0D31" w:rsidRPr="00993192">
        <w:t>members</w:t>
      </w:r>
      <w:r w:rsidR="00B65E73" w:rsidRPr="00993192">
        <w:t xml:space="preserve"> </w:t>
      </w:r>
      <w:r w:rsidR="00D45DE3" w:rsidRPr="00993192">
        <w:t xml:space="preserve">suspend the repayment of loan principal and interest from 1 May 2020 for members’ loans to developing countries. </w:t>
      </w:r>
    </w:p>
    <w:p w14:paraId="58E95D5D" w14:textId="77777777" w:rsidR="001F6860" w:rsidRPr="00993192" w:rsidRDefault="001F6860" w:rsidP="00993192">
      <w:r w:rsidRPr="00993192">
        <w:t>The $1</w:t>
      </w:r>
      <w:r w:rsidR="00490D2B">
        <w:t>4</w:t>
      </w:r>
      <w:r w:rsidRPr="00993192">
        <w:t xml:space="preserve">0 million component of the loan </w:t>
      </w:r>
      <w:r w:rsidR="004A2BAD">
        <w:t>ha</w:t>
      </w:r>
      <w:r w:rsidRPr="00993192">
        <w:t>s be</w:t>
      </w:r>
      <w:r w:rsidR="004A2BAD">
        <w:t>en</w:t>
      </w:r>
      <w:r w:rsidRPr="00993192">
        <w:t xml:space="preserve"> drawn</w:t>
      </w:r>
      <w:r w:rsidR="008F0867" w:rsidRPr="00993192">
        <w:t xml:space="preserve"> </w:t>
      </w:r>
      <w:r w:rsidRPr="00993192">
        <w:t xml:space="preserve">down by PNG. </w:t>
      </w:r>
      <w:r w:rsidR="001A2247" w:rsidRPr="00993192">
        <w:t xml:space="preserve">The US$300 million </w:t>
      </w:r>
      <w:r w:rsidR="001A2247" w:rsidRPr="0050115E">
        <w:t xml:space="preserve">plus approximately US$5.29 million deferred interest component of the loan </w:t>
      </w:r>
      <w:r w:rsidR="003D5963">
        <w:t xml:space="preserve">has been </w:t>
      </w:r>
      <w:r w:rsidR="001A2247" w:rsidRPr="0050115E">
        <w:t>paid directly by</w:t>
      </w:r>
      <w:r w:rsidR="001A2247" w:rsidRPr="00993192">
        <w:t xml:space="preserve"> the Australian Government to EFA to extinguish PNG’s loan with EFA.  </w:t>
      </w:r>
    </w:p>
    <w:p w14:paraId="0BAF9D31" w14:textId="77777777" w:rsidR="00707F5A" w:rsidRPr="00993192" w:rsidRDefault="00625D60" w:rsidP="00707F5A">
      <w:r w:rsidRPr="00993192">
        <w:t xml:space="preserve">The base interest rate of the loan is set at the 10-year Australian Government </w:t>
      </w:r>
      <w:r w:rsidR="001F6860" w:rsidRPr="00993192">
        <w:t>b</w:t>
      </w:r>
      <w:r w:rsidRPr="00993192">
        <w:t xml:space="preserve">ond rate as at the date </w:t>
      </w:r>
      <w:r w:rsidR="001F6860" w:rsidRPr="00993192">
        <w:t>before</w:t>
      </w:r>
      <w:r w:rsidRPr="00993192">
        <w:t xml:space="preserve"> </w:t>
      </w:r>
      <w:r w:rsidR="001F6860" w:rsidRPr="00993192">
        <w:t xml:space="preserve">PNG’s </w:t>
      </w:r>
      <w:r w:rsidRPr="00993192">
        <w:t xml:space="preserve">drawdown </w:t>
      </w:r>
      <w:r w:rsidR="001F6860" w:rsidRPr="00993192">
        <w:t>of the loan</w:t>
      </w:r>
      <w:r w:rsidR="00BB2069">
        <w:t>, which was 0.89 per cent</w:t>
      </w:r>
      <w:r w:rsidRPr="00993192">
        <w:t>. This rate</w:t>
      </w:r>
      <w:r w:rsidR="006278B6" w:rsidRPr="00993192">
        <w:t>, along with the rates of other Australian Government</w:t>
      </w:r>
      <w:r w:rsidRPr="00993192">
        <w:t xml:space="preserve"> </w:t>
      </w:r>
      <w:r w:rsidR="006278B6" w:rsidRPr="00993192">
        <w:t>Securities (AGS)</w:t>
      </w:r>
      <w:r w:rsidR="001D6B3C">
        <w:t>,</w:t>
      </w:r>
      <w:r w:rsidR="006278B6" w:rsidRPr="00993192">
        <w:t xml:space="preserve"> </w:t>
      </w:r>
      <w:r w:rsidRPr="00993192">
        <w:t xml:space="preserve">is published on the Reserve Bank of Australia website. An additional 0.5 per cent margin is added to the base interest rate to cover administrative costs associated with the loan. </w:t>
      </w:r>
      <w:r w:rsidR="00F34DB9">
        <w:t>R</w:t>
      </w:r>
      <w:r w:rsidRPr="00993192">
        <w:t>epayments of the loan principal and interest are</w:t>
      </w:r>
      <w:r w:rsidR="007F780A">
        <w:t xml:space="preserve"> six monthly</w:t>
      </w:r>
      <w:r w:rsidR="00966780">
        <w:t>.</w:t>
      </w:r>
      <w:r w:rsidR="000457F0">
        <w:t xml:space="preserve"> The loan is designed to ensure that it can be provided to PNG at no cost to Australian taxpayers.</w:t>
      </w:r>
    </w:p>
    <w:p w14:paraId="6B2E238F" w14:textId="77777777" w:rsidR="00625D60" w:rsidRPr="00993192" w:rsidRDefault="00625D60" w:rsidP="00993192">
      <w:r w:rsidRPr="00993192">
        <w:t xml:space="preserve">The 10-year Australian Government bond rate is a globally relevant benchmark indicator </w:t>
      </w:r>
      <w:r w:rsidR="006278B6" w:rsidRPr="00993192">
        <w:t>that</w:t>
      </w:r>
      <w:r w:rsidRPr="00993192">
        <w:t xml:space="preserve"> the Australian Office of Financial Management </w:t>
      </w:r>
      <w:r w:rsidR="006278B6" w:rsidRPr="00993192">
        <w:t>use</w:t>
      </w:r>
      <w:r w:rsidR="007F780A">
        <w:t>s</w:t>
      </w:r>
      <w:r w:rsidR="006278B6" w:rsidRPr="00993192">
        <w:t xml:space="preserve"> to </w:t>
      </w:r>
      <w:r w:rsidRPr="00993192">
        <w:t>monitor the cost of the Government’s debt portfolio. It also represents a highly liquid part of the AGS yield curve. It is a simple and transparent option for approximating Australia’s cost of borrowing, and avoids the administrative burden of periodically resetting the interest rate as would be the case for a variable rate.</w:t>
      </w:r>
    </w:p>
    <w:p w14:paraId="64171F15" w14:textId="77777777" w:rsidR="00625D60" w:rsidRDefault="00B77C96" w:rsidP="00993192">
      <w:r w:rsidRPr="00993192">
        <w:t>Australia has an option to review t</w:t>
      </w:r>
      <w:r w:rsidR="00625D60" w:rsidRPr="00993192">
        <w:t xml:space="preserve">he </w:t>
      </w:r>
      <w:r w:rsidR="006278B6" w:rsidRPr="00993192">
        <w:t xml:space="preserve">loan’s </w:t>
      </w:r>
      <w:r w:rsidR="00625D60" w:rsidRPr="00993192">
        <w:t xml:space="preserve">interest rate 10 years after drawdown, at which time the rate can be </w:t>
      </w:r>
      <w:r w:rsidRPr="00993192">
        <w:t>amended</w:t>
      </w:r>
      <w:r w:rsidR="00625D60" w:rsidRPr="00993192">
        <w:t xml:space="preserve"> if it no longer aligns with the Australian Government’s cost of borrowing. </w:t>
      </w:r>
    </w:p>
    <w:p w14:paraId="66104577" w14:textId="77777777" w:rsidR="008C2FA0" w:rsidRPr="00993192" w:rsidRDefault="008C2FA0"/>
    <w:sectPr w:rsidR="008C2FA0" w:rsidRPr="00993192" w:rsidSect="00695994">
      <w:footerReference w:type="default" r:id="rId14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6BFE3" w14:textId="77777777" w:rsidR="00A37750" w:rsidRDefault="00A37750" w:rsidP="00695994">
      <w:pPr>
        <w:spacing w:after="0" w:line="240" w:lineRule="auto"/>
      </w:pPr>
      <w:r>
        <w:separator/>
      </w:r>
    </w:p>
  </w:endnote>
  <w:endnote w:type="continuationSeparator" w:id="0">
    <w:p w14:paraId="5B0968C4" w14:textId="77777777" w:rsidR="00A37750" w:rsidRDefault="00A37750" w:rsidP="00695994">
      <w:pPr>
        <w:spacing w:after="0" w:line="240" w:lineRule="auto"/>
      </w:pPr>
      <w:r>
        <w:continuationSeparator/>
      </w:r>
    </w:p>
  </w:endnote>
  <w:endnote w:type="continuationNotice" w:id="1">
    <w:p w14:paraId="4253712D" w14:textId="77777777" w:rsidR="00A37750" w:rsidRDefault="00A377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186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344E4A" w14:textId="77777777" w:rsidR="00F047B3" w:rsidRDefault="00F047B3" w:rsidP="006959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831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050EA9" w14:textId="7BD1A18D" w:rsidR="00F047B3" w:rsidRDefault="00F047B3" w:rsidP="006959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A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09DD0" w14:textId="77777777" w:rsidR="00A37750" w:rsidRDefault="00A37750" w:rsidP="00695994">
      <w:pPr>
        <w:spacing w:after="0" w:line="240" w:lineRule="auto"/>
      </w:pPr>
      <w:r>
        <w:separator/>
      </w:r>
    </w:p>
  </w:footnote>
  <w:footnote w:type="continuationSeparator" w:id="0">
    <w:p w14:paraId="16E22763" w14:textId="77777777" w:rsidR="00A37750" w:rsidRDefault="00A37750" w:rsidP="00695994">
      <w:pPr>
        <w:spacing w:after="0" w:line="240" w:lineRule="auto"/>
      </w:pPr>
      <w:r>
        <w:continuationSeparator/>
      </w:r>
    </w:p>
  </w:footnote>
  <w:footnote w:type="continuationNotice" w:id="1">
    <w:p w14:paraId="14D28211" w14:textId="77777777" w:rsidR="00A37750" w:rsidRDefault="00A3775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91"/>
    <w:rsid w:val="00031737"/>
    <w:rsid w:val="000457F0"/>
    <w:rsid w:val="00053A2A"/>
    <w:rsid w:val="000F19D9"/>
    <w:rsid w:val="001222E8"/>
    <w:rsid w:val="0017577E"/>
    <w:rsid w:val="001842F5"/>
    <w:rsid w:val="001A2247"/>
    <w:rsid w:val="001D6B3C"/>
    <w:rsid w:val="001F0B06"/>
    <w:rsid w:val="001F6860"/>
    <w:rsid w:val="00240455"/>
    <w:rsid w:val="002708F6"/>
    <w:rsid w:val="00272787"/>
    <w:rsid w:val="002919FE"/>
    <w:rsid w:val="00294580"/>
    <w:rsid w:val="002A5DAB"/>
    <w:rsid w:val="002B31A3"/>
    <w:rsid w:val="002C6406"/>
    <w:rsid w:val="002E0537"/>
    <w:rsid w:val="002E6E8C"/>
    <w:rsid w:val="002F3665"/>
    <w:rsid w:val="003068C3"/>
    <w:rsid w:val="003247B4"/>
    <w:rsid w:val="00326D8F"/>
    <w:rsid w:val="00345271"/>
    <w:rsid w:val="00350463"/>
    <w:rsid w:val="00350589"/>
    <w:rsid w:val="00372A99"/>
    <w:rsid w:val="00374D4E"/>
    <w:rsid w:val="003860BA"/>
    <w:rsid w:val="003B59E2"/>
    <w:rsid w:val="003C31EE"/>
    <w:rsid w:val="003D5963"/>
    <w:rsid w:val="004428C2"/>
    <w:rsid w:val="0046039E"/>
    <w:rsid w:val="00490D2B"/>
    <w:rsid w:val="00492F4D"/>
    <w:rsid w:val="004A0188"/>
    <w:rsid w:val="004A2BAD"/>
    <w:rsid w:val="0050115E"/>
    <w:rsid w:val="005113F3"/>
    <w:rsid w:val="005234A3"/>
    <w:rsid w:val="0052654E"/>
    <w:rsid w:val="00530C0D"/>
    <w:rsid w:val="0055244D"/>
    <w:rsid w:val="00566327"/>
    <w:rsid w:val="005726C5"/>
    <w:rsid w:val="005E7D6B"/>
    <w:rsid w:val="005F3045"/>
    <w:rsid w:val="005F3512"/>
    <w:rsid w:val="00601BD9"/>
    <w:rsid w:val="00607210"/>
    <w:rsid w:val="00625D60"/>
    <w:rsid w:val="006278B6"/>
    <w:rsid w:val="00666BF1"/>
    <w:rsid w:val="00695994"/>
    <w:rsid w:val="006B4ADF"/>
    <w:rsid w:val="006B4CCC"/>
    <w:rsid w:val="006E3D97"/>
    <w:rsid w:val="006F4C15"/>
    <w:rsid w:val="0070598B"/>
    <w:rsid w:val="00707F5A"/>
    <w:rsid w:val="00723ABB"/>
    <w:rsid w:val="0073588A"/>
    <w:rsid w:val="0076516C"/>
    <w:rsid w:val="007B273E"/>
    <w:rsid w:val="007F780A"/>
    <w:rsid w:val="00802B4E"/>
    <w:rsid w:val="00812455"/>
    <w:rsid w:val="008169D7"/>
    <w:rsid w:val="00845EC3"/>
    <w:rsid w:val="008B7E4D"/>
    <w:rsid w:val="008C2FA0"/>
    <w:rsid w:val="008D1721"/>
    <w:rsid w:val="008F024A"/>
    <w:rsid w:val="008F0867"/>
    <w:rsid w:val="0090383B"/>
    <w:rsid w:val="00905088"/>
    <w:rsid w:val="00941B5A"/>
    <w:rsid w:val="00966780"/>
    <w:rsid w:val="00970DD6"/>
    <w:rsid w:val="00970DEE"/>
    <w:rsid w:val="00993192"/>
    <w:rsid w:val="0099472A"/>
    <w:rsid w:val="0099647D"/>
    <w:rsid w:val="009A785E"/>
    <w:rsid w:val="009D2177"/>
    <w:rsid w:val="009F5651"/>
    <w:rsid w:val="00A02F7F"/>
    <w:rsid w:val="00A15761"/>
    <w:rsid w:val="00A23275"/>
    <w:rsid w:val="00A37750"/>
    <w:rsid w:val="00A578C2"/>
    <w:rsid w:val="00A64697"/>
    <w:rsid w:val="00A709DA"/>
    <w:rsid w:val="00A74E24"/>
    <w:rsid w:val="00AC4EFE"/>
    <w:rsid w:val="00AE68A6"/>
    <w:rsid w:val="00B15686"/>
    <w:rsid w:val="00B32277"/>
    <w:rsid w:val="00B5064F"/>
    <w:rsid w:val="00B557EE"/>
    <w:rsid w:val="00B65E73"/>
    <w:rsid w:val="00B77C96"/>
    <w:rsid w:val="00B94A50"/>
    <w:rsid w:val="00B96825"/>
    <w:rsid w:val="00BB2069"/>
    <w:rsid w:val="00BC49FD"/>
    <w:rsid w:val="00BD7E79"/>
    <w:rsid w:val="00BF21F8"/>
    <w:rsid w:val="00C312AD"/>
    <w:rsid w:val="00C32BA9"/>
    <w:rsid w:val="00C43D65"/>
    <w:rsid w:val="00C4651B"/>
    <w:rsid w:val="00C94395"/>
    <w:rsid w:val="00CA0D31"/>
    <w:rsid w:val="00CA261B"/>
    <w:rsid w:val="00CC759D"/>
    <w:rsid w:val="00CE4436"/>
    <w:rsid w:val="00CF0CE2"/>
    <w:rsid w:val="00D2771E"/>
    <w:rsid w:val="00D45DE3"/>
    <w:rsid w:val="00D46A6C"/>
    <w:rsid w:val="00D72DBB"/>
    <w:rsid w:val="00D85529"/>
    <w:rsid w:val="00D864A0"/>
    <w:rsid w:val="00DB50EF"/>
    <w:rsid w:val="00DD0876"/>
    <w:rsid w:val="00DE6F91"/>
    <w:rsid w:val="00DF144E"/>
    <w:rsid w:val="00E14E64"/>
    <w:rsid w:val="00E150AD"/>
    <w:rsid w:val="00E23ECE"/>
    <w:rsid w:val="00E53DA7"/>
    <w:rsid w:val="00E579D1"/>
    <w:rsid w:val="00E6243B"/>
    <w:rsid w:val="00EB6F8B"/>
    <w:rsid w:val="00EC1159"/>
    <w:rsid w:val="00F047B3"/>
    <w:rsid w:val="00F34DB9"/>
    <w:rsid w:val="00F40EFA"/>
    <w:rsid w:val="00F8777A"/>
    <w:rsid w:val="00FB6851"/>
    <w:rsid w:val="00FD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5EFE1"/>
  <w15:chartTrackingRefBased/>
  <w15:docId w15:val="{564B1EC2-D2A3-443F-B8AD-C642A0DD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210"/>
    <w:pPr>
      <w:jc w:val="center"/>
      <w:outlineLvl w:val="0"/>
    </w:pPr>
    <w:rPr>
      <w:rFonts w:ascii="Verdana" w:hAnsi="Verdana" w:cs="Verdana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7210"/>
    <w:pPr>
      <w:autoSpaceDE w:val="0"/>
      <w:autoSpaceDN w:val="0"/>
      <w:adjustRightInd w:val="0"/>
      <w:spacing w:before="120" w:after="120" w:line="240" w:lineRule="auto"/>
      <w:jc w:val="center"/>
      <w:outlineLvl w:val="1"/>
    </w:pPr>
    <w:rPr>
      <w:rFonts w:ascii="Verdana" w:hAnsi="Verdana" w:cs="Verdana"/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7210"/>
    <w:pPr>
      <w:autoSpaceDE w:val="0"/>
      <w:autoSpaceDN w:val="0"/>
      <w:adjustRightInd w:val="0"/>
      <w:spacing w:before="120" w:line="240" w:lineRule="auto"/>
      <w:outlineLvl w:val="2"/>
    </w:pPr>
    <w:rPr>
      <w:rFonts w:ascii="Verdana" w:hAnsi="Verdana" w:cs="Verdana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10"/>
    <w:rPr>
      <w:rFonts w:ascii="Verdana" w:hAnsi="Verdana" w:cs="Verdana"/>
      <w:b/>
      <w:bCs/>
      <w:color w:val="000000"/>
    </w:rPr>
  </w:style>
  <w:style w:type="paragraph" w:customStyle="1" w:styleId="Default">
    <w:name w:val="Default"/>
    <w:rsid w:val="00A157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757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994"/>
  </w:style>
  <w:style w:type="paragraph" w:styleId="Footer">
    <w:name w:val="footer"/>
    <w:basedOn w:val="Normal"/>
    <w:link w:val="FooterChar"/>
    <w:uiPriority w:val="99"/>
    <w:unhideWhenUsed/>
    <w:rsid w:val="00695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994"/>
  </w:style>
  <w:style w:type="character" w:styleId="CommentReference">
    <w:name w:val="annotation reference"/>
    <w:basedOn w:val="DefaultParagraphFont"/>
    <w:uiPriority w:val="99"/>
    <w:semiHidden/>
    <w:unhideWhenUsed/>
    <w:rsid w:val="00FD7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4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9D"/>
    <w:rPr>
      <w:rFonts w:ascii="Segoe UI" w:hAnsi="Segoe UI" w:cs="Segoe UI"/>
      <w:sz w:val="18"/>
      <w:szCs w:val="18"/>
    </w:rPr>
  </w:style>
  <w:style w:type="paragraph" w:styleId="Title">
    <w:name w:val="Title"/>
    <w:basedOn w:val="Default"/>
    <w:next w:val="Normal"/>
    <w:link w:val="TitleChar"/>
    <w:uiPriority w:val="10"/>
    <w:qFormat/>
    <w:rsid w:val="00607210"/>
    <w:pPr>
      <w:spacing w:after="200"/>
      <w:jc w:val="center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07210"/>
    <w:rPr>
      <w:rFonts w:ascii="Calibri" w:hAnsi="Calibri" w:cs="Calibri"/>
      <w:color w:val="000000"/>
      <w:sz w:val="36"/>
      <w:szCs w:val="36"/>
    </w:rPr>
  </w:style>
  <w:style w:type="paragraph" w:styleId="Subtitle">
    <w:name w:val="Subtitle"/>
    <w:basedOn w:val="Default"/>
    <w:next w:val="Normal"/>
    <w:link w:val="SubtitleChar"/>
    <w:uiPriority w:val="11"/>
    <w:qFormat/>
    <w:rsid w:val="00607210"/>
    <w:pPr>
      <w:spacing w:after="20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07210"/>
    <w:rPr>
      <w:rFonts w:ascii="Calibri" w:hAnsi="Calibri" w:cs="Calibri"/>
      <w:color w:val="00000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07210"/>
    <w:rPr>
      <w:rFonts w:ascii="Verdana" w:hAnsi="Verdana" w:cs="Verdana"/>
      <w:b/>
      <w:b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607210"/>
    <w:rPr>
      <w:rFonts w:ascii="Verdana" w:hAnsi="Verdana" w:cs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1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7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32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97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52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439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fat.gov.au/geo/papua-new-guinea/Pages/joint-declaration-of-principles-guiding-relations-between-australia-and-papua-new-guinea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dfat.gov.au/geo/papua-new-guinea/Pages/joint-declaration-for-a-new-papua-new-guinea-australia-partnersh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fat.gov.au/geo/papua-new-guinea/papua-new-guinea-australia-comprehensive-strategic-and-economic-partnershi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C0F2B33-D3C2-4619-9D48-BC1ED10B3D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8175A5BEC4C3449A098AAEDB4C11699" ma:contentTypeVersion="" ma:contentTypeDescription="PDMS Document Site Content Type" ma:contentTypeScope="" ma:versionID="e0a8cc3efec2fcf158d479b2ab829286">
  <xsd:schema xmlns:xsd="http://www.w3.org/2001/XMLSchema" xmlns:xs="http://www.w3.org/2001/XMLSchema" xmlns:p="http://schemas.microsoft.com/office/2006/metadata/properties" xmlns:ns2="6C0F2B33-D3C2-4619-9D48-BC1ED10B3D43" targetNamespace="http://schemas.microsoft.com/office/2006/metadata/properties" ma:root="true" ma:fieldsID="5b4aef4ec16c752d2c9e32b84031375e" ns2:_="">
    <xsd:import namespace="6C0F2B33-D3C2-4619-9D48-BC1ED10B3D4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F2B33-D3C2-4619-9D48-BC1ED10B3D4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BD4D9-467D-40D8-92BB-6018469F0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DA979-7D75-4AD9-B29A-FDD169CD5C3A}">
  <ds:schemaRefs>
    <ds:schemaRef ds:uri="http://purl.org/dc/elements/1.1/"/>
    <ds:schemaRef ds:uri="http://schemas.microsoft.com/office/2006/metadata/properties"/>
    <ds:schemaRef ds:uri="6C0F2B33-D3C2-4619-9D48-BC1ED10B3D4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F187B3-A61A-4E89-A8A2-245717BDE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F2B33-D3C2-4619-9D48-BC1ED10B3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1415</Words>
  <Characters>7752</Characters>
  <Application>Microsoft Office Word</Application>
  <DocSecurity>0</DocSecurity>
  <Lines>115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Loan Agreement between the Commonwealth of Australia and the Independent State of Papua New Guinea</vt:lpstr>
    </vt:vector>
  </TitlesOfParts>
  <Company>The Department of the Treasury</Company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 Agreement between the Commonwealth of Australia and the Independent State of Papua New Guinea</dc:title>
  <dc:subject>National Interest Statement</dc:subject>
  <dc:creator>Australian Government</dc:creator>
  <cp:keywords/>
  <dc:description/>
  <cp:lastModifiedBy>Hill, Christine</cp:lastModifiedBy>
  <cp:revision>5</cp:revision>
  <cp:lastPrinted>2020-12-10T00:11:00Z</cp:lastPrinted>
  <dcterms:created xsi:type="dcterms:W3CDTF">2020-12-14T01:16:00Z</dcterms:created>
  <dcterms:modified xsi:type="dcterms:W3CDTF">2020-12-16T01:13:00Z</dcterms:modified>
</cp:coreProperties>
</file>