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B74" w:rsidRPr="006D0240" w:rsidRDefault="00F66003" w:rsidP="008E6292">
      <w:bookmarkStart w:id="0" w:name="_GoBack"/>
      <w:bookmarkEnd w:id="0"/>
      <w:r>
        <w:tab/>
      </w:r>
    </w:p>
    <w:p w:rsidR="000E0B74" w:rsidRPr="006D0240" w:rsidRDefault="000E0B74" w:rsidP="00DA176D">
      <w:pPr>
        <w:pStyle w:val="Crest"/>
        <w:spacing w:after="360"/>
        <w:jc w:val="left"/>
      </w:pPr>
    </w:p>
    <w:p w:rsidR="000E0B74" w:rsidRPr="003E38B3" w:rsidRDefault="0041243B" w:rsidP="001D4EAA">
      <w:pPr>
        <w:pStyle w:val="Title"/>
      </w:pPr>
      <w:r w:rsidRPr="003E38B3">
        <w:t>Modernising Business Communications</w:t>
      </w:r>
    </w:p>
    <w:p w:rsidR="000E0B74" w:rsidRPr="003E38B3" w:rsidRDefault="0041243B" w:rsidP="001D4EAA">
      <w:pPr>
        <w:pStyle w:val="Subtitle"/>
      </w:pPr>
      <w:r w:rsidRPr="003E38B3">
        <w:t>Improving the Technology Neutrality of Treasury Portfolio Laws</w:t>
      </w:r>
    </w:p>
    <w:p w:rsidR="00056880" w:rsidRPr="003E38B3" w:rsidRDefault="00E46DF2" w:rsidP="001D4EAA">
      <w:pPr>
        <w:pStyle w:val="ReportDate"/>
        <w:rPr>
          <w:rFonts w:ascii="Rockwell" w:hAnsi="Rockwell"/>
          <w:sz w:val="24"/>
        </w:rPr>
      </w:pPr>
      <w:r>
        <w:rPr>
          <w:rStyle w:val="ReportDateChar"/>
        </w:rPr>
        <w:t>December</w:t>
      </w:r>
      <w:r w:rsidRPr="003E38B3">
        <w:rPr>
          <w:rStyle w:val="ReportDateChar"/>
        </w:rPr>
        <w:t xml:space="preserve"> </w:t>
      </w:r>
      <w:r w:rsidR="0041243B" w:rsidRPr="003E38B3">
        <w:rPr>
          <w:rStyle w:val="ReportDateChar"/>
        </w:rPr>
        <w:t>2020</w:t>
      </w:r>
    </w:p>
    <w:p w:rsidR="002F617F" w:rsidRPr="003E38B3" w:rsidRDefault="002F617F" w:rsidP="001D4EAA">
      <w:pPr>
        <w:spacing w:after="6000"/>
      </w:pPr>
    </w:p>
    <w:p w:rsidR="002F617F" w:rsidRPr="003E38B3" w:rsidRDefault="002F617F"/>
    <w:p w:rsidR="000E0B74" w:rsidRPr="003E38B3" w:rsidRDefault="000E0B74" w:rsidP="000E0B74">
      <w:pPr>
        <w:sectPr w:rsidR="000E0B74" w:rsidRPr="003E38B3" w:rsidSect="00E1136B">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pgNumType w:fmt="lowerRoman" w:start="1"/>
          <w:cols w:space="720"/>
        </w:sectPr>
      </w:pPr>
    </w:p>
    <w:p w:rsidR="000E0B74" w:rsidRPr="003E38B3" w:rsidRDefault="000E0B74" w:rsidP="000E0B74">
      <w:pPr>
        <w:spacing w:before="240"/>
      </w:pPr>
      <w:r w:rsidRPr="003E38B3">
        <w:lastRenderedPageBreak/>
        <w:t xml:space="preserve">© Commonwealth of Australia </w:t>
      </w:r>
      <w:r w:rsidR="0041243B" w:rsidRPr="003E38B3">
        <w:t>2020</w:t>
      </w:r>
    </w:p>
    <w:p w:rsidR="000E0B74" w:rsidRPr="003E38B3" w:rsidRDefault="000E0B74" w:rsidP="000E0B74">
      <w:pPr>
        <w:tabs>
          <w:tab w:val="left" w:pos="1650"/>
        </w:tabs>
        <w:spacing w:before="240"/>
        <w:rPr>
          <w:rFonts w:cstheme="minorBidi"/>
          <w:sz w:val="24"/>
          <w:szCs w:val="24"/>
        </w:rPr>
      </w:pPr>
      <w:r w:rsidRPr="003E38B3">
        <w:t>This publication is available for your use under a</w:t>
      </w:r>
      <w:r w:rsidRPr="003E38B3">
        <w:rPr>
          <w:rFonts w:cstheme="minorHAnsi"/>
          <w:sz w:val="24"/>
          <w:szCs w:val="24"/>
        </w:rPr>
        <w:t xml:space="preserve"> </w:t>
      </w:r>
      <w:hyperlink r:id="rId14" w:history="1">
        <w:r w:rsidRPr="003E38B3">
          <w:rPr>
            <w:rStyle w:val="Hyperlink"/>
          </w:rPr>
          <w:t>Creative Commons Attribution 3.0 Australia</w:t>
        </w:r>
      </w:hyperlink>
      <w:r w:rsidRPr="003E38B3">
        <w:rPr>
          <w:rFonts w:cstheme="minorHAnsi"/>
          <w:sz w:val="24"/>
          <w:szCs w:val="24"/>
        </w:rPr>
        <w:t xml:space="preserve"> </w:t>
      </w:r>
      <w:r w:rsidRPr="003E38B3">
        <w:t>licence, with the exception of the Commonwealth Coat of Arms, the Treasury logo, photographs, images, signatures and where otherwise stated. The full licence terms are available from</w:t>
      </w:r>
      <w:r w:rsidRPr="003E38B3">
        <w:rPr>
          <w:rFonts w:cstheme="minorHAnsi"/>
          <w:sz w:val="24"/>
          <w:szCs w:val="24"/>
        </w:rPr>
        <w:t xml:space="preserve"> </w:t>
      </w:r>
      <w:hyperlink r:id="rId15" w:history="1">
        <w:r w:rsidRPr="003E38B3">
          <w:rPr>
            <w:rStyle w:val="Hyperlink"/>
          </w:rPr>
          <w:t>http://creativecommons.org/licenses/by/3.0/au/legalcode</w:t>
        </w:r>
      </w:hyperlink>
      <w:r w:rsidRPr="003E38B3">
        <w:rPr>
          <w:rStyle w:val="Hyperlink"/>
        </w:rPr>
        <w:t>.</w:t>
      </w:r>
      <w:r w:rsidRPr="003E38B3">
        <w:rPr>
          <w:sz w:val="24"/>
          <w:szCs w:val="24"/>
        </w:rPr>
        <w:t xml:space="preserve"> </w:t>
      </w:r>
    </w:p>
    <w:p w:rsidR="000E0B74" w:rsidRPr="003E38B3" w:rsidRDefault="000E0B74" w:rsidP="000E0B74">
      <w:pPr>
        <w:pStyle w:val="ChartGraphic"/>
        <w:jc w:val="left"/>
      </w:pPr>
      <w:r w:rsidRPr="003E38B3">
        <w:rPr>
          <w:noProof/>
        </w:rPr>
        <w:drawing>
          <wp:inline distT="0" distB="0" distL="0" distR="0" wp14:anchorId="4A4C36AD" wp14:editId="68DA6A87">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rsidR="000E0B74" w:rsidRPr="003E38B3" w:rsidRDefault="000E0B74" w:rsidP="000E0B74">
      <w:pPr>
        <w:tabs>
          <w:tab w:val="left" w:pos="1650"/>
        </w:tabs>
        <w:spacing w:before="240"/>
      </w:pPr>
      <w:r w:rsidRPr="003E38B3">
        <w:t>Use of Treasury material under a</w:t>
      </w:r>
      <w:r w:rsidRPr="003E38B3">
        <w:rPr>
          <w:rFonts w:cstheme="minorHAnsi"/>
          <w:sz w:val="24"/>
          <w:szCs w:val="24"/>
        </w:rPr>
        <w:t xml:space="preserve"> </w:t>
      </w:r>
      <w:hyperlink r:id="rId17" w:history="1">
        <w:r w:rsidRPr="003E38B3">
          <w:rPr>
            <w:rStyle w:val="Hyperlink"/>
          </w:rPr>
          <w:t>Creative Commons Attribution 3.0 Australia</w:t>
        </w:r>
      </w:hyperlink>
      <w:r w:rsidRPr="003E38B3">
        <w:rPr>
          <w:rStyle w:val="Hyperlink"/>
        </w:rPr>
        <w:t xml:space="preserve"> </w:t>
      </w:r>
      <w:r w:rsidRPr="003E38B3">
        <w:t>licence requires you to attribute the work (but not in any way that suggests that the Treasury endorses you or your use of the work).</w:t>
      </w:r>
    </w:p>
    <w:p w:rsidR="000E0B74" w:rsidRPr="003E38B3" w:rsidRDefault="000E0B74" w:rsidP="000E0B74">
      <w:pPr>
        <w:ind w:left="709"/>
        <w:rPr>
          <w:i/>
        </w:rPr>
      </w:pPr>
      <w:r w:rsidRPr="003E38B3">
        <w:rPr>
          <w:i/>
        </w:rPr>
        <w:t xml:space="preserve">Treasury material used </w:t>
      </w:r>
      <w:r w:rsidR="00DA176D">
        <w:rPr>
          <w:i/>
        </w:rPr>
        <w:t>‘</w:t>
      </w:r>
      <w:r w:rsidRPr="003E38B3">
        <w:rPr>
          <w:i/>
        </w:rPr>
        <w:t>as supplied</w:t>
      </w:r>
      <w:r w:rsidR="00DA176D">
        <w:rPr>
          <w:i/>
        </w:rPr>
        <w:t>’</w:t>
      </w:r>
      <w:r w:rsidRPr="003E38B3">
        <w:rPr>
          <w:i/>
        </w:rPr>
        <w:t>.</w:t>
      </w:r>
    </w:p>
    <w:p w:rsidR="000E0B74" w:rsidRPr="003E38B3" w:rsidRDefault="000E0B74" w:rsidP="000E0B74">
      <w:pPr>
        <w:spacing w:before="240"/>
      </w:pPr>
      <w:r w:rsidRPr="003E38B3">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rsidR="000E0B74" w:rsidRPr="003E38B3" w:rsidRDefault="000E0B74" w:rsidP="000E0B74">
      <w:pPr>
        <w:ind w:firstLine="720"/>
      </w:pPr>
      <w:r w:rsidRPr="003E38B3">
        <w:rPr>
          <w:i/>
        </w:rPr>
        <w:t xml:space="preserve">Source: The </w:t>
      </w:r>
      <w:r w:rsidRPr="003E38B3">
        <w:rPr>
          <w:i/>
          <w:iCs/>
        </w:rPr>
        <w:t>Australian Government the Treasury</w:t>
      </w:r>
      <w:r w:rsidRPr="003E38B3">
        <w:t>.</w:t>
      </w:r>
    </w:p>
    <w:p w:rsidR="000E0B74" w:rsidRPr="003E38B3" w:rsidRDefault="000E0B74" w:rsidP="000E0B74">
      <w:pPr>
        <w:spacing w:before="240"/>
      </w:pPr>
      <w:r w:rsidRPr="003E38B3">
        <w:rPr>
          <w:b/>
        </w:rPr>
        <w:t>Derivative</w:t>
      </w:r>
      <w:r w:rsidRPr="003E38B3">
        <w:t xml:space="preserve"> </w:t>
      </w:r>
      <w:r w:rsidRPr="003E38B3">
        <w:rPr>
          <w:b/>
        </w:rPr>
        <w:t>material</w:t>
      </w:r>
    </w:p>
    <w:p w:rsidR="000E0B74" w:rsidRPr="003E38B3" w:rsidRDefault="000E0B74" w:rsidP="000E0B74">
      <w:r w:rsidRPr="003E38B3">
        <w:t xml:space="preserve">If you have modified or transformed Treasury material, or derived new material from those of the Treasury in any way, then Treasury prefers the following attribution: </w:t>
      </w:r>
    </w:p>
    <w:p w:rsidR="000E0B74" w:rsidRPr="003E38B3" w:rsidRDefault="000E0B74" w:rsidP="000E0B74">
      <w:pPr>
        <w:ind w:firstLine="720"/>
      </w:pPr>
      <w:r w:rsidRPr="003E38B3">
        <w:rPr>
          <w:i/>
        </w:rPr>
        <w:t>Based on The Australian Government the Treasury data</w:t>
      </w:r>
      <w:r w:rsidRPr="003E38B3">
        <w:t>.</w:t>
      </w:r>
    </w:p>
    <w:p w:rsidR="000E0B74" w:rsidRPr="003E38B3" w:rsidRDefault="000E0B74" w:rsidP="000E0B74">
      <w:pPr>
        <w:spacing w:before="240"/>
        <w:rPr>
          <w:b/>
        </w:rPr>
      </w:pPr>
      <w:r w:rsidRPr="003E38B3">
        <w:rPr>
          <w:b/>
        </w:rPr>
        <w:t>Use of the Coat of Arms</w:t>
      </w:r>
    </w:p>
    <w:p w:rsidR="000E0B74" w:rsidRPr="003E38B3" w:rsidRDefault="004A7BC2" w:rsidP="000E0B74">
      <w:r w:rsidRPr="003E38B3">
        <w:t xml:space="preserve">The terms under which the Coat of Arms can be used are set out on the Department of the Prime Minister and Cabinet website (see </w:t>
      </w:r>
      <w:hyperlink r:id="rId18" w:history="1">
        <w:r w:rsidR="00EA72F7">
          <w:rPr>
            <w:rStyle w:val="Hyperlink"/>
          </w:rPr>
          <w:t>www.pmc.gov.au/government/commonwealth</w:t>
        </w:r>
        <w:r w:rsidR="00DA176D">
          <w:rPr>
            <w:rStyle w:val="Hyperlink"/>
          </w:rPr>
          <w:noBreakHyphen/>
        </w:r>
        <w:r w:rsidR="00EA72F7">
          <w:rPr>
            <w:rStyle w:val="Hyperlink"/>
          </w:rPr>
          <w:t>coat</w:t>
        </w:r>
        <w:r w:rsidR="00DA176D">
          <w:rPr>
            <w:rStyle w:val="Hyperlink"/>
          </w:rPr>
          <w:noBreakHyphen/>
        </w:r>
        <w:r w:rsidR="00EA72F7">
          <w:rPr>
            <w:rStyle w:val="Hyperlink"/>
          </w:rPr>
          <w:t>arms</w:t>
        </w:r>
      </w:hyperlink>
      <w:r w:rsidR="004A65BA" w:rsidRPr="004A65BA">
        <w:rPr>
          <w:rStyle w:val="Hyperlink"/>
          <w:color w:val="auto"/>
        </w:rPr>
        <w:t>)</w:t>
      </w:r>
      <w:r w:rsidR="004A65BA">
        <w:rPr>
          <w:rStyle w:val="Hyperlink"/>
          <w:color w:val="auto"/>
        </w:rPr>
        <w:t>.</w:t>
      </w:r>
    </w:p>
    <w:p w:rsidR="000E0B74" w:rsidRPr="003E38B3" w:rsidRDefault="000E0B74" w:rsidP="000E0B74">
      <w:pPr>
        <w:spacing w:before="240"/>
        <w:rPr>
          <w:b/>
        </w:rPr>
      </w:pPr>
      <w:r w:rsidRPr="003E38B3">
        <w:rPr>
          <w:b/>
        </w:rPr>
        <w:t>Other uses</w:t>
      </w:r>
    </w:p>
    <w:p w:rsidR="000E0B74" w:rsidRPr="003E38B3" w:rsidRDefault="000E0B74" w:rsidP="000E0B74">
      <w:r w:rsidRPr="003E38B3">
        <w:t>Enquiries regarding this licence and any other use of this document are welcome at:</w:t>
      </w:r>
    </w:p>
    <w:p w:rsidR="000E0B74" w:rsidRPr="003E38B3" w:rsidRDefault="000E0B74" w:rsidP="000E0B74">
      <w:pPr>
        <w:ind w:left="720"/>
        <w:rPr>
          <w:rStyle w:val="Hyperlink"/>
        </w:rPr>
      </w:pPr>
      <w:r w:rsidRPr="003E38B3">
        <w:t>Manager</w:t>
      </w:r>
      <w:r w:rsidR="009A668A" w:rsidRPr="003E38B3">
        <w:br/>
      </w:r>
      <w:r w:rsidRPr="003E38B3">
        <w:t>Media and Speeches Unit</w:t>
      </w:r>
      <w:r w:rsidRPr="003E38B3">
        <w:br/>
        <w:t>The Treasury</w:t>
      </w:r>
      <w:r w:rsidRPr="003E38B3">
        <w:br/>
        <w:t xml:space="preserve">Langton Crescent </w:t>
      </w:r>
      <w:r w:rsidRPr="003E38B3">
        <w:br/>
        <w:t>Parkes  ACT  2600</w:t>
      </w:r>
      <w:r w:rsidRPr="003E38B3">
        <w:br/>
        <w:t xml:space="preserve">Email: </w:t>
      </w:r>
      <w:hyperlink r:id="rId19" w:history="1">
        <w:r w:rsidR="004A077D" w:rsidRPr="003E38B3">
          <w:rPr>
            <w:rStyle w:val="Hyperlink"/>
          </w:rPr>
          <w:t>media@treasury.gov.au</w:t>
        </w:r>
      </w:hyperlink>
      <w:r w:rsidR="004A077D" w:rsidRPr="003E38B3">
        <w:t xml:space="preserve"> </w:t>
      </w:r>
    </w:p>
    <w:p w:rsidR="000E0B74" w:rsidRPr="003E38B3" w:rsidRDefault="000E0B74" w:rsidP="000E0B74">
      <w:pPr>
        <w:pStyle w:val="SingleParagraph"/>
        <w:sectPr w:rsidR="000E0B74" w:rsidRPr="003E38B3" w:rsidSect="00475B7B">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p>
    <w:p w:rsidR="000E0B74" w:rsidRPr="003E38B3" w:rsidRDefault="000E0B74" w:rsidP="00812B92">
      <w:pPr>
        <w:pStyle w:val="Heading1"/>
        <w:tabs>
          <w:tab w:val="clear" w:pos="1440"/>
        </w:tabs>
      </w:pPr>
      <w:bookmarkStart w:id="1" w:name="_Toc52374715"/>
      <w:bookmarkStart w:id="2" w:name="_Toc52374986"/>
      <w:bookmarkStart w:id="3" w:name="_Toc52443762"/>
      <w:bookmarkStart w:id="4" w:name="_Toc54690997"/>
      <w:bookmarkStart w:id="5" w:name="_Toc54704371"/>
      <w:bookmarkStart w:id="6" w:name="_Toc54705620"/>
      <w:bookmarkStart w:id="7" w:name="_Toc54861019"/>
      <w:bookmarkStart w:id="8" w:name="_Toc54871974"/>
      <w:bookmarkStart w:id="9" w:name="_Toc54879311"/>
      <w:bookmarkStart w:id="10" w:name="_Toc55286631"/>
      <w:bookmarkStart w:id="11" w:name="_Toc55394091"/>
      <w:bookmarkStart w:id="12" w:name="_Toc55397470"/>
      <w:bookmarkStart w:id="13" w:name="_Toc55399877"/>
      <w:bookmarkStart w:id="14" w:name="_Toc55402999"/>
      <w:bookmarkStart w:id="15" w:name="_Toc55478102"/>
      <w:bookmarkStart w:id="16" w:name="_Toc57202492"/>
      <w:bookmarkStart w:id="17" w:name="_Toc57209911"/>
      <w:bookmarkStart w:id="18" w:name="_Toc57215193"/>
      <w:bookmarkStart w:id="19" w:name="_Toc59021121"/>
      <w:r w:rsidRPr="003E38B3">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B65415" w:rsidRDefault="00257AEE">
      <w:pPr>
        <w:pStyle w:val="TOC1"/>
        <w:rPr>
          <w:rFonts w:asciiTheme="minorHAnsi" w:eastAsiaTheme="minorEastAsia" w:hAnsiTheme="minorHAnsi" w:cstheme="minorBidi"/>
          <w:b w:val="0"/>
          <w:color w:val="auto"/>
        </w:rPr>
      </w:pPr>
      <w:r w:rsidRPr="003E38B3">
        <w:fldChar w:fldCharType="begin"/>
      </w:r>
      <w:r w:rsidRPr="003E38B3">
        <w:instrText xml:space="preserve"> TOC \o "1-2" \h \z \t "Heading 3,3,Chart Main Heading,3,Table Main Heading,3,Heading 3 Numbered,3,Table Heading Continued,3" </w:instrText>
      </w:r>
      <w:r w:rsidRPr="003E38B3">
        <w:fldChar w:fldCharType="separate"/>
      </w:r>
      <w:hyperlink w:anchor="_Toc59021121" w:history="1">
        <w:r w:rsidR="00B65415" w:rsidRPr="009837C8">
          <w:rPr>
            <w:rStyle w:val="Hyperlink"/>
          </w:rPr>
          <w:t>Contents</w:t>
        </w:r>
        <w:r w:rsidR="00B65415">
          <w:rPr>
            <w:webHidden/>
          </w:rPr>
          <w:tab/>
        </w:r>
        <w:r w:rsidR="00B65415">
          <w:rPr>
            <w:webHidden/>
          </w:rPr>
          <w:fldChar w:fldCharType="begin"/>
        </w:r>
        <w:r w:rsidR="00B65415">
          <w:rPr>
            <w:webHidden/>
          </w:rPr>
          <w:instrText xml:space="preserve"> PAGEREF _Toc59021121 \h </w:instrText>
        </w:r>
        <w:r w:rsidR="00B65415">
          <w:rPr>
            <w:webHidden/>
          </w:rPr>
        </w:r>
        <w:r w:rsidR="00B65415">
          <w:rPr>
            <w:webHidden/>
          </w:rPr>
          <w:fldChar w:fldCharType="separate"/>
        </w:r>
        <w:r w:rsidR="00B65415">
          <w:rPr>
            <w:webHidden/>
          </w:rPr>
          <w:t>iii</w:t>
        </w:r>
        <w:r w:rsidR="00B65415">
          <w:rPr>
            <w:webHidden/>
          </w:rPr>
          <w:fldChar w:fldCharType="end"/>
        </w:r>
      </w:hyperlink>
    </w:p>
    <w:p w:rsidR="00B65415" w:rsidRDefault="00164DE7">
      <w:pPr>
        <w:pStyle w:val="TOC1"/>
        <w:rPr>
          <w:rFonts w:asciiTheme="minorHAnsi" w:eastAsiaTheme="minorEastAsia" w:hAnsiTheme="minorHAnsi" w:cstheme="minorBidi"/>
          <w:b w:val="0"/>
          <w:color w:val="auto"/>
        </w:rPr>
      </w:pPr>
      <w:hyperlink w:anchor="_Toc59021122" w:history="1">
        <w:r w:rsidR="00B65415" w:rsidRPr="009837C8">
          <w:rPr>
            <w:rStyle w:val="Hyperlink"/>
          </w:rPr>
          <w:t>Consultation Process</w:t>
        </w:r>
        <w:r w:rsidR="00B65415">
          <w:rPr>
            <w:webHidden/>
          </w:rPr>
          <w:tab/>
        </w:r>
        <w:r w:rsidR="00B65415">
          <w:rPr>
            <w:webHidden/>
          </w:rPr>
          <w:fldChar w:fldCharType="begin"/>
        </w:r>
        <w:r w:rsidR="00B65415">
          <w:rPr>
            <w:webHidden/>
          </w:rPr>
          <w:instrText xml:space="preserve"> PAGEREF _Toc59021122 \h </w:instrText>
        </w:r>
        <w:r w:rsidR="00B65415">
          <w:rPr>
            <w:webHidden/>
          </w:rPr>
        </w:r>
        <w:r w:rsidR="00B65415">
          <w:rPr>
            <w:webHidden/>
          </w:rPr>
          <w:fldChar w:fldCharType="separate"/>
        </w:r>
        <w:r w:rsidR="00B65415">
          <w:rPr>
            <w:webHidden/>
          </w:rPr>
          <w:t>1</w:t>
        </w:r>
        <w:r w:rsidR="00B65415">
          <w:rPr>
            <w:webHidden/>
          </w:rPr>
          <w:fldChar w:fldCharType="end"/>
        </w:r>
      </w:hyperlink>
    </w:p>
    <w:p w:rsidR="00B65415" w:rsidRDefault="00164DE7">
      <w:pPr>
        <w:pStyle w:val="TOC2"/>
        <w:rPr>
          <w:rFonts w:asciiTheme="minorHAnsi" w:eastAsiaTheme="minorEastAsia" w:hAnsiTheme="minorHAnsi" w:cstheme="minorBidi"/>
          <w:color w:val="auto"/>
          <w:szCs w:val="22"/>
        </w:rPr>
      </w:pPr>
      <w:hyperlink w:anchor="_Toc59021123" w:history="1">
        <w:r w:rsidR="00B65415" w:rsidRPr="009837C8">
          <w:rPr>
            <w:rStyle w:val="Hyperlink"/>
          </w:rPr>
          <w:t>Request for Feedback and Comments</w:t>
        </w:r>
        <w:r w:rsidR="00B65415">
          <w:rPr>
            <w:webHidden/>
          </w:rPr>
          <w:tab/>
        </w:r>
        <w:r w:rsidR="00B65415">
          <w:rPr>
            <w:webHidden/>
          </w:rPr>
          <w:fldChar w:fldCharType="begin"/>
        </w:r>
        <w:r w:rsidR="00B65415">
          <w:rPr>
            <w:webHidden/>
          </w:rPr>
          <w:instrText xml:space="preserve"> PAGEREF _Toc59021123 \h </w:instrText>
        </w:r>
        <w:r w:rsidR="00B65415">
          <w:rPr>
            <w:webHidden/>
          </w:rPr>
        </w:r>
        <w:r w:rsidR="00B65415">
          <w:rPr>
            <w:webHidden/>
          </w:rPr>
          <w:fldChar w:fldCharType="separate"/>
        </w:r>
        <w:r w:rsidR="00B65415">
          <w:rPr>
            <w:webHidden/>
          </w:rPr>
          <w:t>1</w:t>
        </w:r>
        <w:r w:rsidR="00B65415">
          <w:rPr>
            <w:webHidden/>
          </w:rPr>
          <w:fldChar w:fldCharType="end"/>
        </w:r>
      </w:hyperlink>
    </w:p>
    <w:p w:rsidR="00B65415" w:rsidRDefault="00164DE7">
      <w:pPr>
        <w:pStyle w:val="TOC2"/>
        <w:rPr>
          <w:rFonts w:asciiTheme="minorHAnsi" w:eastAsiaTheme="minorEastAsia" w:hAnsiTheme="minorHAnsi" w:cstheme="minorBidi"/>
          <w:color w:val="auto"/>
          <w:szCs w:val="22"/>
        </w:rPr>
      </w:pPr>
      <w:hyperlink w:anchor="_Toc59021124" w:history="1">
        <w:r w:rsidR="00B65415" w:rsidRPr="009837C8">
          <w:rPr>
            <w:rStyle w:val="Hyperlink"/>
          </w:rPr>
          <w:t>Publication of submissions and confidentiality</w:t>
        </w:r>
        <w:r w:rsidR="00B65415">
          <w:rPr>
            <w:webHidden/>
          </w:rPr>
          <w:tab/>
        </w:r>
        <w:r w:rsidR="00B65415">
          <w:rPr>
            <w:webHidden/>
          </w:rPr>
          <w:fldChar w:fldCharType="begin"/>
        </w:r>
        <w:r w:rsidR="00B65415">
          <w:rPr>
            <w:webHidden/>
          </w:rPr>
          <w:instrText xml:space="preserve"> PAGEREF _Toc59021124 \h </w:instrText>
        </w:r>
        <w:r w:rsidR="00B65415">
          <w:rPr>
            <w:webHidden/>
          </w:rPr>
        </w:r>
        <w:r w:rsidR="00B65415">
          <w:rPr>
            <w:webHidden/>
          </w:rPr>
          <w:fldChar w:fldCharType="separate"/>
        </w:r>
        <w:r w:rsidR="00B65415">
          <w:rPr>
            <w:webHidden/>
          </w:rPr>
          <w:t>1</w:t>
        </w:r>
        <w:r w:rsidR="00B65415">
          <w:rPr>
            <w:webHidden/>
          </w:rPr>
          <w:fldChar w:fldCharType="end"/>
        </w:r>
      </w:hyperlink>
    </w:p>
    <w:p w:rsidR="00B65415" w:rsidRDefault="00164DE7">
      <w:pPr>
        <w:pStyle w:val="TOC2"/>
        <w:rPr>
          <w:rFonts w:asciiTheme="minorHAnsi" w:eastAsiaTheme="minorEastAsia" w:hAnsiTheme="minorHAnsi" w:cstheme="minorBidi"/>
          <w:color w:val="auto"/>
          <w:szCs w:val="22"/>
        </w:rPr>
      </w:pPr>
      <w:hyperlink w:anchor="_Toc59021125" w:history="1">
        <w:r w:rsidR="00B65415" w:rsidRPr="009837C8">
          <w:rPr>
            <w:rStyle w:val="Hyperlink"/>
          </w:rPr>
          <w:t>Further consultation process</w:t>
        </w:r>
        <w:r w:rsidR="00B65415">
          <w:rPr>
            <w:webHidden/>
          </w:rPr>
          <w:tab/>
        </w:r>
        <w:r w:rsidR="00B65415">
          <w:rPr>
            <w:webHidden/>
          </w:rPr>
          <w:fldChar w:fldCharType="begin"/>
        </w:r>
        <w:r w:rsidR="00B65415">
          <w:rPr>
            <w:webHidden/>
          </w:rPr>
          <w:instrText xml:space="preserve"> PAGEREF _Toc59021125 \h </w:instrText>
        </w:r>
        <w:r w:rsidR="00B65415">
          <w:rPr>
            <w:webHidden/>
          </w:rPr>
        </w:r>
        <w:r w:rsidR="00B65415">
          <w:rPr>
            <w:webHidden/>
          </w:rPr>
          <w:fldChar w:fldCharType="separate"/>
        </w:r>
        <w:r w:rsidR="00B65415">
          <w:rPr>
            <w:webHidden/>
          </w:rPr>
          <w:t>1</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26" w:history="1">
        <w:r w:rsidR="00B65415" w:rsidRPr="009837C8">
          <w:rPr>
            <w:rStyle w:val="Hyperlink"/>
          </w:rPr>
          <w:t>Closing date for submissions: 28 February 2021</w:t>
        </w:r>
        <w:r w:rsidR="00B65415">
          <w:rPr>
            <w:webHidden/>
          </w:rPr>
          <w:tab/>
        </w:r>
        <w:r w:rsidR="00B65415">
          <w:rPr>
            <w:webHidden/>
          </w:rPr>
          <w:fldChar w:fldCharType="begin"/>
        </w:r>
        <w:r w:rsidR="00B65415">
          <w:rPr>
            <w:webHidden/>
          </w:rPr>
          <w:instrText xml:space="preserve"> PAGEREF _Toc59021126 \h </w:instrText>
        </w:r>
        <w:r w:rsidR="00B65415">
          <w:rPr>
            <w:webHidden/>
          </w:rPr>
        </w:r>
        <w:r w:rsidR="00B65415">
          <w:rPr>
            <w:webHidden/>
          </w:rPr>
          <w:fldChar w:fldCharType="separate"/>
        </w:r>
        <w:r w:rsidR="00B65415">
          <w:rPr>
            <w:webHidden/>
          </w:rPr>
          <w:t>1</w:t>
        </w:r>
        <w:r w:rsidR="00B65415">
          <w:rPr>
            <w:webHidden/>
          </w:rPr>
          <w:fldChar w:fldCharType="end"/>
        </w:r>
      </w:hyperlink>
    </w:p>
    <w:p w:rsidR="00B65415" w:rsidRDefault="00164DE7">
      <w:pPr>
        <w:pStyle w:val="TOC1"/>
        <w:rPr>
          <w:rFonts w:asciiTheme="minorHAnsi" w:eastAsiaTheme="minorEastAsia" w:hAnsiTheme="minorHAnsi" w:cstheme="minorBidi"/>
          <w:b w:val="0"/>
          <w:color w:val="auto"/>
        </w:rPr>
      </w:pPr>
      <w:hyperlink w:anchor="_Toc59021127" w:history="1">
        <w:r w:rsidR="00B65415" w:rsidRPr="009837C8">
          <w:rPr>
            <w:rStyle w:val="Hyperlink"/>
          </w:rPr>
          <w:t>Improving the Technology Neutrality of Treasury Portfolio Laws</w:t>
        </w:r>
        <w:r w:rsidR="00B65415">
          <w:rPr>
            <w:webHidden/>
          </w:rPr>
          <w:tab/>
        </w:r>
        <w:r w:rsidR="00B65415">
          <w:rPr>
            <w:webHidden/>
          </w:rPr>
          <w:fldChar w:fldCharType="begin"/>
        </w:r>
        <w:r w:rsidR="00B65415">
          <w:rPr>
            <w:webHidden/>
          </w:rPr>
          <w:instrText xml:space="preserve"> PAGEREF _Toc59021127 \h </w:instrText>
        </w:r>
        <w:r w:rsidR="00B65415">
          <w:rPr>
            <w:webHidden/>
          </w:rPr>
        </w:r>
        <w:r w:rsidR="00B65415">
          <w:rPr>
            <w:webHidden/>
          </w:rPr>
          <w:fldChar w:fldCharType="separate"/>
        </w:r>
        <w:r w:rsidR="00B65415">
          <w:rPr>
            <w:webHidden/>
          </w:rPr>
          <w:t>2</w:t>
        </w:r>
        <w:r w:rsidR="00B65415">
          <w:rPr>
            <w:webHidden/>
          </w:rPr>
          <w:fldChar w:fldCharType="end"/>
        </w:r>
      </w:hyperlink>
    </w:p>
    <w:p w:rsidR="00B65415" w:rsidRDefault="00164DE7">
      <w:pPr>
        <w:pStyle w:val="TOC2"/>
        <w:rPr>
          <w:rFonts w:asciiTheme="minorHAnsi" w:eastAsiaTheme="minorEastAsia" w:hAnsiTheme="minorHAnsi" w:cstheme="minorBidi"/>
          <w:color w:val="auto"/>
          <w:szCs w:val="22"/>
        </w:rPr>
      </w:pPr>
      <w:hyperlink w:anchor="_Toc59021128" w:history="1">
        <w:r w:rsidR="00B65415" w:rsidRPr="009837C8">
          <w:rPr>
            <w:rStyle w:val="Hyperlink"/>
          </w:rPr>
          <w:t>Introduction</w:t>
        </w:r>
        <w:r w:rsidR="00B65415">
          <w:rPr>
            <w:webHidden/>
          </w:rPr>
          <w:tab/>
        </w:r>
        <w:r w:rsidR="00B65415">
          <w:rPr>
            <w:webHidden/>
          </w:rPr>
          <w:fldChar w:fldCharType="begin"/>
        </w:r>
        <w:r w:rsidR="00B65415">
          <w:rPr>
            <w:webHidden/>
          </w:rPr>
          <w:instrText xml:space="preserve"> PAGEREF _Toc59021128 \h </w:instrText>
        </w:r>
        <w:r w:rsidR="00B65415">
          <w:rPr>
            <w:webHidden/>
          </w:rPr>
        </w:r>
        <w:r w:rsidR="00B65415">
          <w:rPr>
            <w:webHidden/>
          </w:rPr>
          <w:fldChar w:fldCharType="separate"/>
        </w:r>
        <w:r w:rsidR="00B65415">
          <w:rPr>
            <w:webHidden/>
          </w:rPr>
          <w:t>2</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29" w:history="1">
        <w:r w:rsidR="00B65415" w:rsidRPr="009837C8">
          <w:rPr>
            <w:rStyle w:val="Hyperlink"/>
          </w:rPr>
          <w:t>Government Action</w:t>
        </w:r>
        <w:r w:rsidR="00B65415">
          <w:rPr>
            <w:webHidden/>
          </w:rPr>
          <w:tab/>
        </w:r>
        <w:r w:rsidR="00B65415">
          <w:rPr>
            <w:webHidden/>
          </w:rPr>
          <w:fldChar w:fldCharType="begin"/>
        </w:r>
        <w:r w:rsidR="00B65415">
          <w:rPr>
            <w:webHidden/>
          </w:rPr>
          <w:instrText xml:space="preserve"> PAGEREF _Toc59021129 \h </w:instrText>
        </w:r>
        <w:r w:rsidR="00B65415">
          <w:rPr>
            <w:webHidden/>
          </w:rPr>
        </w:r>
        <w:r w:rsidR="00B65415">
          <w:rPr>
            <w:webHidden/>
          </w:rPr>
          <w:fldChar w:fldCharType="separate"/>
        </w:r>
        <w:r w:rsidR="00B65415">
          <w:rPr>
            <w:webHidden/>
          </w:rPr>
          <w:t>2</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30" w:history="1">
        <w:r w:rsidR="00B65415" w:rsidRPr="009837C8">
          <w:rPr>
            <w:rStyle w:val="Hyperlink"/>
          </w:rPr>
          <w:t>Consultation Objectives</w:t>
        </w:r>
        <w:r w:rsidR="00B65415">
          <w:rPr>
            <w:webHidden/>
          </w:rPr>
          <w:tab/>
        </w:r>
        <w:r w:rsidR="00B65415">
          <w:rPr>
            <w:webHidden/>
          </w:rPr>
          <w:fldChar w:fldCharType="begin"/>
        </w:r>
        <w:r w:rsidR="00B65415">
          <w:rPr>
            <w:webHidden/>
          </w:rPr>
          <w:instrText xml:space="preserve"> PAGEREF _Toc59021130 \h </w:instrText>
        </w:r>
        <w:r w:rsidR="00B65415">
          <w:rPr>
            <w:webHidden/>
          </w:rPr>
        </w:r>
        <w:r w:rsidR="00B65415">
          <w:rPr>
            <w:webHidden/>
          </w:rPr>
          <w:fldChar w:fldCharType="separate"/>
        </w:r>
        <w:r w:rsidR="00B65415">
          <w:rPr>
            <w:webHidden/>
          </w:rPr>
          <w:t>3</w:t>
        </w:r>
        <w:r w:rsidR="00B65415">
          <w:rPr>
            <w:webHidden/>
          </w:rPr>
          <w:fldChar w:fldCharType="end"/>
        </w:r>
      </w:hyperlink>
    </w:p>
    <w:p w:rsidR="00B65415" w:rsidRDefault="00164DE7">
      <w:pPr>
        <w:pStyle w:val="TOC2"/>
        <w:rPr>
          <w:rFonts w:asciiTheme="minorHAnsi" w:eastAsiaTheme="minorEastAsia" w:hAnsiTheme="minorHAnsi" w:cstheme="minorBidi"/>
          <w:color w:val="auto"/>
          <w:szCs w:val="22"/>
        </w:rPr>
      </w:pPr>
      <w:hyperlink w:anchor="_Toc59021131" w:history="1">
        <w:r w:rsidR="00B65415" w:rsidRPr="009837C8">
          <w:rPr>
            <w:rStyle w:val="Hyperlink"/>
          </w:rPr>
          <w:t>Written Communication with Stakeholders</w:t>
        </w:r>
        <w:r w:rsidR="00B65415">
          <w:rPr>
            <w:webHidden/>
          </w:rPr>
          <w:tab/>
        </w:r>
        <w:r w:rsidR="00B65415">
          <w:rPr>
            <w:webHidden/>
          </w:rPr>
          <w:fldChar w:fldCharType="begin"/>
        </w:r>
        <w:r w:rsidR="00B65415">
          <w:rPr>
            <w:webHidden/>
          </w:rPr>
          <w:instrText xml:space="preserve"> PAGEREF _Toc59021131 \h </w:instrText>
        </w:r>
        <w:r w:rsidR="00B65415">
          <w:rPr>
            <w:webHidden/>
          </w:rPr>
        </w:r>
        <w:r w:rsidR="00B65415">
          <w:rPr>
            <w:webHidden/>
          </w:rPr>
          <w:fldChar w:fldCharType="separate"/>
        </w:r>
        <w:r w:rsidR="00B65415">
          <w:rPr>
            <w:webHidden/>
          </w:rPr>
          <w:t>6</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32" w:history="1">
        <w:r w:rsidR="00B65415" w:rsidRPr="009837C8">
          <w:rPr>
            <w:rStyle w:val="Hyperlink"/>
          </w:rPr>
          <w:t>Policy Goals</w:t>
        </w:r>
        <w:r w:rsidR="00B65415">
          <w:rPr>
            <w:webHidden/>
          </w:rPr>
          <w:tab/>
        </w:r>
        <w:r w:rsidR="00B65415">
          <w:rPr>
            <w:webHidden/>
          </w:rPr>
          <w:fldChar w:fldCharType="begin"/>
        </w:r>
        <w:r w:rsidR="00B65415">
          <w:rPr>
            <w:webHidden/>
          </w:rPr>
          <w:instrText xml:space="preserve"> PAGEREF _Toc59021132 \h </w:instrText>
        </w:r>
        <w:r w:rsidR="00B65415">
          <w:rPr>
            <w:webHidden/>
          </w:rPr>
        </w:r>
        <w:r w:rsidR="00B65415">
          <w:rPr>
            <w:webHidden/>
          </w:rPr>
          <w:fldChar w:fldCharType="separate"/>
        </w:r>
        <w:r w:rsidR="00B65415">
          <w:rPr>
            <w:webHidden/>
          </w:rPr>
          <w:t>6</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33" w:history="1">
        <w:r w:rsidR="00B65415" w:rsidRPr="009837C8">
          <w:rPr>
            <w:rStyle w:val="Hyperlink"/>
          </w:rPr>
          <w:t>Proposed Principles</w:t>
        </w:r>
        <w:r w:rsidR="00B65415">
          <w:rPr>
            <w:webHidden/>
          </w:rPr>
          <w:tab/>
        </w:r>
        <w:r w:rsidR="00B65415">
          <w:rPr>
            <w:webHidden/>
          </w:rPr>
          <w:fldChar w:fldCharType="begin"/>
        </w:r>
        <w:r w:rsidR="00B65415">
          <w:rPr>
            <w:webHidden/>
          </w:rPr>
          <w:instrText xml:space="preserve"> PAGEREF _Toc59021133 \h </w:instrText>
        </w:r>
        <w:r w:rsidR="00B65415">
          <w:rPr>
            <w:webHidden/>
          </w:rPr>
        </w:r>
        <w:r w:rsidR="00B65415">
          <w:rPr>
            <w:webHidden/>
          </w:rPr>
          <w:fldChar w:fldCharType="separate"/>
        </w:r>
        <w:r w:rsidR="00B65415">
          <w:rPr>
            <w:webHidden/>
          </w:rPr>
          <w:t>7</w:t>
        </w:r>
        <w:r w:rsidR="00B65415">
          <w:rPr>
            <w:webHidden/>
          </w:rPr>
          <w:fldChar w:fldCharType="end"/>
        </w:r>
      </w:hyperlink>
    </w:p>
    <w:p w:rsidR="00B65415" w:rsidRDefault="00164DE7">
      <w:pPr>
        <w:pStyle w:val="TOC2"/>
        <w:rPr>
          <w:rFonts w:asciiTheme="minorHAnsi" w:eastAsiaTheme="minorEastAsia" w:hAnsiTheme="minorHAnsi" w:cstheme="minorBidi"/>
          <w:color w:val="auto"/>
          <w:szCs w:val="22"/>
        </w:rPr>
      </w:pPr>
      <w:hyperlink w:anchor="_Toc59021134" w:history="1">
        <w:r w:rsidR="00B65415" w:rsidRPr="009837C8">
          <w:rPr>
            <w:rStyle w:val="Hyperlink"/>
          </w:rPr>
          <w:t>Communicating with Regulators</w:t>
        </w:r>
        <w:r w:rsidR="00B65415">
          <w:rPr>
            <w:webHidden/>
          </w:rPr>
          <w:tab/>
        </w:r>
        <w:r w:rsidR="00B65415">
          <w:rPr>
            <w:webHidden/>
          </w:rPr>
          <w:fldChar w:fldCharType="begin"/>
        </w:r>
        <w:r w:rsidR="00B65415">
          <w:rPr>
            <w:webHidden/>
          </w:rPr>
          <w:instrText xml:space="preserve"> PAGEREF _Toc59021134 \h </w:instrText>
        </w:r>
        <w:r w:rsidR="00B65415">
          <w:rPr>
            <w:webHidden/>
          </w:rPr>
        </w:r>
        <w:r w:rsidR="00B65415">
          <w:rPr>
            <w:webHidden/>
          </w:rPr>
          <w:fldChar w:fldCharType="separate"/>
        </w:r>
        <w:r w:rsidR="00B65415">
          <w:rPr>
            <w:webHidden/>
          </w:rPr>
          <w:t>9</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35" w:history="1">
        <w:r w:rsidR="00B65415" w:rsidRPr="009837C8">
          <w:rPr>
            <w:rStyle w:val="Hyperlink"/>
          </w:rPr>
          <w:t>Policy Goals</w:t>
        </w:r>
        <w:r w:rsidR="00B65415">
          <w:rPr>
            <w:webHidden/>
          </w:rPr>
          <w:tab/>
        </w:r>
        <w:r w:rsidR="00B65415">
          <w:rPr>
            <w:webHidden/>
          </w:rPr>
          <w:fldChar w:fldCharType="begin"/>
        </w:r>
        <w:r w:rsidR="00B65415">
          <w:rPr>
            <w:webHidden/>
          </w:rPr>
          <w:instrText xml:space="preserve"> PAGEREF _Toc59021135 \h </w:instrText>
        </w:r>
        <w:r w:rsidR="00B65415">
          <w:rPr>
            <w:webHidden/>
          </w:rPr>
        </w:r>
        <w:r w:rsidR="00B65415">
          <w:rPr>
            <w:webHidden/>
          </w:rPr>
          <w:fldChar w:fldCharType="separate"/>
        </w:r>
        <w:r w:rsidR="00B65415">
          <w:rPr>
            <w:webHidden/>
          </w:rPr>
          <w:t>9</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36" w:history="1">
        <w:r w:rsidR="00B65415" w:rsidRPr="009837C8">
          <w:rPr>
            <w:rStyle w:val="Hyperlink"/>
          </w:rPr>
          <w:t>Proposed Principles</w:t>
        </w:r>
        <w:r w:rsidR="00B65415">
          <w:rPr>
            <w:webHidden/>
          </w:rPr>
          <w:tab/>
        </w:r>
        <w:r w:rsidR="00B65415">
          <w:rPr>
            <w:webHidden/>
          </w:rPr>
          <w:fldChar w:fldCharType="begin"/>
        </w:r>
        <w:r w:rsidR="00B65415">
          <w:rPr>
            <w:webHidden/>
          </w:rPr>
          <w:instrText xml:space="preserve"> PAGEREF _Toc59021136 \h </w:instrText>
        </w:r>
        <w:r w:rsidR="00B65415">
          <w:rPr>
            <w:webHidden/>
          </w:rPr>
        </w:r>
        <w:r w:rsidR="00B65415">
          <w:rPr>
            <w:webHidden/>
          </w:rPr>
          <w:fldChar w:fldCharType="separate"/>
        </w:r>
        <w:r w:rsidR="00B65415">
          <w:rPr>
            <w:webHidden/>
          </w:rPr>
          <w:t>10</w:t>
        </w:r>
        <w:r w:rsidR="00B65415">
          <w:rPr>
            <w:webHidden/>
          </w:rPr>
          <w:fldChar w:fldCharType="end"/>
        </w:r>
      </w:hyperlink>
    </w:p>
    <w:p w:rsidR="00B65415" w:rsidRDefault="00164DE7">
      <w:pPr>
        <w:pStyle w:val="TOC2"/>
        <w:rPr>
          <w:rFonts w:asciiTheme="minorHAnsi" w:eastAsiaTheme="minorEastAsia" w:hAnsiTheme="minorHAnsi" w:cstheme="minorBidi"/>
          <w:color w:val="auto"/>
          <w:szCs w:val="22"/>
        </w:rPr>
      </w:pPr>
      <w:hyperlink w:anchor="_Toc59021137" w:history="1">
        <w:r w:rsidR="00B65415" w:rsidRPr="009837C8">
          <w:rPr>
            <w:rStyle w:val="Hyperlink"/>
          </w:rPr>
          <w:t>Signatures</w:t>
        </w:r>
        <w:r w:rsidR="00B65415">
          <w:rPr>
            <w:webHidden/>
          </w:rPr>
          <w:tab/>
        </w:r>
        <w:r w:rsidR="00B65415">
          <w:rPr>
            <w:webHidden/>
          </w:rPr>
          <w:fldChar w:fldCharType="begin"/>
        </w:r>
        <w:r w:rsidR="00B65415">
          <w:rPr>
            <w:webHidden/>
          </w:rPr>
          <w:instrText xml:space="preserve"> PAGEREF _Toc59021137 \h </w:instrText>
        </w:r>
        <w:r w:rsidR="00B65415">
          <w:rPr>
            <w:webHidden/>
          </w:rPr>
        </w:r>
        <w:r w:rsidR="00B65415">
          <w:rPr>
            <w:webHidden/>
          </w:rPr>
          <w:fldChar w:fldCharType="separate"/>
        </w:r>
        <w:r w:rsidR="00B65415">
          <w:rPr>
            <w:webHidden/>
          </w:rPr>
          <w:t>12</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38" w:history="1">
        <w:r w:rsidR="00B65415" w:rsidRPr="009837C8">
          <w:rPr>
            <w:rStyle w:val="Hyperlink"/>
          </w:rPr>
          <w:t>Policy Goals</w:t>
        </w:r>
        <w:r w:rsidR="00B65415">
          <w:rPr>
            <w:webHidden/>
          </w:rPr>
          <w:tab/>
        </w:r>
        <w:r w:rsidR="00B65415">
          <w:rPr>
            <w:webHidden/>
          </w:rPr>
          <w:fldChar w:fldCharType="begin"/>
        </w:r>
        <w:r w:rsidR="00B65415">
          <w:rPr>
            <w:webHidden/>
          </w:rPr>
          <w:instrText xml:space="preserve"> PAGEREF _Toc59021138 \h </w:instrText>
        </w:r>
        <w:r w:rsidR="00B65415">
          <w:rPr>
            <w:webHidden/>
          </w:rPr>
        </w:r>
        <w:r w:rsidR="00B65415">
          <w:rPr>
            <w:webHidden/>
          </w:rPr>
          <w:fldChar w:fldCharType="separate"/>
        </w:r>
        <w:r w:rsidR="00B65415">
          <w:rPr>
            <w:webHidden/>
          </w:rPr>
          <w:t>12</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39" w:history="1">
        <w:r w:rsidR="00B65415" w:rsidRPr="009837C8">
          <w:rPr>
            <w:rStyle w:val="Hyperlink"/>
          </w:rPr>
          <w:t>Proposed Principles</w:t>
        </w:r>
        <w:r w:rsidR="00B65415">
          <w:rPr>
            <w:webHidden/>
          </w:rPr>
          <w:tab/>
        </w:r>
        <w:r w:rsidR="00B65415">
          <w:rPr>
            <w:webHidden/>
          </w:rPr>
          <w:fldChar w:fldCharType="begin"/>
        </w:r>
        <w:r w:rsidR="00B65415">
          <w:rPr>
            <w:webHidden/>
          </w:rPr>
          <w:instrText xml:space="preserve"> PAGEREF _Toc59021139 \h </w:instrText>
        </w:r>
        <w:r w:rsidR="00B65415">
          <w:rPr>
            <w:webHidden/>
          </w:rPr>
        </w:r>
        <w:r w:rsidR="00B65415">
          <w:rPr>
            <w:webHidden/>
          </w:rPr>
          <w:fldChar w:fldCharType="separate"/>
        </w:r>
        <w:r w:rsidR="00B65415">
          <w:rPr>
            <w:webHidden/>
          </w:rPr>
          <w:t>12</w:t>
        </w:r>
        <w:r w:rsidR="00B65415">
          <w:rPr>
            <w:webHidden/>
          </w:rPr>
          <w:fldChar w:fldCharType="end"/>
        </w:r>
      </w:hyperlink>
    </w:p>
    <w:p w:rsidR="00B65415" w:rsidRDefault="00164DE7">
      <w:pPr>
        <w:pStyle w:val="TOC2"/>
        <w:rPr>
          <w:rFonts w:asciiTheme="minorHAnsi" w:eastAsiaTheme="minorEastAsia" w:hAnsiTheme="minorHAnsi" w:cstheme="minorBidi"/>
          <w:color w:val="auto"/>
          <w:szCs w:val="22"/>
        </w:rPr>
      </w:pPr>
      <w:hyperlink w:anchor="_Toc59021140" w:history="1">
        <w:r w:rsidR="00B65415" w:rsidRPr="009837C8">
          <w:rPr>
            <w:rStyle w:val="Hyperlink"/>
          </w:rPr>
          <w:t>Record</w:t>
        </w:r>
        <w:r w:rsidR="00DA176D">
          <w:rPr>
            <w:rStyle w:val="Hyperlink"/>
          </w:rPr>
          <w:noBreakHyphen/>
        </w:r>
        <w:r w:rsidR="00B65415" w:rsidRPr="009837C8">
          <w:rPr>
            <w:rStyle w:val="Hyperlink"/>
          </w:rPr>
          <w:t>Keeping Requirements</w:t>
        </w:r>
        <w:r w:rsidR="00B65415">
          <w:rPr>
            <w:webHidden/>
          </w:rPr>
          <w:tab/>
        </w:r>
        <w:r w:rsidR="00B65415">
          <w:rPr>
            <w:webHidden/>
          </w:rPr>
          <w:fldChar w:fldCharType="begin"/>
        </w:r>
        <w:r w:rsidR="00B65415">
          <w:rPr>
            <w:webHidden/>
          </w:rPr>
          <w:instrText xml:space="preserve"> PAGEREF _Toc59021140 \h </w:instrText>
        </w:r>
        <w:r w:rsidR="00B65415">
          <w:rPr>
            <w:webHidden/>
          </w:rPr>
        </w:r>
        <w:r w:rsidR="00B65415">
          <w:rPr>
            <w:webHidden/>
          </w:rPr>
          <w:fldChar w:fldCharType="separate"/>
        </w:r>
        <w:r w:rsidR="00B65415">
          <w:rPr>
            <w:webHidden/>
          </w:rPr>
          <w:t>14</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41" w:history="1">
        <w:r w:rsidR="00B65415" w:rsidRPr="009837C8">
          <w:rPr>
            <w:rStyle w:val="Hyperlink"/>
          </w:rPr>
          <w:t>Policy Goals</w:t>
        </w:r>
        <w:r w:rsidR="00B65415">
          <w:rPr>
            <w:webHidden/>
          </w:rPr>
          <w:tab/>
        </w:r>
        <w:r w:rsidR="00B65415">
          <w:rPr>
            <w:webHidden/>
          </w:rPr>
          <w:fldChar w:fldCharType="begin"/>
        </w:r>
        <w:r w:rsidR="00B65415">
          <w:rPr>
            <w:webHidden/>
          </w:rPr>
          <w:instrText xml:space="preserve"> PAGEREF _Toc59021141 \h </w:instrText>
        </w:r>
        <w:r w:rsidR="00B65415">
          <w:rPr>
            <w:webHidden/>
          </w:rPr>
        </w:r>
        <w:r w:rsidR="00B65415">
          <w:rPr>
            <w:webHidden/>
          </w:rPr>
          <w:fldChar w:fldCharType="separate"/>
        </w:r>
        <w:r w:rsidR="00B65415">
          <w:rPr>
            <w:webHidden/>
          </w:rPr>
          <w:t>14</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42" w:history="1">
        <w:r w:rsidR="00B65415" w:rsidRPr="009837C8">
          <w:rPr>
            <w:rStyle w:val="Hyperlink"/>
          </w:rPr>
          <w:t>Proposed Principles</w:t>
        </w:r>
        <w:r w:rsidR="00B65415">
          <w:rPr>
            <w:webHidden/>
          </w:rPr>
          <w:tab/>
        </w:r>
        <w:r w:rsidR="00B65415">
          <w:rPr>
            <w:webHidden/>
          </w:rPr>
          <w:fldChar w:fldCharType="begin"/>
        </w:r>
        <w:r w:rsidR="00B65415">
          <w:rPr>
            <w:webHidden/>
          </w:rPr>
          <w:instrText xml:space="preserve"> PAGEREF _Toc59021142 \h </w:instrText>
        </w:r>
        <w:r w:rsidR="00B65415">
          <w:rPr>
            <w:webHidden/>
          </w:rPr>
        </w:r>
        <w:r w:rsidR="00B65415">
          <w:rPr>
            <w:webHidden/>
          </w:rPr>
          <w:fldChar w:fldCharType="separate"/>
        </w:r>
        <w:r w:rsidR="00B65415">
          <w:rPr>
            <w:webHidden/>
          </w:rPr>
          <w:t>14</w:t>
        </w:r>
        <w:r w:rsidR="00B65415">
          <w:rPr>
            <w:webHidden/>
          </w:rPr>
          <w:fldChar w:fldCharType="end"/>
        </w:r>
      </w:hyperlink>
    </w:p>
    <w:p w:rsidR="00B65415" w:rsidRDefault="00164DE7">
      <w:pPr>
        <w:pStyle w:val="TOC2"/>
        <w:rPr>
          <w:rFonts w:asciiTheme="minorHAnsi" w:eastAsiaTheme="minorEastAsia" w:hAnsiTheme="minorHAnsi" w:cstheme="minorBidi"/>
          <w:color w:val="auto"/>
          <w:szCs w:val="22"/>
        </w:rPr>
      </w:pPr>
      <w:hyperlink w:anchor="_Toc59021143" w:history="1">
        <w:r w:rsidR="00B65415" w:rsidRPr="009837C8">
          <w:rPr>
            <w:rStyle w:val="Hyperlink"/>
          </w:rPr>
          <w:t>Payment Methods</w:t>
        </w:r>
        <w:r w:rsidR="00B65415">
          <w:rPr>
            <w:webHidden/>
          </w:rPr>
          <w:tab/>
        </w:r>
        <w:r w:rsidR="00B65415">
          <w:rPr>
            <w:webHidden/>
          </w:rPr>
          <w:fldChar w:fldCharType="begin"/>
        </w:r>
        <w:r w:rsidR="00B65415">
          <w:rPr>
            <w:webHidden/>
          </w:rPr>
          <w:instrText xml:space="preserve"> PAGEREF _Toc59021143 \h </w:instrText>
        </w:r>
        <w:r w:rsidR="00B65415">
          <w:rPr>
            <w:webHidden/>
          </w:rPr>
        </w:r>
        <w:r w:rsidR="00B65415">
          <w:rPr>
            <w:webHidden/>
          </w:rPr>
          <w:fldChar w:fldCharType="separate"/>
        </w:r>
        <w:r w:rsidR="00B65415">
          <w:rPr>
            <w:webHidden/>
          </w:rPr>
          <w:t>16</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44" w:history="1">
        <w:r w:rsidR="00B65415" w:rsidRPr="009837C8">
          <w:rPr>
            <w:rStyle w:val="Hyperlink"/>
          </w:rPr>
          <w:t>Figure 1: Declining Use of Cheques as a Method of Payment</w:t>
        </w:r>
        <w:r w:rsidR="00B65415">
          <w:rPr>
            <w:webHidden/>
          </w:rPr>
          <w:tab/>
        </w:r>
        <w:r w:rsidR="00B65415">
          <w:rPr>
            <w:webHidden/>
          </w:rPr>
          <w:fldChar w:fldCharType="begin"/>
        </w:r>
        <w:r w:rsidR="00B65415">
          <w:rPr>
            <w:webHidden/>
          </w:rPr>
          <w:instrText xml:space="preserve"> PAGEREF _Toc59021144 \h </w:instrText>
        </w:r>
        <w:r w:rsidR="00B65415">
          <w:rPr>
            <w:webHidden/>
          </w:rPr>
        </w:r>
        <w:r w:rsidR="00B65415">
          <w:rPr>
            <w:webHidden/>
          </w:rPr>
          <w:fldChar w:fldCharType="separate"/>
        </w:r>
        <w:r w:rsidR="00B65415">
          <w:rPr>
            <w:webHidden/>
          </w:rPr>
          <w:t>16</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45" w:history="1">
        <w:r w:rsidR="00B65415" w:rsidRPr="009837C8">
          <w:rPr>
            <w:rStyle w:val="Hyperlink"/>
          </w:rPr>
          <w:t>Policy Goals</w:t>
        </w:r>
        <w:r w:rsidR="00B65415">
          <w:rPr>
            <w:webHidden/>
          </w:rPr>
          <w:tab/>
        </w:r>
        <w:r w:rsidR="00B65415">
          <w:rPr>
            <w:webHidden/>
          </w:rPr>
          <w:fldChar w:fldCharType="begin"/>
        </w:r>
        <w:r w:rsidR="00B65415">
          <w:rPr>
            <w:webHidden/>
          </w:rPr>
          <w:instrText xml:space="preserve"> PAGEREF _Toc59021145 \h </w:instrText>
        </w:r>
        <w:r w:rsidR="00B65415">
          <w:rPr>
            <w:webHidden/>
          </w:rPr>
        </w:r>
        <w:r w:rsidR="00B65415">
          <w:rPr>
            <w:webHidden/>
          </w:rPr>
          <w:fldChar w:fldCharType="separate"/>
        </w:r>
        <w:r w:rsidR="00B65415">
          <w:rPr>
            <w:webHidden/>
          </w:rPr>
          <w:t>17</w:t>
        </w:r>
        <w:r w:rsidR="00B65415">
          <w:rPr>
            <w:webHidden/>
          </w:rPr>
          <w:fldChar w:fldCharType="end"/>
        </w:r>
      </w:hyperlink>
    </w:p>
    <w:p w:rsidR="00B65415" w:rsidRDefault="00164DE7">
      <w:pPr>
        <w:pStyle w:val="TOC3"/>
        <w:rPr>
          <w:rFonts w:asciiTheme="minorHAnsi" w:eastAsiaTheme="minorEastAsia" w:hAnsiTheme="minorHAnsi" w:cstheme="minorBidi"/>
          <w:color w:val="auto"/>
          <w:szCs w:val="22"/>
        </w:rPr>
      </w:pPr>
      <w:hyperlink w:anchor="_Toc59021146" w:history="1">
        <w:r w:rsidR="00B65415" w:rsidRPr="009837C8">
          <w:rPr>
            <w:rStyle w:val="Hyperlink"/>
          </w:rPr>
          <w:t>Proposed Principles</w:t>
        </w:r>
        <w:r w:rsidR="00B65415">
          <w:rPr>
            <w:webHidden/>
          </w:rPr>
          <w:tab/>
        </w:r>
        <w:r w:rsidR="00B65415">
          <w:rPr>
            <w:webHidden/>
          </w:rPr>
          <w:fldChar w:fldCharType="begin"/>
        </w:r>
        <w:r w:rsidR="00B65415">
          <w:rPr>
            <w:webHidden/>
          </w:rPr>
          <w:instrText xml:space="preserve"> PAGEREF _Toc59021146 \h </w:instrText>
        </w:r>
        <w:r w:rsidR="00B65415">
          <w:rPr>
            <w:webHidden/>
          </w:rPr>
        </w:r>
        <w:r w:rsidR="00B65415">
          <w:rPr>
            <w:webHidden/>
          </w:rPr>
          <w:fldChar w:fldCharType="separate"/>
        </w:r>
        <w:r w:rsidR="00B65415">
          <w:rPr>
            <w:webHidden/>
          </w:rPr>
          <w:t>18</w:t>
        </w:r>
        <w:r w:rsidR="00B65415">
          <w:rPr>
            <w:webHidden/>
          </w:rPr>
          <w:fldChar w:fldCharType="end"/>
        </w:r>
      </w:hyperlink>
    </w:p>
    <w:p w:rsidR="00B65415" w:rsidRDefault="00164DE7">
      <w:pPr>
        <w:pStyle w:val="TOC2"/>
        <w:rPr>
          <w:rFonts w:asciiTheme="minorHAnsi" w:eastAsiaTheme="minorEastAsia" w:hAnsiTheme="minorHAnsi" w:cstheme="minorBidi"/>
          <w:color w:val="auto"/>
          <w:szCs w:val="22"/>
        </w:rPr>
      </w:pPr>
      <w:hyperlink w:anchor="_Toc59021147" w:history="1">
        <w:r w:rsidR="00B65415" w:rsidRPr="009837C8">
          <w:rPr>
            <w:rStyle w:val="Hyperlink"/>
          </w:rPr>
          <w:t>Consultation questions</w:t>
        </w:r>
        <w:r w:rsidR="00B65415">
          <w:rPr>
            <w:webHidden/>
          </w:rPr>
          <w:tab/>
        </w:r>
        <w:r w:rsidR="00B65415">
          <w:rPr>
            <w:webHidden/>
          </w:rPr>
          <w:fldChar w:fldCharType="begin"/>
        </w:r>
        <w:r w:rsidR="00B65415">
          <w:rPr>
            <w:webHidden/>
          </w:rPr>
          <w:instrText xml:space="preserve"> PAGEREF _Toc59021147 \h </w:instrText>
        </w:r>
        <w:r w:rsidR="00B65415">
          <w:rPr>
            <w:webHidden/>
          </w:rPr>
        </w:r>
        <w:r w:rsidR="00B65415">
          <w:rPr>
            <w:webHidden/>
          </w:rPr>
          <w:fldChar w:fldCharType="separate"/>
        </w:r>
        <w:r w:rsidR="00B65415">
          <w:rPr>
            <w:webHidden/>
          </w:rPr>
          <w:t>19</w:t>
        </w:r>
        <w:r w:rsidR="00B65415">
          <w:rPr>
            <w:webHidden/>
          </w:rPr>
          <w:fldChar w:fldCharType="end"/>
        </w:r>
      </w:hyperlink>
    </w:p>
    <w:p w:rsidR="00B65415" w:rsidRDefault="00164DE7">
      <w:pPr>
        <w:pStyle w:val="TOC2"/>
        <w:rPr>
          <w:rFonts w:asciiTheme="minorHAnsi" w:eastAsiaTheme="minorEastAsia" w:hAnsiTheme="minorHAnsi" w:cstheme="minorBidi"/>
          <w:color w:val="auto"/>
          <w:szCs w:val="22"/>
        </w:rPr>
      </w:pPr>
      <w:hyperlink w:anchor="_Toc59021148" w:history="1">
        <w:r w:rsidR="00B65415" w:rsidRPr="009837C8">
          <w:rPr>
            <w:rStyle w:val="Hyperlink"/>
          </w:rPr>
          <w:t>Appendix A: International Reform Processes</w:t>
        </w:r>
        <w:r w:rsidR="00B65415">
          <w:rPr>
            <w:webHidden/>
          </w:rPr>
          <w:tab/>
        </w:r>
        <w:r w:rsidR="00B65415">
          <w:rPr>
            <w:webHidden/>
          </w:rPr>
          <w:fldChar w:fldCharType="begin"/>
        </w:r>
        <w:r w:rsidR="00B65415">
          <w:rPr>
            <w:webHidden/>
          </w:rPr>
          <w:instrText xml:space="preserve"> PAGEREF _Toc59021148 \h </w:instrText>
        </w:r>
        <w:r w:rsidR="00B65415">
          <w:rPr>
            <w:webHidden/>
          </w:rPr>
        </w:r>
        <w:r w:rsidR="00B65415">
          <w:rPr>
            <w:webHidden/>
          </w:rPr>
          <w:fldChar w:fldCharType="separate"/>
        </w:r>
        <w:r w:rsidR="00B65415">
          <w:rPr>
            <w:webHidden/>
          </w:rPr>
          <w:t>20</w:t>
        </w:r>
        <w:r w:rsidR="00B65415">
          <w:rPr>
            <w:webHidden/>
          </w:rPr>
          <w:fldChar w:fldCharType="end"/>
        </w:r>
      </w:hyperlink>
    </w:p>
    <w:p w:rsidR="000E0B74" w:rsidRPr="003E38B3" w:rsidRDefault="00257AEE" w:rsidP="00656356">
      <w:pPr>
        <w:pStyle w:val="SingleParagraph"/>
        <w:tabs>
          <w:tab w:val="right" w:leader="dot" w:pos="9072"/>
        </w:tabs>
        <w:ind w:right="-2"/>
        <w:sectPr w:rsidR="000E0B74" w:rsidRPr="003E38B3" w:rsidSect="00475B7B">
          <w:pgSz w:w="11906" w:h="16838" w:code="9"/>
          <w:pgMar w:top="1418" w:right="1418" w:bottom="1418" w:left="1418" w:header="709" w:footer="709" w:gutter="0"/>
          <w:pgNumType w:fmt="lowerRoman"/>
          <w:cols w:space="708"/>
          <w:titlePg/>
          <w:docGrid w:linePitch="360"/>
        </w:sectPr>
      </w:pPr>
      <w:r w:rsidRPr="003E38B3">
        <w:rPr>
          <w:noProof/>
          <w:color w:val="004A7F"/>
          <w:szCs w:val="22"/>
        </w:rPr>
        <w:fldChar w:fldCharType="end"/>
      </w:r>
    </w:p>
    <w:p w:rsidR="000E0B74" w:rsidRPr="003E38B3" w:rsidRDefault="000E0B74" w:rsidP="00812B92">
      <w:pPr>
        <w:pStyle w:val="Heading1"/>
        <w:tabs>
          <w:tab w:val="clear" w:pos="1440"/>
        </w:tabs>
      </w:pPr>
      <w:bookmarkStart w:id="20" w:name="_Toc52374716"/>
      <w:bookmarkStart w:id="21" w:name="_Toc52374987"/>
      <w:bookmarkStart w:id="22" w:name="_Toc52443763"/>
      <w:bookmarkStart w:id="23" w:name="_Toc54690998"/>
      <w:bookmarkStart w:id="24" w:name="_Toc54704372"/>
      <w:bookmarkStart w:id="25" w:name="_Toc54705621"/>
      <w:bookmarkStart w:id="26" w:name="_Toc54861020"/>
      <w:bookmarkStart w:id="27" w:name="_Toc54871975"/>
      <w:bookmarkStart w:id="28" w:name="_Toc54879312"/>
      <w:bookmarkStart w:id="29" w:name="_Toc55286632"/>
      <w:bookmarkStart w:id="30" w:name="_Toc55394092"/>
      <w:bookmarkStart w:id="31" w:name="_Toc55397471"/>
      <w:bookmarkStart w:id="32" w:name="_Toc55399878"/>
      <w:bookmarkStart w:id="33" w:name="_Toc55403000"/>
      <w:bookmarkStart w:id="34" w:name="_Toc55478103"/>
      <w:bookmarkStart w:id="35" w:name="_Toc57202493"/>
      <w:bookmarkStart w:id="36" w:name="_Toc57209912"/>
      <w:bookmarkStart w:id="37" w:name="_Toc57215194"/>
      <w:bookmarkStart w:id="38" w:name="_Toc59021122"/>
      <w:bookmarkStart w:id="39" w:name="_Toc432067103"/>
      <w:r w:rsidRPr="003E38B3">
        <w:lastRenderedPageBreak/>
        <w:t>Consultation Process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0E0B74" w:rsidRPr="003E38B3" w:rsidRDefault="000E0B74" w:rsidP="00812B92">
      <w:pPr>
        <w:pStyle w:val="Heading2"/>
        <w:tabs>
          <w:tab w:val="clear" w:pos="1080"/>
        </w:tabs>
      </w:pPr>
      <w:bookmarkStart w:id="40" w:name="_Toc52374717"/>
      <w:bookmarkStart w:id="41" w:name="_Toc52374988"/>
      <w:bookmarkStart w:id="42" w:name="_Toc52443764"/>
      <w:bookmarkStart w:id="43" w:name="_Toc54690999"/>
      <w:bookmarkStart w:id="44" w:name="_Toc54704373"/>
      <w:bookmarkStart w:id="45" w:name="_Toc54705622"/>
      <w:bookmarkStart w:id="46" w:name="_Toc54861021"/>
      <w:bookmarkStart w:id="47" w:name="_Toc54871976"/>
      <w:bookmarkStart w:id="48" w:name="_Toc54879313"/>
      <w:bookmarkStart w:id="49" w:name="_Toc55286633"/>
      <w:bookmarkStart w:id="50" w:name="_Toc55394093"/>
      <w:bookmarkStart w:id="51" w:name="_Toc55397472"/>
      <w:bookmarkStart w:id="52" w:name="_Toc55399879"/>
      <w:bookmarkStart w:id="53" w:name="_Toc55403001"/>
      <w:bookmarkStart w:id="54" w:name="_Toc55478104"/>
      <w:bookmarkStart w:id="55" w:name="_Toc57202494"/>
      <w:bookmarkStart w:id="56" w:name="_Toc57209913"/>
      <w:bookmarkStart w:id="57" w:name="_Toc57215195"/>
      <w:bookmarkStart w:id="58" w:name="_Toc59021123"/>
      <w:r w:rsidRPr="003E38B3">
        <w:t xml:space="preserve">Request for </w:t>
      </w:r>
      <w:r w:rsidR="00005784" w:rsidRPr="003E38B3">
        <w:t>Feedback</w:t>
      </w:r>
      <w:r w:rsidRPr="003E38B3">
        <w:t xml:space="preserve"> and </w:t>
      </w:r>
      <w:r w:rsidR="00005784" w:rsidRPr="003E38B3">
        <w:t>Comments</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6A73AB" w:rsidRDefault="006A73AB" w:rsidP="00423FA0">
      <w:r>
        <w:t xml:space="preserve">Interested parties are invited to comment on the issues raised in this </w:t>
      </w:r>
      <w:r w:rsidRPr="00646EAF">
        <w:t xml:space="preserve">paper </w:t>
      </w:r>
      <w:r w:rsidR="005067E4" w:rsidRPr="00646EAF">
        <w:t xml:space="preserve">by </w:t>
      </w:r>
      <w:r w:rsidR="00E46DF2">
        <w:t>2</w:t>
      </w:r>
      <w:r w:rsidR="0060731C" w:rsidRPr="00646EAF">
        <w:t>8</w:t>
      </w:r>
      <w:r w:rsidRPr="00646EAF">
        <w:t xml:space="preserve"> </w:t>
      </w:r>
      <w:r w:rsidR="00E46DF2">
        <w:t>February</w:t>
      </w:r>
      <w:r w:rsidR="00E46DF2" w:rsidRPr="00646EAF">
        <w:t xml:space="preserve"> </w:t>
      </w:r>
      <w:r w:rsidRPr="00646EAF">
        <w:t>2021.</w:t>
      </w:r>
      <w:r>
        <w:t xml:space="preserve"> </w:t>
      </w:r>
    </w:p>
    <w:p w:rsidR="006A73AB" w:rsidRDefault="006A73AB" w:rsidP="00423FA0">
      <w:r>
        <w:t>While submissions may be lodged electronically or by post, electronic lodgement is preferred. For accessibility reasons, please submit responses sent via email in a Word or RTF format. An additional PDF version may also be submitted.</w:t>
      </w:r>
    </w:p>
    <w:p w:rsidR="006A73AB" w:rsidRDefault="006A73AB" w:rsidP="00423FA0">
      <w:pPr>
        <w:pStyle w:val="Heading2"/>
        <w:tabs>
          <w:tab w:val="clear" w:pos="1080"/>
        </w:tabs>
      </w:pPr>
      <w:bookmarkStart w:id="59" w:name="_Toc57202495"/>
      <w:bookmarkStart w:id="60" w:name="_Toc57209914"/>
      <w:bookmarkStart w:id="61" w:name="_Toc57215196"/>
      <w:bookmarkStart w:id="62" w:name="_Toc59021124"/>
      <w:r>
        <w:t>Publication of submissions and confidentiality</w:t>
      </w:r>
      <w:bookmarkEnd w:id="59"/>
      <w:bookmarkEnd w:id="60"/>
      <w:bookmarkEnd w:id="61"/>
      <w:bookmarkEnd w:id="62"/>
      <w:r>
        <w:t xml:space="preserve"> </w:t>
      </w:r>
    </w:p>
    <w:p w:rsidR="00413C1C" w:rsidRDefault="006A73AB" w:rsidP="00423FA0">
      <w:pPr>
        <w:spacing w:after="0"/>
      </w:pPr>
      <w:r>
        <w:t xml:space="preserve">All information (including name and address details) contained in formal submissions will be made available to the public on the Australian Treasury website, unless you indicate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as such in a separate attachment. </w:t>
      </w:r>
    </w:p>
    <w:p w:rsidR="006A73AB" w:rsidRDefault="006A73AB" w:rsidP="00B65415">
      <w:pPr>
        <w:spacing w:after="0"/>
      </w:pPr>
      <w:r>
        <w:t>Legal requirements, such as those imposed by the Freedom of Information Act 1982, may affect the confidentiality of your submission.</w:t>
      </w:r>
    </w:p>
    <w:p w:rsidR="00B65415" w:rsidRDefault="00B65415" w:rsidP="00B65415">
      <w:pPr>
        <w:spacing w:after="0"/>
      </w:pPr>
    </w:p>
    <w:p w:rsidR="006A73AB" w:rsidRDefault="006A73AB" w:rsidP="00B65415">
      <w:pPr>
        <w:pStyle w:val="Heading2"/>
      </w:pPr>
      <w:bookmarkStart w:id="63" w:name="_Toc59021125"/>
      <w:r w:rsidRPr="00423FA0">
        <w:t>Further consultation process</w:t>
      </w:r>
      <w:bookmarkEnd w:id="63"/>
      <w:r>
        <w:t xml:space="preserve"> </w:t>
      </w:r>
    </w:p>
    <w:p w:rsidR="006A73AB" w:rsidRPr="00646EAF" w:rsidRDefault="006A73AB" w:rsidP="00423FA0">
      <w:r>
        <w:t xml:space="preserve">The Treasury </w:t>
      </w:r>
      <w:r w:rsidR="00BA3D11">
        <w:t xml:space="preserve">and the </w:t>
      </w:r>
      <w:r w:rsidR="00E46DF2">
        <w:t xml:space="preserve">Deregulation Taskforce </w:t>
      </w:r>
      <w:r>
        <w:t xml:space="preserve">will also consult broadly with industry representatives and other interested parties on the topics discussed in this consultation paper. This may involve conducting targeted consultation with these stakeholders on specific </w:t>
      </w:r>
      <w:r w:rsidRPr="00646EAF">
        <w:t>issues where more information and views are required.</w:t>
      </w:r>
    </w:p>
    <w:p w:rsidR="000E0B74" w:rsidRPr="003E38B3" w:rsidRDefault="006A73AB" w:rsidP="0077769C">
      <w:bookmarkStart w:id="64" w:name="_Toc57202496"/>
      <w:bookmarkStart w:id="65" w:name="_Toc57209915"/>
      <w:bookmarkStart w:id="66" w:name="_Toc57215197"/>
      <w:bookmarkStart w:id="67" w:name="_Toc59021126"/>
      <w:r w:rsidRPr="00646EAF">
        <w:rPr>
          <w:rStyle w:val="Heading3Char"/>
        </w:rPr>
        <w:t xml:space="preserve">Closing date for submissions: </w:t>
      </w:r>
      <w:r w:rsidR="00E46DF2">
        <w:rPr>
          <w:rStyle w:val="Heading3Char"/>
        </w:rPr>
        <w:t>2</w:t>
      </w:r>
      <w:r w:rsidR="0060731C" w:rsidRPr="00646EAF">
        <w:rPr>
          <w:rStyle w:val="Heading3Char"/>
        </w:rPr>
        <w:t>8</w:t>
      </w:r>
      <w:r w:rsidRPr="00646EAF">
        <w:rPr>
          <w:rStyle w:val="Heading3Char"/>
        </w:rPr>
        <w:t xml:space="preserve"> </w:t>
      </w:r>
      <w:r w:rsidR="00E46DF2">
        <w:rPr>
          <w:rStyle w:val="Heading3Char"/>
        </w:rPr>
        <w:t xml:space="preserve">February </w:t>
      </w:r>
      <w:r w:rsidRPr="00646EAF">
        <w:rPr>
          <w:rStyle w:val="Heading3Char"/>
        </w:rPr>
        <w:t>2021</w:t>
      </w:r>
      <w:bookmarkEnd w:id="64"/>
      <w:bookmarkEnd w:id="65"/>
      <w:bookmarkEnd w:id="66"/>
      <w:bookmarkEnd w:id="67"/>
    </w:p>
    <w:tbl>
      <w:tblPr>
        <w:tblStyle w:val="TableGrid"/>
        <w:tblW w:w="0" w:type="auto"/>
        <w:tblLook w:val="04A0" w:firstRow="1" w:lastRow="0" w:firstColumn="1" w:lastColumn="0" w:noHBand="0" w:noVBand="1"/>
      </w:tblPr>
      <w:tblGrid>
        <w:gridCol w:w="1514"/>
        <w:gridCol w:w="7556"/>
      </w:tblGrid>
      <w:tr w:rsidR="000E0B74" w:rsidRPr="003E38B3" w:rsidTr="00423FA0">
        <w:tc>
          <w:tcPr>
            <w:tcW w:w="1514" w:type="dxa"/>
            <w:shd w:val="clear" w:color="auto" w:fill="auto"/>
          </w:tcPr>
          <w:p w:rsidR="000E0B74" w:rsidRPr="00D9358C" w:rsidRDefault="000E0B74" w:rsidP="0017089D">
            <w:pPr>
              <w:rPr>
                <w:sz w:val="22"/>
                <w:szCs w:val="22"/>
              </w:rPr>
            </w:pPr>
            <w:r w:rsidRPr="003E38B3">
              <w:rPr>
                <w:sz w:val="22"/>
                <w:szCs w:val="22"/>
              </w:rPr>
              <w:t>Email</w:t>
            </w:r>
          </w:p>
        </w:tc>
        <w:tc>
          <w:tcPr>
            <w:tcW w:w="7556" w:type="dxa"/>
            <w:shd w:val="clear" w:color="auto" w:fill="auto"/>
          </w:tcPr>
          <w:p w:rsidR="000E0B74" w:rsidRPr="003E38B3" w:rsidRDefault="00164DE7" w:rsidP="00516785">
            <w:pPr>
              <w:rPr>
                <w:sz w:val="22"/>
                <w:szCs w:val="22"/>
              </w:rPr>
            </w:pPr>
            <w:hyperlink r:id="rId23" w:history="1">
              <w:r w:rsidR="008D2C8E" w:rsidRPr="00423FA0">
                <w:rPr>
                  <w:rFonts w:cs="Arial"/>
                </w:rPr>
                <w:t>mbcomms@treasury.gov.au</w:t>
              </w:r>
            </w:hyperlink>
          </w:p>
        </w:tc>
      </w:tr>
      <w:tr w:rsidR="000E0B74" w:rsidRPr="003E38B3" w:rsidTr="00423FA0">
        <w:tc>
          <w:tcPr>
            <w:tcW w:w="1514" w:type="dxa"/>
            <w:shd w:val="clear" w:color="auto" w:fill="auto"/>
          </w:tcPr>
          <w:p w:rsidR="000E0B74" w:rsidRPr="003E38B3" w:rsidRDefault="000E0B74" w:rsidP="0017089D">
            <w:pPr>
              <w:rPr>
                <w:sz w:val="22"/>
                <w:szCs w:val="22"/>
              </w:rPr>
            </w:pPr>
            <w:r w:rsidRPr="003E38B3">
              <w:rPr>
                <w:sz w:val="22"/>
                <w:szCs w:val="22"/>
              </w:rPr>
              <w:t>Mail</w:t>
            </w:r>
          </w:p>
          <w:p w:rsidR="008D7F38" w:rsidRPr="003E38B3" w:rsidRDefault="008D7F38" w:rsidP="0017089D">
            <w:pPr>
              <w:rPr>
                <w:sz w:val="22"/>
                <w:szCs w:val="22"/>
              </w:rPr>
            </w:pPr>
          </w:p>
          <w:p w:rsidR="008D7F38" w:rsidRPr="003E38B3" w:rsidRDefault="008D7F38" w:rsidP="0017089D">
            <w:pPr>
              <w:rPr>
                <w:sz w:val="22"/>
                <w:szCs w:val="22"/>
              </w:rPr>
            </w:pPr>
          </w:p>
        </w:tc>
        <w:tc>
          <w:tcPr>
            <w:tcW w:w="7556" w:type="dxa"/>
            <w:shd w:val="clear" w:color="auto" w:fill="auto"/>
          </w:tcPr>
          <w:p w:rsidR="006A73AB" w:rsidRPr="003E38B3" w:rsidRDefault="006A73AB" w:rsidP="0017089D">
            <w:pPr>
              <w:pStyle w:val="SingleParagraph"/>
              <w:rPr>
                <w:rFonts w:cs="Arial"/>
                <w:sz w:val="22"/>
                <w:szCs w:val="22"/>
              </w:rPr>
            </w:pPr>
            <w:r w:rsidRPr="00A10C17">
              <w:rPr>
                <w:rFonts w:cs="Arial"/>
                <w:szCs w:val="22"/>
              </w:rPr>
              <w:t>Data Economy Unit</w:t>
            </w:r>
          </w:p>
          <w:p w:rsidR="000E0B74" w:rsidRPr="003E38B3" w:rsidRDefault="006A73AB" w:rsidP="0017089D">
            <w:pPr>
              <w:pStyle w:val="SingleParagraph"/>
              <w:rPr>
                <w:rFonts w:cs="Arial"/>
                <w:sz w:val="22"/>
                <w:szCs w:val="22"/>
              </w:rPr>
            </w:pPr>
            <w:r w:rsidRPr="006A73AB">
              <w:rPr>
                <w:rFonts w:cs="Arial"/>
                <w:szCs w:val="22"/>
              </w:rPr>
              <w:t>Market Conduct Division</w:t>
            </w:r>
          </w:p>
          <w:p w:rsidR="000E0B74" w:rsidRPr="003E38B3" w:rsidRDefault="000E0B74" w:rsidP="0017089D">
            <w:pPr>
              <w:pStyle w:val="SingleParagraph"/>
              <w:rPr>
                <w:rFonts w:cs="Arial"/>
                <w:sz w:val="22"/>
                <w:szCs w:val="22"/>
              </w:rPr>
            </w:pPr>
            <w:r w:rsidRPr="00A10C17">
              <w:rPr>
                <w:rFonts w:cs="Arial"/>
                <w:szCs w:val="22"/>
              </w:rPr>
              <w:t>The Treasury</w:t>
            </w:r>
          </w:p>
          <w:p w:rsidR="000E0B74" w:rsidRPr="003E38B3" w:rsidRDefault="000E0B74" w:rsidP="0017089D">
            <w:pPr>
              <w:pStyle w:val="SingleParagraph"/>
              <w:rPr>
                <w:rFonts w:cs="Arial"/>
                <w:sz w:val="22"/>
                <w:szCs w:val="22"/>
              </w:rPr>
            </w:pPr>
            <w:r w:rsidRPr="00A10C17">
              <w:rPr>
                <w:rFonts w:cs="Arial"/>
                <w:szCs w:val="22"/>
              </w:rPr>
              <w:t>Langton Crescent</w:t>
            </w:r>
          </w:p>
          <w:p w:rsidR="000E0B74" w:rsidRPr="003E38B3" w:rsidRDefault="000E0B74" w:rsidP="0017089D">
            <w:pPr>
              <w:pStyle w:val="SingleParagraph"/>
              <w:rPr>
                <w:sz w:val="22"/>
                <w:szCs w:val="22"/>
              </w:rPr>
            </w:pPr>
            <w:r w:rsidRPr="00A10C17">
              <w:rPr>
                <w:szCs w:val="22"/>
              </w:rPr>
              <w:t>PARKES ACT 2600</w:t>
            </w:r>
          </w:p>
        </w:tc>
      </w:tr>
      <w:tr w:rsidR="000E0B74" w:rsidRPr="003E38B3" w:rsidTr="00423FA0">
        <w:tc>
          <w:tcPr>
            <w:tcW w:w="1514" w:type="dxa"/>
            <w:shd w:val="clear" w:color="auto" w:fill="auto"/>
          </w:tcPr>
          <w:p w:rsidR="000E0B74" w:rsidRPr="003E38B3" w:rsidRDefault="000E0B74" w:rsidP="0017089D">
            <w:pPr>
              <w:rPr>
                <w:sz w:val="22"/>
                <w:szCs w:val="22"/>
              </w:rPr>
            </w:pPr>
            <w:r w:rsidRPr="003E38B3">
              <w:rPr>
                <w:sz w:val="22"/>
                <w:szCs w:val="22"/>
              </w:rPr>
              <w:t>Enquiries</w:t>
            </w:r>
          </w:p>
        </w:tc>
        <w:tc>
          <w:tcPr>
            <w:tcW w:w="7556" w:type="dxa"/>
            <w:shd w:val="clear" w:color="auto" w:fill="auto"/>
          </w:tcPr>
          <w:p w:rsidR="006A73AB" w:rsidRDefault="000E0B74" w:rsidP="00DE4FEC">
            <w:pPr>
              <w:rPr>
                <w:rFonts w:cs="Arial"/>
                <w:sz w:val="22"/>
                <w:szCs w:val="22"/>
              </w:rPr>
            </w:pPr>
            <w:r w:rsidRPr="00A10C17">
              <w:rPr>
                <w:rFonts w:cs="Arial"/>
                <w:szCs w:val="22"/>
              </w:rPr>
              <w:t xml:space="preserve">Enquiries can be initially directed to </w:t>
            </w:r>
            <w:hyperlink r:id="rId24" w:history="1">
              <w:r w:rsidR="00B65415" w:rsidRPr="00914E8F">
                <w:rPr>
                  <w:rStyle w:val="Hyperlink"/>
                </w:rPr>
                <w:t>mbcomms@treasury.gov.au</w:t>
              </w:r>
            </w:hyperlink>
          </w:p>
          <w:p w:rsidR="000E0B74" w:rsidRPr="003E38B3" w:rsidRDefault="006A73AB" w:rsidP="0017089D">
            <w:pPr>
              <w:rPr>
                <w:sz w:val="22"/>
                <w:szCs w:val="22"/>
              </w:rPr>
            </w:pPr>
            <w:r w:rsidRPr="006A73AB">
              <w:rPr>
                <w:rFonts w:cs="Arial"/>
                <w:szCs w:val="22"/>
              </w:rPr>
              <w:t>Media enquiries should be directed to medialiaison@treasury.gov.au or +61 2 6263 2300</w:t>
            </w:r>
          </w:p>
        </w:tc>
      </w:tr>
    </w:tbl>
    <w:bookmarkEnd w:id="39"/>
    <w:p w:rsidR="00A16E03" w:rsidRPr="003E38B3" w:rsidRDefault="00A16E03" w:rsidP="00A16E03">
      <w:r w:rsidRPr="003E38B3">
        <w:t>The principles outlined in this paper have not received Government approval and are not yet law. As a consequence, this paper is merely a guide as to how the principles might operate.</w:t>
      </w:r>
    </w:p>
    <w:p w:rsidR="008D7F38" w:rsidRPr="003E38B3" w:rsidRDefault="008D7F38" w:rsidP="008D7F38"/>
    <w:p w:rsidR="00E10D39" w:rsidRPr="003E38B3" w:rsidRDefault="00E10D39">
      <w:pPr>
        <w:spacing w:before="0" w:after="160" w:line="259" w:lineRule="auto"/>
        <w:rPr>
          <w:rFonts w:cs="Arial"/>
          <w:color w:val="004A7F"/>
          <w:kern w:val="32"/>
          <w:sz w:val="48"/>
          <w:szCs w:val="36"/>
        </w:rPr>
      </w:pPr>
      <w:r w:rsidRPr="003E38B3">
        <w:br w:type="page"/>
      </w:r>
    </w:p>
    <w:p w:rsidR="000E0B74" w:rsidRPr="003E38B3" w:rsidRDefault="000D026B" w:rsidP="00812B92">
      <w:pPr>
        <w:pStyle w:val="Heading1"/>
        <w:tabs>
          <w:tab w:val="clear" w:pos="1440"/>
        </w:tabs>
      </w:pPr>
      <w:bookmarkStart w:id="68" w:name="_Toc52374718"/>
      <w:bookmarkStart w:id="69" w:name="_Toc52374989"/>
      <w:bookmarkStart w:id="70" w:name="_Toc52443765"/>
      <w:bookmarkStart w:id="71" w:name="_Toc54691000"/>
      <w:bookmarkStart w:id="72" w:name="_Toc54704374"/>
      <w:bookmarkStart w:id="73" w:name="_Toc54705623"/>
      <w:bookmarkStart w:id="74" w:name="_Toc54861022"/>
      <w:bookmarkStart w:id="75" w:name="_Toc54871977"/>
      <w:bookmarkStart w:id="76" w:name="_Toc54879314"/>
      <w:bookmarkStart w:id="77" w:name="_Toc55286634"/>
      <w:bookmarkStart w:id="78" w:name="_Toc55394094"/>
      <w:bookmarkStart w:id="79" w:name="_Toc55397473"/>
      <w:bookmarkStart w:id="80" w:name="_Toc55399880"/>
      <w:bookmarkStart w:id="81" w:name="_Toc55403002"/>
      <w:bookmarkStart w:id="82" w:name="_Toc55478105"/>
      <w:bookmarkStart w:id="83" w:name="_Toc57202497"/>
      <w:bookmarkStart w:id="84" w:name="_Toc57209916"/>
      <w:bookmarkStart w:id="85" w:name="_Toc57215198"/>
      <w:bookmarkStart w:id="86" w:name="_Toc59021127"/>
      <w:r w:rsidRPr="003E38B3">
        <w:lastRenderedPageBreak/>
        <w:t>Improving the Technology Neutrality of Treasury Portfolio Laws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A51CA0" w:rsidRPr="00A51CA0" w:rsidRDefault="001F3FC4" w:rsidP="00423FA0">
      <w:pPr>
        <w:pStyle w:val="Heading2"/>
        <w:tabs>
          <w:tab w:val="clear" w:pos="1080"/>
        </w:tabs>
      </w:pPr>
      <w:bookmarkStart w:id="87" w:name="_Toc52374719"/>
      <w:bookmarkStart w:id="88" w:name="_Toc52374990"/>
      <w:bookmarkStart w:id="89" w:name="_Toc54691001"/>
      <w:bookmarkStart w:id="90" w:name="_Toc54704375"/>
      <w:bookmarkStart w:id="91" w:name="_Toc54705624"/>
      <w:bookmarkStart w:id="92" w:name="_Toc54861023"/>
      <w:bookmarkStart w:id="93" w:name="_Toc54871978"/>
      <w:bookmarkStart w:id="94" w:name="_Toc54879315"/>
      <w:bookmarkStart w:id="95" w:name="_Toc55286635"/>
      <w:bookmarkStart w:id="96" w:name="_Toc55394095"/>
      <w:bookmarkStart w:id="97" w:name="_Toc55397474"/>
      <w:bookmarkStart w:id="98" w:name="_Toc55399881"/>
      <w:bookmarkStart w:id="99" w:name="_Toc55403003"/>
      <w:bookmarkStart w:id="100" w:name="_Toc55478106"/>
      <w:bookmarkStart w:id="101" w:name="_Toc57202498"/>
      <w:bookmarkStart w:id="102" w:name="_Toc57209917"/>
      <w:bookmarkStart w:id="103" w:name="_Toc57215199"/>
      <w:bookmarkStart w:id="104" w:name="_Toc59021128"/>
      <w:r w:rsidRPr="003E38B3">
        <w:t>Introduction</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F54528" w:rsidRDefault="00A51CA0" w:rsidP="001E61BA">
      <w:pPr>
        <w:jc w:val="both"/>
      </w:pPr>
      <w:r w:rsidRPr="00A51CA0">
        <w:t xml:space="preserve">The world around us </w:t>
      </w:r>
      <w:r w:rsidR="00A435FC">
        <w:t>is changing</w:t>
      </w:r>
      <w:r w:rsidRPr="00A51CA0">
        <w:t xml:space="preserve"> dramatically with the widespread application and rapid uptake of digital technologies. It is redefining the way we live and work and how we engage with businesses and </w:t>
      </w:r>
      <w:r w:rsidR="00F54528" w:rsidRPr="00A51CA0">
        <w:t xml:space="preserve">government. </w:t>
      </w:r>
    </w:p>
    <w:p w:rsidR="00C31A3D" w:rsidRDefault="00F54528" w:rsidP="001E61BA">
      <w:pPr>
        <w:jc w:val="both"/>
      </w:pPr>
      <w:r>
        <w:t>This growth in d</w:t>
      </w:r>
      <w:r w:rsidRPr="00A51CA0">
        <w:t>igital</w:t>
      </w:r>
      <w:r w:rsidR="00A51CA0" w:rsidRPr="00A51CA0">
        <w:t xml:space="preserve"> technolog</w:t>
      </w:r>
      <w:r>
        <w:t>ies</w:t>
      </w:r>
      <w:r w:rsidR="00A51CA0" w:rsidRPr="00A51CA0">
        <w:t xml:space="preserve"> </w:t>
      </w:r>
      <w:r>
        <w:t xml:space="preserve">provides </w:t>
      </w:r>
      <w:r w:rsidR="00986C15" w:rsidRPr="00986C15">
        <w:t>opportunities to modernise business communications to better reflect the way Australians want to engage and communicate digitally</w:t>
      </w:r>
      <w:r w:rsidR="00986C15">
        <w:t xml:space="preserve"> </w:t>
      </w:r>
      <w:r w:rsidR="00986C15" w:rsidRPr="00986C15">
        <w:t>and to reduce business costs</w:t>
      </w:r>
      <w:r w:rsidR="00F05194">
        <w:t>.</w:t>
      </w:r>
    </w:p>
    <w:p w:rsidR="007143D5" w:rsidRDefault="005F630E" w:rsidP="001E61BA">
      <w:pPr>
        <w:jc w:val="both"/>
      </w:pPr>
      <w:r>
        <w:t>Consumers and businesses can miss out on the benefits of new technology when old methods of conducting business become e</w:t>
      </w:r>
      <w:r w:rsidR="00A51CA0" w:rsidRPr="00A51CA0">
        <w:t>ntrenched</w:t>
      </w:r>
      <w:r>
        <w:t xml:space="preserve"> in law</w:t>
      </w:r>
      <w:r w:rsidR="00A51CA0" w:rsidRPr="00A51CA0">
        <w:t xml:space="preserve"> and </w:t>
      </w:r>
      <w:r>
        <w:t xml:space="preserve">embedded in </w:t>
      </w:r>
      <w:r w:rsidR="00A51CA0" w:rsidRPr="00A51CA0">
        <w:t xml:space="preserve">longstanding regulatory practice. </w:t>
      </w:r>
      <w:r>
        <w:t>I</w:t>
      </w:r>
      <w:r w:rsidR="00A51CA0" w:rsidRPr="00A51CA0">
        <w:t xml:space="preserve">t is therefore essential to ensure that </w:t>
      </w:r>
      <w:r>
        <w:t xml:space="preserve">laws and regulatory practices remain </w:t>
      </w:r>
      <w:r w:rsidR="00A51CA0" w:rsidRPr="00A51CA0">
        <w:t>fit</w:t>
      </w:r>
      <w:r w:rsidR="00DA176D">
        <w:noBreakHyphen/>
      </w:r>
      <w:r w:rsidR="00A51CA0" w:rsidRPr="00A51CA0">
        <w:t>for</w:t>
      </w:r>
      <w:r w:rsidR="00DA176D">
        <w:noBreakHyphen/>
      </w:r>
      <w:r w:rsidR="00A51CA0" w:rsidRPr="00A51CA0">
        <w:t xml:space="preserve">purpose, necessary and relevant. </w:t>
      </w:r>
    </w:p>
    <w:p w:rsidR="006D020D" w:rsidRPr="00A51CA0" w:rsidRDefault="00A51CA0" w:rsidP="001E61BA">
      <w:pPr>
        <w:jc w:val="both"/>
      </w:pPr>
      <w:r w:rsidRPr="00A51CA0">
        <w:t>This is particularly relevant in the context of the COVID</w:t>
      </w:r>
      <w:r w:rsidR="00DA176D">
        <w:noBreakHyphen/>
      </w:r>
      <w:r w:rsidRPr="00A51CA0">
        <w:t>19 pandemic</w:t>
      </w:r>
      <w:r w:rsidR="008D2C8E">
        <w:t>,</w:t>
      </w:r>
      <w:r w:rsidRPr="00A51CA0">
        <w:t xml:space="preserve"> which</w:t>
      </w:r>
      <w:r w:rsidR="005F630E">
        <w:t xml:space="preserve"> </w:t>
      </w:r>
      <w:r w:rsidR="0060731C">
        <w:t>has</w:t>
      </w:r>
      <w:r w:rsidR="0060731C" w:rsidRPr="00A51CA0">
        <w:t xml:space="preserve"> </w:t>
      </w:r>
      <w:r w:rsidRPr="00A51CA0">
        <w:t>accelerat</w:t>
      </w:r>
      <w:r w:rsidR="0060731C">
        <w:t>ed</w:t>
      </w:r>
      <w:r w:rsidRPr="00A51CA0">
        <w:t xml:space="preserve"> the adoption of digital technologies by Australian </w:t>
      </w:r>
      <w:r w:rsidR="005F630E">
        <w:t xml:space="preserve">consumers and </w:t>
      </w:r>
      <w:r w:rsidRPr="00A51CA0">
        <w:t>businesses and</w:t>
      </w:r>
      <w:r w:rsidR="005F630E">
        <w:t xml:space="preserve"> </w:t>
      </w:r>
      <w:r w:rsidRPr="00A51CA0">
        <w:t>highlight</w:t>
      </w:r>
      <w:r w:rsidR="00DB69FD">
        <w:t>ed</w:t>
      </w:r>
      <w:r w:rsidRPr="00A51CA0">
        <w:t xml:space="preserve"> the need for businesses and consumers to </w:t>
      </w:r>
      <w:r w:rsidR="00C31A3D">
        <w:t>be able to</w:t>
      </w:r>
      <w:r w:rsidRPr="00A51CA0">
        <w:t xml:space="preserve"> meet their obligations electronically</w:t>
      </w:r>
      <w:r w:rsidR="00DA176D">
        <w:t xml:space="preserve">. </w:t>
      </w:r>
    </w:p>
    <w:p w:rsidR="00A51CA0" w:rsidRDefault="00A51CA0" w:rsidP="001E61BA">
      <w:pPr>
        <w:jc w:val="both"/>
      </w:pPr>
      <w:r w:rsidRPr="00A51CA0">
        <w:t>The Government is committed to ensuring that Australian</w:t>
      </w:r>
      <w:r w:rsidR="005F630E">
        <w:t xml:space="preserve"> consumers and</w:t>
      </w:r>
      <w:r w:rsidRPr="00A51CA0">
        <w:t xml:space="preserve"> businesses are able to benefit from these new technologies</w:t>
      </w:r>
      <w:r w:rsidR="00F32587">
        <w:t>. It</w:t>
      </w:r>
      <w:r w:rsidR="00231222">
        <w:t xml:space="preserve"> is consult</w:t>
      </w:r>
      <w:r w:rsidR="001E61BA">
        <w:t>ing</w:t>
      </w:r>
      <w:r w:rsidR="00231222">
        <w:t xml:space="preserve"> with stakeholders to </w:t>
      </w:r>
      <w:r w:rsidR="00F32587">
        <w:t>develop</w:t>
      </w:r>
      <w:r w:rsidR="00231222">
        <w:t xml:space="preserve"> principles that will facilitate the removal of legal impediments </w:t>
      </w:r>
      <w:r w:rsidR="00A21E6C">
        <w:t xml:space="preserve">to </w:t>
      </w:r>
      <w:r w:rsidR="00F32587">
        <w:t xml:space="preserve">adopting </w:t>
      </w:r>
      <w:r w:rsidR="00986C15">
        <w:t>both current and future technology</w:t>
      </w:r>
      <w:r w:rsidR="0060731C">
        <w:t>, where appropriate</w:t>
      </w:r>
      <w:r w:rsidR="00B227E6">
        <w:t>.</w:t>
      </w:r>
    </w:p>
    <w:p w:rsidR="001F3FC4" w:rsidRPr="001F3FC4" w:rsidRDefault="001F3FC4" w:rsidP="00200CB2">
      <w:pPr>
        <w:pStyle w:val="Heading3"/>
      </w:pPr>
      <w:bookmarkStart w:id="105" w:name="_Toc52374720"/>
      <w:bookmarkStart w:id="106" w:name="_Toc52374991"/>
      <w:bookmarkStart w:id="107" w:name="_Toc52443766"/>
      <w:bookmarkStart w:id="108" w:name="_Toc54691002"/>
      <w:bookmarkStart w:id="109" w:name="_Toc54704376"/>
      <w:bookmarkStart w:id="110" w:name="_Toc54705625"/>
      <w:bookmarkStart w:id="111" w:name="_Toc54861024"/>
      <w:bookmarkStart w:id="112" w:name="_Toc54871979"/>
      <w:bookmarkStart w:id="113" w:name="_Toc54879316"/>
      <w:bookmarkStart w:id="114" w:name="_Toc55286636"/>
      <w:bookmarkStart w:id="115" w:name="_Toc55394096"/>
      <w:bookmarkStart w:id="116" w:name="_Toc55397475"/>
      <w:bookmarkStart w:id="117" w:name="_Toc55399882"/>
      <w:bookmarkStart w:id="118" w:name="_Toc55403004"/>
      <w:bookmarkStart w:id="119" w:name="_Toc55478107"/>
      <w:bookmarkStart w:id="120" w:name="_Toc57202499"/>
      <w:bookmarkStart w:id="121" w:name="_Toc57209918"/>
      <w:bookmarkStart w:id="122" w:name="_Toc57215200"/>
      <w:bookmarkStart w:id="123" w:name="_Toc59021129"/>
      <w:r>
        <w:t>Government Action</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52092F" w:rsidRDefault="0052092F" w:rsidP="006D0C9D">
      <w:pPr>
        <w:jc w:val="both"/>
      </w:pPr>
      <w:r>
        <w:t xml:space="preserve">In July 2019, the Government established the Deregulation Taskforce </w:t>
      </w:r>
      <w:r w:rsidR="00DB69FD">
        <w:t>(Taskforce)</w:t>
      </w:r>
      <w:r>
        <w:t xml:space="preserve"> to progress the Government</w:t>
      </w:r>
      <w:r w:rsidR="00DA176D">
        <w:t>’</w:t>
      </w:r>
      <w:r>
        <w:t xml:space="preserve">s </w:t>
      </w:r>
      <w:r w:rsidR="00DB69FD">
        <w:t>re</w:t>
      </w:r>
      <w:r w:rsidR="005F630E">
        <w:t>new</w:t>
      </w:r>
      <w:r w:rsidR="00DB69FD">
        <w:t>ed</w:t>
      </w:r>
      <w:r w:rsidR="005F630E">
        <w:t xml:space="preserve"> </w:t>
      </w:r>
      <w:r w:rsidR="00DB69FD">
        <w:t>Deregulation A</w:t>
      </w:r>
      <w:r>
        <w:t xml:space="preserve">genda. The focus of the Taskforce is to ensure that, where regulation is required, it </w:t>
      </w:r>
      <w:r w:rsidR="008D2C8E">
        <w:t>is</w:t>
      </w:r>
      <w:r w:rsidR="00DB69FD" w:rsidRPr="00DB69FD">
        <w:t xml:space="preserve"> fit for purpose and </w:t>
      </w:r>
      <w:r w:rsidR="00024802">
        <w:t>ha</w:t>
      </w:r>
      <w:r w:rsidR="008D2C8E">
        <w:t>s</w:t>
      </w:r>
      <w:r w:rsidR="00024802">
        <w:t xml:space="preserve"> the </w:t>
      </w:r>
      <w:r w:rsidR="00DB69FD" w:rsidRPr="00DB69FD">
        <w:t>lightest touch. The objective that any regulation seeks must be achieved in the most effective and efficient way, in a way that</w:t>
      </w:r>
      <w:r w:rsidR="00DA176D">
        <w:t>’</w:t>
      </w:r>
      <w:r w:rsidR="00DB69FD" w:rsidRPr="00DB69FD">
        <w:t>s easily underst</w:t>
      </w:r>
      <w:r w:rsidR="005A7CF1">
        <w:t>ood, cost effective and timely.</w:t>
      </w:r>
    </w:p>
    <w:p w:rsidR="004E3CC9" w:rsidRDefault="00D91568" w:rsidP="006D0C9D">
      <w:pPr>
        <w:jc w:val="both"/>
      </w:pPr>
      <w:r w:rsidRPr="002845C4">
        <w:t xml:space="preserve">On 15 June 2020, the Government announced the Taskforce </w:t>
      </w:r>
      <w:r w:rsidR="007E4B57" w:rsidRPr="002845C4">
        <w:t xml:space="preserve">would </w:t>
      </w:r>
      <w:r w:rsidRPr="002845C4">
        <w:t>priorit</w:t>
      </w:r>
      <w:r w:rsidR="007E4B57" w:rsidRPr="002845C4">
        <w:t>ise</w:t>
      </w:r>
      <w:r w:rsidRPr="002845C4">
        <w:t xml:space="preserve"> modernis</w:t>
      </w:r>
      <w:r w:rsidR="007E4B57" w:rsidRPr="002845C4">
        <w:t>ing</w:t>
      </w:r>
      <w:r w:rsidRPr="002845C4">
        <w:t xml:space="preserve"> business communications to reduce business costs and better reflect the way Australians want to engage and communicate digitally. The Taskforce</w:t>
      </w:r>
      <w:r w:rsidR="00DB69FD">
        <w:t xml:space="preserve"> is working </w:t>
      </w:r>
      <w:r w:rsidR="005A7CF1">
        <w:t>alongside</w:t>
      </w:r>
      <w:r w:rsidR="00DB69FD">
        <w:t xml:space="preserve"> government agencies to</w:t>
      </w:r>
      <w:r w:rsidRPr="002845C4">
        <w:t xml:space="preserve"> improve technology neutrality across all Commonwealth laws, as well as </w:t>
      </w:r>
      <w:r w:rsidR="00F6595B" w:rsidRPr="002845C4">
        <w:t xml:space="preserve">partnering </w:t>
      </w:r>
      <w:r w:rsidR="007E4B57" w:rsidRPr="002845C4">
        <w:t xml:space="preserve">with </w:t>
      </w:r>
      <w:r w:rsidRPr="002845C4">
        <w:t>state</w:t>
      </w:r>
      <w:r w:rsidR="007E4B57" w:rsidRPr="002845C4">
        <w:t>s</w:t>
      </w:r>
      <w:r w:rsidR="002845C4">
        <w:t xml:space="preserve"> and territories</w:t>
      </w:r>
      <w:r w:rsidRPr="002845C4">
        <w:t xml:space="preserve"> </w:t>
      </w:r>
      <w:r w:rsidR="00F6595B" w:rsidRPr="002845C4">
        <w:t>to explore opportunities to achieve the same with their laws</w:t>
      </w:r>
      <w:r w:rsidRPr="002845C4">
        <w:t xml:space="preserve">. </w:t>
      </w:r>
      <w:r w:rsidR="002A5AC4" w:rsidRPr="002845C4">
        <w:t>T</w:t>
      </w:r>
      <w:r w:rsidR="00BE2DCA" w:rsidRPr="002845C4">
        <w:t xml:space="preserve">he Government </w:t>
      </w:r>
      <w:r w:rsidR="00B33F06" w:rsidRPr="002845C4">
        <w:t xml:space="preserve">has already made </w:t>
      </w:r>
      <w:r w:rsidR="004E3CC9" w:rsidRPr="002845C4">
        <w:t xml:space="preserve">significant </w:t>
      </w:r>
      <w:r w:rsidR="00B33F06" w:rsidRPr="002845C4">
        <w:t xml:space="preserve">progress </w:t>
      </w:r>
      <w:r w:rsidR="0039130B" w:rsidRPr="002845C4">
        <w:t>to improve the technology neutrality of Commonwealth regulation</w:t>
      </w:r>
      <w:r w:rsidR="004E3CC9" w:rsidRPr="002845C4">
        <w:t>:</w:t>
      </w:r>
      <w:r w:rsidR="007517D9">
        <w:t xml:space="preserve"> </w:t>
      </w:r>
    </w:p>
    <w:p w:rsidR="00744724" w:rsidRDefault="002845C4" w:rsidP="006E0774">
      <w:pPr>
        <w:pStyle w:val="Bullet"/>
        <w:jc w:val="both"/>
      </w:pPr>
      <w:r>
        <w:t>O</w:t>
      </w:r>
      <w:r w:rsidR="00744724">
        <w:t xml:space="preserve">n 12 June 2020, the Government passed </w:t>
      </w:r>
      <w:r w:rsidR="00246BA1">
        <w:t xml:space="preserve">the </w:t>
      </w:r>
      <w:r w:rsidR="00246BA1" w:rsidRPr="006D0C9D">
        <w:rPr>
          <w:i/>
        </w:rPr>
        <w:t xml:space="preserve">Treasury Laws Amendment (Registries Modernisation and Other Measures) </w:t>
      </w:r>
      <w:r w:rsidR="00676838" w:rsidRPr="006D0C9D">
        <w:rPr>
          <w:i/>
        </w:rPr>
        <w:t xml:space="preserve">Act </w:t>
      </w:r>
      <w:r w:rsidR="00246BA1" w:rsidRPr="006D0C9D">
        <w:rPr>
          <w:i/>
        </w:rPr>
        <w:t>20</w:t>
      </w:r>
      <w:r w:rsidR="00676838" w:rsidRPr="006D0C9D">
        <w:rPr>
          <w:i/>
        </w:rPr>
        <w:t>20</w:t>
      </w:r>
      <w:r w:rsidR="00744724">
        <w:t xml:space="preserve"> </w:t>
      </w:r>
      <w:r w:rsidR="00246BA1">
        <w:t xml:space="preserve">which </w:t>
      </w:r>
      <w:r w:rsidR="00744724">
        <w:t>will provide ongoing flexibility to adapt and respond to changes in technology to improve the user experience and simplify the way people interact with government business registers</w:t>
      </w:r>
      <w:r w:rsidR="00AB1440">
        <w:t xml:space="preserve">. </w:t>
      </w:r>
      <w:r w:rsidR="008F6A39">
        <w:t>In addition</w:t>
      </w:r>
      <w:r w:rsidR="00AB1440">
        <w:t>,</w:t>
      </w:r>
      <w:r w:rsidR="008F6A39">
        <w:t xml:space="preserve"> as part of the 2020</w:t>
      </w:r>
      <w:r w:rsidR="00DA176D">
        <w:noBreakHyphen/>
      </w:r>
      <w:r w:rsidR="008F6A39">
        <w:t>21 Budget,</w:t>
      </w:r>
      <w:r w:rsidR="00AB1440">
        <w:t xml:space="preserve"> the Government announced its JobMaker Digital Business Plan, investing almost $800 million to enable businesses to take advantage of digital technologies to grow their businesses and create jobs as part of its economic recovery plan</w:t>
      </w:r>
      <w:r w:rsidR="00DA176D">
        <w:t xml:space="preserve"> — </w:t>
      </w:r>
      <w:r w:rsidR="00AB1440">
        <w:t>including $419.9 million to enable the full implementation of this legislation</w:t>
      </w:r>
      <w:r w:rsidR="00BF3761">
        <w:t>;</w:t>
      </w:r>
    </w:p>
    <w:p w:rsidR="0052092F" w:rsidRDefault="0052092F" w:rsidP="006E0774">
      <w:pPr>
        <w:pStyle w:val="Bullet"/>
        <w:jc w:val="both"/>
      </w:pPr>
      <w:r>
        <w:t xml:space="preserve">On </w:t>
      </w:r>
      <w:r w:rsidR="00BD2EA3">
        <w:t xml:space="preserve">30 </w:t>
      </w:r>
      <w:r>
        <w:t xml:space="preserve">July 2020, the number of exemptions to </w:t>
      </w:r>
      <w:r w:rsidRPr="0052092F">
        <w:t>the</w:t>
      </w:r>
      <w:r>
        <w:t xml:space="preserve"> </w:t>
      </w:r>
      <w:r w:rsidR="00D91568">
        <w:rPr>
          <w:i/>
        </w:rPr>
        <w:t>Electronic Transactions Act 1999</w:t>
      </w:r>
      <w:r>
        <w:t xml:space="preserve"> </w:t>
      </w:r>
      <w:r w:rsidR="0020066A">
        <w:t xml:space="preserve">(ETA) </w:t>
      </w:r>
      <w:r w:rsidR="00D73624">
        <w:t xml:space="preserve">in the </w:t>
      </w:r>
      <w:r w:rsidR="00D73624">
        <w:rPr>
          <w:i/>
        </w:rPr>
        <w:t>Electronic Transactions Regulations 2020</w:t>
      </w:r>
      <w:r w:rsidR="0020066A">
        <w:t xml:space="preserve"> </w:t>
      </w:r>
      <w:r>
        <w:t>was reduced from 147 to 93. Th</w:t>
      </w:r>
      <w:r w:rsidR="003C2865">
        <w:t>is</w:t>
      </w:r>
      <w:r>
        <w:t xml:space="preserve"> </w:t>
      </w:r>
      <w:r w:rsidR="004A65BA">
        <w:t>facilitate</w:t>
      </w:r>
      <w:r w:rsidR="003C2865">
        <w:t>s</w:t>
      </w:r>
      <w:r w:rsidR="004A65BA">
        <w:t xml:space="preserve"> electronic </w:t>
      </w:r>
      <w:r w:rsidR="004A65BA">
        <w:lastRenderedPageBreak/>
        <w:t>communications,</w:t>
      </w:r>
      <w:r>
        <w:t xml:space="preserve"> permit</w:t>
      </w:r>
      <w:r w:rsidR="003C2865">
        <w:t>s</w:t>
      </w:r>
      <w:r>
        <w:t xml:space="preserve"> a number of </w:t>
      </w:r>
      <w:r w:rsidRPr="00F90DBE">
        <w:t>banking and credit</w:t>
      </w:r>
      <w:r w:rsidR="00DA176D">
        <w:noBreakHyphen/>
      </w:r>
      <w:r w:rsidRPr="00F90DBE">
        <w:t xml:space="preserve">related documents </w:t>
      </w:r>
      <w:r w:rsidR="00BF3761">
        <w:t>to</w:t>
      </w:r>
      <w:r w:rsidRPr="00F90DBE">
        <w:t xml:space="preserve"> be sent electronically</w:t>
      </w:r>
      <w:r>
        <w:t xml:space="preserve"> and make communications with regulators more efficient</w:t>
      </w:r>
      <w:r w:rsidR="00BF3761">
        <w:t>;</w:t>
      </w:r>
    </w:p>
    <w:p w:rsidR="004E3CC9" w:rsidRDefault="004E3CC9" w:rsidP="006E0774">
      <w:pPr>
        <w:pStyle w:val="Bullet"/>
        <w:jc w:val="both"/>
      </w:pPr>
      <w:r>
        <w:t xml:space="preserve">On </w:t>
      </w:r>
      <w:r w:rsidR="00EB38F6">
        <w:t>7 October 2020</w:t>
      </w:r>
      <w:r>
        <w:t>, the Government released exposure draft legislation on a package of reforms to streamline insolvency procedures.</w:t>
      </w:r>
      <w:r w:rsidRPr="004E3CC9">
        <w:t xml:space="preserve"> </w:t>
      </w:r>
      <w:r>
        <w:t>This legislation includes provisions that wil</w:t>
      </w:r>
      <w:r w:rsidR="00B03BC5">
        <w:t>l allow</w:t>
      </w:r>
      <w:r>
        <w:t xml:space="preserve"> </w:t>
      </w:r>
      <w:r w:rsidR="003344C3">
        <w:t xml:space="preserve">businesses </w:t>
      </w:r>
      <w:r>
        <w:t>to use technology to conduct meetings relating to the external administration of a company</w:t>
      </w:r>
      <w:r w:rsidR="00BF3761">
        <w:t>; and</w:t>
      </w:r>
    </w:p>
    <w:p w:rsidR="0004573F" w:rsidRDefault="00DA5DCC" w:rsidP="006E0774">
      <w:pPr>
        <w:pStyle w:val="Bullet"/>
        <w:jc w:val="both"/>
      </w:pPr>
      <w:r>
        <w:t xml:space="preserve">On </w:t>
      </w:r>
      <w:r w:rsidR="00F103A8" w:rsidRPr="00F62BCB">
        <w:t>19 October 2020</w:t>
      </w:r>
      <w:r>
        <w:t>, the Government release</w:t>
      </w:r>
      <w:r w:rsidR="00381240">
        <w:t>d</w:t>
      </w:r>
      <w:r>
        <w:t xml:space="preserve"> further exposure draft legislation </w:t>
      </w:r>
      <w:r w:rsidR="0052092F">
        <w:t xml:space="preserve">to improve </w:t>
      </w:r>
      <w:r>
        <w:t xml:space="preserve">the technology neutrality of </w:t>
      </w:r>
      <w:r w:rsidR="00BF3761">
        <w:t xml:space="preserve">the </w:t>
      </w:r>
      <w:r>
        <w:rPr>
          <w:i/>
        </w:rPr>
        <w:t>Corporations Act 2001</w:t>
      </w:r>
      <w:r>
        <w:t xml:space="preserve"> and associated regulation</w:t>
      </w:r>
      <w:r w:rsidR="00381240">
        <w:t>s</w:t>
      </w:r>
      <w:r>
        <w:t>. This legislation</w:t>
      </w:r>
      <w:r w:rsidR="0052092F">
        <w:t>,</w:t>
      </w:r>
      <w:r w:rsidR="0052092F" w:rsidRPr="0052092F">
        <w:t xml:space="preserve"> </w:t>
      </w:r>
      <w:r w:rsidR="0052092F">
        <w:t xml:space="preserve">implementing part of the JobMaker Digital Business plan, </w:t>
      </w:r>
      <w:r>
        <w:t xml:space="preserve">will allow </w:t>
      </w:r>
      <w:r w:rsidR="003344C3">
        <w:t xml:space="preserve">businesses </w:t>
      </w:r>
      <w:r>
        <w:t xml:space="preserve">and their officers </w:t>
      </w:r>
      <w:r w:rsidR="0052092F">
        <w:t xml:space="preserve">to </w:t>
      </w:r>
      <w:r>
        <w:t>use technology to meet regulatory requirements in respect of meetings of directors, shareholders of companies and members of registered schemes, plus execute documents electronically.</w:t>
      </w:r>
    </w:p>
    <w:p w:rsidR="00E25101" w:rsidRDefault="00E25101" w:rsidP="00423FA0">
      <w:pPr>
        <w:pStyle w:val="Bullet"/>
        <w:numPr>
          <w:ilvl w:val="0"/>
          <w:numId w:val="0"/>
        </w:numPr>
        <w:jc w:val="both"/>
      </w:pPr>
      <w:r>
        <w:t>T</w:t>
      </w:r>
      <w:r w:rsidR="003316D9">
        <w:t>he</w:t>
      </w:r>
      <w:r w:rsidR="002A5AC4">
        <w:t xml:space="preserve"> </w:t>
      </w:r>
      <w:r w:rsidR="003316D9">
        <w:t>reforms in respect of meetings</w:t>
      </w:r>
      <w:r w:rsidR="00B52B0C">
        <w:t>, documents related to meetings</w:t>
      </w:r>
      <w:r w:rsidR="003316D9">
        <w:t xml:space="preserve"> and document execution</w:t>
      </w:r>
      <w:r>
        <w:t xml:space="preserve"> build on the</w:t>
      </w:r>
      <w:r w:rsidR="000531CB">
        <w:t xml:space="preserve"> temporary relief </w:t>
      </w:r>
      <w:r>
        <w:t>that the Treasurer provided using the temporary instrument</w:t>
      </w:r>
      <w:r w:rsidR="00DA176D">
        <w:noBreakHyphen/>
      </w:r>
      <w:r>
        <w:t xml:space="preserve">making power under the </w:t>
      </w:r>
      <w:r w:rsidRPr="00E25101">
        <w:rPr>
          <w:i/>
        </w:rPr>
        <w:t>Coronavirus Economic Response Package Omnibus Act 2020</w:t>
      </w:r>
      <w:r w:rsidR="00002D18">
        <w:t>, which</w:t>
      </w:r>
      <w:r w:rsidR="000531CB">
        <w:t xml:space="preserve"> </w:t>
      </w:r>
      <w:r>
        <w:t xml:space="preserve">will </w:t>
      </w:r>
      <w:r w:rsidR="002A5AC4">
        <w:t xml:space="preserve">remain in </w:t>
      </w:r>
      <w:r>
        <w:t>effect</w:t>
      </w:r>
      <w:r w:rsidR="002A5AC4">
        <w:t xml:space="preserve"> </w:t>
      </w:r>
      <w:r>
        <w:t>until</w:t>
      </w:r>
      <w:r w:rsidR="0052092F">
        <w:t> </w:t>
      </w:r>
      <w:r>
        <w:t>2</w:t>
      </w:r>
      <w:r w:rsidR="005D1DDF">
        <w:t>1</w:t>
      </w:r>
      <w:r w:rsidR="0052092F">
        <w:t> </w:t>
      </w:r>
      <w:r>
        <w:t>March</w:t>
      </w:r>
      <w:r w:rsidR="0052092F">
        <w:t> </w:t>
      </w:r>
      <w:r>
        <w:t>2021</w:t>
      </w:r>
      <w:r w:rsidRPr="00E25101">
        <w:rPr>
          <w:i/>
        </w:rPr>
        <w:t>.</w:t>
      </w:r>
      <w:r>
        <w:t xml:space="preserve"> In progressing these reforms, the Government has </w:t>
      </w:r>
      <w:r w:rsidR="00947E8D">
        <w:t>responded to</w:t>
      </w:r>
      <w:r>
        <w:t xml:space="preserve"> stakeholder feedback</w:t>
      </w:r>
      <w:r w:rsidR="000531CB">
        <w:t>,</w:t>
      </w:r>
      <w:r>
        <w:t xml:space="preserve"> </w:t>
      </w:r>
      <w:r w:rsidR="002A5AC4">
        <w:t>and</w:t>
      </w:r>
      <w:r w:rsidR="000531CB">
        <w:t xml:space="preserve"> </w:t>
      </w:r>
      <w:r w:rsidR="00947E8D">
        <w:t xml:space="preserve">addressed </w:t>
      </w:r>
      <w:r w:rsidR="000531CB">
        <w:t xml:space="preserve">relevant recommendations of the </w:t>
      </w:r>
      <w:r w:rsidR="008D2C8E">
        <w:t xml:space="preserve">Interim Report </w:t>
      </w:r>
      <w:r w:rsidR="000531CB">
        <w:t xml:space="preserve">of the Senate Select Committee </w:t>
      </w:r>
      <w:r w:rsidR="000531CB" w:rsidRPr="000531CB">
        <w:t>on Financial Technology and Regulatory Technology</w:t>
      </w:r>
      <w:r w:rsidR="000531CB">
        <w:t>, released in September 2020.</w:t>
      </w:r>
      <w:r w:rsidR="0073178A">
        <w:t xml:space="preserve"> </w:t>
      </w:r>
    </w:p>
    <w:p w:rsidR="0073178A" w:rsidRDefault="008C405F" w:rsidP="00200CB2">
      <w:pPr>
        <w:pStyle w:val="Heading3"/>
      </w:pPr>
      <w:bookmarkStart w:id="124" w:name="_Toc52374721"/>
      <w:bookmarkStart w:id="125" w:name="_Toc52374992"/>
      <w:bookmarkStart w:id="126" w:name="_Toc52443767"/>
      <w:bookmarkStart w:id="127" w:name="_Toc54691003"/>
      <w:bookmarkStart w:id="128" w:name="_Toc54704377"/>
      <w:bookmarkStart w:id="129" w:name="_Toc54705626"/>
      <w:bookmarkStart w:id="130" w:name="_Toc54871980"/>
      <w:bookmarkStart w:id="131" w:name="_Toc54879317"/>
      <w:bookmarkStart w:id="132" w:name="_Toc55286637"/>
      <w:bookmarkStart w:id="133" w:name="_Toc55394097"/>
      <w:bookmarkStart w:id="134" w:name="_Toc55397476"/>
      <w:bookmarkStart w:id="135" w:name="_Toc55399883"/>
      <w:bookmarkStart w:id="136" w:name="_Toc55403005"/>
      <w:bookmarkStart w:id="137" w:name="_Toc55478108"/>
      <w:bookmarkStart w:id="138" w:name="_Toc57202500"/>
      <w:bookmarkStart w:id="139" w:name="_Toc57209919"/>
      <w:bookmarkStart w:id="140" w:name="_Toc57215201"/>
      <w:bookmarkStart w:id="141" w:name="_Toc59021130"/>
      <w:r>
        <w:t>Consultation Objectives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F1652E" w:rsidRDefault="00F76BAB" w:rsidP="00AE5461">
      <w:pPr>
        <w:jc w:val="both"/>
      </w:pPr>
      <w:r>
        <w:t>This consultation process focuses on how best to improve the technology neutrality of Treasury portfolio laws</w:t>
      </w:r>
      <w:r w:rsidR="00F32587">
        <w:t>, beyond the actions already being taken by the Government</w:t>
      </w:r>
      <w:r w:rsidR="00C7515F">
        <w:t>,</w:t>
      </w:r>
      <w:r>
        <w:t xml:space="preserve"> </w:t>
      </w:r>
      <w:r w:rsidR="003959C6">
        <w:t xml:space="preserve">to </w:t>
      </w:r>
      <w:r w:rsidR="002B7135">
        <w:t>ensur</w:t>
      </w:r>
      <w:r w:rsidR="003959C6">
        <w:t>e</w:t>
      </w:r>
      <w:r w:rsidR="002B7135">
        <w:t xml:space="preserve"> they do not restrict the use of </w:t>
      </w:r>
      <w:r w:rsidR="000812AD">
        <w:t xml:space="preserve">current and </w:t>
      </w:r>
      <w:r w:rsidR="002B7135">
        <w:t>future technologies</w:t>
      </w:r>
      <w:r w:rsidR="00C42154">
        <w:t>.</w:t>
      </w:r>
      <w:r w:rsidR="004802B1">
        <w:t xml:space="preserve"> </w:t>
      </w:r>
    </w:p>
    <w:p w:rsidR="00C51943" w:rsidRDefault="00750917" w:rsidP="00AE5461">
      <w:pPr>
        <w:jc w:val="both"/>
      </w:pPr>
      <w:r>
        <w:t xml:space="preserve">It is important that businesses </w:t>
      </w:r>
      <w:r w:rsidR="00B6236F">
        <w:t>benefit from</w:t>
      </w:r>
      <w:r>
        <w:t xml:space="preserve"> consistency in the way the law treats similar types of business communication</w:t>
      </w:r>
      <w:r w:rsidR="00DF1A0E">
        <w:t xml:space="preserve"> now and into the future</w:t>
      </w:r>
      <w:r>
        <w:t xml:space="preserve">. That is why </w:t>
      </w:r>
      <w:r w:rsidR="007A39CD">
        <w:t>t</w:t>
      </w:r>
      <w:r w:rsidR="00C51943" w:rsidRPr="003E38B3">
        <w:t>he Government</w:t>
      </w:r>
      <w:r w:rsidR="00C51943">
        <w:t xml:space="preserve"> </w:t>
      </w:r>
      <w:r w:rsidR="00C51943" w:rsidRPr="003E38B3">
        <w:t>proposes to take a principles</w:t>
      </w:r>
      <w:r w:rsidR="00DA176D">
        <w:noBreakHyphen/>
      </w:r>
      <w:r w:rsidR="00C51943" w:rsidRPr="003E38B3">
        <w:t>based approach</w:t>
      </w:r>
      <w:r w:rsidR="00C51943">
        <w:t xml:space="preserve"> to legislative reform </w:t>
      </w:r>
      <w:r w:rsidR="003C2865">
        <w:t xml:space="preserve">for </w:t>
      </w:r>
      <w:r w:rsidR="0040154D">
        <w:t>business communications</w:t>
      </w:r>
      <w:r w:rsidR="00674B07">
        <w:t>.</w:t>
      </w:r>
    </w:p>
    <w:p w:rsidR="004568A7" w:rsidRPr="004568A7" w:rsidRDefault="004568A7" w:rsidP="00AE5461">
      <w:pPr>
        <w:jc w:val="both"/>
      </w:pPr>
      <w:r w:rsidRPr="004568A7">
        <w:t xml:space="preserve">In line with this approach, </w:t>
      </w:r>
      <w:r w:rsidR="002C0C10">
        <w:t>the</w:t>
      </w:r>
      <w:r w:rsidRPr="004568A7">
        <w:t xml:space="preserve"> objective</w:t>
      </w:r>
      <w:r w:rsidR="002C0C10">
        <w:t>s</w:t>
      </w:r>
      <w:r w:rsidRPr="004568A7">
        <w:t xml:space="preserve"> of this consultation is to obtain </w:t>
      </w:r>
      <w:r w:rsidR="0040154D">
        <w:t>feedback from stakeholders</w:t>
      </w:r>
      <w:r w:rsidR="0040154D" w:rsidRPr="004568A7">
        <w:t xml:space="preserve"> </w:t>
      </w:r>
      <w:r w:rsidRPr="004568A7">
        <w:t>that will assist the government to:</w:t>
      </w:r>
    </w:p>
    <w:p w:rsidR="0040154D" w:rsidRPr="004568A7" w:rsidRDefault="00AC303A" w:rsidP="00AE5461">
      <w:pPr>
        <w:pStyle w:val="Bullet"/>
        <w:jc w:val="both"/>
      </w:pPr>
      <w:r w:rsidRPr="004568A7">
        <w:t>Identify</w:t>
      </w:r>
      <w:r w:rsidR="004568A7" w:rsidRPr="004568A7">
        <w:t xml:space="preserve"> and </w:t>
      </w:r>
      <w:r w:rsidR="00750917">
        <w:t xml:space="preserve">categorise </w:t>
      </w:r>
      <w:r w:rsidR="004568A7" w:rsidRPr="004568A7">
        <w:t xml:space="preserve">the types of business communications </w:t>
      </w:r>
      <w:r w:rsidR="0074252F">
        <w:t>that would benefit from technology neutrality changes</w:t>
      </w:r>
      <w:r w:rsidR="00F40239">
        <w:t xml:space="preserve">, </w:t>
      </w:r>
      <w:r w:rsidR="00396AD1">
        <w:t xml:space="preserve">including </w:t>
      </w:r>
      <w:r w:rsidR="00885D1B">
        <w:t xml:space="preserve">those </w:t>
      </w:r>
      <w:r w:rsidR="00396AD1">
        <w:t>tech</w:t>
      </w:r>
      <w:r w:rsidR="003346FB">
        <w:t>nology</w:t>
      </w:r>
      <w:r w:rsidR="00396AD1">
        <w:t xml:space="preserve"> neutrality changes that will lower</w:t>
      </w:r>
      <w:r w:rsidR="0040154D">
        <w:t xml:space="preserve"> current compliance costs</w:t>
      </w:r>
      <w:r w:rsidR="00F40239">
        <w:t>;</w:t>
      </w:r>
    </w:p>
    <w:p w:rsidR="004568A7" w:rsidRPr="004568A7" w:rsidRDefault="00AC303A" w:rsidP="00AE5461">
      <w:pPr>
        <w:pStyle w:val="Bullet"/>
        <w:jc w:val="both"/>
      </w:pPr>
      <w:r w:rsidRPr="004568A7">
        <w:t>Develop</w:t>
      </w:r>
      <w:r w:rsidR="004568A7" w:rsidRPr="004568A7">
        <w:t xml:space="preserve"> principles </w:t>
      </w:r>
      <w:r w:rsidR="008D2C8E">
        <w:t>to</w:t>
      </w:r>
      <w:r w:rsidR="00024802" w:rsidRPr="004568A7">
        <w:t xml:space="preserve"> </w:t>
      </w:r>
      <w:r w:rsidR="004568A7" w:rsidRPr="004568A7">
        <w:t>guide subsequent legislative change;</w:t>
      </w:r>
    </w:p>
    <w:p w:rsidR="004568A7" w:rsidRPr="004568A7" w:rsidRDefault="00AC303A" w:rsidP="00AE5461">
      <w:pPr>
        <w:pStyle w:val="Bullet"/>
        <w:jc w:val="both"/>
      </w:pPr>
      <w:r w:rsidRPr="004568A7">
        <w:t>Identify</w:t>
      </w:r>
      <w:r w:rsidR="004568A7" w:rsidRPr="004568A7">
        <w:t xml:space="preserve"> </w:t>
      </w:r>
      <w:r w:rsidR="00A36E75">
        <w:t>legislative change</w:t>
      </w:r>
      <w:r w:rsidR="004568A7" w:rsidRPr="004568A7">
        <w:t xml:space="preserve"> that may be </w:t>
      </w:r>
      <w:r w:rsidR="0063205F">
        <w:t>required</w:t>
      </w:r>
      <w:r w:rsidR="0063205F" w:rsidRPr="004568A7">
        <w:t xml:space="preserve"> </w:t>
      </w:r>
      <w:r w:rsidR="004568A7" w:rsidRPr="004568A7">
        <w:t>to give effect to these principles and improve</w:t>
      </w:r>
      <w:r w:rsidR="004568A7" w:rsidRPr="004568A7" w:rsidDel="003E1B90">
        <w:t xml:space="preserve"> </w:t>
      </w:r>
      <w:r w:rsidR="004568A7" w:rsidRPr="004568A7">
        <w:t>the technology neutrality for each category of communication</w:t>
      </w:r>
      <w:r w:rsidR="0063205F">
        <w:t>;</w:t>
      </w:r>
    </w:p>
    <w:p w:rsidR="0063205F" w:rsidRDefault="00AC303A" w:rsidP="00AE5461">
      <w:pPr>
        <w:pStyle w:val="Bullet"/>
        <w:jc w:val="both"/>
      </w:pPr>
      <w:r w:rsidRPr="004568A7">
        <w:t>Address</w:t>
      </w:r>
      <w:r w:rsidR="004568A7" w:rsidRPr="004568A7">
        <w:t xml:space="preserve"> sensitivities </w:t>
      </w:r>
      <w:r w:rsidR="0034416B">
        <w:t>and</w:t>
      </w:r>
      <w:r w:rsidR="004568A7" w:rsidRPr="004568A7">
        <w:t xml:space="preserve"> risks associated with technology neutrality</w:t>
      </w:r>
      <w:r w:rsidR="0063205F" w:rsidRPr="004568A7">
        <w:t>; and</w:t>
      </w:r>
    </w:p>
    <w:p w:rsidR="004568A7" w:rsidRDefault="00AC303A" w:rsidP="00AE5461">
      <w:pPr>
        <w:pStyle w:val="Bullet"/>
        <w:jc w:val="both"/>
      </w:pPr>
      <w:r>
        <w:t>Prioritise</w:t>
      </w:r>
      <w:r w:rsidR="0063205F">
        <w:t xml:space="preserve"> reform implementation</w:t>
      </w:r>
      <w:r w:rsidR="004568A7" w:rsidRPr="004568A7">
        <w:t>.</w:t>
      </w:r>
    </w:p>
    <w:p w:rsidR="00AC303A" w:rsidRDefault="00B65415" w:rsidP="00AE5461">
      <w:pPr>
        <w:jc w:val="both"/>
      </w:pPr>
      <w:r>
        <w:t xml:space="preserve">The </w:t>
      </w:r>
      <w:r w:rsidR="00AC303A">
        <w:t>options the Government is considering are:</w:t>
      </w:r>
    </w:p>
    <w:p w:rsidR="00AC303A" w:rsidRDefault="00AC303A" w:rsidP="00AE5461">
      <w:pPr>
        <w:pStyle w:val="ListParagraph"/>
        <w:numPr>
          <w:ilvl w:val="0"/>
          <w:numId w:val="86"/>
        </w:numPr>
        <w:spacing w:before="0" w:after="160" w:line="259" w:lineRule="auto"/>
        <w:jc w:val="both"/>
      </w:pPr>
      <w:r>
        <w:t>Maintaining the status quo if stakeholder consultation does not demonstrate that there is a problem.</w:t>
      </w:r>
    </w:p>
    <w:p w:rsidR="00057211" w:rsidRDefault="00AC303A" w:rsidP="00AE5461">
      <w:pPr>
        <w:pStyle w:val="ListParagraph"/>
        <w:numPr>
          <w:ilvl w:val="0"/>
          <w:numId w:val="86"/>
        </w:numPr>
        <w:spacing w:before="0" w:after="160" w:line="259" w:lineRule="auto"/>
        <w:jc w:val="both"/>
      </w:pPr>
      <w:r>
        <w:t>Agreeing principles in one or more forms of communication to guide legislative change. The Government will then</w:t>
      </w:r>
      <w:r w:rsidR="00057211">
        <w:t>:</w:t>
      </w:r>
    </w:p>
    <w:p w:rsidR="00AC303A" w:rsidRDefault="00057211" w:rsidP="00AE5461">
      <w:pPr>
        <w:pStyle w:val="ListParagraph"/>
        <w:numPr>
          <w:ilvl w:val="1"/>
          <w:numId w:val="86"/>
        </w:numPr>
        <w:spacing w:before="0" w:after="160" w:line="259" w:lineRule="auto"/>
        <w:jc w:val="both"/>
      </w:pPr>
      <w:r>
        <w:t>Identify</w:t>
      </w:r>
      <w:r w:rsidR="00AC303A">
        <w:t xml:space="preserve"> and prioritise the changes to</w:t>
      </w:r>
      <w:r w:rsidR="00F21D91">
        <w:t xml:space="preserve"> </w:t>
      </w:r>
      <w:r w:rsidR="008449EC">
        <w:t xml:space="preserve">provisions in </w:t>
      </w:r>
      <w:r w:rsidR="00F21D91">
        <w:t>Treasury</w:t>
      </w:r>
      <w:r w:rsidR="00AC303A">
        <w:t xml:space="preserve"> </w:t>
      </w:r>
      <w:r w:rsidR="007A57D0">
        <w:t xml:space="preserve">portfolio </w:t>
      </w:r>
      <w:r w:rsidR="00AC303A">
        <w:t xml:space="preserve">legislation required to give effect to these principles. </w:t>
      </w:r>
    </w:p>
    <w:p w:rsidR="00AC303A" w:rsidRDefault="00057211" w:rsidP="00AE5461">
      <w:pPr>
        <w:pStyle w:val="ListParagraph"/>
        <w:numPr>
          <w:ilvl w:val="1"/>
          <w:numId w:val="86"/>
        </w:numPr>
        <w:spacing w:before="0" w:after="160" w:line="259" w:lineRule="auto"/>
        <w:jc w:val="both"/>
      </w:pPr>
      <w:r>
        <w:lastRenderedPageBreak/>
        <w:t>Reduce</w:t>
      </w:r>
      <w:r w:rsidR="00AC303A">
        <w:t xml:space="preserve"> or </w:t>
      </w:r>
      <w:r>
        <w:t>remove</w:t>
      </w:r>
      <w:r w:rsidR="00AC303A">
        <w:t xml:space="preserve"> exemptions to the </w:t>
      </w:r>
      <w:r w:rsidR="00AC303A" w:rsidRPr="00F51E8C">
        <w:rPr>
          <w:i/>
        </w:rPr>
        <w:t>Electronic Transactions Act 1999</w:t>
      </w:r>
      <w:r w:rsidR="00AC303A">
        <w:rPr>
          <w:i/>
        </w:rPr>
        <w:t xml:space="preserve"> </w:t>
      </w:r>
      <w:r w:rsidR="00AC303A">
        <w:t>for Treasury portfolio laws creating burden through a lack of technology neutrality.</w:t>
      </w:r>
    </w:p>
    <w:p w:rsidR="003D7DB6" w:rsidRPr="004568A7" w:rsidRDefault="003D7DB6" w:rsidP="00DA176D">
      <w:r w:rsidRPr="003E38B3">
        <w:t xml:space="preserve">Relevant Treasury laws, which may be within the scope of the </w:t>
      </w:r>
      <w:r w:rsidRPr="00DA176D">
        <w:t>reforms</w:t>
      </w:r>
      <w:r w:rsidRPr="003E38B3">
        <w:t xml:space="preserve"> include, but are not limited to: the </w:t>
      </w:r>
      <w:r w:rsidRPr="00423FA0">
        <w:t>Corporations Act 2001</w:t>
      </w:r>
      <w:r w:rsidRPr="003E38B3">
        <w:t xml:space="preserve">, </w:t>
      </w:r>
      <w:r w:rsidRPr="00423FA0">
        <w:t>Australian Securities and Investments Commission Act 2001</w:t>
      </w:r>
      <w:r w:rsidRPr="003E38B3">
        <w:t xml:space="preserve">, </w:t>
      </w:r>
      <w:r w:rsidRPr="00423FA0">
        <w:t>Banking Act 1959</w:t>
      </w:r>
      <w:r w:rsidRPr="003E38B3">
        <w:t xml:space="preserve">, </w:t>
      </w:r>
      <w:r w:rsidRPr="00423FA0">
        <w:t>Insurance Act 1973</w:t>
      </w:r>
      <w:r w:rsidRPr="003E38B3">
        <w:t>,</w:t>
      </w:r>
      <w:r w:rsidRPr="00890C35">
        <w:t xml:space="preserve"> </w:t>
      </w:r>
      <w:r w:rsidRPr="00423FA0">
        <w:t>Life Insurance Act 1995</w:t>
      </w:r>
      <w:r w:rsidRPr="00890C35">
        <w:t xml:space="preserve">, </w:t>
      </w:r>
      <w:r w:rsidRPr="00423FA0">
        <w:t>Superannuation Industry (Supervision) Act 1993</w:t>
      </w:r>
      <w:r w:rsidRPr="003E38B3">
        <w:t xml:space="preserve">, </w:t>
      </w:r>
      <w:r w:rsidRPr="00423FA0">
        <w:t>Consumer and Competition Act 2010</w:t>
      </w:r>
      <w:r w:rsidRPr="003E38B3">
        <w:t xml:space="preserve"> and </w:t>
      </w:r>
      <w:r w:rsidRPr="00423FA0">
        <w:t>National Consumer Credit Protection Act 2009</w:t>
      </w:r>
      <w:r w:rsidRPr="003E38B3">
        <w:t>.</w:t>
      </w:r>
      <w:r>
        <w:t xml:space="preserve"> </w:t>
      </w:r>
    </w:p>
    <w:p w:rsidR="00750917" w:rsidRDefault="00750917" w:rsidP="00200CB2">
      <w:pPr>
        <w:pStyle w:val="Heading3noTOC"/>
      </w:pPr>
      <w:bookmarkStart w:id="142" w:name="_Toc54691005"/>
      <w:bookmarkStart w:id="143" w:name="_Toc54704379"/>
      <w:bookmarkStart w:id="144" w:name="_Toc54705628"/>
      <w:bookmarkStart w:id="145" w:name="_Toc54871982"/>
      <w:bookmarkStart w:id="146" w:name="_Toc54879319"/>
      <w:bookmarkStart w:id="147" w:name="_Toc55286639"/>
      <w:bookmarkStart w:id="148" w:name="_Toc55394099"/>
      <w:bookmarkStart w:id="149" w:name="_Toc55397478"/>
      <w:bookmarkStart w:id="150" w:name="_Toc55399885"/>
      <w:bookmarkStart w:id="151" w:name="_Toc55403007"/>
      <w:bookmarkStart w:id="152" w:name="_Toc55478109"/>
      <w:r>
        <w:t xml:space="preserve">Categories of </w:t>
      </w:r>
      <w:r w:rsidR="00F40239">
        <w:t>Business Communication</w:t>
      </w:r>
      <w:r>
        <w:t xml:space="preserve"> in </w:t>
      </w:r>
      <w:r w:rsidR="00F40239">
        <w:t>Focus</w:t>
      </w:r>
      <w:bookmarkEnd w:id="142"/>
      <w:bookmarkEnd w:id="143"/>
      <w:bookmarkEnd w:id="144"/>
      <w:bookmarkEnd w:id="145"/>
      <w:bookmarkEnd w:id="146"/>
      <w:bookmarkEnd w:id="147"/>
      <w:bookmarkEnd w:id="148"/>
      <w:bookmarkEnd w:id="149"/>
      <w:bookmarkEnd w:id="150"/>
      <w:bookmarkEnd w:id="151"/>
      <w:bookmarkEnd w:id="152"/>
    </w:p>
    <w:p w:rsidR="00750917" w:rsidRDefault="00750917" w:rsidP="00AE5461">
      <w:pPr>
        <w:jc w:val="both"/>
      </w:pPr>
      <w:r>
        <w:t xml:space="preserve">The </w:t>
      </w:r>
      <w:r w:rsidR="004B16D3">
        <w:t xml:space="preserve">five </w:t>
      </w:r>
      <w:r>
        <w:t xml:space="preserve">categories of business communication </w:t>
      </w:r>
      <w:r w:rsidR="00024802">
        <w:t xml:space="preserve">which are the </w:t>
      </w:r>
      <w:r>
        <w:t xml:space="preserve">focus </w:t>
      </w:r>
      <w:r w:rsidR="00024802">
        <w:t xml:space="preserve">of </w:t>
      </w:r>
      <w:r>
        <w:t xml:space="preserve">this consultation are: </w:t>
      </w:r>
    </w:p>
    <w:p w:rsidR="00750917" w:rsidRPr="00CF72D0" w:rsidDel="00750917" w:rsidRDefault="004E350E" w:rsidP="00AE5461">
      <w:pPr>
        <w:pStyle w:val="Bullet"/>
        <w:jc w:val="both"/>
      </w:pPr>
      <w:r>
        <w:t>written</w:t>
      </w:r>
      <w:r w:rsidR="00750917" w:rsidRPr="00ED5C93" w:rsidDel="00750917">
        <w:t xml:space="preserve"> communicat</w:t>
      </w:r>
      <w:r w:rsidR="00750917" w:rsidRPr="00CF72D0" w:rsidDel="00750917">
        <w:t>ion</w:t>
      </w:r>
      <w:r>
        <w:t>s</w:t>
      </w:r>
      <w:r w:rsidR="00750917" w:rsidRPr="00CF72D0" w:rsidDel="00750917">
        <w:t xml:space="preserve"> or transfer</w:t>
      </w:r>
      <w:r>
        <w:t>s</w:t>
      </w:r>
      <w:r w:rsidR="00750917" w:rsidRPr="00CF72D0" w:rsidDel="00750917">
        <w:t xml:space="preserve"> of information </w:t>
      </w:r>
      <w:r w:rsidR="0034416B">
        <w:t>among</w:t>
      </w:r>
      <w:r w:rsidR="00C83D0B">
        <w:t xml:space="preserve"> </w:t>
      </w:r>
      <w:r w:rsidR="003C2865">
        <w:t>stakeholders, including business,</w:t>
      </w:r>
      <w:r w:rsidR="00C83D0B">
        <w:t xml:space="preserve"> </w:t>
      </w:r>
      <w:r w:rsidR="00750917" w:rsidRPr="00CF72D0" w:rsidDel="00750917">
        <w:t>customers</w:t>
      </w:r>
      <w:r w:rsidR="0034416B">
        <w:t>,</w:t>
      </w:r>
      <w:r w:rsidR="00750917" w:rsidRPr="00CF72D0" w:rsidDel="00750917">
        <w:t xml:space="preserve"> </w:t>
      </w:r>
      <w:r w:rsidR="003C2865">
        <w:t xml:space="preserve">and </w:t>
      </w:r>
      <w:r w:rsidR="00750917" w:rsidRPr="00CF72D0" w:rsidDel="00750917">
        <w:t>investors</w:t>
      </w:r>
      <w:r>
        <w:t>;</w:t>
      </w:r>
      <w:r w:rsidR="00750917" w:rsidRPr="00CF72D0" w:rsidDel="00750917">
        <w:t xml:space="preserve"> </w:t>
      </w:r>
    </w:p>
    <w:p w:rsidR="00BD2EA3" w:rsidRPr="003E38B3" w:rsidDel="00750917" w:rsidRDefault="00BD2EA3" w:rsidP="00AE5461">
      <w:pPr>
        <w:pStyle w:val="Bullet"/>
        <w:jc w:val="both"/>
      </w:pPr>
      <w:r>
        <w:t xml:space="preserve">communicating </w:t>
      </w:r>
      <w:r w:rsidRPr="003E38B3" w:rsidDel="00750917">
        <w:t>with regulators</w:t>
      </w:r>
      <w:r w:rsidR="003C2865">
        <w:t xml:space="preserve"> </w:t>
      </w:r>
      <w:r>
        <w:t xml:space="preserve">such as the </w:t>
      </w:r>
      <w:r w:rsidRPr="00396AD1">
        <w:t>Australian Securities and Investments Commission (ASIC), Australian Prudential Regulation Authority (APRA) and the Australian Competition and Consumer Commission (ACCC)</w:t>
      </w:r>
      <w:r>
        <w:t>. Examples include lodging documents and attending hearings</w:t>
      </w:r>
      <w:r w:rsidRPr="003E38B3" w:rsidDel="00750917">
        <w:t xml:space="preserve">; </w:t>
      </w:r>
    </w:p>
    <w:p w:rsidR="00750917" w:rsidRPr="003E38B3" w:rsidDel="00750917" w:rsidRDefault="00750917" w:rsidP="00AE5461">
      <w:pPr>
        <w:pStyle w:val="Bullet"/>
        <w:jc w:val="both"/>
      </w:pPr>
      <w:r w:rsidRPr="003E38B3" w:rsidDel="00750917">
        <w:t>written signature requirements, beyond the proposed permanent changes to the e</w:t>
      </w:r>
      <w:r w:rsidR="00BD1924">
        <w:t>xecution of company documents</w:t>
      </w:r>
      <w:r w:rsidR="00AF0563">
        <w:t xml:space="preserve"> relating to meetings</w:t>
      </w:r>
      <w:r w:rsidR="00BD1924">
        <w:t>;</w:t>
      </w:r>
      <w:r w:rsidR="005067E4">
        <w:t xml:space="preserve"> </w:t>
      </w:r>
    </w:p>
    <w:p w:rsidR="004B16D3" w:rsidRDefault="00750917" w:rsidP="00AE5461">
      <w:pPr>
        <w:pStyle w:val="Bullet"/>
        <w:jc w:val="both"/>
      </w:pPr>
      <w:r w:rsidRPr="003E38B3" w:rsidDel="00750917">
        <w:t>record</w:t>
      </w:r>
      <w:r w:rsidR="00DA176D">
        <w:noBreakHyphen/>
      </w:r>
      <w:r w:rsidRPr="003E38B3" w:rsidDel="00750917">
        <w:t>keeping requirements, including the keeping of books and regis</w:t>
      </w:r>
      <w:r w:rsidR="00E4605E">
        <w:t>ters</w:t>
      </w:r>
      <w:r w:rsidR="004B16D3">
        <w:t>; and</w:t>
      </w:r>
    </w:p>
    <w:p w:rsidR="00A4731A" w:rsidRDefault="004B16D3" w:rsidP="00AE5461">
      <w:pPr>
        <w:pStyle w:val="Bullet"/>
        <w:jc w:val="both"/>
      </w:pPr>
      <w:r w:rsidRPr="003E38B3" w:rsidDel="00750917">
        <w:t>the making of payments</w:t>
      </w:r>
      <w:r>
        <w:t xml:space="preserve"> </w:t>
      </w:r>
      <w:r w:rsidRPr="003E38B3" w:rsidDel="00750917">
        <w:t>by customers, investors, regulators or businesses</w:t>
      </w:r>
      <w:r w:rsidR="005067E4">
        <w:t>.</w:t>
      </w:r>
    </w:p>
    <w:p w:rsidR="00FC4F11" w:rsidRDefault="0044384A" w:rsidP="00DA176D">
      <w:r>
        <w:t xml:space="preserve">Potential reforms to </w:t>
      </w:r>
      <w:r w:rsidR="00750917">
        <w:t xml:space="preserve">these categories of business </w:t>
      </w:r>
      <w:r w:rsidR="003F60AF">
        <w:t xml:space="preserve">communication </w:t>
      </w:r>
      <w:r w:rsidR="00750917">
        <w:t xml:space="preserve">will be </w:t>
      </w:r>
      <w:r w:rsidR="00750917" w:rsidRPr="003E38B3">
        <w:t>a significant legislative</w:t>
      </w:r>
      <w:r w:rsidR="00FC4F11">
        <w:t xml:space="preserve"> </w:t>
      </w:r>
      <w:r w:rsidR="00750917" w:rsidRPr="003E38B3">
        <w:t xml:space="preserve">undertaking. </w:t>
      </w:r>
      <w:r w:rsidR="00750917">
        <w:t xml:space="preserve">Given this, it </w:t>
      </w:r>
      <w:r w:rsidR="005B6432">
        <w:t>will be</w:t>
      </w:r>
      <w:r w:rsidR="00750917">
        <w:t xml:space="preserve"> necessary to scope, prioritise and plan </w:t>
      </w:r>
      <w:r w:rsidR="00750917" w:rsidRPr="003E38B3">
        <w:t xml:space="preserve">a sequence of </w:t>
      </w:r>
      <w:r w:rsidR="003F60AF">
        <w:t>improvements</w:t>
      </w:r>
      <w:r w:rsidR="00750917" w:rsidRPr="003E38B3">
        <w:t xml:space="preserve">. </w:t>
      </w:r>
    </w:p>
    <w:p w:rsidR="005067E4" w:rsidRDefault="00FC4F11" w:rsidP="00200CB2">
      <w:pPr>
        <w:pStyle w:val="Heading3noTOC"/>
      </w:pPr>
      <w:r>
        <w:t>Corporations and Insolvency Reforms</w:t>
      </w:r>
    </w:p>
    <w:p w:rsidR="009A2875" w:rsidRDefault="009A2875" w:rsidP="00595095">
      <w:pPr>
        <w:pStyle w:val="Bullet"/>
        <w:numPr>
          <w:ilvl w:val="0"/>
          <w:numId w:val="0"/>
        </w:numPr>
        <w:jc w:val="both"/>
      </w:pPr>
      <w:r w:rsidRPr="009A2875">
        <w:t xml:space="preserve">The Government has </w:t>
      </w:r>
      <w:r w:rsidR="00B06985">
        <w:t>already sought stakeholder views on e</w:t>
      </w:r>
      <w:r w:rsidR="00B06985" w:rsidRPr="00B42108">
        <w:t>xposure draft legislation that makes permanent changes to the Corporations Act 2001 in relation to virtual meetings and electronic document execution.</w:t>
      </w:r>
      <w:r w:rsidR="00B06985">
        <w:t xml:space="preserve"> </w:t>
      </w:r>
      <w:r w:rsidR="00B06985" w:rsidRPr="00B42108">
        <w:t xml:space="preserve">The </w:t>
      </w:r>
      <w:r w:rsidR="00AB5E3F">
        <w:t xml:space="preserve">proposed </w:t>
      </w:r>
      <w:r w:rsidR="00B06985" w:rsidRPr="00B42108">
        <w:t>reforms make permanent the temporary relief</w:t>
      </w:r>
      <w:r w:rsidR="00DA08BF">
        <w:t xml:space="preserve"> </w:t>
      </w:r>
      <w:r w:rsidR="00DA08BF" w:rsidRPr="009A2875">
        <w:t>provided earlier this year</w:t>
      </w:r>
      <w:r w:rsidR="00DA08BF">
        <w:t xml:space="preserve"> </w:t>
      </w:r>
      <w:r w:rsidR="00DA08BF" w:rsidRPr="009A2875">
        <w:t>as part of</w:t>
      </w:r>
      <w:r w:rsidR="00DA08BF">
        <w:t xml:space="preserve"> the COVID</w:t>
      </w:r>
      <w:r w:rsidR="00DA176D">
        <w:noBreakHyphen/>
      </w:r>
      <w:r w:rsidR="00DA08BF">
        <w:t>19 economic response</w:t>
      </w:r>
      <w:r w:rsidR="00DA08BF" w:rsidRPr="009A2875">
        <w:rPr>
          <w:sz w:val="20"/>
          <w:vertAlign w:val="superscript"/>
        </w:rPr>
        <w:footnoteReference w:id="2"/>
      </w:r>
      <w:r w:rsidR="00B06985" w:rsidRPr="00B42108">
        <w:t>, which allows companies to hold meetings virtually, send meeting</w:t>
      </w:r>
      <w:r w:rsidR="00DA176D">
        <w:noBreakHyphen/>
      </w:r>
      <w:r w:rsidR="00B06985" w:rsidRPr="00B42108">
        <w:t>related materials electronically and validly execute documents electronically</w:t>
      </w:r>
      <w:r w:rsidR="00DA08BF">
        <w:t>.</w:t>
      </w:r>
      <w:r w:rsidR="00B06985" w:rsidRPr="00B42108">
        <w:t xml:space="preserve"> </w:t>
      </w:r>
      <w:r w:rsidRPr="009A2875">
        <w:t>Coupled with the proposed reforms to insolvency arrangements, these reforms cover the majority of Treasury portfolio legislation which places requirements on meetings involving entities.</w:t>
      </w:r>
    </w:p>
    <w:p w:rsidR="003C209B" w:rsidRPr="009A2875" w:rsidRDefault="003C209B" w:rsidP="00595095">
      <w:pPr>
        <w:jc w:val="both"/>
      </w:pPr>
      <w:r>
        <w:t>As such</w:t>
      </w:r>
      <w:r w:rsidR="00A91889">
        <w:t>,</w:t>
      </w:r>
      <w:r>
        <w:t xml:space="preserve"> meetings</w:t>
      </w:r>
      <w:r w:rsidR="001C14A7">
        <w:t xml:space="preserve">, communication of written materials in relation to these meetings and the valid execution of documents by companies under s127 of the </w:t>
      </w:r>
      <w:r w:rsidR="001C14A7">
        <w:rPr>
          <w:i/>
        </w:rPr>
        <w:t>Corporations Act 2001</w:t>
      </w:r>
      <w:r w:rsidDel="001C14A7">
        <w:rPr>
          <w:i/>
        </w:rPr>
        <w:t xml:space="preserve"> </w:t>
      </w:r>
      <w:r>
        <w:t xml:space="preserve">are not within scope of this consultation paper. </w:t>
      </w:r>
      <w:r w:rsidR="005E3D70">
        <w:t xml:space="preserve">The principles </w:t>
      </w:r>
      <w:r w:rsidR="00FC4F11">
        <w:t xml:space="preserve">that underpin </w:t>
      </w:r>
      <w:r w:rsidR="00DA08BF">
        <w:t>these reforms</w:t>
      </w:r>
      <w:r w:rsidR="00FC4F11">
        <w:t xml:space="preserve"> will </w:t>
      </w:r>
      <w:r w:rsidR="00DA08BF">
        <w:t>be considered for application across other Treasury portfolio laws, where appropriate.</w:t>
      </w:r>
    </w:p>
    <w:p w:rsidR="007A39CD" w:rsidRDefault="007A39CD" w:rsidP="00200CB2">
      <w:pPr>
        <w:pStyle w:val="Heading3noTOC"/>
      </w:pPr>
      <w:bookmarkStart w:id="153" w:name="_Toc57201861"/>
      <w:bookmarkStart w:id="154" w:name="_Toc57202764"/>
      <w:bookmarkStart w:id="155" w:name="_Toc54691006"/>
      <w:bookmarkStart w:id="156" w:name="_Toc54704380"/>
      <w:bookmarkStart w:id="157" w:name="_Toc54705629"/>
      <w:bookmarkStart w:id="158" w:name="_Toc54871983"/>
      <w:bookmarkStart w:id="159" w:name="_Toc54879320"/>
      <w:bookmarkStart w:id="160" w:name="_Toc55286640"/>
      <w:bookmarkStart w:id="161" w:name="_Toc55394100"/>
      <w:bookmarkStart w:id="162" w:name="_Toc55397479"/>
      <w:bookmarkStart w:id="163" w:name="_Toc55399886"/>
      <w:bookmarkStart w:id="164" w:name="_Toc55403008"/>
      <w:bookmarkStart w:id="165" w:name="_Toc55478110"/>
      <w:bookmarkStart w:id="166" w:name="_Toc57202501"/>
      <w:bookmarkEnd w:id="153"/>
      <w:bookmarkEnd w:id="154"/>
      <w:r>
        <w:t>An Evidenced</w:t>
      </w:r>
      <w:r w:rsidR="00DA176D">
        <w:noBreakHyphen/>
      </w:r>
      <w:r>
        <w:t>Based Approach to Prioritisation</w:t>
      </w:r>
      <w:bookmarkEnd w:id="155"/>
      <w:bookmarkEnd w:id="156"/>
      <w:bookmarkEnd w:id="157"/>
      <w:bookmarkEnd w:id="158"/>
      <w:bookmarkEnd w:id="159"/>
      <w:bookmarkEnd w:id="160"/>
      <w:bookmarkEnd w:id="161"/>
      <w:bookmarkEnd w:id="162"/>
      <w:bookmarkEnd w:id="163"/>
      <w:bookmarkEnd w:id="164"/>
      <w:bookmarkEnd w:id="165"/>
      <w:bookmarkEnd w:id="166"/>
    </w:p>
    <w:p w:rsidR="00073AF1" w:rsidRDefault="007A39CD" w:rsidP="00AE5461">
      <w:pPr>
        <w:jc w:val="both"/>
      </w:pPr>
      <w:r>
        <w:t xml:space="preserve">The Government </w:t>
      </w:r>
      <w:r w:rsidR="00BD4EB6">
        <w:t>intends</w:t>
      </w:r>
      <w:r>
        <w:t xml:space="preserve"> to prioritise </w:t>
      </w:r>
      <w:r w:rsidRPr="007A39CD">
        <w:t>reform</w:t>
      </w:r>
      <w:r>
        <w:t>s that</w:t>
      </w:r>
      <w:r w:rsidRPr="007A39CD">
        <w:t xml:space="preserve"> will </w:t>
      </w:r>
      <w:r w:rsidR="00BD4EB6">
        <w:t>help</w:t>
      </w:r>
      <w:r w:rsidR="00BD4EB6" w:rsidRPr="007A39CD">
        <w:t xml:space="preserve"> </w:t>
      </w:r>
      <w:r w:rsidR="003449B0">
        <w:t>businesses</w:t>
      </w:r>
      <w:r w:rsidRPr="007A39CD">
        <w:t xml:space="preserve"> to </w:t>
      </w:r>
      <w:r w:rsidR="00024802">
        <w:t>comply with regulation</w:t>
      </w:r>
      <w:r w:rsidRPr="007A39CD">
        <w:t xml:space="preserve"> more efficiently. </w:t>
      </w:r>
      <w:r w:rsidR="00073AF1">
        <w:t>P</w:t>
      </w:r>
      <w:r w:rsidR="00E4605E">
        <w:t>riority will be considered with regard to the</w:t>
      </w:r>
      <w:r w:rsidR="00073AF1">
        <w:t>:</w:t>
      </w:r>
    </w:p>
    <w:p w:rsidR="00073AF1" w:rsidRDefault="000458A3" w:rsidP="00AE5461">
      <w:pPr>
        <w:pStyle w:val="Bullet"/>
        <w:jc w:val="both"/>
      </w:pPr>
      <w:r>
        <w:t>c</w:t>
      </w:r>
      <w:r w:rsidR="00560DD6">
        <w:t>osts</w:t>
      </w:r>
      <w:r w:rsidR="00073AF1">
        <w:t xml:space="preserve"> of satisfying current regulatory requirements; and</w:t>
      </w:r>
    </w:p>
    <w:p w:rsidR="007A39CD" w:rsidRPr="007A39CD" w:rsidRDefault="000458A3" w:rsidP="00AE5461">
      <w:pPr>
        <w:pStyle w:val="Bullet"/>
        <w:jc w:val="both"/>
      </w:pPr>
      <w:r>
        <w:t xml:space="preserve">expected </w:t>
      </w:r>
      <w:r w:rsidR="00E4605E">
        <w:t xml:space="preserve">benefits of enabling technology neutrality after taking </w:t>
      </w:r>
      <w:r w:rsidR="00024802">
        <w:t xml:space="preserve">into </w:t>
      </w:r>
      <w:r w:rsidR="00E4605E">
        <w:t xml:space="preserve">account </w:t>
      </w:r>
      <w:r w:rsidR="00024802">
        <w:t xml:space="preserve">the </w:t>
      </w:r>
      <w:r w:rsidR="00E4605E">
        <w:t xml:space="preserve">risks </w:t>
      </w:r>
      <w:r w:rsidR="00024802">
        <w:t xml:space="preserve">of undermining </w:t>
      </w:r>
      <w:r w:rsidR="006D25E4">
        <w:t>the</w:t>
      </w:r>
      <w:r w:rsidR="00024802">
        <w:t xml:space="preserve"> </w:t>
      </w:r>
      <w:r w:rsidR="006D25E4">
        <w:t>relevant</w:t>
      </w:r>
      <w:r w:rsidR="00024802">
        <w:t xml:space="preserve"> policy objectives</w:t>
      </w:r>
      <w:r w:rsidR="00E4605E">
        <w:t>.</w:t>
      </w:r>
    </w:p>
    <w:p w:rsidR="00D6091B" w:rsidRDefault="00D6091B" w:rsidP="00200CB2">
      <w:pPr>
        <w:pStyle w:val="Heading3noTOC"/>
      </w:pPr>
      <w:bookmarkStart w:id="167" w:name="_Toc57191819"/>
      <w:bookmarkStart w:id="168" w:name="_Toc57194031"/>
      <w:bookmarkStart w:id="169" w:name="_Toc57200685"/>
      <w:bookmarkStart w:id="170" w:name="_Toc57201865"/>
      <w:bookmarkStart w:id="171" w:name="_Toc57202768"/>
      <w:bookmarkStart w:id="172" w:name="_Toc57191840"/>
      <w:bookmarkStart w:id="173" w:name="_Toc57194052"/>
      <w:bookmarkStart w:id="174" w:name="_Toc57200706"/>
      <w:bookmarkStart w:id="175" w:name="_Toc57201886"/>
      <w:bookmarkStart w:id="176" w:name="_Toc57202789"/>
      <w:bookmarkStart w:id="177" w:name="_Toc54691007"/>
      <w:bookmarkStart w:id="178" w:name="_Toc54704381"/>
      <w:bookmarkStart w:id="179" w:name="_Toc54705630"/>
      <w:bookmarkStart w:id="180" w:name="_Toc54871984"/>
      <w:bookmarkStart w:id="181" w:name="_Toc54879322"/>
      <w:bookmarkStart w:id="182" w:name="_Toc55286642"/>
      <w:bookmarkStart w:id="183" w:name="_Toc55394102"/>
      <w:bookmarkStart w:id="184" w:name="_Toc55397481"/>
      <w:bookmarkStart w:id="185" w:name="_Toc55399888"/>
      <w:bookmarkStart w:id="186" w:name="_Toc55403010"/>
      <w:bookmarkStart w:id="187" w:name="_Toc55478112"/>
      <w:bookmarkStart w:id="188" w:name="_Toc57202503"/>
      <w:bookmarkStart w:id="189" w:name="_Toc52374727"/>
      <w:bookmarkStart w:id="190" w:name="_Toc52374998"/>
      <w:bookmarkStart w:id="191" w:name="_Toc52443773"/>
      <w:bookmarkEnd w:id="167"/>
      <w:bookmarkEnd w:id="168"/>
      <w:bookmarkEnd w:id="169"/>
      <w:bookmarkEnd w:id="170"/>
      <w:bookmarkEnd w:id="171"/>
      <w:bookmarkEnd w:id="172"/>
      <w:bookmarkEnd w:id="173"/>
      <w:bookmarkEnd w:id="174"/>
      <w:bookmarkEnd w:id="175"/>
      <w:bookmarkEnd w:id="176"/>
      <w:r>
        <w:lastRenderedPageBreak/>
        <w:t xml:space="preserve">Next </w:t>
      </w:r>
      <w:r w:rsidR="00CE4477">
        <w:t>Steps</w:t>
      </w:r>
      <w:bookmarkEnd w:id="177"/>
      <w:bookmarkEnd w:id="178"/>
      <w:bookmarkEnd w:id="179"/>
      <w:bookmarkEnd w:id="180"/>
      <w:bookmarkEnd w:id="181"/>
      <w:bookmarkEnd w:id="182"/>
      <w:bookmarkEnd w:id="183"/>
      <w:bookmarkEnd w:id="184"/>
      <w:bookmarkEnd w:id="185"/>
      <w:bookmarkEnd w:id="186"/>
      <w:bookmarkEnd w:id="187"/>
      <w:bookmarkEnd w:id="188"/>
      <w:r>
        <w:t xml:space="preserve"> </w:t>
      </w:r>
    </w:p>
    <w:p w:rsidR="00F75C1D" w:rsidRDefault="00D6091B" w:rsidP="00AE5461">
      <w:pPr>
        <w:jc w:val="both"/>
      </w:pPr>
      <w:r>
        <w:t xml:space="preserve">You can respond to this consultation paper up </w:t>
      </w:r>
      <w:r w:rsidRPr="00646EAF">
        <w:t xml:space="preserve">until </w:t>
      </w:r>
      <w:r w:rsidR="00E46DF2">
        <w:t>2</w:t>
      </w:r>
      <w:r w:rsidR="00B23DDF" w:rsidRPr="00646EAF">
        <w:t xml:space="preserve">8 </w:t>
      </w:r>
      <w:r w:rsidR="00E46DF2">
        <w:t xml:space="preserve">February </w:t>
      </w:r>
      <w:r w:rsidRPr="00646EAF">
        <w:t>202</w:t>
      </w:r>
      <w:r w:rsidR="00B23DDF" w:rsidRPr="00646EAF">
        <w:t>1</w:t>
      </w:r>
      <w:r w:rsidRPr="00646EAF">
        <w:t>. When drafting your submission please</w:t>
      </w:r>
      <w:r w:rsidR="007D34C4" w:rsidRPr="00646EAF">
        <w:t xml:space="preserve"> note that you may answer all the discussion questions raised</w:t>
      </w:r>
      <w:r w:rsidR="007D34C4">
        <w:t xml:space="preserve"> or alternatively only the questions </w:t>
      </w:r>
      <w:r w:rsidR="00024802">
        <w:t xml:space="preserve">that are </w:t>
      </w:r>
      <w:r w:rsidR="007D34C4">
        <w:t>relevant to you. Once the consultation period has closed</w:t>
      </w:r>
      <w:r w:rsidR="00616AFB">
        <w:t>,</w:t>
      </w:r>
      <w:r w:rsidR="007D34C4">
        <w:t xml:space="preserve"> Treasury will develop </w:t>
      </w:r>
      <w:r w:rsidR="006D25E4">
        <w:t>advice</w:t>
      </w:r>
      <w:r w:rsidR="007D34C4">
        <w:t xml:space="preserve"> for </w:t>
      </w:r>
      <w:r w:rsidR="00F75C1D">
        <w:t>G</w:t>
      </w:r>
      <w:r w:rsidR="007D34C4">
        <w:t>overnment</w:t>
      </w:r>
      <w:r w:rsidR="00F75C1D">
        <w:t xml:space="preserve"> consideration</w:t>
      </w:r>
      <w:r w:rsidR="007D34C4">
        <w:t xml:space="preserve"> based on stakeholder feedback</w:t>
      </w:r>
      <w:r w:rsidR="00DA176D">
        <w:t xml:space="preserve">. </w:t>
      </w:r>
    </w:p>
    <w:p w:rsidR="00024802" w:rsidRDefault="00024802" w:rsidP="00AE5461">
      <w:pPr>
        <w:jc w:val="both"/>
      </w:pPr>
      <w:r>
        <w:t>Submissions will be treated as public and may be published on the Treasury website, unless you specifically identify that you do not wish your submission to be made public.</w:t>
      </w:r>
    </w:p>
    <w:p w:rsidR="000458A3" w:rsidRDefault="000458A3" w:rsidP="005B3736"/>
    <w:p w:rsidR="000458A3" w:rsidRDefault="000458A3">
      <w:pPr>
        <w:spacing w:before="0" w:after="160" w:line="259" w:lineRule="auto"/>
      </w:pPr>
      <w:r>
        <w:br w:type="page"/>
      </w:r>
    </w:p>
    <w:p w:rsidR="00A353EC" w:rsidRPr="003E38B3" w:rsidRDefault="000458A3" w:rsidP="0077769C">
      <w:pPr>
        <w:pStyle w:val="Heading2"/>
        <w:tabs>
          <w:tab w:val="clear" w:pos="1080"/>
        </w:tabs>
      </w:pPr>
      <w:bookmarkStart w:id="192" w:name="_Toc54691011"/>
      <w:bookmarkStart w:id="193" w:name="_Toc54704385"/>
      <w:bookmarkStart w:id="194" w:name="_Toc54705634"/>
      <w:bookmarkStart w:id="195" w:name="_Toc54871989"/>
      <w:bookmarkStart w:id="196" w:name="_Toc54879327"/>
      <w:bookmarkStart w:id="197" w:name="_Toc55286647"/>
      <w:bookmarkStart w:id="198" w:name="_Toc55394105"/>
      <w:bookmarkStart w:id="199" w:name="_Toc55397485"/>
      <w:bookmarkStart w:id="200" w:name="_Toc55399892"/>
      <w:bookmarkStart w:id="201" w:name="_Toc55403011"/>
      <w:bookmarkStart w:id="202" w:name="_Toc55478114"/>
      <w:bookmarkStart w:id="203" w:name="_Toc57202505"/>
      <w:bookmarkStart w:id="204" w:name="_Toc57209921"/>
      <w:bookmarkStart w:id="205" w:name="_Toc57215202"/>
      <w:bookmarkStart w:id="206" w:name="_Toc59021131"/>
      <w:bookmarkStart w:id="207" w:name="_Toc53062206"/>
      <w:bookmarkStart w:id="208" w:name="_Toc52374731"/>
      <w:bookmarkStart w:id="209" w:name="_Toc52375002"/>
      <w:bookmarkStart w:id="210" w:name="_Toc52443777"/>
      <w:bookmarkEnd w:id="189"/>
      <w:bookmarkEnd w:id="190"/>
      <w:bookmarkEnd w:id="191"/>
      <w:r>
        <w:lastRenderedPageBreak/>
        <w:t>W</w:t>
      </w:r>
      <w:r w:rsidR="00A353EC" w:rsidRPr="003E38B3">
        <w:t>ritten Communication</w:t>
      </w:r>
      <w:r w:rsidR="00F92B9D">
        <w:t xml:space="preserve"> with </w:t>
      </w:r>
      <w:r w:rsidR="009F16A3">
        <w:t>Stakeholders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A353EC" w:rsidRDefault="003F4C0B" w:rsidP="00236BD7">
      <w:pPr>
        <w:jc w:val="both"/>
      </w:pPr>
      <w:r>
        <w:t xml:space="preserve">There are laws that require </w:t>
      </w:r>
      <w:r w:rsidR="00A353EC">
        <w:t>businesses to provide written information to their customers</w:t>
      </w:r>
      <w:r w:rsidR="009F16A3">
        <w:t>,</w:t>
      </w:r>
      <w:r w:rsidR="00A353EC">
        <w:t xml:space="preserve"> </w:t>
      </w:r>
      <w:r w:rsidR="0041023A">
        <w:t xml:space="preserve">shareholders </w:t>
      </w:r>
      <w:r w:rsidR="00F22D81">
        <w:t>and other stakeholders</w:t>
      </w:r>
      <w:r>
        <w:t xml:space="preserve">. These laws may </w:t>
      </w:r>
      <w:r w:rsidR="001C7BB3">
        <w:t>impose</w:t>
      </w:r>
      <w:r>
        <w:t xml:space="preserve"> limitations on the technologies that may be used to provide that information</w:t>
      </w:r>
      <w:r w:rsidR="00A353EC">
        <w:t xml:space="preserve">. </w:t>
      </w:r>
      <w:r w:rsidR="009F16A3">
        <w:t>R</w:t>
      </w:r>
      <w:r w:rsidR="00A353EC">
        <w:t>equirements may relate to, for example, product disclosure</w:t>
      </w:r>
      <w:r w:rsidR="006D25E4">
        <w:t>s</w:t>
      </w:r>
      <w:r w:rsidR="00A353EC">
        <w:t>, reports, notices and meeting materials</w:t>
      </w:r>
      <w:r w:rsidR="006D25E4">
        <w:t>.</w:t>
      </w:r>
      <w:r w:rsidR="00A353EC">
        <w:t xml:space="preserve"> </w:t>
      </w:r>
      <w:r w:rsidR="006D25E4">
        <w:t>T</w:t>
      </w:r>
      <w:r w:rsidR="00A353EC">
        <w:t xml:space="preserve">echnology limitations may </w:t>
      </w:r>
      <w:r>
        <w:t xml:space="preserve">include </w:t>
      </w:r>
      <w:r w:rsidR="001C7BB3">
        <w:t>requirements to provide</w:t>
      </w:r>
      <w:r w:rsidR="00A353EC">
        <w:t xml:space="preserve"> hard copy materials. </w:t>
      </w:r>
      <w:r w:rsidR="001C7BB3" w:rsidRPr="001C7BB3">
        <w:t xml:space="preserve">While the ETA often allows such requirements to be satisfied by electronic means, it </w:t>
      </w:r>
      <w:r w:rsidR="00D73624">
        <w:t xml:space="preserve">requires the consent (which can be implied) of the recipient. The ETA </w:t>
      </w:r>
      <w:r w:rsidR="001C7BB3" w:rsidRPr="001C7BB3">
        <w:t>does not</w:t>
      </w:r>
      <w:r w:rsidR="00D73624">
        <w:t xml:space="preserve"> currently</w:t>
      </w:r>
      <w:r w:rsidR="001C7BB3" w:rsidRPr="001C7BB3">
        <w:t xml:space="preserve"> apply to</w:t>
      </w:r>
      <w:r w:rsidR="001C7BB3" w:rsidRPr="001C7BB3" w:rsidDel="00D330F0">
        <w:t xml:space="preserve"> </w:t>
      </w:r>
      <w:r w:rsidR="00D330F0">
        <w:t>some</w:t>
      </w:r>
      <w:r w:rsidR="00D330F0" w:rsidRPr="001C7BB3">
        <w:t xml:space="preserve"> </w:t>
      </w:r>
      <w:r w:rsidR="001C7BB3" w:rsidRPr="001C7BB3">
        <w:t>laws in the Treasury portfolio</w:t>
      </w:r>
      <w:r w:rsidR="004A65BA">
        <w:t xml:space="preserve"> as these have been exempted from </w:t>
      </w:r>
      <w:r w:rsidR="006D25E4">
        <w:t xml:space="preserve">its </w:t>
      </w:r>
      <w:r w:rsidR="004A65BA">
        <w:t>application. The exempted laws</w:t>
      </w:r>
      <w:r w:rsidR="001C7BB3" w:rsidRPr="001C7BB3">
        <w:t xml:space="preserve"> </w:t>
      </w:r>
      <w:r w:rsidR="004A65BA" w:rsidRPr="001C7BB3">
        <w:t>includ</w:t>
      </w:r>
      <w:r w:rsidR="004A65BA">
        <w:t xml:space="preserve">e </w:t>
      </w:r>
      <w:r w:rsidR="001C7BB3" w:rsidRPr="001C7BB3">
        <w:t xml:space="preserve">the </w:t>
      </w:r>
      <w:r w:rsidR="001C7BB3" w:rsidRPr="001C7BB3">
        <w:rPr>
          <w:i/>
        </w:rPr>
        <w:t>Corporations Act 2001</w:t>
      </w:r>
      <w:r w:rsidR="001C7BB3" w:rsidRPr="001C7BB3">
        <w:t xml:space="preserve"> and most of the </w:t>
      </w:r>
      <w:r w:rsidR="001C7BB3" w:rsidRPr="001C7BB3">
        <w:rPr>
          <w:i/>
        </w:rPr>
        <w:t>Superannuation Industry (Supervision) Act 1993</w:t>
      </w:r>
      <w:r w:rsidR="001C7BB3" w:rsidRPr="001C7BB3">
        <w:t>.</w:t>
      </w:r>
    </w:p>
    <w:p w:rsidR="00616AFB" w:rsidRDefault="00A353EC" w:rsidP="00236BD7">
      <w:pPr>
        <w:jc w:val="both"/>
      </w:pPr>
      <w:r>
        <w:t xml:space="preserve">The Government has begun the process of making </w:t>
      </w:r>
      <w:r w:rsidR="003319C2">
        <w:t>technology neutral</w:t>
      </w:r>
      <w:r>
        <w:t xml:space="preserve"> requirements in </w:t>
      </w:r>
      <w:r w:rsidR="003319C2">
        <w:t xml:space="preserve">the </w:t>
      </w:r>
      <w:r w:rsidR="003319C2">
        <w:rPr>
          <w:i/>
        </w:rPr>
        <w:t>Corporations Act 2001</w:t>
      </w:r>
      <w:r w:rsidR="003319C2">
        <w:t xml:space="preserve"> in</w:t>
      </w:r>
      <w:r>
        <w:t xml:space="preserve"> </w:t>
      </w:r>
      <w:r w:rsidR="003319C2">
        <w:t xml:space="preserve">relation to the </w:t>
      </w:r>
      <w:r w:rsidR="00575900">
        <w:t>execution of company documents</w:t>
      </w:r>
      <w:r>
        <w:t xml:space="preserve"> </w:t>
      </w:r>
      <w:r w:rsidR="003319C2">
        <w:t>and other documents relating to a meeting, as well as documents relating to the external administration of a company</w:t>
      </w:r>
      <w:r>
        <w:t xml:space="preserve">. </w:t>
      </w:r>
      <w:r w:rsidRPr="00064A53">
        <w:t>Earlier this year, the Government provided temporary relief allowing companies and registered schemes to use technology to send out meeting materials, as part of the COVID</w:t>
      </w:r>
      <w:r w:rsidR="00DA176D">
        <w:noBreakHyphen/>
      </w:r>
      <w:r w:rsidRPr="00064A53">
        <w:t>19 economic response.</w:t>
      </w:r>
      <w:r w:rsidRPr="00D346C3">
        <w:rPr>
          <w:vertAlign w:val="superscript"/>
        </w:rPr>
        <w:footnoteReference w:id="3"/>
      </w:r>
      <w:r>
        <w:t xml:space="preserve"> </w:t>
      </w:r>
    </w:p>
    <w:p w:rsidR="00D346C3" w:rsidRDefault="00A353EC" w:rsidP="00236BD7">
      <w:pPr>
        <w:jc w:val="both"/>
      </w:pPr>
      <w:r w:rsidRPr="00064A53">
        <w:t xml:space="preserve">The Government </w:t>
      </w:r>
      <w:r w:rsidR="00575900">
        <w:t xml:space="preserve">is also progressing </w:t>
      </w:r>
      <w:r w:rsidRPr="00064A53">
        <w:t xml:space="preserve">permanent amendments </w:t>
      </w:r>
      <w:r w:rsidR="00F22D81">
        <w:t xml:space="preserve">related to </w:t>
      </w:r>
      <w:r w:rsidRPr="00064A53">
        <w:t xml:space="preserve">meeting materials </w:t>
      </w:r>
      <w:r w:rsidR="003319C2">
        <w:t>and documents relating to the external administration of a company</w:t>
      </w:r>
      <w:r w:rsidRPr="00064A53">
        <w:t xml:space="preserve"> in Chapters 2G and 5 of the </w:t>
      </w:r>
      <w:r w:rsidRPr="00064A53">
        <w:rPr>
          <w:i/>
        </w:rPr>
        <w:t>Corporations Act 2001</w:t>
      </w:r>
      <w:r w:rsidRPr="00064A53">
        <w:t>.</w:t>
      </w:r>
      <w:r w:rsidR="00C81FB6" w:rsidRPr="00D346C3">
        <w:rPr>
          <w:vertAlign w:val="superscript"/>
        </w:rPr>
        <w:footnoteReference w:id="4"/>
      </w:r>
      <w:r w:rsidRPr="00064A53">
        <w:t xml:space="preserve"> The Government also removed a number of exemptions </w:t>
      </w:r>
      <w:r w:rsidR="004A65BA">
        <w:t>to</w:t>
      </w:r>
      <w:r w:rsidR="00201DCA">
        <w:t xml:space="preserve"> </w:t>
      </w:r>
      <w:r w:rsidR="00D346C3" w:rsidRPr="00D346C3">
        <w:t>the ETA in order to facilitate the use of electronic communications</w:t>
      </w:r>
      <w:r w:rsidR="009F16A3">
        <w:t>.</w:t>
      </w:r>
    </w:p>
    <w:p w:rsidR="00A353EC" w:rsidRPr="003E38B3" w:rsidRDefault="00A353EC" w:rsidP="00200CB2">
      <w:pPr>
        <w:pStyle w:val="Heading3"/>
      </w:pPr>
      <w:bookmarkStart w:id="211" w:name="_Toc55400594"/>
      <w:bookmarkStart w:id="212" w:name="_Toc55403012"/>
      <w:bookmarkStart w:id="213" w:name="_Toc54691012"/>
      <w:bookmarkStart w:id="214" w:name="_Toc54704386"/>
      <w:bookmarkStart w:id="215" w:name="_Toc54705635"/>
      <w:bookmarkStart w:id="216" w:name="_Toc54871990"/>
      <w:bookmarkStart w:id="217" w:name="_Toc54879328"/>
      <w:bookmarkStart w:id="218" w:name="_Toc55286648"/>
      <w:bookmarkStart w:id="219" w:name="_Toc55380985"/>
      <w:bookmarkStart w:id="220" w:name="_Toc55394107"/>
      <w:bookmarkStart w:id="221" w:name="_Toc55397486"/>
      <w:bookmarkStart w:id="222" w:name="_Toc55399893"/>
      <w:bookmarkStart w:id="223" w:name="_Toc55478115"/>
      <w:bookmarkStart w:id="224" w:name="_Toc57202506"/>
      <w:bookmarkStart w:id="225" w:name="_Toc57209922"/>
      <w:bookmarkStart w:id="226" w:name="_Toc57215203"/>
      <w:bookmarkStart w:id="227" w:name="_Toc59021132"/>
      <w:bookmarkEnd w:id="211"/>
      <w:r w:rsidRPr="003E38B3">
        <w:t>Policy Goals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A353EC" w:rsidRDefault="00A353EC" w:rsidP="00F119B1">
      <w:pPr>
        <w:jc w:val="both"/>
      </w:pPr>
      <w:r>
        <w:t>The</w:t>
      </w:r>
      <w:r w:rsidDel="00E31E62">
        <w:t xml:space="preserve"> </w:t>
      </w:r>
      <w:r>
        <w:t>policy goal of requiring businesses to provide information in writing is to:</w:t>
      </w:r>
    </w:p>
    <w:p w:rsidR="00A353EC" w:rsidRDefault="0041023A" w:rsidP="00F119B1">
      <w:pPr>
        <w:pStyle w:val="Bullet"/>
        <w:jc w:val="both"/>
      </w:pPr>
      <w:r>
        <w:t>h</w:t>
      </w:r>
      <w:r w:rsidR="00560DD6">
        <w:t>elp</w:t>
      </w:r>
      <w:r w:rsidR="00AB18EA">
        <w:t xml:space="preserve"> </w:t>
      </w:r>
      <w:r w:rsidR="00A353EC">
        <w:t xml:space="preserve">stakeholders </w:t>
      </w:r>
      <w:r w:rsidR="00502A1C">
        <w:t>mak</w:t>
      </w:r>
      <w:r w:rsidR="00C70730">
        <w:t>e</w:t>
      </w:r>
      <w:r w:rsidR="00A353EC">
        <w:t xml:space="preserve"> informed decisions about the</w:t>
      </w:r>
      <w:r w:rsidR="00930A69">
        <w:t>ir interests</w:t>
      </w:r>
      <w:r w:rsidR="00DA176D">
        <w:t xml:space="preserve"> — </w:t>
      </w:r>
      <w:r w:rsidR="00A353EC">
        <w:t>for example, whether to buy or sell their interests</w:t>
      </w:r>
      <w:r w:rsidR="00A1356E">
        <w:t xml:space="preserve"> in a company</w:t>
      </w:r>
      <w:r w:rsidR="00A353EC">
        <w:t>; and</w:t>
      </w:r>
    </w:p>
    <w:p w:rsidR="00A353EC" w:rsidRDefault="0041023A" w:rsidP="00F119B1">
      <w:pPr>
        <w:pStyle w:val="Bullet"/>
        <w:jc w:val="both"/>
      </w:pPr>
      <w:r>
        <w:t xml:space="preserve">substantiate </w:t>
      </w:r>
      <w:r w:rsidR="00A353EC">
        <w:t xml:space="preserve">the legal rights and obligations of the business and their stakeholders, by ensuring that information is provided in </w:t>
      </w:r>
      <w:r w:rsidR="00452D10">
        <w:t>a verifiable form that can be retained</w:t>
      </w:r>
      <w:r w:rsidR="00A353EC">
        <w:t>.</w:t>
      </w:r>
    </w:p>
    <w:p w:rsidR="007967C9" w:rsidRDefault="00A1356E" w:rsidP="00F119B1">
      <w:pPr>
        <w:jc w:val="both"/>
      </w:pPr>
      <w:r>
        <w:t xml:space="preserve">These policy goals </w:t>
      </w:r>
      <w:r w:rsidR="00452D10">
        <w:t xml:space="preserve">have often been </w:t>
      </w:r>
      <w:r>
        <w:t xml:space="preserve">achieved by </w:t>
      </w:r>
      <w:r w:rsidR="00A353EC">
        <w:t>mandating p</w:t>
      </w:r>
      <w:r>
        <w:t>rovision</w:t>
      </w:r>
      <w:r w:rsidR="00A353EC">
        <w:t xml:space="preserve"> of a hard copy </w:t>
      </w:r>
      <w:r w:rsidR="00F22D81">
        <w:t>d</w:t>
      </w:r>
      <w:r w:rsidR="00EA2A03">
        <w:t xml:space="preserve">ocument </w:t>
      </w:r>
      <w:r w:rsidR="00A353EC">
        <w:t xml:space="preserve">to a physical address, </w:t>
      </w:r>
      <w:r>
        <w:t>which</w:t>
      </w:r>
      <w:r w:rsidR="00A353EC">
        <w:t xml:space="preserve"> generally ensure</w:t>
      </w:r>
      <w:r>
        <w:t>d</w:t>
      </w:r>
      <w:r w:rsidR="00A353EC">
        <w:t xml:space="preserve"> that stakeholders </w:t>
      </w:r>
      <w:r>
        <w:t>received the required information in a verifiable form that could be</w:t>
      </w:r>
      <w:r w:rsidR="00575900">
        <w:t xml:space="preserve"> used and</w:t>
      </w:r>
      <w:r>
        <w:t xml:space="preserve"> retained</w:t>
      </w:r>
      <w:r w:rsidR="00A353EC">
        <w:t>.</w:t>
      </w:r>
      <w:r w:rsidR="007967C9">
        <w:t xml:space="preserve"> </w:t>
      </w:r>
      <w:r w:rsidR="00452D10">
        <w:t>D</w:t>
      </w:r>
      <w:r w:rsidR="007967C9">
        <w:t xml:space="preserve">evelopments in digital technology and practices means that it </w:t>
      </w:r>
      <w:r w:rsidR="00A353EC">
        <w:t>is no</w:t>
      </w:r>
      <w:r w:rsidR="007967C9">
        <w:t xml:space="preserve"> longer</w:t>
      </w:r>
      <w:r w:rsidR="00A353EC">
        <w:t xml:space="preserve"> necessary for businesses to post hard copies of </w:t>
      </w:r>
      <w:r>
        <w:t xml:space="preserve">documents to all stakeholders </w:t>
      </w:r>
      <w:r w:rsidR="00A353EC">
        <w:t xml:space="preserve">to achieve these outcomes. </w:t>
      </w:r>
      <w:r>
        <w:t xml:space="preserve">Instead, </w:t>
      </w:r>
      <w:r w:rsidR="001918FF">
        <w:t xml:space="preserve">it is now generally effective and convenient for documents to be provided electronically. </w:t>
      </w:r>
    </w:p>
    <w:p w:rsidR="007967C9" w:rsidRDefault="00EA2A03" w:rsidP="00F119B1">
      <w:pPr>
        <w:jc w:val="both"/>
      </w:pPr>
      <w:r>
        <w:t>More tech</w:t>
      </w:r>
      <w:r w:rsidR="00935A9F">
        <w:t>nology</w:t>
      </w:r>
      <w:r>
        <w:t xml:space="preserve"> neutral laws would</w:t>
      </w:r>
      <w:r w:rsidR="007967C9">
        <w:t xml:space="preserve"> remove regulatory barriers to sending out </w:t>
      </w:r>
      <w:r w:rsidR="00DF5D04">
        <w:t xml:space="preserve">electronic </w:t>
      </w:r>
      <w:r w:rsidR="00575900">
        <w:t>communications</w:t>
      </w:r>
      <w:r w:rsidR="007967C9">
        <w:t>, while ensuring</w:t>
      </w:r>
      <w:r w:rsidR="001918FF">
        <w:t xml:space="preserve"> </w:t>
      </w:r>
      <w:r w:rsidR="007967C9">
        <w:t xml:space="preserve">that stakeholders are able to access relevant information </w:t>
      </w:r>
      <w:r w:rsidR="00BA6BC0">
        <w:t xml:space="preserve">to </w:t>
      </w:r>
      <w:r w:rsidR="00EA4D52">
        <w:t>ensur</w:t>
      </w:r>
      <w:r w:rsidR="00BA6BC0">
        <w:t>e</w:t>
      </w:r>
      <w:r w:rsidR="00EA4D52">
        <w:t xml:space="preserve"> they can make informed </w:t>
      </w:r>
      <w:r>
        <w:t xml:space="preserve">decisions </w:t>
      </w:r>
      <w:r w:rsidR="001918FF">
        <w:t>and that the entity</w:t>
      </w:r>
      <w:r w:rsidR="00EA4D52">
        <w:t xml:space="preserve"> meets its regulatory obligations</w:t>
      </w:r>
      <w:r w:rsidR="00DA176D">
        <w:t xml:space="preserve">. </w:t>
      </w:r>
    </w:p>
    <w:tbl>
      <w:tblPr>
        <w:tblStyle w:val="TableGrid"/>
        <w:tblW w:w="0" w:type="auto"/>
        <w:tblLook w:val="04A0" w:firstRow="1" w:lastRow="0" w:firstColumn="1" w:lastColumn="0" w:noHBand="0" w:noVBand="1"/>
      </w:tblPr>
      <w:tblGrid>
        <w:gridCol w:w="9070"/>
      </w:tblGrid>
      <w:tr w:rsidR="00DA176D" w:rsidTr="00DA176D">
        <w:tc>
          <w:tcPr>
            <w:tcW w:w="9070" w:type="dxa"/>
          </w:tcPr>
          <w:p w:rsidR="00DA176D" w:rsidRPr="003D5B42" w:rsidRDefault="00DA176D" w:rsidP="00DA176D">
            <w:pPr>
              <w:pStyle w:val="BoxHeading"/>
            </w:pPr>
            <w:r w:rsidRPr="003D5B42">
              <w:lastRenderedPageBreak/>
              <w:t>Examples</w:t>
            </w:r>
          </w:p>
          <w:p w:rsidR="00DA176D" w:rsidRPr="00DA176D" w:rsidRDefault="00DA176D" w:rsidP="00DA176D">
            <w:pPr>
              <w:pStyle w:val="BoxHeading2"/>
            </w:pPr>
            <w:r w:rsidRPr="00DA176D">
              <w:t>Notifications</w:t>
            </w:r>
          </w:p>
          <w:p w:rsidR="00DA176D" w:rsidRDefault="00DA176D" w:rsidP="00DA176D">
            <w:pPr>
              <w:pStyle w:val="BoxText"/>
            </w:pPr>
            <w:r w:rsidRPr="003D5B42">
              <w:t xml:space="preserve">Changes to laws could provide for </w:t>
            </w:r>
            <w:r w:rsidRPr="00B469B0">
              <w:t>notifications</w:t>
            </w:r>
            <w:r w:rsidRPr="003D5B42">
              <w:t xml:space="preserve"> to be sent via text message or mobile application</w:t>
            </w:r>
            <w:r w:rsidRPr="00B469B0">
              <w:t xml:space="preserve"> to </w:t>
            </w:r>
            <w:r w:rsidRPr="003D5B42">
              <w:t>direct stakeholders</w:t>
            </w:r>
            <w:r w:rsidRPr="00B469B0">
              <w:t xml:space="preserve"> to generic online content </w:t>
            </w:r>
            <w:r w:rsidRPr="003D5B42" w:rsidDel="004555DD">
              <w:t>and</w:t>
            </w:r>
            <w:r w:rsidRPr="003D5B42">
              <w:t>/or</w:t>
            </w:r>
            <w:r w:rsidRPr="00B469B0">
              <w:t xml:space="preserve"> </w:t>
            </w:r>
            <w:r w:rsidRPr="003D5B42">
              <w:t>notify of information</w:t>
            </w:r>
            <w:r w:rsidRPr="00B469B0">
              <w:t xml:space="preserve"> </w:t>
            </w:r>
            <w:r w:rsidRPr="003D5B42">
              <w:t>provided via</w:t>
            </w:r>
            <w:r w:rsidRPr="00B469B0">
              <w:t xml:space="preserve"> email</w:t>
            </w:r>
            <w:r w:rsidRPr="003D5B42">
              <w:t>.</w:t>
            </w:r>
          </w:p>
          <w:p w:rsidR="00DA176D" w:rsidRPr="00DA176D" w:rsidRDefault="00DA176D" w:rsidP="00DA176D">
            <w:pPr>
              <w:pStyle w:val="BoxHeading2"/>
            </w:pPr>
            <w:r w:rsidRPr="00DA176D">
              <w:t>Publishing notices in newspapers</w:t>
            </w:r>
          </w:p>
          <w:p w:rsidR="00DA176D" w:rsidRDefault="00DA176D" w:rsidP="00DA176D">
            <w:pPr>
              <w:pStyle w:val="BoxText"/>
            </w:pPr>
            <w:r>
              <w:t>There are some provisions in Treasury laws that require businesses to publish notices in a newspaper or other publications. Since these laws were introduced, there have been material shifts in the way news is consumed, which leads to questions about the effectiveness of this requirement.</w:t>
            </w:r>
          </w:p>
          <w:p w:rsidR="00DA176D" w:rsidRPr="00C249A5" w:rsidRDefault="00DA176D" w:rsidP="00DA176D">
            <w:pPr>
              <w:pStyle w:val="BoxText"/>
            </w:pPr>
            <w:r>
              <w:t>A policy objective of publishing material in newspapers is to provide transparency to the general public on matters of importance in a convenient way. Some jurisdictions have shifted to utilising public registers to replace requirements to publish materials in newspapers. We are interested in stakeholder feedback on what publishing requirements are particularly cumbersome and what alternate options could be explored.</w:t>
            </w:r>
          </w:p>
          <w:p w:rsidR="00DA176D" w:rsidRDefault="00DA176D" w:rsidP="00F119B1"/>
        </w:tc>
      </w:tr>
    </w:tbl>
    <w:p w:rsidR="00DA176D" w:rsidRDefault="00DA176D" w:rsidP="009B042D">
      <w:pPr>
        <w:pStyle w:val="SingleParagraph"/>
      </w:pPr>
    </w:p>
    <w:p w:rsidR="00A353EC" w:rsidRDefault="00A353EC" w:rsidP="00200CB2">
      <w:pPr>
        <w:pStyle w:val="Heading3"/>
      </w:pPr>
      <w:bookmarkStart w:id="228" w:name="_Toc54691013"/>
      <w:bookmarkStart w:id="229" w:name="_Toc54704387"/>
      <w:bookmarkStart w:id="230" w:name="_Toc54705636"/>
      <w:bookmarkStart w:id="231" w:name="_Toc54871991"/>
      <w:bookmarkStart w:id="232" w:name="_Toc54879329"/>
      <w:bookmarkStart w:id="233" w:name="_Toc55286649"/>
      <w:bookmarkStart w:id="234" w:name="_Toc55380986"/>
      <w:bookmarkStart w:id="235" w:name="_Toc55394108"/>
      <w:bookmarkStart w:id="236" w:name="_Toc55397487"/>
      <w:bookmarkStart w:id="237" w:name="_Toc55399894"/>
      <w:bookmarkStart w:id="238" w:name="_Toc55403013"/>
      <w:bookmarkStart w:id="239" w:name="_Toc55478116"/>
      <w:bookmarkStart w:id="240" w:name="_Toc57202507"/>
      <w:bookmarkStart w:id="241" w:name="_Toc57209923"/>
      <w:bookmarkStart w:id="242" w:name="_Toc57215204"/>
      <w:bookmarkStart w:id="243" w:name="_Toc59021133"/>
      <w:r>
        <w:t>Proposed Principles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6D25E4" w:rsidRDefault="00A353EC" w:rsidP="00AE5461">
      <w:pPr>
        <w:jc w:val="both"/>
      </w:pPr>
      <w:r>
        <w:t xml:space="preserve">As a starting point, </w:t>
      </w:r>
      <w:r w:rsidR="00543CBE" w:rsidRPr="00543CBE">
        <w:t>the Government is proposing to adopt technology neutrality in how business</w:t>
      </w:r>
      <w:r w:rsidR="00543CBE">
        <w:t>es</w:t>
      </w:r>
      <w:r w:rsidR="00543CBE" w:rsidRPr="00543CBE">
        <w:t xml:space="preserve"> meet legal requirements to provide written information to their customers, </w:t>
      </w:r>
      <w:r w:rsidR="00F27AA0">
        <w:t>shareholders</w:t>
      </w:r>
      <w:r w:rsidR="00543CBE" w:rsidRPr="00543CBE">
        <w:t xml:space="preserve"> and other stakeholders unless policy objectives are best achieve</w:t>
      </w:r>
      <w:r w:rsidR="00543CBE">
        <w:t>d by limiting technology choice.</w:t>
      </w:r>
    </w:p>
    <w:p w:rsidR="006D25E4" w:rsidRDefault="006D25E4" w:rsidP="00AE5461">
      <w:pPr>
        <w:jc w:val="both"/>
      </w:pPr>
      <w:r>
        <w:t>Where a default method is not specified in the law, it is intended that any technology may be used to communicate in writing provided that:</w:t>
      </w:r>
    </w:p>
    <w:p w:rsidR="006D25E4" w:rsidRDefault="006D25E4" w:rsidP="00AE5461">
      <w:pPr>
        <w:pStyle w:val="Bullet"/>
        <w:jc w:val="both"/>
      </w:pPr>
      <w:r>
        <w:t xml:space="preserve">the sender is assured the recipient can access the information; and </w:t>
      </w:r>
    </w:p>
    <w:p w:rsidR="006D25E4" w:rsidRDefault="006D25E4" w:rsidP="00AE5461">
      <w:pPr>
        <w:pStyle w:val="Bullet"/>
        <w:jc w:val="both"/>
      </w:pPr>
      <w:r>
        <w:t xml:space="preserve">the information can be stored by the sender and receiver in a way that it can be readily accessed and reusable for subsequent reference. </w:t>
      </w:r>
    </w:p>
    <w:p w:rsidR="006D25E4" w:rsidRDefault="006D25E4" w:rsidP="00AE5461">
      <w:pPr>
        <w:jc w:val="both"/>
      </w:pPr>
      <w:r w:rsidRPr="008441C0">
        <w:t xml:space="preserve">This will allow for entities to choose a default means of providing </w:t>
      </w:r>
      <w:r w:rsidR="00DA176D">
        <w:t>‘</w:t>
      </w:r>
      <w:r w:rsidRPr="008441C0">
        <w:t>in writing</w:t>
      </w:r>
      <w:r w:rsidR="00DA176D">
        <w:t>’</w:t>
      </w:r>
      <w:r w:rsidRPr="008441C0">
        <w:t xml:space="preserve"> communications that is appr</w:t>
      </w:r>
      <w:r>
        <w:t>opriate to their circumstances and will allow</w:t>
      </w:r>
      <w:r w:rsidRPr="008441C0">
        <w:t xml:space="preserve"> recipients to receive information in other formats (such as paper) where digital formats are not practical.</w:t>
      </w:r>
      <w:r w:rsidR="00543CBE">
        <w:t xml:space="preserve"> </w:t>
      </w:r>
    </w:p>
    <w:p w:rsidR="00F87973" w:rsidRDefault="00F05D0B" w:rsidP="00AE5461">
      <w:pPr>
        <w:jc w:val="both"/>
      </w:pPr>
      <w:r>
        <w:t>In considering how to achieve technology neutrality</w:t>
      </w:r>
      <w:r w:rsidR="006D25E4">
        <w:t>,</w:t>
      </w:r>
      <w:r>
        <w:t xml:space="preserve"> </w:t>
      </w:r>
      <w:r w:rsidR="00AB18EA">
        <w:t>one option is to</w:t>
      </w:r>
      <w:r w:rsidR="00F87973">
        <w:t xml:space="preserve"> remov</w:t>
      </w:r>
      <w:r w:rsidR="00AB18EA">
        <w:t>e</w:t>
      </w:r>
      <w:r w:rsidR="00F87973" w:rsidDel="00AB18EA">
        <w:t xml:space="preserve"> </w:t>
      </w:r>
      <w:r w:rsidR="00F87973">
        <w:t xml:space="preserve">exemptions </w:t>
      </w:r>
      <w:r w:rsidR="00D73624">
        <w:t xml:space="preserve">in the </w:t>
      </w:r>
      <w:r w:rsidR="00D73624" w:rsidRPr="00C42710">
        <w:rPr>
          <w:i/>
        </w:rPr>
        <w:t>Electronic Transactions Regulations 2020</w:t>
      </w:r>
      <w:r w:rsidR="00F87973">
        <w:rPr>
          <w:i/>
        </w:rPr>
        <w:t xml:space="preserve"> </w:t>
      </w:r>
      <w:r w:rsidR="00D73624">
        <w:t xml:space="preserve">to the </w:t>
      </w:r>
      <w:r w:rsidR="00D73624" w:rsidRPr="003D5B42">
        <w:t>ETA</w:t>
      </w:r>
      <w:r w:rsidR="00D809A1">
        <w:t xml:space="preserve"> in respect of business communications</w:t>
      </w:r>
      <w:r w:rsidR="00F87973">
        <w:t>. If these exemptions are removed, the ETA will apply, and businesses will be able to meet regulatory requirements in respect of written communications if:</w:t>
      </w:r>
      <w:r w:rsidR="00D73624">
        <w:t xml:space="preserve"> </w:t>
      </w:r>
    </w:p>
    <w:p w:rsidR="00F87973" w:rsidRDefault="00F87973" w:rsidP="00AE5461">
      <w:pPr>
        <w:pStyle w:val="Bullet"/>
        <w:jc w:val="both"/>
      </w:pPr>
      <w:r>
        <w:t>at the time the information was given, it was reasonable to expect that the information would be readily accessible so as to be useable for subsequent reference;</w:t>
      </w:r>
    </w:p>
    <w:p w:rsidR="00F87973" w:rsidRDefault="00F87973" w:rsidP="00AE5461">
      <w:pPr>
        <w:pStyle w:val="Bullet"/>
        <w:jc w:val="both"/>
      </w:pPr>
      <w:r>
        <w:t>if the entity receiving the communication is a Commonwealth entity</w:t>
      </w:r>
      <w:r w:rsidR="00DA176D">
        <w:t xml:space="preserve"> — </w:t>
      </w:r>
      <w:r>
        <w:t>the information is given in accordance with particular information technology requirements (if any) and particular action is taken by the person to verify the receipt of the information (if applicable); and</w:t>
      </w:r>
    </w:p>
    <w:p w:rsidR="00F87973" w:rsidRDefault="00F87973" w:rsidP="00AE5461">
      <w:pPr>
        <w:pStyle w:val="Bullet"/>
        <w:jc w:val="both"/>
      </w:pPr>
      <w:r>
        <w:t>if the entity receiving the communication is not a Commonwealth entity</w:t>
      </w:r>
      <w:r w:rsidR="00DA176D">
        <w:t xml:space="preserve"> — </w:t>
      </w:r>
      <w:r>
        <w:t xml:space="preserve">the recipient entity </w:t>
      </w:r>
      <w:r w:rsidRPr="006A069B">
        <w:t>consents to the information being given by way of electronic communication.</w:t>
      </w:r>
    </w:p>
    <w:p w:rsidR="003368B0" w:rsidRDefault="006A0DBF" w:rsidP="00AE5461">
      <w:pPr>
        <w:jc w:val="both"/>
      </w:pPr>
      <w:r>
        <w:t xml:space="preserve">A limitation of the ETA is </w:t>
      </w:r>
      <w:r w:rsidR="00575900">
        <w:t xml:space="preserve">that </w:t>
      </w:r>
      <w:r>
        <w:t>it</w:t>
      </w:r>
      <w:r w:rsidR="003368B0">
        <w:t xml:space="preserve"> </w:t>
      </w:r>
      <w:r>
        <w:t xml:space="preserve">allows a business to use electronic means only if the recipient has provided consent. This </w:t>
      </w:r>
      <w:r w:rsidR="003368B0">
        <w:t>require</w:t>
      </w:r>
      <w:r>
        <w:t>s</w:t>
      </w:r>
      <w:r w:rsidR="003368B0">
        <w:t xml:space="preserve"> businesses to operate by using a </w:t>
      </w:r>
      <w:r w:rsidR="00DA176D">
        <w:t>‘</w:t>
      </w:r>
      <w:r w:rsidR="003368B0">
        <w:t>default</w:t>
      </w:r>
      <w:r w:rsidR="00DA176D">
        <w:t>’</w:t>
      </w:r>
      <w:r w:rsidR="003368B0">
        <w:t xml:space="preserve"> method of communication (such as hard copy mail) and seek permission from recipients to use more contemporary methods such as email or via mobile applications. </w:t>
      </w:r>
      <w:r w:rsidR="00F0087D">
        <w:t>However, a</w:t>
      </w:r>
      <w:r w:rsidR="003368B0">
        <w:t xml:space="preserve">s Australia continues to shift to a digital economy the default of using paper is no longer convenient for most consumers and investors. </w:t>
      </w:r>
    </w:p>
    <w:p w:rsidR="00A353EC" w:rsidRDefault="003368B0" w:rsidP="00AE5461">
      <w:pPr>
        <w:jc w:val="both"/>
      </w:pPr>
      <w:r>
        <w:lastRenderedPageBreak/>
        <w:t xml:space="preserve">Consumers and investors </w:t>
      </w:r>
      <w:r w:rsidR="00F0087D">
        <w:t xml:space="preserve">now </w:t>
      </w:r>
      <w:r>
        <w:t>expect information to flow faster and to have responses sooner to allow them to continue to make informed</w:t>
      </w:r>
      <w:r w:rsidR="00886A0C">
        <w:t xml:space="preserve"> and timely</w:t>
      </w:r>
      <w:r>
        <w:t xml:space="preserve"> decisions.</w:t>
      </w:r>
      <w:r w:rsidR="00886A0C">
        <w:t xml:space="preserve"> As such,</w:t>
      </w:r>
      <w:r>
        <w:t xml:space="preserve"> </w:t>
      </w:r>
      <w:r w:rsidR="00886A0C">
        <w:t>i</w:t>
      </w:r>
      <w:r w:rsidR="0040353E">
        <w:t xml:space="preserve">t is becoming increasingly common for digital communications to be the default. </w:t>
      </w:r>
      <w:r w:rsidR="00D70C2F">
        <w:t>This</w:t>
      </w:r>
      <w:r w:rsidDel="003368B0">
        <w:t xml:space="preserve"> approach </w:t>
      </w:r>
      <w:r w:rsidR="00A353EC">
        <w:t>means that if a business has an electronic means of notifying a recipient of the availability of information</w:t>
      </w:r>
      <w:r w:rsidR="00B002E8">
        <w:t xml:space="preserve"> in a way that is</w:t>
      </w:r>
      <w:r w:rsidR="00A353EC">
        <w:t xml:space="preserve"> </w:t>
      </w:r>
      <w:r w:rsidR="00531BF0">
        <w:t xml:space="preserve">as reliable </w:t>
      </w:r>
      <w:r w:rsidR="00A353EC">
        <w:t xml:space="preserve">or more reliable than </w:t>
      </w:r>
      <w:r w:rsidR="00097EB6">
        <w:t xml:space="preserve">a </w:t>
      </w:r>
      <w:r w:rsidR="00A353EC">
        <w:t>post</w:t>
      </w:r>
      <w:r w:rsidR="00497F23">
        <w:t xml:space="preserve">ed </w:t>
      </w:r>
      <w:r w:rsidR="00097EB6">
        <w:t>hard copy</w:t>
      </w:r>
      <w:r w:rsidR="00A353EC">
        <w:t>, they may use those means to both notify and provide that information.</w:t>
      </w:r>
    </w:p>
    <w:tbl>
      <w:tblPr>
        <w:tblStyle w:val="TableGrid"/>
        <w:tblW w:w="0" w:type="auto"/>
        <w:tblLook w:val="04A0" w:firstRow="1" w:lastRow="0" w:firstColumn="1" w:lastColumn="0" w:noHBand="0" w:noVBand="1"/>
      </w:tblPr>
      <w:tblGrid>
        <w:gridCol w:w="9070"/>
      </w:tblGrid>
      <w:tr w:rsidR="009B042D" w:rsidTr="009B042D">
        <w:tc>
          <w:tcPr>
            <w:tcW w:w="9070" w:type="dxa"/>
          </w:tcPr>
          <w:p w:rsidR="00CC31DB" w:rsidRPr="0057212D" w:rsidRDefault="00CC31DB" w:rsidP="00CC31DB">
            <w:pPr>
              <w:pStyle w:val="BoxHeading"/>
              <w:rPr>
                <w:rStyle w:val="IntenseEmphasis"/>
              </w:rPr>
            </w:pPr>
            <w:r w:rsidRPr="0057212D">
              <w:rPr>
                <w:rStyle w:val="IntenseEmphasis"/>
              </w:rPr>
              <w:t>Case Study</w:t>
            </w:r>
            <w:r>
              <w:rPr>
                <w:rStyle w:val="IntenseEmphasis"/>
              </w:rPr>
              <w:t xml:space="preserve"> 1</w:t>
            </w:r>
          </w:p>
          <w:p w:rsidR="00CC31DB" w:rsidRDefault="00CC31DB" w:rsidP="00CC31DB">
            <w:pPr>
              <w:pStyle w:val="BoxText"/>
            </w:pPr>
            <w:r>
              <w:t xml:space="preserve">Subsection 329(5) of the </w:t>
            </w:r>
            <w:r>
              <w:rPr>
                <w:i/>
              </w:rPr>
              <w:t>Corporations Act 2001</w:t>
            </w:r>
            <w:r>
              <w:t xml:space="preserve"> allows the auditor of a company to resign if, among other things, the auditor provides written notice of their resignation to the company.</w:t>
            </w:r>
          </w:p>
          <w:p w:rsidR="00CC31DB" w:rsidRDefault="00CC31DB" w:rsidP="00CC31DB">
            <w:pPr>
              <w:pStyle w:val="BoxText"/>
            </w:pPr>
            <w:r>
              <w:t xml:space="preserve">As the </w:t>
            </w:r>
            <w:r w:rsidRPr="003B7B75">
              <w:t>ETA</w:t>
            </w:r>
            <w:r>
              <w:t xml:space="preserve"> does not apply to the </w:t>
            </w:r>
            <w:r>
              <w:rPr>
                <w:i/>
              </w:rPr>
              <w:t>Corporations Act 2001</w:t>
            </w:r>
            <w:r>
              <w:t xml:space="preserve">, this requirement can only be satisfied by the provision of a physical document. </w:t>
            </w:r>
            <w:r w:rsidDel="006E378D">
              <w:t>This requirement for a written notice is not technology neutral.</w:t>
            </w:r>
          </w:p>
          <w:p w:rsidR="00CC31DB" w:rsidRDefault="00CC31DB" w:rsidP="00CC31DB">
            <w:pPr>
              <w:pStyle w:val="BoxText"/>
            </w:pPr>
            <w:r>
              <w:t>Applying the proposed principles would involve revising the requirement either:</w:t>
            </w:r>
          </w:p>
          <w:p w:rsidR="00CC31DB" w:rsidRDefault="00CC31DB" w:rsidP="00CC31DB">
            <w:pPr>
              <w:pStyle w:val="BoxBullet"/>
            </w:pPr>
            <w:r>
              <w:t>so that this notice need not be provided in writing but may instead be provided in any form provided it is expected to be at least equally effective; or</w:t>
            </w:r>
          </w:p>
          <w:p w:rsidR="00CC31DB" w:rsidRDefault="00CC31DB" w:rsidP="00CC31DB">
            <w:pPr>
              <w:pStyle w:val="BoxBullet"/>
            </w:pPr>
            <w:r>
              <w:t>by removing the exception exemption to the ETA so that electronic communication may be used where both parties consent.</w:t>
            </w:r>
          </w:p>
          <w:p w:rsidR="00CC31DB" w:rsidRDefault="00CC31DB" w:rsidP="00CC31DB">
            <w:pPr>
              <w:pStyle w:val="BoxBullet"/>
            </w:pPr>
            <w:r>
              <w:rPr>
                <w:b/>
              </w:rPr>
              <w:t>Note</w:t>
            </w:r>
            <w:r>
              <w:t>: Consent does not necessarily need to be provided in writing. It may even be implied. One way that consent can be provided is through engaging electronically. This may be in the form of communicating via email, submitting an application through an online portal, or providing an email address on a personal details form.</w:t>
            </w:r>
          </w:p>
          <w:p w:rsidR="00CC31DB" w:rsidRPr="00F76B00" w:rsidRDefault="00CC31DB" w:rsidP="00CC31DB">
            <w:pPr>
              <w:pStyle w:val="BoxHeading"/>
              <w:rPr>
                <w:rStyle w:val="IntenseEmphasis"/>
              </w:rPr>
            </w:pPr>
            <w:r>
              <w:rPr>
                <w:rStyle w:val="IntenseEmphasis"/>
              </w:rPr>
              <w:t>Case Study 2</w:t>
            </w:r>
          </w:p>
          <w:p w:rsidR="00CC31DB" w:rsidRDefault="00CC31DB" w:rsidP="00CC31DB">
            <w:pPr>
              <w:pStyle w:val="BoxText"/>
            </w:pPr>
            <w:r>
              <w:t xml:space="preserve">Section 37 of the </w:t>
            </w:r>
            <w:r w:rsidRPr="00D5450C">
              <w:rPr>
                <w:i/>
              </w:rPr>
              <w:t>Insurance Contracts Act 2004</w:t>
            </w:r>
            <w:r>
              <w:t xml:space="preserve"> provides, broadly, that an insurer may not rely on a term of a contract of insurance that would not usually be included in similar contracts of insurance unless, before the contract was entered into, the insurer informed the other party in writing of the effect of the provision. </w:t>
            </w:r>
          </w:p>
          <w:p w:rsidR="00CC31DB" w:rsidRDefault="00CC31DB" w:rsidP="00CC31DB">
            <w:pPr>
              <w:pStyle w:val="BoxText"/>
            </w:pPr>
            <w:r>
              <w:t>Section 37 specifies that the disclosure must be provided in writing. Section 11 of the ETA provides that documents can be produced by electronic communications, should the recipient provide their consent to receive documents electronically.</w:t>
            </w:r>
          </w:p>
          <w:p w:rsidR="00CC31DB" w:rsidRDefault="00CC31DB" w:rsidP="00CC31DB">
            <w:pPr>
              <w:pStyle w:val="BoxText"/>
            </w:pPr>
            <w:r>
              <w:t>The current provisions leave it unclear whether the requirement can be satisfied by providing the other party with clear directions about where material is publically available (such as a link to an electronic version of a document on a website) or if this is not sufficient to constitute providing the information.</w:t>
            </w:r>
          </w:p>
          <w:p w:rsidR="00CC31DB" w:rsidRPr="000E7B2B" w:rsidRDefault="00CC31DB" w:rsidP="00CC31DB">
            <w:pPr>
              <w:pStyle w:val="BoxHeading"/>
              <w:rPr>
                <w:rStyle w:val="IntenseEmphasis"/>
              </w:rPr>
            </w:pPr>
            <w:r>
              <w:rPr>
                <w:rStyle w:val="IntenseEmphasis"/>
                <w:iCs w:val="0"/>
              </w:rPr>
              <w:t>Case Study 3</w:t>
            </w:r>
          </w:p>
          <w:p w:rsidR="00CC31DB" w:rsidRPr="00C26EA4" w:rsidRDefault="00CC31DB" w:rsidP="00CC31DB">
            <w:pPr>
              <w:pStyle w:val="BoxText"/>
            </w:pPr>
            <w:r w:rsidRPr="00C26EA4">
              <w:t xml:space="preserve">Sections 223 and 224 of the </w:t>
            </w:r>
            <w:r w:rsidRPr="00C26EA4">
              <w:rPr>
                <w:i/>
              </w:rPr>
              <w:t>Life Insurance Act 1995</w:t>
            </w:r>
            <w:r w:rsidRPr="00C26EA4">
              <w:t xml:space="preserve"> set out requirements that apply to life insurers in the event that a life insurer is advised that a life insurance policy document is destroyed and the insurer is requested to issue </w:t>
            </w:r>
            <w:r>
              <w:t xml:space="preserve">a </w:t>
            </w:r>
            <w:r w:rsidRPr="00C26EA4">
              <w:t>replacement policy document or pay a claim under such a document.</w:t>
            </w:r>
            <w:r>
              <w:t xml:space="preserve"> </w:t>
            </w:r>
            <w:r w:rsidRPr="00C26EA4">
              <w:t>Among other things, life insurers are required to publish notice of their intention to issue the replacement document or p</w:t>
            </w:r>
            <w:r>
              <w:t>ut</w:t>
            </w:r>
            <w:r w:rsidRPr="00C26EA4">
              <w:t xml:space="preserve"> the claim in a newspaper circulating in certain areas at least ten days before issuing or paying.</w:t>
            </w:r>
          </w:p>
          <w:p w:rsidR="00CC31DB" w:rsidRDefault="00CC31DB" w:rsidP="00CC31DB">
            <w:pPr>
              <w:pStyle w:val="BoxText"/>
            </w:pPr>
            <w:r w:rsidRPr="00C26EA4">
              <w:t xml:space="preserve">This requirement is not technology neutral </w:t>
            </w:r>
            <w:r>
              <w:t>because</w:t>
            </w:r>
            <w:r w:rsidRPr="00C26EA4">
              <w:t xml:space="preserve"> it provides for notice to be given only using one very specific means, even if other means would be equally or more effective to achieve the policy intention of </w:t>
            </w:r>
            <w:r w:rsidRPr="00C26EA4" w:rsidDel="00C9525B">
              <w:t xml:space="preserve">informing </w:t>
            </w:r>
            <w:r w:rsidRPr="00C26EA4" w:rsidDel="00E66ABE">
              <w:t>persons</w:t>
            </w:r>
            <w:r>
              <w:t xml:space="preserve"> </w:t>
            </w:r>
            <w:r w:rsidRPr="00C26EA4">
              <w:t xml:space="preserve">whose interests may be affected. </w:t>
            </w:r>
          </w:p>
          <w:p w:rsidR="00CC31DB" w:rsidRPr="000E7B2B" w:rsidRDefault="00CC31DB" w:rsidP="00CC31DB">
            <w:pPr>
              <w:pStyle w:val="BoxText"/>
            </w:pPr>
            <w:r w:rsidRPr="00C26EA4">
              <w:t xml:space="preserve">Applying the proposed principles would involve revising the requirement to provide notice so that it can be satisfied if the notice is given </w:t>
            </w:r>
            <w:r>
              <w:t>in a way</w:t>
            </w:r>
            <w:r w:rsidRPr="00C26EA4">
              <w:t xml:space="preserve"> that the insurer is reasonably satisfied will be similarly effective in provid</w:t>
            </w:r>
            <w:r>
              <w:t>ing notice to affected persons.</w:t>
            </w:r>
          </w:p>
          <w:p w:rsidR="009B042D" w:rsidRDefault="009B042D" w:rsidP="00AE5461">
            <w:pPr>
              <w:pStyle w:val="Bullet"/>
              <w:numPr>
                <w:ilvl w:val="0"/>
                <w:numId w:val="0"/>
              </w:numPr>
            </w:pPr>
          </w:p>
        </w:tc>
      </w:tr>
    </w:tbl>
    <w:p w:rsidR="00107D66" w:rsidRDefault="00107D66" w:rsidP="00AE5461">
      <w:pPr>
        <w:pStyle w:val="Bullet"/>
        <w:numPr>
          <w:ilvl w:val="0"/>
          <w:numId w:val="0"/>
        </w:numPr>
        <w:jc w:val="both"/>
      </w:pPr>
    </w:p>
    <w:p w:rsidR="001D4980" w:rsidRDefault="001D4980" w:rsidP="00423FA0">
      <w:pPr>
        <w:pStyle w:val="Heading2"/>
        <w:tabs>
          <w:tab w:val="clear" w:pos="1080"/>
        </w:tabs>
      </w:pPr>
      <w:bookmarkStart w:id="244" w:name="_Toc55478122"/>
      <w:bookmarkStart w:id="245" w:name="_Toc57202508"/>
      <w:bookmarkStart w:id="246" w:name="_Toc57209924"/>
      <w:bookmarkStart w:id="247" w:name="_Toc57215205"/>
      <w:bookmarkStart w:id="248" w:name="_Toc59021134"/>
      <w:bookmarkStart w:id="249" w:name="_Toc54691014"/>
      <w:bookmarkStart w:id="250" w:name="_Toc54704388"/>
      <w:bookmarkStart w:id="251" w:name="_Toc54705637"/>
      <w:bookmarkStart w:id="252" w:name="_Toc54871993"/>
      <w:bookmarkStart w:id="253" w:name="_Toc54879331"/>
      <w:bookmarkStart w:id="254" w:name="_Toc55286651"/>
      <w:bookmarkStart w:id="255" w:name="_Toc55380988"/>
      <w:bookmarkEnd w:id="207"/>
      <w:r>
        <w:lastRenderedPageBreak/>
        <w:t>Communicati</w:t>
      </w:r>
      <w:r w:rsidR="00DE4FEC">
        <w:t>ng</w:t>
      </w:r>
      <w:r>
        <w:t xml:space="preserve"> with Regulators</w:t>
      </w:r>
      <w:bookmarkEnd w:id="244"/>
      <w:bookmarkEnd w:id="245"/>
      <w:bookmarkEnd w:id="246"/>
      <w:bookmarkEnd w:id="247"/>
      <w:bookmarkEnd w:id="248"/>
    </w:p>
    <w:p w:rsidR="001D4980" w:rsidRDefault="001D4980" w:rsidP="00AE5461">
      <w:pPr>
        <w:jc w:val="both"/>
      </w:pPr>
      <w:r>
        <w:t xml:space="preserve">The law may require entities to provide written </w:t>
      </w:r>
      <w:r w:rsidR="005F56CE">
        <w:t xml:space="preserve">information </w:t>
      </w:r>
      <w:r>
        <w:t xml:space="preserve">to regulators in the Treasury portfolio including ASIC, APRA and the ACCC, or other Commonwealth entities. It also provides for regulators to give information to regulated entities and other stakeholders. </w:t>
      </w:r>
    </w:p>
    <w:p w:rsidR="001D4980" w:rsidRDefault="001D4980" w:rsidP="00AE5461">
      <w:pPr>
        <w:jc w:val="both"/>
      </w:pPr>
      <w:r>
        <w:t xml:space="preserve">Examples of the information required may be relevant to licensing and registration, breach reporting, investigations, and applications for regulatory relief. Current </w:t>
      </w:r>
      <w:r w:rsidR="00B425F9">
        <w:t>laws tend to prescribe how</w:t>
      </w:r>
      <w:r>
        <w:t xml:space="preserve"> regulators</w:t>
      </w:r>
      <w:r w:rsidR="00B425F9">
        <w:t xml:space="preserve"> will</w:t>
      </w:r>
      <w:r>
        <w:t xml:space="preserve"> receive this information from entities</w:t>
      </w:r>
      <w:r w:rsidR="00DA176D">
        <w:t xml:space="preserve"> — </w:t>
      </w:r>
      <w:r>
        <w:t xml:space="preserve">for example, the </w:t>
      </w:r>
      <w:r w:rsidR="000B0FD4">
        <w:t>entity is required to provide the information to the regulator in hard copy</w:t>
      </w:r>
      <w:r>
        <w:t>.</w:t>
      </w:r>
    </w:p>
    <w:p w:rsidR="001D4980" w:rsidRDefault="001D4980" w:rsidP="00AE5461">
      <w:pPr>
        <w:jc w:val="both"/>
      </w:pPr>
      <w:r>
        <w:t xml:space="preserve">The Government has already made a number of these requirements technology neutral as part of the Modernising Business Registers program, </w:t>
      </w:r>
      <w:r w:rsidR="00025397">
        <w:t xml:space="preserve">by </w:t>
      </w:r>
      <w:r>
        <w:t>passing legislation to allow a registrar to prescribe the manner in which it collects registry</w:t>
      </w:r>
      <w:r w:rsidR="00DA176D">
        <w:noBreakHyphen/>
      </w:r>
      <w:r>
        <w:t xml:space="preserve">related information in respect of a number of statutes, including the </w:t>
      </w:r>
      <w:r>
        <w:rPr>
          <w:i/>
        </w:rPr>
        <w:t>Corporations Act 2001</w:t>
      </w:r>
      <w:r>
        <w:t xml:space="preserve">, </w:t>
      </w:r>
      <w:r>
        <w:rPr>
          <w:i/>
        </w:rPr>
        <w:t>Superannuation Industry (Supervision) Act 1993</w:t>
      </w:r>
      <w:r>
        <w:t xml:space="preserve">, </w:t>
      </w:r>
      <w:r>
        <w:rPr>
          <w:i/>
        </w:rPr>
        <w:t>A New Tax System (Australian Business Number) Act 1999</w:t>
      </w:r>
      <w:r>
        <w:t xml:space="preserve">, </w:t>
      </w:r>
      <w:r>
        <w:rPr>
          <w:i/>
        </w:rPr>
        <w:t>Business Names Registration Act 2011</w:t>
      </w:r>
      <w:r>
        <w:t xml:space="preserve"> and </w:t>
      </w:r>
      <w:r>
        <w:rPr>
          <w:i/>
        </w:rPr>
        <w:t>National Consumer Credit Protection Act 2009</w:t>
      </w:r>
      <w:r>
        <w:t xml:space="preserve">. To support implementation, the Government </w:t>
      </w:r>
      <w:r w:rsidR="00025397">
        <w:t xml:space="preserve">has </w:t>
      </w:r>
      <w:r>
        <w:t>provided $419.9 million over four years in the 2020</w:t>
      </w:r>
      <w:r w:rsidR="00DA176D">
        <w:noBreakHyphen/>
      </w:r>
      <w:r>
        <w:t>21 Budget to build a modernised registry platform.</w:t>
      </w:r>
    </w:p>
    <w:p w:rsidR="00531BF0" w:rsidRDefault="00DE4FEC" w:rsidP="00AE5461">
      <w:pPr>
        <w:jc w:val="both"/>
      </w:pPr>
      <w:r>
        <w:t xml:space="preserve">The Government is considering extending the flexibility provided through the Modernising Business Registers program to </w:t>
      </w:r>
      <w:r w:rsidR="00567E04">
        <w:t xml:space="preserve">allow regulators to prescribe the manner in which it collects other pieces of information across Treasury portfolio laws. </w:t>
      </w:r>
    </w:p>
    <w:p w:rsidR="00DE4FEC" w:rsidRDefault="00567E04" w:rsidP="00AE5461">
      <w:pPr>
        <w:jc w:val="both"/>
      </w:pPr>
      <w:r>
        <w:t xml:space="preserve">The Government is not considering any changes or reduction to the information </w:t>
      </w:r>
      <w:r w:rsidR="00803B67">
        <w:t>provided to</w:t>
      </w:r>
      <w:r>
        <w:t xml:space="preserve"> regulators through this process. </w:t>
      </w:r>
      <w:r w:rsidR="00BD0B26">
        <w:t>Regulators will continue to receive the information they require to carry out their regulatory functions</w:t>
      </w:r>
      <w:r w:rsidR="00803B67">
        <w:t xml:space="preserve"> effectively</w:t>
      </w:r>
      <w:r w:rsidR="00BD0B26">
        <w:t>.</w:t>
      </w:r>
    </w:p>
    <w:p w:rsidR="001D4980" w:rsidRPr="00905B2A" w:rsidRDefault="001D4980" w:rsidP="00AE5461">
      <w:pPr>
        <w:jc w:val="both"/>
      </w:pPr>
      <w:r>
        <w:t>T</w:t>
      </w:r>
      <w:r w:rsidRPr="00905B2A">
        <w:t>here are a number of</w:t>
      </w:r>
      <w:r>
        <w:t xml:space="preserve"> issues that must be considered to ensure businesses</w:t>
      </w:r>
      <w:r w:rsidR="00747ACD">
        <w:t xml:space="preserve">, </w:t>
      </w:r>
      <w:r>
        <w:t>consumers</w:t>
      </w:r>
      <w:r w:rsidR="00747ACD">
        <w:t xml:space="preserve"> and regulators</w:t>
      </w:r>
      <w:r>
        <w:t xml:space="preserve"> can benefit from technology neutrality</w:t>
      </w:r>
      <w:r w:rsidRPr="00905B2A">
        <w:t>. These include:</w:t>
      </w:r>
    </w:p>
    <w:p w:rsidR="001D4980" w:rsidRPr="00905B2A" w:rsidRDefault="001D4980" w:rsidP="00AE5461">
      <w:pPr>
        <w:pStyle w:val="Bullet"/>
        <w:jc w:val="both"/>
      </w:pPr>
      <w:r>
        <w:t>e</w:t>
      </w:r>
      <w:r w:rsidRPr="00905B2A">
        <w:t xml:space="preserve">nsuring the information is provided in a manner which allows it to be readily accessible and useable by </w:t>
      </w:r>
      <w:r>
        <w:t xml:space="preserve">regulators; </w:t>
      </w:r>
    </w:p>
    <w:p w:rsidR="001D4980" w:rsidRDefault="001D4980" w:rsidP="00AE5461">
      <w:pPr>
        <w:pStyle w:val="Bullet"/>
        <w:jc w:val="both"/>
      </w:pPr>
      <w:r>
        <w:t>e</w:t>
      </w:r>
      <w:r w:rsidRPr="00905B2A">
        <w:t xml:space="preserve">nsuring that </w:t>
      </w:r>
      <w:r>
        <w:t>regulator</w:t>
      </w:r>
      <w:r w:rsidRPr="00905B2A">
        <w:t xml:space="preserve">s can appropriately specify the means through which </w:t>
      </w:r>
      <w:r>
        <w:t>it</w:t>
      </w:r>
      <w:r w:rsidRPr="00905B2A">
        <w:t xml:space="preserve"> receive</w:t>
      </w:r>
      <w:r>
        <w:t>s</w:t>
      </w:r>
      <w:r w:rsidRPr="00905B2A">
        <w:t xml:space="preserve"> communications</w:t>
      </w:r>
      <w:r>
        <w:t xml:space="preserve">; and </w:t>
      </w:r>
    </w:p>
    <w:p w:rsidR="001D4980" w:rsidRDefault="001D4980" w:rsidP="00AE5461">
      <w:pPr>
        <w:pStyle w:val="Bullet"/>
        <w:jc w:val="both"/>
      </w:pPr>
      <w:r>
        <w:t>ensuring that regulated entities can comply</w:t>
      </w:r>
      <w:r w:rsidR="00025397">
        <w:t xml:space="preserve"> with these requirements</w:t>
      </w:r>
      <w:r>
        <w:t xml:space="preserve"> at the lowest cost</w:t>
      </w:r>
      <w:r w:rsidDel="00BC37E7">
        <w:t>.</w:t>
      </w:r>
    </w:p>
    <w:p w:rsidR="001D4980" w:rsidRDefault="001D4980" w:rsidP="00200CB2">
      <w:pPr>
        <w:pStyle w:val="Heading3"/>
      </w:pPr>
      <w:bookmarkStart w:id="256" w:name="_Toc55478123"/>
      <w:bookmarkStart w:id="257" w:name="_Toc57202509"/>
      <w:bookmarkStart w:id="258" w:name="_Toc57209925"/>
      <w:bookmarkStart w:id="259" w:name="_Toc57215206"/>
      <w:bookmarkStart w:id="260" w:name="_Toc59021135"/>
      <w:r>
        <w:t>Policy Goals</w:t>
      </w:r>
      <w:bookmarkEnd w:id="256"/>
      <w:bookmarkEnd w:id="257"/>
      <w:bookmarkEnd w:id="258"/>
      <w:bookmarkEnd w:id="259"/>
      <w:bookmarkEnd w:id="260"/>
      <w:r>
        <w:t xml:space="preserve"> </w:t>
      </w:r>
    </w:p>
    <w:p w:rsidR="001D4980" w:rsidRDefault="001D4980" w:rsidP="00AE5461">
      <w:pPr>
        <w:jc w:val="both"/>
      </w:pPr>
      <w:r>
        <w:t>The policy goals of these requirements include:</w:t>
      </w:r>
    </w:p>
    <w:p w:rsidR="001D4980" w:rsidRDefault="001D4980" w:rsidP="00AE5461">
      <w:pPr>
        <w:pStyle w:val="Bullet"/>
        <w:numPr>
          <w:ilvl w:val="0"/>
          <w:numId w:val="1"/>
        </w:numPr>
        <w:jc w:val="both"/>
      </w:pPr>
      <w:r>
        <w:t>providing an administrative and evidential basis for regulator decision</w:t>
      </w:r>
      <w:r w:rsidR="00DA176D">
        <w:noBreakHyphen/>
      </w:r>
      <w:r>
        <w:t>making; and/or</w:t>
      </w:r>
    </w:p>
    <w:p w:rsidR="001D4980" w:rsidRDefault="001D4980" w:rsidP="00AE5461">
      <w:pPr>
        <w:pStyle w:val="Bullet"/>
        <w:numPr>
          <w:ilvl w:val="0"/>
          <w:numId w:val="1"/>
        </w:numPr>
        <w:jc w:val="both"/>
      </w:pPr>
      <w:r>
        <w:t>assisting the regulator to prioritise and conduct regulatory activities.</w:t>
      </w:r>
    </w:p>
    <w:p w:rsidR="001D4980" w:rsidRDefault="001D4980" w:rsidP="00AE5461">
      <w:pPr>
        <w:jc w:val="both"/>
      </w:pPr>
      <w:r>
        <w:t>As regulators receive large volumes of information, it is necessary that they are able to prescribe how they receive that information so that information can be used efficiently to carry out their regulatory mandate.</w:t>
      </w:r>
      <w:r w:rsidR="00332CFB">
        <w:t xml:space="preserve"> </w:t>
      </w:r>
    </w:p>
    <w:p w:rsidR="00803B67" w:rsidRDefault="00803B67" w:rsidP="00AE5461">
      <w:pPr>
        <w:jc w:val="both"/>
      </w:pPr>
      <w:r>
        <w:t xml:space="preserve">For example, </w:t>
      </w:r>
      <w:r w:rsidR="00131617">
        <w:t>there are a number of provisions in the corporate law which require financial services licensees to provide written statements or report</w:t>
      </w:r>
      <w:r w:rsidR="00C65D6B">
        <w:t>s, either upon a request by ASIC</w:t>
      </w:r>
      <w:r w:rsidR="00131617">
        <w:t xml:space="preserve"> or an occurrence of a prescribed event. </w:t>
      </w:r>
      <w:r w:rsidR="003A7B94">
        <w:t xml:space="preserve">However, in practice, </w:t>
      </w:r>
      <w:r w:rsidR="00C65D6B">
        <w:t xml:space="preserve">the information provided to regulators can </w:t>
      </w:r>
      <w:r w:rsidR="0096195F">
        <w:t>be made in different formats</w:t>
      </w:r>
      <w:r w:rsidR="00100F67">
        <w:t>. Any changes to the law should also acknowledge the regulatory burden imposed on businesses when multiple channels of communicating with regulators e</w:t>
      </w:r>
      <w:r w:rsidR="007E140B">
        <w:t>xist. Where practicable, reform</w:t>
      </w:r>
      <w:r w:rsidR="00100F67">
        <w:t xml:space="preserve"> should also provide a more consistent and streamlined process for the regulated population.</w:t>
      </w:r>
    </w:p>
    <w:p w:rsidR="005B2CBF" w:rsidRDefault="005B2CBF" w:rsidP="00AE5461">
      <w:pPr>
        <w:jc w:val="both"/>
        <w:rPr>
          <w:u w:val="single"/>
        </w:rPr>
      </w:pPr>
    </w:p>
    <w:p w:rsidR="005B2CBF" w:rsidRDefault="005B2CBF" w:rsidP="00AE5461">
      <w:pPr>
        <w:jc w:val="both"/>
        <w:rPr>
          <w:u w:val="single"/>
        </w:rPr>
      </w:pPr>
    </w:p>
    <w:p w:rsidR="001D4980" w:rsidRPr="00CC31DB" w:rsidRDefault="00CC31DB" w:rsidP="00CC31DB">
      <w:pPr>
        <w:pStyle w:val="Heading4"/>
      </w:pPr>
      <w:r w:rsidRPr="00CC31DB">
        <w:lastRenderedPageBreak/>
        <w:t>Hear</w:t>
      </w:r>
      <w:r w:rsidR="001D4980" w:rsidRPr="00CC31DB">
        <w:t>ings</w:t>
      </w:r>
    </w:p>
    <w:p w:rsidR="001D4980" w:rsidRDefault="001D4980" w:rsidP="00AE5461">
      <w:pPr>
        <w:jc w:val="both"/>
      </w:pPr>
      <w:r>
        <w:t xml:space="preserve">A number of provisions in Treasury legislation, including the </w:t>
      </w:r>
      <w:r w:rsidRPr="003D5B42">
        <w:rPr>
          <w:i/>
        </w:rPr>
        <w:t>Corporations Act 2001</w:t>
      </w:r>
      <w:r>
        <w:t>, require a regulator to offer an affected person, or their representative, an opportunity to appear at a hearing before the regulator exercises its power or functions. Often these provisions either expressly or implicitly require that the hearing must be conducted in person.</w:t>
      </w:r>
    </w:p>
    <w:p w:rsidR="001D4980" w:rsidRDefault="001D4980" w:rsidP="00AE5461">
      <w:pPr>
        <w:jc w:val="both"/>
      </w:pPr>
      <w:r>
        <w:t>The policy goal of a hearing is to afford affected people the opportunity to understand why a regulator is considering the exercise of a power and to be able to respond to these issues and raise relevant evidence relating to their case. It ensures that certain significant powers are not exercised without the affected person having the chance to make their case in possession of full information about the reasoning of the regulator.</w:t>
      </w:r>
    </w:p>
    <w:p w:rsidR="001D4980" w:rsidRDefault="001D4980" w:rsidP="00AE5461">
      <w:pPr>
        <w:jc w:val="both"/>
      </w:pPr>
      <w:r>
        <w:t xml:space="preserve">To achieve this purpose, it is important that hearings are conducted in a way to allow for communication that is effective and adapted to the needs of participants. It is also important to ensure that the manner of communication does not limit the capacity of parties to participate or compromise the fairness of proceedings. </w:t>
      </w:r>
    </w:p>
    <w:p w:rsidR="001D4980" w:rsidRDefault="001D4980" w:rsidP="00AE5461">
      <w:pPr>
        <w:jc w:val="both"/>
      </w:pPr>
      <w:r>
        <w:t xml:space="preserve">In some cases, the purpose of a hearing is also to ensure that this process is open and subject to public scrutiny. However, this is not universal. In some cases, hearings may involve private or sensitive information and therefore may not be able to be held publically. </w:t>
      </w:r>
    </w:p>
    <w:p w:rsidR="001D4980" w:rsidRDefault="001D4980" w:rsidP="00200CB2">
      <w:pPr>
        <w:pStyle w:val="Heading3"/>
      </w:pPr>
      <w:bookmarkStart w:id="261" w:name="_Toc55478124"/>
      <w:bookmarkStart w:id="262" w:name="_Toc57202510"/>
      <w:bookmarkStart w:id="263" w:name="_Toc57209926"/>
      <w:bookmarkStart w:id="264" w:name="_Toc57215207"/>
      <w:bookmarkStart w:id="265" w:name="_Toc59021136"/>
      <w:r>
        <w:t xml:space="preserve">Proposed </w:t>
      </w:r>
      <w:bookmarkStart w:id="266" w:name="_Toc54691019"/>
      <w:bookmarkStart w:id="267" w:name="_Toc54704393"/>
      <w:bookmarkStart w:id="268" w:name="_Toc54705642"/>
      <w:bookmarkStart w:id="269" w:name="_Toc54871999"/>
      <w:bookmarkStart w:id="270" w:name="_Toc54879337"/>
      <w:bookmarkStart w:id="271" w:name="_Toc55286657"/>
      <w:bookmarkStart w:id="272" w:name="_Toc55380996"/>
      <w:bookmarkStart w:id="273" w:name="_Toc55394118"/>
      <w:bookmarkStart w:id="274" w:name="_Toc55397495"/>
      <w:bookmarkStart w:id="275" w:name="_Toc55399902"/>
      <w:bookmarkStart w:id="276" w:name="_Toc55403021"/>
      <w:r>
        <w:t>Principles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1D4980" w:rsidRDefault="001D4980" w:rsidP="00AE5461">
      <w:pPr>
        <w:jc w:val="both"/>
      </w:pPr>
      <w:r>
        <w:t xml:space="preserve">As a starting point the Government proposes that regulators and their clients should be able to interact in a manner that provides the regulator with the maximum ability to use the information to assist them in their regulatory responsibilities as well as providing regulated entities </w:t>
      </w:r>
      <w:r w:rsidR="00025397">
        <w:t xml:space="preserve">with </w:t>
      </w:r>
      <w:r>
        <w:t xml:space="preserve">a streamlined process to meet their responsibilities. </w:t>
      </w:r>
    </w:p>
    <w:p w:rsidR="001D4980" w:rsidRDefault="001D4980" w:rsidP="00AE5461">
      <w:pPr>
        <w:jc w:val="both"/>
      </w:pPr>
      <w:r>
        <w:t>There are two options available to implement this principle. They are:</w:t>
      </w:r>
    </w:p>
    <w:p w:rsidR="001D4980" w:rsidRDefault="007662EC" w:rsidP="00AE5461">
      <w:pPr>
        <w:pStyle w:val="Bullet"/>
        <w:jc w:val="both"/>
      </w:pPr>
      <w:r>
        <w:t>R</w:t>
      </w:r>
      <w:r w:rsidR="001D4980" w:rsidRPr="009D6CDD">
        <w:t>emoving exemptions to the</w:t>
      </w:r>
      <w:r w:rsidR="001D4980">
        <w:t xml:space="preserve"> ETA; and</w:t>
      </w:r>
    </w:p>
    <w:p w:rsidR="001D4980" w:rsidRDefault="007662EC" w:rsidP="00AE5461">
      <w:pPr>
        <w:pStyle w:val="Bullet"/>
        <w:jc w:val="both"/>
      </w:pPr>
      <w:r>
        <w:t>Amending</w:t>
      </w:r>
      <w:r w:rsidR="00803B67">
        <w:t xml:space="preserve"> </w:t>
      </w:r>
      <w:r w:rsidR="004A5C34">
        <w:t>relevant Treasury legislation</w:t>
      </w:r>
      <w:r w:rsidR="00803B67">
        <w:t>.</w:t>
      </w:r>
    </w:p>
    <w:p w:rsidR="001D4980" w:rsidRDefault="001D4980" w:rsidP="00AE5461">
      <w:pPr>
        <w:jc w:val="both"/>
      </w:pPr>
      <w:r>
        <w:t xml:space="preserve">Additionally, many Commonwealth Acts contain their own bespoke electronic communication regimes </w:t>
      </w:r>
      <w:r w:rsidR="00B002E8">
        <w:t>that</w:t>
      </w:r>
      <w:r>
        <w:t xml:space="preserve"> displace the ETA when there is a conflict</w:t>
      </w:r>
      <w:r w:rsidR="00B002E8">
        <w:t xml:space="preserve"> between the </w:t>
      </w:r>
      <w:r w:rsidR="007662EC">
        <w:t>relevant Act</w:t>
      </w:r>
      <w:r w:rsidR="00B002E8">
        <w:t xml:space="preserve"> and the ETA</w:t>
      </w:r>
      <w:r>
        <w:t xml:space="preserve">. For example, section 11B of the </w:t>
      </w:r>
      <w:r w:rsidRPr="00222C0E">
        <w:rPr>
          <w:i/>
        </w:rPr>
        <w:t>Superannuation Industry (Supervision) Act 1993</w:t>
      </w:r>
      <w:r>
        <w:t xml:space="preserve"> provides that the electronic lodgement of certain forms is </w:t>
      </w:r>
      <w:r w:rsidR="00DA176D">
        <w:t>‘</w:t>
      </w:r>
      <w:r>
        <w:t>taken to constitute written notice</w:t>
      </w:r>
      <w:r w:rsidR="00DA176D">
        <w:t>’</w:t>
      </w:r>
      <w:r>
        <w:t xml:space="preserve">. </w:t>
      </w:r>
    </w:p>
    <w:p w:rsidR="001D4980" w:rsidRDefault="001D4980" w:rsidP="00CC31DB">
      <w:pPr>
        <w:pStyle w:val="Heading4"/>
      </w:pPr>
      <w:r w:rsidRPr="003D5B42">
        <w:t>Hearings</w:t>
      </w:r>
    </w:p>
    <w:p w:rsidR="001D4980" w:rsidRDefault="001D4980" w:rsidP="00AE5461">
      <w:pPr>
        <w:jc w:val="both"/>
      </w:pPr>
      <w:r>
        <w:t>As a starting point, the Government proposes that regulators should be able to conduct hearings without requirements for the parties being physically present provided:</w:t>
      </w:r>
    </w:p>
    <w:p w:rsidR="001D4980" w:rsidRDefault="001D4980" w:rsidP="00AE5461">
      <w:pPr>
        <w:pStyle w:val="Bullet"/>
        <w:jc w:val="both"/>
      </w:pPr>
      <w:r>
        <w:t>the highest standards of procedural fairness can be achieved;</w:t>
      </w:r>
    </w:p>
    <w:p w:rsidR="001D4980" w:rsidRDefault="001D4980" w:rsidP="00AE5461">
      <w:pPr>
        <w:pStyle w:val="Bullet"/>
        <w:numPr>
          <w:ilvl w:val="0"/>
          <w:numId w:val="13"/>
        </w:numPr>
        <w:spacing w:before="120"/>
        <w:jc w:val="both"/>
      </w:pPr>
      <w:r w:rsidRPr="00F51B3F">
        <w:t xml:space="preserve">the </w:t>
      </w:r>
      <w:r>
        <w:t>parties have</w:t>
      </w:r>
      <w:r w:rsidRPr="00F51B3F">
        <w:t xml:space="preserve"> </w:t>
      </w:r>
      <w:r>
        <w:t>the fullest opportunity</w:t>
      </w:r>
      <w:r w:rsidRPr="00F51B3F">
        <w:t xml:space="preserve"> to </w:t>
      </w:r>
      <w:r>
        <w:t xml:space="preserve">obtain information, present their views and evidence </w:t>
      </w:r>
      <w:r w:rsidRPr="00F51B3F">
        <w:t xml:space="preserve">and </w:t>
      </w:r>
      <w:r>
        <w:t xml:space="preserve">to </w:t>
      </w:r>
      <w:r w:rsidRPr="00F51B3F">
        <w:t>be represented</w:t>
      </w:r>
      <w:r>
        <w:t>;</w:t>
      </w:r>
    </w:p>
    <w:p w:rsidR="001D4980" w:rsidRDefault="001D4980" w:rsidP="00AE5461">
      <w:pPr>
        <w:pStyle w:val="Bullet"/>
        <w:numPr>
          <w:ilvl w:val="0"/>
          <w:numId w:val="13"/>
        </w:numPr>
        <w:spacing w:before="120"/>
        <w:jc w:val="both"/>
      </w:pPr>
      <w:r>
        <w:t>either:</w:t>
      </w:r>
    </w:p>
    <w:p w:rsidR="001D4980" w:rsidRDefault="001D4980" w:rsidP="00AE5461">
      <w:pPr>
        <w:pStyle w:val="Dash"/>
        <w:numPr>
          <w:ilvl w:val="1"/>
          <w:numId w:val="13"/>
        </w:numPr>
        <w:spacing w:before="120"/>
        <w:jc w:val="both"/>
      </w:pPr>
      <w:r>
        <w:t>if the hearing is not public, there are appropriate protections to ensure the confidentiality of proceedings; or</w:t>
      </w:r>
    </w:p>
    <w:p w:rsidR="001D4980" w:rsidRDefault="001D4980" w:rsidP="00AE5461">
      <w:pPr>
        <w:pStyle w:val="Dash"/>
        <w:numPr>
          <w:ilvl w:val="1"/>
          <w:numId w:val="13"/>
        </w:numPr>
        <w:spacing w:before="120"/>
        <w:jc w:val="both"/>
      </w:pPr>
      <w:r>
        <w:t xml:space="preserve">if the hearing is public, the hearing is conducted in a way that allows </w:t>
      </w:r>
      <w:r w:rsidRPr="00F51B3F">
        <w:t xml:space="preserve">members of the public </w:t>
      </w:r>
      <w:r>
        <w:t xml:space="preserve">the same opportunity </w:t>
      </w:r>
      <w:r w:rsidRPr="00F51B3F">
        <w:t xml:space="preserve">to </w:t>
      </w:r>
      <w:r>
        <w:t xml:space="preserve">witness </w:t>
      </w:r>
      <w:r w:rsidRPr="00F51B3F">
        <w:t>the proceedings</w:t>
      </w:r>
      <w:r>
        <w:t>; and</w:t>
      </w:r>
    </w:p>
    <w:p w:rsidR="001D4980" w:rsidRDefault="001D4980" w:rsidP="00AE5461">
      <w:pPr>
        <w:pStyle w:val="Bullet"/>
        <w:numPr>
          <w:ilvl w:val="0"/>
          <w:numId w:val="13"/>
        </w:numPr>
        <w:spacing w:before="120"/>
        <w:jc w:val="both"/>
      </w:pPr>
      <w:r>
        <w:t>there is a clearly defined place for the hearing for jurisdictional purposes.</w:t>
      </w:r>
    </w:p>
    <w:p w:rsidR="001D4980" w:rsidRDefault="001D4980" w:rsidP="00AE5461">
      <w:pPr>
        <w:jc w:val="both"/>
      </w:pPr>
      <w:r>
        <w:lastRenderedPageBreak/>
        <w:t xml:space="preserve">This could be achieved by allowing regulators to offer options for how a hearing is conducted (i.e. in person or virtually). One way that regulators could satisfy the principles outlined above would be for the regulator to offer options it believes would best suit its purposes, while also providing regulated entities with the most flexibility that can be afforded. </w:t>
      </w:r>
    </w:p>
    <w:p w:rsidR="001D4980" w:rsidRDefault="001D4980" w:rsidP="00AE5461">
      <w:pPr>
        <w:jc w:val="both"/>
      </w:pPr>
      <w:r>
        <w:t>Alternatively, the law could provide for physical meetings by default and afford the regulator with the ability to offer alternatives provided that the regulator is satisfied that:</w:t>
      </w:r>
    </w:p>
    <w:p w:rsidR="001D4980" w:rsidRDefault="007662EC" w:rsidP="00AE5461">
      <w:pPr>
        <w:pStyle w:val="Bullet"/>
        <w:numPr>
          <w:ilvl w:val="0"/>
          <w:numId w:val="13"/>
        </w:numPr>
        <w:spacing w:before="120"/>
        <w:jc w:val="both"/>
      </w:pPr>
      <w:r>
        <w:t>There</w:t>
      </w:r>
      <w:r w:rsidR="001D4980">
        <w:t xml:space="preserve"> will be no disadvantage to the party; and</w:t>
      </w:r>
    </w:p>
    <w:p w:rsidR="001D4980" w:rsidRDefault="007662EC" w:rsidP="00AE5461">
      <w:pPr>
        <w:pStyle w:val="Bullet"/>
        <w:numPr>
          <w:ilvl w:val="0"/>
          <w:numId w:val="13"/>
        </w:numPr>
        <w:spacing w:before="120"/>
        <w:jc w:val="both"/>
      </w:pPr>
      <w:r>
        <w:t>Conducting</w:t>
      </w:r>
      <w:r w:rsidR="001D4980">
        <w:t xml:space="preserve"> the hearing in person is not practical in the circumstances or would result in a significant delay.</w:t>
      </w:r>
    </w:p>
    <w:tbl>
      <w:tblPr>
        <w:tblStyle w:val="TableGrid"/>
        <w:tblW w:w="0" w:type="auto"/>
        <w:tblLook w:val="04A0" w:firstRow="1" w:lastRow="0" w:firstColumn="1" w:lastColumn="0" w:noHBand="0" w:noVBand="1"/>
      </w:tblPr>
      <w:tblGrid>
        <w:gridCol w:w="9070"/>
      </w:tblGrid>
      <w:tr w:rsidR="00CC31DB" w:rsidTr="00CC31DB">
        <w:tc>
          <w:tcPr>
            <w:tcW w:w="9070" w:type="dxa"/>
          </w:tcPr>
          <w:p w:rsidR="00CC31DB" w:rsidRPr="00CC31DB" w:rsidRDefault="00CC31DB" w:rsidP="00CC31DB">
            <w:pPr>
              <w:pStyle w:val="BoxHeading"/>
              <w:rPr>
                <w:i/>
                <w:color w:val="002C47" w:themeColor="accent1"/>
              </w:rPr>
            </w:pPr>
            <w:r w:rsidRPr="00CC31DB">
              <w:rPr>
                <w:i/>
                <w:color w:val="002C47" w:themeColor="accent1"/>
              </w:rPr>
              <w:t>Case study 4</w:t>
            </w:r>
          </w:p>
          <w:p w:rsidR="00CC31DB" w:rsidRDefault="00CC31DB" w:rsidP="00CC31DB">
            <w:pPr>
              <w:pStyle w:val="BoxText"/>
            </w:pPr>
            <w:r>
              <w:t>Section 12GXF of the Australian Securities and Investments Commission Act 2001 allows a person who has been given an infringement notice to make written representations to ASIC within 28 days seeking withdrawal of the notice.</w:t>
            </w:r>
          </w:p>
          <w:p w:rsidR="00CC31DB" w:rsidRDefault="00CC31DB" w:rsidP="00CC31DB">
            <w:pPr>
              <w:pStyle w:val="BoxText"/>
            </w:pPr>
            <w:r>
              <w:t>Applying the proposed principles to the section would involve making amendments to the legislation to clearly allow ASIC to receive the representations electronically, provided ASIC consents to this.</w:t>
            </w:r>
          </w:p>
          <w:p w:rsidR="00CC31DB" w:rsidRPr="00CC31DB" w:rsidRDefault="00CC31DB" w:rsidP="00CC31DB">
            <w:pPr>
              <w:pStyle w:val="BoxHeading"/>
              <w:rPr>
                <w:i/>
                <w:color w:val="002C47" w:themeColor="accent1"/>
              </w:rPr>
            </w:pPr>
            <w:r w:rsidRPr="00CC31DB">
              <w:rPr>
                <w:i/>
                <w:color w:val="002C47" w:themeColor="accent1"/>
              </w:rPr>
              <w:t>Case study 5</w:t>
            </w:r>
          </w:p>
          <w:p w:rsidR="00CC31DB" w:rsidRDefault="00CC31DB" w:rsidP="00CC31DB">
            <w:pPr>
              <w:pStyle w:val="BoxText"/>
            </w:pPr>
            <w:r>
              <w:t xml:space="preserve">Division 6 of Part 3 of the </w:t>
            </w:r>
            <w:r w:rsidRPr="0020774C">
              <w:t>Australian Securities and Investments Commission Act 2001</w:t>
            </w:r>
            <w:r>
              <w:t xml:space="preserve"> deals with hearings. While these provisions do not state that hearings must be conducted in person, section 57 provides that there must be a place for the hearing and section 59, which regulates the conduct of proceedings, excludes powers that would clearly permit physical presence to be dispensed with.</w:t>
            </w:r>
          </w:p>
          <w:p w:rsidR="00CC31DB" w:rsidRDefault="00CC31DB" w:rsidP="00CC31DB">
            <w:pPr>
              <w:pStyle w:val="BoxText"/>
            </w:pPr>
            <w:r>
              <w:t xml:space="preserve">As a result, in practice hearings are typically conducted at a single physical location which leads to higher costs for attendees of hearings. </w:t>
            </w:r>
          </w:p>
          <w:p w:rsidR="00CC31DB" w:rsidRDefault="00CC31DB" w:rsidP="00CC31DB">
            <w:pPr>
              <w:pStyle w:val="BoxText"/>
            </w:pPr>
            <w:r>
              <w:t xml:space="preserve">Applying the proposed principles would involve making amendments to the Act to clarify that a hearing could be conducted without the parties being physical present, provided that the highest standard of procedural fairness is maintained. </w:t>
            </w:r>
          </w:p>
          <w:p w:rsidR="00CC31DB" w:rsidRPr="00CC31DB" w:rsidRDefault="00CC31DB" w:rsidP="00CC31DB">
            <w:pPr>
              <w:pStyle w:val="BoxText"/>
            </w:pPr>
          </w:p>
        </w:tc>
      </w:tr>
    </w:tbl>
    <w:p w:rsidR="00CC31DB" w:rsidRPr="00CC31DB" w:rsidRDefault="00CC31DB" w:rsidP="00CC31DB"/>
    <w:p w:rsidR="00AB3032" w:rsidRPr="00CC31DB" w:rsidRDefault="00AB3032" w:rsidP="00CC31DB">
      <w:bookmarkStart w:id="277" w:name="_Toc55478118"/>
      <w:bookmarkStart w:id="278" w:name="_Toc57202511"/>
      <w:bookmarkStart w:id="279" w:name="_Toc57209927"/>
      <w:bookmarkStart w:id="280" w:name="_Toc57215208"/>
      <w:bookmarkEnd w:id="208"/>
      <w:bookmarkEnd w:id="209"/>
      <w:bookmarkEnd w:id="210"/>
      <w:bookmarkEnd w:id="249"/>
      <w:bookmarkEnd w:id="250"/>
      <w:bookmarkEnd w:id="251"/>
      <w:bookmarkEnd w:id="252"/>
      <w:bookmarkEnd w:id="253"/>
      <w:bookmarkEnd w:id="254"/>
      <w:bookmarkEnd w:id="255"/>
      <w:r>
        <w:br w:type="page"/>
      </w:r>
    </w:p>
    <w:p w:rsidR="008D12EE" w:rsidRDefault="008D12EE" w:rsidP="00423FA0">
      <w:pPr>
        <w:pStyle w:val="Heading2"/>
        <w:tabs>
          <w:tab w:val="clear" w:pos="1080"/>
        </w:tabs>
      </w:pPr>
      <w:bookmarkStart w:id="281" w:name="_Toc59021137"/>
      <w:r>
        <w:lastRenderedPageBreak/>
        <w:t>Signatures</w:t>
      </w:r>
      <w:bookmarkEnd w:id="277"/>
      <w:bookmarkEnd w:id="278"/>
      <w:bookmarkEnd w:id="279"/>
      <w:bookmarkEnd w:id="280"/>
      <w:bookmarkEnd w:id="281"/>
      <w:r>
        <w:t xml:space="preserve"> </w:t>
      </w:r>
    </w:p>
    <w:p w:rsidR="001A6451" w:rsidRDefault="00F80F91" w:rsidP="00E55CF2">
      <w:pPr>
        <w:jc w:val="both"/>
      </w:pPr>
      <w:r>
        <w:t>Laws requiring a signature generally require the signee to physical</w:t>
      </w:r>
      <w:r w:rsidR="00DC46CB">
        <w:t>ly</w:t>
      </w:r>
      <w:r>
        <w:t xml:space="preserve"> sign document</w:t>
      </w:r>
      <w:r w:rsidR="00E57450">
        <w:t>s</w:t>
      </w:r>
      <w:r>
        <w:t xml:space="preserve"> as a statement of both their identity and agreement to the</w:t>
      </w:r>
      <w:r w:rsidR="00BC37E7">
        <w:t xml:space="preserve"> terms outlined in the</w:t>
      </w:r>
      <w:r w:rsidR="00CB3CF4">
        <w:t xml:space="preserve"> document. </w:t>
      </w:r>
      <w:r w:rsidR="001A6451">
        <w:t xml:space="preserve">Treasury portfolio legislation </w:t>
      </w:r>
      <w:r w:rsidR="00BC7B31">
        <w:t xml:space="preserve">includes </w:t>
      </w:r>
      <w:r w:rsidR="001A6451">
        <w:t xml:space="preserve">many obligations requiring a </w:t>
      </w:r>
      <w:r w:rsidR="004072F1">
        <w:t xml:space="preserve">physical </w:t>
      </w:r>
      <w:r w:rsidR="001A6451">
        <w:t xml:space="preserve">signature. </w:t>
      </w:r>
    </w:p>
    <w:p w:rsidR="00093C54" w:rsidRDefault="00BC7B31" w:rsidP="00E55CF2">
      <w:pPr>
        <w:jc w:val="both"/>
      </w:pPr>
      <w:r>
        <w:t>There</w:t>
      </w:r>
      <w:r w:rsidR="00A8003B">
        <w:t xml:space="preserve"> are provisions </w:t>
      </w:r>
      <w:r w:rsidR="007662EC">
        <w:t>in Treasury laws</w:t>
      </w:r>
      <w:r w:rsidR="00A8003B">
        <w:t xml:space="preserve"> that </w:t>
      </w:r>
      <w:r w:rsidR="00480F19">
        <w:t xml:space="preserve">still require a physical signature and </w:t>
      </w:r>
      <w:r w:rsidR="00A8003B">
        <w:t xml:space="preserve">do not allow for the </w:t>
      </w:r>
      <w:r w:rsidR="00480F19">
        <w:t>use of electronic means</w:t>
      </w:r>
      <w:r w:rsidR="00E57450">
        <w:t xml:space="preserve"> of identification and verification of agreement</w:t>
      </w:r>
      <w:r w:rsidR="00206252">
        <w:t xml:space="preserve">, most notably in the </w:t>
      </w:r>
      <w:r w:rsidR="00206252" w:rsidRPr="00222C0E">
        <w:rPr>
          <w:i/>
        </w:rPr>
        <w:t>Corporations Act 2001</w:t>
      </w:r>
      <w:r w:rsidR="00206252">
        <w:t xml:space="preserve"> </w:t>
      </w:r>
      <w:r w:rsidR="00201DCA">
        <w:t>as</w:t>
      </w:r>
      <w:r w:rsidR="00206252" w:rsidDel="00C42F85">
        <w:t xml:space="preserve"> the Act </w:t>
      </w:r>
      <w:r w:rsidR="00C42F85">
        <w:t>is</w:t>
      </w:r>
      <w:r w:rsidR="00201DCA">
        <w:t xml:space="preserve"> exempt from the application of the ETA</w:t>
      </w:r>
      <w:r w:rsidR="00760B58">
        <w:rPr>
          <w:i/>
        </w:rPr>
        <w:t>.</w:t>
      </w:r>
      <w:r w:rsidR="00206252">
        <w:t xml:space="preserve"> </w:t>
      </w:r>
    </w:p>
    <w:p w:rsidR="003F2477" w:rsidRPr="003E38B3" w:rsidRDefault="00DC46CB" w:rsidP="00E55CF2">
      <w:pPr>
        <w:jc w:val="both"/>
      </w:pPr>
      <w:r>
        <w:t>There are also other requirements connected to signatures, including that the signature be witnessed. While such requirements are less common, they can require the witness to be physically present for the signing of the document.</w:t>
      </w:r>
      <w:r w:rsidR="000E154A">
        <w:t xml:space="preserve"> </w:t>
      </w:r>
    </w:p>
    <w:p w:rsidR="00546E97" w:rsidRDefault="00122E3F" w:rsidP="00E55CF2">
      <w:pPr>
        <w:jc w:val="both"/>
      </w:pPr>
      <w:r>
        <w:t>Earlier this year, the Government provided temporary relief for companies to electronic</w:t>
      </w:r>
      <w:r w:rsidR="00E55CF2">
        <w:t>ally</w:t>
      </w:r>
      <w:r>
        <w:t xml:space="preserve"> execut</w:t>
      </w:r>
      <w:r w:rsidR="00E55CF2">
        <w:t xml:space="preserve">e </w:t>
      </w:r>
      <w:r>
        <w:t>documents as part of the COVID</w:t>
      </w:r>
      <w:r w:rsidR="00DA176D">
        <w:noBreakHyphen/>
      </w:r>
      <w:r>
        <w:t>19 economic response.</w:t>
      </w:r>
      <w:r>
        <w:rPr>
          <w:rStyle w:val="FootnoteReference"/>
        </w:rPr>
        <w:footnoteReference w:id="5"/>
      </w:r>
      <w:r>
        <w:t xml:space="preserve"> This allowed companies </w:t>
      </w:r>
      <w:r w:rsidR="00184DD4">
        <w:t xml:space="preserve">to execute </w:t>
      </w:r>
      <w:r w:rsidR="00206252">
        <w:t>documents without a seal or physical signature</w:t>
      </w:r>
      <w:r w:rsidR="00184DD4">
        <w:t>.</w:t>
      </w:r>
      <w:r w:rsidR="00206252">
        <w:t xml:space="preserve"> </w:t>
      </w:r>
    </w:p>
    <w:p w:rsidR="00206252" w:rsidRDefault="00184DD4" w:rsidP="004B31E9">
      <w:pPr>
        <w:jc w:val="both"/>
      </w:pPr>
      <w:r w:rsidRPr="00712207">
        <w:t>The Government has also recently consulted on exposure draft legislation, which propose</w:t>
      </w:r>
      <w:r w:rsidR="000B4269">
        <w:t>s</w:t>
      </w:r>
      <w:r w:rsidRPr="00712207">
        <w:t xml:space="preserve"> permanent amendments to the regulatory requirements related to the execution of documents for companies</w:t>
      </w:r>
      <w:r w:rsidR="00004823">
        <w:t xml:space="preserve"> in section 127 of the </w:t>
      </w:r>
      <w:r w:rsidR="00004823">
        <w:rPr>
          <w:i/>
        </w:rPr>
        <w:t>Corporations Act 2001</w:t>
      </w:r>
      <w:r w:rsidRPr="00712207">
        <w:t xml:space="preserve">, </w:t>
      </w:r>
      <w:r w:rsidR="00004823">
        <w:t>and the use of electronic means to sign documents related to a meeting or the external administration of a company in Chapter</w:t>
      </w:r>
      <w:r w:rsidR="004B2CE4">
        <w:t>s</w:t>
      </w:r>
      <w:r w:rsidR="00004823">
        <w:t xml:space="preserve"> 2G and 5</w:t>
      </w:r>
      <w:r w:rsidRPr="00712207">
        <w:t xml:space="preserve"> of the </w:t>
      </w:r>
      <w:r w:rsidRPr="00712207">
        <w:rPr>
          <w:i/>
        </w:rPr>
        <w:t>Corporations Act 2001</w:t>
      </w:r>
      <w:r w:rsidR="00F55971">
        <w:rPr>
          <w:i/>
        </w:rPr>
        <w:t>.</w:t>
      </w:r>
      <w:r w:rsidR="00B1685C">
        <w:rPr>
          <w:rStyle w:val="FootnoteReference"/>
          <w:i/>
        </w:rPr>
        <w:footnoteReference w:id="6"/>
      </w:r>
      <w:r w:rsidRPr="00712207">
        <w:t xml:space="preserve"> </w:t>
      </w:r>
    </w:p>
    <w:p w:rsidR="00774E20" w:rsidRPr="003E38B3" w:rsidRDefault="00774E20" w:rsidP="00200CB2">
      <w:pPr>
        <w:pStyle w:val="Heading3"/>
      </w:pPr>
      <w:bookmarkStart w:id="282" w:name="_Toc52374732"/>
      <w:bookmarkStart w:id="283" w:name="_Toc52375003"/>
      <w:bookmarkStart w:id="284" w:name="_Toc52443778"/>
      <w:bookmarkStart w:id="285" w:name="_Toc54691015"/>
      <w:bookmarkStart w:id="286" w:name="_Toc54704389"/>
      <w:bookmarkStart w:id="287" w:name="_Toc54705638"/>
      <w:bookmarkStart w:id="288" w:name="_Toc54871994"/>
      <w:bookmarkStart w:id="289" w:name="_Toc54879332"/>
      <w:bookmarkStart w:id="290" w:name="_Toc55286652"/>
      <w:bookmarkStart w:id="291" w:name="_Toc55380989"/>
      <w:bookmarkStart w:id="292" w:name="_Toc55394111"/>
      <w:bookmarkStart w:id="293" w:name="_Toc55397490"/>
      <w:bookmarkStart w:id="294" w:name="_Toc55399897"/>
      <w:bookmarkStart w:id="295" w:name="_Toc55403016"/>
      <w:bookmarkStart w:id="296" w:name="_Toc55478119"/>
      <w:bookmarkStart w:id="297" w:name="_Toc57202512"/>
      <w:bookmarkStart w:id="298" w:name="_Toc57209928"/>
      <w:bookmarkStart w:id="299" w:name="_Toc57215209"/>
      <w:bookmarkStart w:id="300" w:name="_Toc59021138"/>
      <w:r w:rsidRPr="003E38B3">
        <w:t>Policy Goals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0F0533" w:rsidRDefault="00CC34DA" w:rsidP="00BC7B31">
      <w:pPr>
        <w:jc w:val="both"/>
      </w:pPr>
      <w:r>
        <w:t xml:space="preserve">The purpose of </w:t>
      </w:r>
      <w:r w:rsidR="00BC7B31">
        <w:t xml:space="preserve">signature and witnessing requirements are to ensure the objectives of identification and confirmation </w:t>
      </w:r>
      <w:r w:rsidR="005A1925">
        <w:t>of agreement</w:t>
      </w:r>
      <w:r w:rsidR="00BC7B31">
        <w:t xml:space="preserve"> can be met. </w:t>
      </w:r>
      <w:r w:rsidR="000006AD">
        <w:t xml:space="preserve">In the past, this has been done through </w:t>
      </w:r>
      <w:r w:rsidR="00BB1AA7">
        <w:t>the signing of a hard copy document</w:t>
      </w:r>
      <w:r w:rsidR="0031272E">
        <w:t>,</w:t>
      </w:r>
      <w:r w:rsidR="00BB1AA7">
        <w:t xml:space="preserve"> which </w:t>
      </w:r>
      <w:r w:rsidR="001F48FD">
        <w:t xml:space="preserve">for higher risk transactions </w:t>
      </w:r>
      <w:r w:rsidR="00BB1AA7">
        <w:t>has been physically witness</w:t>
      </w:r>
      <w:r w:rsidR="007C3130">
        <w:t>ed</w:t>
      </w:r>
      <w:r w:rsidR="00BB1AA7">
        <w:t xml:space="preserve">. </w:t>
      </w:r>
      <w:r w:rsidR="007C3130">
        <w:t xml:space="preserve">However, the </w:t>
      </w:r>
      <w:r w:rsidR="00C718AC">
        <w:t xml:space="preserve">growth in digital technology and security provides for the use of electronic </w:t>
      </w:r>
      <w:r w:rsidR="005A1925">
        <w:t xml:space="preserve">means of achieving these objectives </w:t>
      </w:r>
      <w:r w:rsidR="00C718AC">
        <w:t xml:space="preserve">while improving efficiencies and reducing costs compared with physical signatures. </w:t>
      </w:r>
    </w:p>
    <w:p w:rsidR="00924775" w:rsidRDefault="001F48FD" w:rsidP="00BC7B31">
      <w:pPr>
        <w:jc w:val="both"/>
      </w:pPr>
      <w:r>
        <w:t xml:space="preserve">Online methods of verifying identity and confirming agreement are now readily available and </w:t>
      </w:r>
      <w:r w:rsidR="009F03D7">
        <w:t xml:space="preserve">used </w:t>
      </w:r>
      <w:r>
        <w:t>extensively</w:t>
      </w:r>
      <w:r w:rsidR="0031272E">
        <w:t>,</w:t>
      </w:r>
      <w:r>
        <w:t xml:space="preserve"> providing the same or higher levels of assurance.</w:t>
      </w:r>
    </w:p>
    <w:p w:rsidR="009B73BB" w:rsidRPr="00202907" w:rsidRDefault="009B73BB" w:rsidP="00200CB2">
      <w:pPr>
        <w:pStyle w:val="Heading3"/>
      </w:pPr>
      <w:bookmarkStart w:id="301" w:name="_Toc55400601"/>
      <w:bookmarkStart w:id="302" w:name="_Toc55398914"/>
      <w:bookmarkStart w:id="303" w:name="_Toc55403017"/>
      <w:bookmarkStart w:id="304" w:name="_Toc55478120"/>
      <w:bookmarkStart w:id="305" w:name="_Toc57202513"/>
      <w:bookmarkStart w:id="306" w:name="_Toc57209929"/>
      <w:bookmarkStart w:id="307" w:name="_Toc57215210"/>
      <w:bookmarkStart w:id="308" w:name="_Toc59021139"/>
      <w:bookmarkEnd w:id="301"/>
      <w:r w:rsidRPr="00202907">
        <w:t>Proposed Principles</w:t>
      </w:r>
      <w:bookmarkStart w:id="309" w:name="_Toc52374733"/>
      <w:bookmarkStart w:id="310" w:name="_Toc52375004"/>
      <w:bookmarkEnd w:id="302"/>
      <w:bookmarkEnd w:id="303"/>
      <w:bookmarkEnd w:id="304"/>
      <w:bookmarkEnd w:id="305"/>
      <w:bookmarkEnd w:id="306"/>
      <w:bookmarkEnd w:id="307"/>
      <w:bookmarkEnd w:id="308"/>
    </w:p>
    <w:p w:rsidR="007662EC" w:rsidRPr="00423FA0" w:rsidRDefault="008407AC" w:rsidP="00AE5461">
      <w:pPr>
        <w:jc w:val="both"/>
      </w:pPr>
      <w:r w:rsidRPr="00423FA0">
        <w:t xml:space="preserve">As a starting point, </w:t>
      </w:r>
      <w:r w:rsidR="00303549" w:rsidRPr="00423FA0">
        <w:t xml:space="preserve">the Government proposes </w:t>
      </w:r>
      <w:r w:rsidR="0073472B" w:rsidRPr="00423FA0">
        <w:t>adopt</w:t>
      </w:r>
      <w:r w:rsidR="0068433D" w:rsidRPr="00423FA0">
        <w:t>ing</w:t>
      </w:r>
      <w:r w:rsidR="0073472B" w:rsidRPr="00423FA0">
        <w:t xml:space="preserve"> an overarching principle that technology may be used to </w:t>
      </w:r>
      <w:r w:rsidR="001F48FD" w:rsidRPr="00423FA0">
        <w:t>verify a person</w:t>
      </w:r>
      <w:r w:rsidR="00DA176D">
        <w:t>’</w:t>
      </w:r>
      <w:r w:rsidR="001F48FD" w:rsidRPr="00423FA0">
        <w:t>s identity and receive their agreement</w:t>
      </w:r>
      <w:r w:rsidR="0073472B" w:rsidRPr="00423FA0">
        <w:t xml:space="preserve">, provided that the </w:t>
      </w:r>
      <w:r w:rsidR="001F48FD" w:rsidRPr="00423FA0">
        <w:t xml:space="preserve">electronic method used </w:t>
      </w:r>
      <w:r w:rsidR="0073472B" w:rsidRPr="00423FA0">
        <w:t xml:space="preserve">provides </w:t>
      </w:r>
      <w:r w:rsidR="006B6CE5" w:rsidRPr="00423FA0">
        <w:t xml:space="preserve">at least the </w:t>
      </w:r>
      <w:r w:rsidR="0073472B" w:rsidRPr="00423FA0">
        <w:t xml:space="preserve">same level of validity </w:t>
      </w:r>
      <w:r w:rsidR="00696A2A" w:rsidRPr="00423FA0">
        <w:t xml:space="preserve">as a </w:t>
      </w:r>
      <w:r w:rsidR="00C9525B" w:rsidRPr="00423FA0">
        <w:t xml:space="preserve">physical </w:t>
      </w:r>
      <w:r w:rsidR="00696A2A" w:rsidRPr="00423FA0">
        <w:t>signature</w:t>
      </w:r>
      <w:r w:rsidR="00DA176D">
        <w:t xml:space="preserve">. </w:t>
      </w:r>
    </w:p>
    <w:p w:rsidR="00D17A14" w:rsidRPr="00423FA0" w:rsidRDefault="004E07BE" w:rsidP="00AE5461">
      <w:pPr>
        <w:jc w:val="both"/>
      </w:pPr>
      <w:r w:rsidRPr="00423FA0">
        <w:t xml:space="preserve">Following the precedent </w:t>
      </w:r>
      <w:r w:rsidR="00834B0B" w:rsidRPr="00423FA0">
        <w:t xml:space="preserve">of section 10 of the </w:t>
      </w:r>
      <w:r w:rsidR="00834B0B" w:rsidRPr="00423FA0">
        <w:rPr>
          <w:i/>
        </w:rPr>
        <w:t>Electronic Transactions Act 1999</w:t>
      </w:r>
      <w:r w:rsidR="00834B0B" w:rsidRPr="00423FA0">
        <w:t>, the proposed principles are</w:t>
      </w:r>
      <w:r w:rsidR="00D17A14" w:rsidRPr="00423FA0">
        <w:t xml:space="preserve">: </w:t>
      </w:r>
    </w:p>
    <w:p w:rsidR="00D17A14" w:rsidRPr="00423FA0" w:rsidRDefault="00773869" w:rsidP="00AE5461">
      <w:pPr>
        <w:pStyle w:val="Bullet"/>
        <w:numPr>
          <w:ilvl w:val="0"/>
          <w:numId w:val="1"/>
        </w:numPr>
        <w:jc w:val="both"/>
      </w:pPr>
      <w:r w:rsidRPr="00423FA0">
        <w:t>ensuring that the electronic method of signature provides, at least, an equally reliable indication of the person</w:t>
      </w:r>
      <w:r w:rsidR="00DA176D">
        <w:t>’</w:t>
      </w:r>
      <w:r w:rsidRPr="00423FA0">
        <w:t>s identity and their intention in respect of the document</w:t>
      </w:r>
      <w:r w:rsidR="00D17A14" w:rsidRPr="00423FA0">
        <w:t xml:space="preserve">; </w:t>
      </w:r>
      <w:r w:rsidR="00F3612F" w:rsidRPr="00423FA0">
        <w:t>and</w:t>
      </w:r>
    </w:p>
    <w:p w:rsidR="00692D8E" w:rsidRPr="00423FA0" w:rsidRDefault="00692D8E" w:rsidP="00AE5461">
      <w:pPr>
        <w:pStyle w:val="Bullet"/>
        <w:numPr>
          <w:ilvl w:val="0"/>
          <w:numId w:val="1"/>
        </w:numPr>
        <w:jc w:val="both"/>
        <w:rPr>
          <w:rStyle w:val="IntenseEmphasis"/>
          <w:i w:val="0"/>
          <w:color w:val="auto"/>
        </w:rPr>
      </w:pPr>
      <w:r w:rsidRPr="00423FA0">
        <w:t xml:space="preserve">where </w:t>
      </w:r>
      <w:r w:rsidR="004E07BE" w:rsidRPr="00423FA0">
        <w:t>a signature is</w:t>
      </w:r>
      <w:r w:rsidRPr="00423FA0">
        <w:t xml:space="preserve"> given to an individual or a business, that individual or business must consent to the use of that method to verify identity and receive agreement</w:t>
      </w:r>
      <w:r w:rsidR="00F3612F" w:rsidRPr="00423FA0">
        <w:t>.</w:t>
      </w:r>
      <w:r w:rsidRPr="00423FA0">
        <w:t xml:space="preserve"> </w:t>
      </w:r>
    </w:p>
    <w:p w:rsidR="00F358C5" w:rsidRDefault="00F358C5" w:rsidP="00AE5461">
      <w:pPr>
        <w:pStyle w:val="Bullet"/>
        <w:numPr>
          <w:ilvl w:val="0"/>
          <w:numId w:val="0"/>
        </w:numPr>
        <w:jc w:val="both"/>
      </w:pPr>
      <w:r>
        <w:lastRenderedPageBreak/>
        <w:t xml:space="preserve">In considering </w:t>
      </w:r>
      <w:r w:rsidR="00880BEA">
        <w:t>how these principles are applied to provisions, consideration should also be given to the regulatory costs for businesses and individual</w:t>
      </w:r>
      <w:r w:rsidR="00305788">
        <w:t>s</w:t>
      </w:r>
      <w:r w:rsidR="00880BEA">
        <w:t xml:space="preserve"> to comply</w:t>
      </w:r>
      <w:r w:rsidR="007662EC">
        <w:t xml:space="preserve"> and risks</w:t>
      </w:r>
      <w:r w:rsidR="00880BEA">
        <w:t xml:space="preserve">, for example, with the consent requirement. </w:t>
      </w:r>
    </w:p>
    <w:tbl>
      <w:tblPr>
        <w:tblStyle w:val="TableGrid"/>
        <w:tblW w:w="0" w:type="auto"/>
        <w:tblLook w:val="04A0" w:firstRow="1" w:lastRow="0" w:firstColumn="1" w:lastColumn="0" w:noHBand="0" w:noVBand="1"/>
      </w:tblPr>
      <w:tblGrid>
        <w:gridCol w:w="9070"/>
      </w:tblGrid>
      <w:tr w:rsidR="00CC31DB" w:rsidTr="00CC31DB">
        <w:tc>
          <w:tcPr>
            <w:tcW w:w="9070" w:type="dxa"/>
          </w:tcPr>
          <w:p w:rsidR="00CC31DB" w:rsidRDefault="00CC31DB" w:rsidP="00CC31DB">
            <w:pPr>
              <w:pStyle w:val="BoxHeading"/>
              <w:rPr>
                <w:rStyle w:val="IntenseEmphasis"/>
              </w:rPr>
            </w:pPr>
            <w:r w:rsidRPr="0057212D">
              <w:rPr>
                <w:rStyle w:val="IntenseEmphasis"/>
              </w:rPr>
              <w:t>Case Study</w:t>
            </w:r>
            <w:r>
              <w:rPr>
                <w:rStyle w:val="IntenseEmphasis"/>
              </w:rPr>
              <w:t xml:space="preserve"> 6</w:t>
            </w:r>
          </w:p>
          <w:p w:rsidR="00CC31DB" w:rsidRDefault="00CC31DB" w:rsidP="00CC31DB">
            <w:pPr>
              <w:pStyle w:val="BoxText"/>
            </w:pPr>
            <w:r>
              <w:t xml:space="preserve">Regulation 6.17A of the </w:t>
            </w:r>
            <w:r w:rsidRPr="00D5450C">
              <w:rPr>
                <w:i/>
              </w:rPr>
              <w:t>Superannuation Industry (Supervision) Regulations 1994</w:t>
            </w:r>
            <w:r>
              <w:t xml:space="preserve"> provides that the rules of a superannuation fund may permit a member of the fund to give notice requiring the trustee of the fund to provide any benefits held in the fund in respect of the member to the member’s legal representative or dependent of the measure in the event of the members death.</w:t>
            </w:r>
          </w:p>
          <w:p w:rsidR="00CC31DB" w:rsidRDefault="00CC31DB" w:rsidP="00CC31DB">
            <w:pPr>
              <w:pStyle w:val="BoxText"/>
            </w:pPr>
            <w:r>
              <w:t xml:space="preserve">This notice, referred to as a binding death benefit nomination, must, among other things, be signed by the member. As the </w:t>
            </w:r>
            <w:r>
              <w:rPr>
                <w:i/>
              </w:rPr>
              <w:t>Superannuation Industry (Supervision) Regulations 1994</w:t>
            </w:r>
            <w:r>
              <w:t xml:space="preserve"> is exempt from the application of the </w:t>
            </w:r>
            <w:r w:rsidRPr="00BD12A2">
              <w:t>ETA</w:t>
            </w:r>
            <w:r>
              <w:t>, this requirement can only be satisfied by providing a physical signature.</w:t>
            </w:r>
          </w:p>
          <w:p w:rsidR="00CC31DB" w:rsidRPr="00DB1FE1" w:rsidRDefault="00CC31DB" w:rsidP="00CC31DB">
            <w:pPr>
              <w:pStyle w:val="BoxText"/>
            </w:pPr>
            <w:r>
              <w:t xml:space="preserve">Applying the proposed principles could involve removing the current exemption to the </w:t>
            </w:r>
            <w:r w:rsidRPr="00BD12A2">
              <w:t>ETA</w:t>
            </w:r>
            <w:r>
              <w:t xml:space="preserve"> from the </w:t>
            </w:r>
            <w:r>
              <w:rPr>
                <w:i/>
              </w:rPr>
              <w:t>Electronic Regulations 2020</w:t>
            </w:r>
            <w:r>
              <w:t xml:space="preserve">, allowing the use of alternative forms of identity verification and agreement. Importantly, any alternative form adopted must provide a clear indication </w:t>
            </w:r>
            <w:r w:rsidRPr="00DB1FE1">
              <w:t xml:space="preserve">that the signatory has understood and assented to the nomination and address risks of fraud or misuse. </w:t>
            </w:r>
          </w:p>
          <w:p w:rsidR="00CC31DB" w:rsidRPr="00AE5461" w:rsidRDefault="00CC31DB" w:rsidP="00CC31DB">
            <w:pPr>
              <w:pStyle w:val="BoxText"/>
            </w:pPr>
            <w:r w:rsidRPr="00DB1FE1">
              <w:rPr>
                <w:b/>
              </w:rPr>
              <w:t xml:space="preserve">Note: </w:t>
            </w:r>
            <w:r w:rsidRPr="00DB1FE1">
              <w:t>The ETA provides an option for the use of electronic communication to satisfy obligations under Commonwealth law. The ETA does not compel or mandate the use of electronic communications by a government body or regulator.</w:t>
            </w:r>
            <w:r>
              <w:t xml:space="preserve"> </w:t>
            </w:r>
            <w:bookmarkStart w:id="311" w:name="_Toc54691017"/>
            <w:bookmarkStart w:id="312" w:name="_Toc54704391"/>
            <w:bookmarkStart w:id="313" w:name="_Toc54705640"/>
            <w:bookmarkStart w:id="314" w:name="_Toc54871997"/>
            <w:bookmarkStart w:id="315" w:name="_Toc54879335"/>
            <w:bookmarkStart w:id="316" w:name="_Toc55286655"/>
            <w:bookmarkStart w:id="317" w:name="_Toc55380994"/>
            <w:bookmarkStart w:id="318" w:name="_Toc55394116"/>
            <w:bookmarkStart w:id="319" w:name="_Toc55397493"/>
            <w:bookmarkStart w:id="320" w:name="_Toc55399900"/>
            <w:bookmarkStart w:id="321" w:name="_Toc55403019"/>
          </w:p>
          <w:bookmarkEnd w:id="311"/>
          <w:bookmarkEnd w:id="312"/>
          <w:bookmarkEnd w:id="313"/>
          <w:bookmarkEnd w:id="314"/>
          <w:bookmarkEnd w:id="315"/>
          <w:bookmarkEnd w:id="316"/>
          <w:bookmarkEnd w:id="317"/>
          <w:bookmarkEnd w:id="318"/>
          <w:bookmarkEnd w:id="319"/>
          <w:bookmarkEnd w:id="320"/>
          <w:bookmarkEnd w:id="321"/>
          <w:p w:rsidR="00CC31DB" w:rsidRPr="00CC31DB" w:rsidRDefault="00CC31DB" w:rsidP="00CC31DB"/>
        </w:tc>
      </w:tr>
    </w:tbl>
    <w:p w:rsidR="00107D66" w:rsidRPr="004B31E9" w:rsidRDefault="00107D66" w:rsidP="00AE5461">
      <w:pPr>
        <w:pStyle w:val="Bullet"/>
        <w:numPr>
          <w:ilvl w:val="0"/>
          <w:numId w:val="0"/>
        </w:numPr>
        <w:jc w:val="both"/>
        <w:rPr>
          <w:rStyle w:val="IntenseEmphasis"/>
          <w:i w:val="0"/>
          <w:iCs w:val="0"/>
          <w:color w:val="auto"/>
        </w:rPr>
      </w:pPr>
    </w:p>
    <w:p w:rsidR="00AE5461" w:rsidRDefault="00AE5461">
      <w:pPr>
        <w:spacing w:before="0" w:after="160" w:line="259" w:lineRule="auto"/>
        <w:rPr>
          <w:rFonts w:cs="Arial"/>
          <w:iCs/>
          <w:color w:val="002C47"/>
          <w:kern w:val="32"/>
          <w:sz w:val="36"/>
          <w:szCs w:val="28"/>
        </w:rPr>
      </w:pPr>
      <w:bookmarkStart w:id="322" w:name="_Toc52374739"/>
      <w:bookmarkStart w:id="323" w:name="_Toc52375010"/>
      <w:bookmarkStart w:id="324" w:name="_Toc52443785"/>
      <w:bookmarkStart w:id="325" w:name="_Toc54691023"/>
      <w:bookmarkStart w:id="326" w:name="_Toc54704397"/>
      <w:bookmarkStart w:id="327" w:name="_Toc54705646"/>
      <w:bookmarkStart w:id="328" w:name="_Toc54872001"/>
      <w:bookmarkStart w:id="329" w:name="_Toc54879339"/>
      <w:bookmarkStart w:id="330" w:name="_Toc55286660"/>
      <w:bookmarkStart w:id="331" w:name="_Toc55380998"/>
      <w:bookmarkStart w:id="332" w:name="_Toc55394120"/>
      <w:bookmarkStart w:id="333" w:name="_Toc55397498"/>
      <w:bookmarkStart w:id="334" w:name="_Toc55399905"/>
      <w:bookmarkStart w:id="335" w:name="_Toc55403023"/>
      <w:bookmarkStart w:id="336" w:name="_Toc55478126"/>
      <w:bookmarkStart w:id="337" w:name="_Toc57202515"/>
      <w:bookmarkStart w:id="338" w:name="_Toc57209931"/>
      <w:bookmarkStart w:id="339" w:name="_Toc57215211"/>
      <w:bookmarkEnd w:id="309"/>
      <w:bookmarkEnd w:id="310"/>
      <w:r>
        <w:br w:type="page"/>
      </w:r>
    </w:p>
    <w:p w:rsidR="00E3622A" w:rsidRPr="003E38B3" w:rsidRDefault="00E3622A" w:rsidP="00423FA0">
      <w:pPr>
        <w:pStyle w:val="Heading2"/>
        <w:tabs>
          <w:tab w:val="clear" w:pos="1080"/>
        </w:tabs>
      </w:pPr>
      <w:bookmarkStart w:id="340" w:name="_Toc59021140"/>
      <w:r w:rsidRPr="003E38B3">
        <w:lastRenderedPageBreak/>
        <w:t>Record</w:t>
      </w:r>
      <w:r w:rsidR="00DA176D">
        <w:noBreakHyphen/>
      </w:r>
      <w:r w:rsidRPr="003E38B3">
        <w:t>Keeping Requirements</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D0377E" w:rsidRDefault="00D0377E" w:rsidP="00E27B98">
      <w:pPr>
        <w:jc w:val="both"/>
      </w:pPr>
      <w:r>
        <w:t>Various provisions across Treasury portfolio laws require entities to record or retain information. Many of these provisions</w:t>
      </w:r>
      <w:r w:rsidDel="005E320E">
        <w:t xml:space="preserve"> </w:t>
      </w:r>
      <w:r>
        <w:t xml:space="preserve">create an obligation to record or retain certain information without specifying how this information is to be held. However, some provisions require information to be recorded or retained in writing. For example, section 286 of the </w:t>
      </w:r>
      <w:r w:rsidRPr="002002F3">
        <w:rPr>
          <w:i/>
        </w:rPr>
        <w:t>Corporations Act 2001</w:t>
      </w:r>
      <w:r>
        <w:t xml:space="preserve"> requires entities to keep written financial records for a period of seven years. </w:t>
      </w:r>
    </w:p>
    <w:p w:rsidR="00D447B8" w:rsidRDefault="00D0377E" w:rsidP="00E27B98">
      <w:pPr>
        <w:jc w:val="both"/>
      </w:pPr>
      <w:r>
        <w:t>For most Commonwealth laws, section 12 of the ETA provides that a requirement for a person to record or retain information in writing is taken to have been met if the person records or retains the information in electronic form</w:t>
      </w:r>
      <w:r w:rsidRPr="001E4D69">
        <w:t xml:space="preserve">. </w:t>
      </w:r>
      <w:r w:rsidR="000C2B98" w:rsidRPr="001E4D69">
        <w:t>This applies generally to Commonwealth laws unless an exemption to the ETA is requested by the responsible agency. Section 12</w:t>
      </w:r>
      <w:r w:rsidR="00D447B8" w:rsidRPr="001E4D69">
        <w:t xml:space="preserve"> allows the person to record the information using technology most appropriate to them including new technologies such as blockchain. </w:t>
      </w:r>
      <w:r w:rsidRPr="001E4D69">
        <w:t xml:space="preserve">However, </w:t>
      </w:r>
      <w:r w:rsidR="00175039" w:rsidRPr="001E4D69">
        <w:t xml:space="preserve">a number of Treasury Acts, including the </w:t>
      </w:r>
      <w:r w:rsidR="00175039" w:rsidRPr="001E4D69">
        <w:rPr>
          <w:i/>
        </w:rPr>
        <w:t>Corporations Act 2001</w:t>
      </w:r>
      <w:r w:rsidR="00175039" w:rsidRPr="001E4D69">
        <w:t xml:space="preserve"> and </w:t>
      </w:r>
      <w:r w:rsidR="00A9564E">
        <w:t xml:space="preserve">most of </w:t>
      </w:r>
      <w:r w:rsidR="00175039" w:rsidRPr="001E4D69">
        <w:t xml:space="preserve">the </w:t>
      </w:r>
      <w:r w:rsidR="00175039" w:rsidRPr="001E4D69">
        <w:rPr>
          <w:i/>
        </w:rPr>
        <w:t xml:space="preserve">Superannuation Industry (Supervision) Act 1993 </w:t>
      </w:r>
      <w:r w:rsidR="00175039" w:rsidRPr="001E4D69">
        <w:t>are exempt from</w:t>
      </w:r>
      <w:r w:rsidRPr="001E4D69">
        <w:t xml:space="preserve"> the </w:t>
      </w:r>
      <w:r w:rsidR="00175039">
        <w:t>ETA</w:t>
      </w:r>
      <w:r>
        <w:t>.</w:t>
      </w:r>
    </w:p>
    <w:p w:rsidR="006A2145" w:rsidRPr="003E38B3" w:rsidRDefault="006A2145" w:rsidP="00200CB2">
      <w:pPr>
        <w:pStyle w:val="Heading3"/>
      </w:pPr>
      <w:bookmarkStart w:id="341" w:name="_Toc52374740"/>
      <w:bookmarkStart w:id="342" w:name="_Toc52375011"/>
      <w:bookmarkStart w:id="343" w:name="_Toc52443786"/>
      <w:bookmarkStart w:id="344" w:name="_Toc54691024"/>
      <w:bookmarkStart w:id="345" w:name="_Toc54704398"/>
      <w:bookmarkStart w:id="346" w:name="_Toc54705647"/>
      <w:bookmarkStart w:id="347" w:name="_Toc54872002"/>
      <w:bookmarkStart w:id="348" w:name="_Toc54879340"/>
      <w:bookmarkStart w:id="349" w:name="_Toc55286661"/>
      <w:bookmarkStart w:id="350" w:name="_Toc55380999"/>
      <w:bookmarkStart w:id="351" w:name="_Toc55394121"/>
      <w:bookmarkStart w:id="352" w:name="_Toc55397499"/>
      <w:bookmarkStart w:id="353" w:name="_Toc55399906"/>
      <w:bookmarkStart w:id="354" w:name="_Toc55403024"/>
      <w:bookmarkStart w:id="355" w:name="_Toc55478127"/>
      <w:bookmarkStart w:id="356" w:name="_Toc57202516"/>
      <w:bookmarkStart w:id="357" w:name="_Toc57209932"/>
      <w:bookmarkStart w:id="358" w:name="_Toc57215212"/>
      <w:bookmarkStart w:id="359" w:name="_Toc59021141"/>
      <w:r w:rsidRPr="003E38B3">
        <w:t>Policy Goals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C31BAA" w:rsidRDefault="00C31BAA" w:rsidP="00884408">
      <w:pPr>
        <w:jc w:val="both"/>
      </w:pPr>
      <w:r>
        <w:t>The policy goal of requiring information to be retained is to ensure that the information can be readily accessed in the future</w:t>
      </w:r>
      <w:r w:rsidR="00B47A22">
        <w:t xml:space="preserve"> for a variety of regulatory and evidentiary purposes</w:t>
      </w:r>
      <w:r w:rsidR="00776FE0">
        <w:t>.</w:t>
      </w:r>
    </w:p>
    <w:p w:rsidR="00C31BAA" w:rsidRDefault="00C31BAA" w:rsidP="007452C2">
      <w:pPr>
        <w:jc w:val="both"/>
      </w:pPr>
      <w:r>
        <w:t xml:space="preserve">A technology neutral approach to achieving this policy goal would </w:t>
      </w:r>
      <w:r w:rsidR="00776FE0">
        <w:t>avoid</w:t>
      </w:r>
      <w:r>
        <w:t xml:space="preserve"> prescribing the manner in which information is recorded or reta</w:t>
      </w:r>
      <w:r w:rsidR="008A5CE2">
        <w:t xml:space="preserve">ined. Instead, it would </w:t>
      </w:r>
      <w:r>
        <w:t>prescrib</w:t>
      </w:r>
      <w:r w:rsidR="008A5CE2">
        <w:t xml:space="preserve">e the outcome </w:t>
      </w:r>
      <w:r w:rsidR="00B47A22">
        <w:t>of</w:t>
      </w:r>
      <w:r w:rsidR="008A5CE2">
        <w:t xml:space="preserve"> having </w:t>
      </w:r>
      <w:r w:rsidR="00325E7F">
        <w:t xml:space="preserve">both </w:t>
      </w:r>
      <w:r>
        <w:t>the information being held in a form that is able to be readily accessed in the future if needed</w:t>
      </w:r>
      <w:r w:rsidR="00325E7F">
        <w:t xml:space="preserve"> and the integrity of the information </w:t>
      </w:r>
      <w:r w:rsidR="00AE2DD5">
        <w:t>being</w:t>
      </w:r>
      <w:r w:rsidR="00325E7F">
        <w:t xml:space="preserve"> maintained when it is </w:t>
      </w:r>
      <w:r w:rsidR="003B5588">
        <w:t>recorded and stored</w:t>
      </w:r>
      <w:r>
        <w:t xml:space="preserve">. This provides entities with </w:t>
      </w:r>
      <w:r w:rsidR="00B47A22">
        <w:t xml:space="preserve">greater </w:t>
      </w:r>
      <w:r>
        <w:t>ease and flexibility in regard to how they engage and comply with the relevant law.</w:t>
      </w:r>
    </w:p>
    <w:p w:rsidR="006A2145" w:rsidRPr="003E38B3" w:rsidRDefault="00C31BAA" w:rsidP="007452C2">
      <w:pPr>
        <w:jc w:val="both"/>
      </w:pPr>
      <w:r>
        <w:t xml:space="preserve">This outcome is </w:t>
      </w:r>
      <w:r w:rsidR="00F34752">
        <w:t xml:space="preserve">generally </w:t>
      </w:r>
      <w:r>
        <w:t xml:space="preserve">given effect across Commonwealth legislation by the </w:t>
      </w:r>
      <w:r w:rsidR="00D447B8">
        <w:t>ETA</w:t>
      </w:r>
      <w:r w:rsidR="00776FE0">
        <w:t xml:space="preserve"> but not for </w:t>
      </w:r>
      <w:r w:rsidR="00175039">
        <w:t xml:space="preserve">some </w:t>
      </w:r>
      <w:r w:rsidR="00776FE0">
        <w:t>Treasury portfolio laws</w:t>
      </w:r>
      <w:r w:rsidR="00175039">
        <w:t>, as they are exempt from the application of the ETA</w:t>
      </w:r>
      <w:r w:rsidR="00776FE0">
        <w:t>.</w:t>
      </w:r>
    </w:p>
    <w:p w:rsidR="009929C5" w:rsidRPr="003E38B3" w:rsidRDefault="009D7C6B" w:rsidP="00200CB2">
      <w:pPr>
        <w:pStyle w:val="Heading3"/>
      </w:pPr>
      <w:bookmarkStart w:id="360" w:name="_Toc52443788"/>
      <w:bookmarkStart w:id="361" w:name="_Toc54691025"/>
      <w:bookmarkStart w:id="362" w:name="_Toc54704399"/>
      <w:bookmarkStart w:id="363" w:name="_Toc54705648"/>
      <w:bookmarkStart w:id="364" w:name="_Toc54872003"/>
      <w:bookmarkStart w:id="365" w:name="_Toc54879341"/>
      <w:bookmarkStart w:id="366" w:name="_Toc55286662"/>
      <w:bookmarkStart w:id="367" w:name="_Toc55381000"/>
      <w:bookmarkStart w:id="368" w:name="_Toc55394122"/>
      <w:bookmarkStart w:id="369" w:name="_Toc55397500"/>
      <w:bookmarkStart w:id="370" w:name="_Toc55399907"/>
      <w:bookmarkStart w:id="371" w:name="_Toc55403025"/>
      <w:bookmarkStart w:id="372" w:name="_Toc55478128"/>
      <w:bookmarkStart w:id="373" w:name="_Toc57202517"/>
      <w:bookmarkStart w:id="374" w:name="_Toc57209933"/>
      <w:bookmarkStart w:id="375" w:name="_Toc57215213"/>
      <w:bookmarkStart w:id="376" w:name="_Toc59021142"/>
      <w:r>
        <w:t xml:space="preserve">Proposed </w:t>
      </w:r>
      <w:r w:rsidR="005C6AD8" w:rsidRPr="005C6AD8">
        <w:t>Principles</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2025B2" w:rsidRDefault="00931040" w:rsidP="00AE5461">
      <w:pPr>
        <w:jc w:val="both"/>
      </w:pPr>
      <w:r>
        <w:t xml:space="preserve">As a starting point, the Government proposes </w:t>
      </w:r>
      <w:r w:rsidR="00FC64AE">
        <w:t xml:space="preserve">that </w:t>
      </w:r>
      <w:r>
        <w:t>written records are able to be stored by any means as long as</w:t>
      </w:r>
      <w:r w:rsidR="002025B2">
        <w:t>:</w:t>
      </w:r>
    </w:p>
    <w:p w:rsidR="002025B2" w:rsidRDefault="002025B2" w:rsidP="00AE5461">
      <w:pPr>
        <w:pStyle w:val="Bullet"/>
        <w:jc w:val="both"/>
      </w:pPr>
      <w:r>
        <w:t>The</w:t>
      </w:r>
      <w:r w:rsidR="00931040">
        <w:t xml:space="preserve"> information is </w:t>
      </w:r>
      <w:r w:rsidR="008A5CE2">
        <w:t>readily accessible</w:t>
      </w:r>
      <w:r w:rsidR="00931040">
        <w:t xml:space="preserve">, in a format that can be easily </w:t>
      </w:r>
      <w:r>
        <w:t>re</w:t>
      </w:r>
      <w:r w:rsidR="00931040">
        <w:t>used</w:t>
      </w:r>
      <w:r>
        <w:t>;</w:t>
      </w:r>
      <w:r w:rsidR="00931040">
        <w:t xml:space="preserve"> and</w:t>
      </w:r>
      <w:r>
        <w:t>,</w:t>
      </w:r>
    </w:p>
    <w:p w:rsidR="00B425F9" w:rsidRDefault="002025B2" w:rsidP="00AE5461">
      <w:pPr>
        <w:pStyle w:val="Bullet"/>
        <w:jc w:val="both"/>
      </w:pPr>
      <w:r>
        <w:t>W</w:t>
      </w:r>
      <w:r w:rsidR="00F9712C">
        <w:t>here</w:t>
      </w:r>
      <w:r w:rsidR="00931040">
        <w:t xml:space="preserve"> the integrity of the information </w:t>
      </w:r>
      <w:r w:rsidR="00F9712C">
        <w:t xml:space="preserve">can be </w:t>
      </w:r>
      <w:r w:rsidR="00931040">
        <w:t>maintained</w:t>
      </w:r>
      <w:r w:rsidR="00B47A22">
        <w:t xml:space="preserve"> over a relevant period</w:t>
      </w:r>
      <w:r w:rsidR="00931040">
        <w:t>.</w:t>
      </w:r>
      <w:r w:rsidR="00B425F9" w:rsidRPr="00B425F9">
        <w:t xml:space="preserve"> </w:t>
      </w:r>
    </w:p>
    <w:p w:rsidR="006629C1" w:rsidRDefault="007662EC" w:rsidP="00AE5461">
      <w:pPr>
        <w:jc w:val="both"/>
      </w:pPr>
      <w:r>
        <w:t xml:space="preserve">The Government is not considering any changes </w:t>
      </w:r>
      <w:r w:rsidR="00C54379">
        <w:t>to the policy underpinning record</w:t>
      </w:r>
      <w:r w:rsidR="00DA176D">
        <w:noBreakHyphen/>
      </w:r>
      <w:r w:rsidR="00C54379">
        <w:t>keeping requirements</w:t>
      </w:r>
      <w:r>
        <w:t xml:space="preserve"> through this proces</w:t>
      </w:r>
      <w:r w:rsidR="002025B2">
        <w:t>s, which is proposing that r</w:t>
      </w:r>
      <w:r w:rsidR="00C31BAA">
        <w:t xml:space="preserve">equirements </w:t>
      </w:r>
      <w:r w:rsidR="002025B2">
        <w:t>for</w:t>
      </w:r>
      <w:r w:rsidR="00C31BAA">
        <w:t xml:space="preserve"> written records </w:t>
      </w:r>
      <w:r w:rsidR="00D13F5E">
        <w:t xml:space="preserve">to </w:t>
      </w:r>
      <w:r w:rsidR="00C31BAA">
        <w:t xml:space="preserve">be created or retained </w:t>
      </w:r>
      <w:r w:rsidR="00D13F5E">
        <w:t xml:space="preserve">would </w:t>
      </w:r>
      <w:r w:rsidR="00C31BAA">
        <w:t xml:space="preserve">be satisfied by making or holding </w:t>
      </w:r>
      <w:r w:rsidR="00192A98">
        <w:t>information</w:t>
      </w:r>
      <w:r w:rsidR="00C31BAA">
        <w:t xml:space="preserve"> in a physical, electronic or other form. </w:t>
      </w:r>
    </w:p>
    <w:p w:rsidR="00F9712C" w:rsidRDefault="00C31BAA" w:rsidP="00AE5461">
      <w:pPr>
        <w:jc w:val="both"/>
      </w:pPr>
      <w:r>
        <w:t xml:space="preserve">In general, this could be achieved by </w:t>
      </w:r>
      <w:r w:rsidR="00175039" w:rsidRPr="00175039">
        <w:t>removing the current exemptions to the ETA which are in place for certain provisions of Treasury laws, so that the ETA applies to those laws</w:t>
      </w:r>
      <w:r w:rsidR="00175039">
        <w:t>.</w:t>
      </w:r>
      <w:r w:rsidR="00175039" w:rsidRPr="00175039" w:rsidDel="00175039">
        <w:t xml:space="preserve"> </w:t>
      </w:r>
      <w:r>
        <w:t>The ETA provides a well</w:t>
      </w:r>
      <w:r w:rsidR="00DA176D">
        <w:noBreakHyphen/>
      </w:r>
      <w:r>
        <w:t xml:space="preserve">established and robust model for a technology neutral approach to recording and retaining information in Treasury portfolio laws. </w:t>
      </w:r>
    </w:p>
    <w:p w:rsidR="00C31BAA" w:rsidRDefault="00ED1EE2" w:rsidP="00AE5461">
      <w:pPr>
        <w:jc w:val="both"/>
      </w:pPr>
      <w:r>
        <w:t>T</w:t>
      </w:r>
      <w:r w:rsidR="00C31BAA">
        <w:t xml:space="preserve">he application of section 12 of the ETA </w:t>
      </w:r>
      <w:r>
        <w:t xml:space="preserve">to requirements to retain documents and electronic communication </w:t>
      </w:r>
      <w:r w:rsidR="00C31BAA">
        <w:t xml:space="preserve">is conditional on the information being recorded or retained in a method that will maintain its </w:t>
      </w:r>
      <w:r w:rsidR="00DA176D">
        <w:t>‘</w:t>
      </w:r>
      <w:r w:rsidR="00C31BAA">
        <w:t>integrity</w:t>
      </w:r>
      <w:r w:rsidR="00DA176D">
        <w:t>’</w:t>
      </w:r>
      <w:r w:rsidR="00C31BAA">
        <w:t>. In this context</w:t>
      </w:r>
      <w:r w:rsidR="002025B2">
        <w:t>,</w:t>
      </w:r>
      <w:r w:rsidR="00C31BAA">
        <w:t xml:space="preserve"> </w:t>
      </w:r>
      <w:r w:rsidR="00DA176D">
        <w:t>‘</w:t>
      </w:r>
      <w:r w:rsidR="00C31BAA">
        <w:t>integrity</w:t>
      </w:r>
      <w:r w:rsidR="00DA176D">
        <w:t>’</w:t>
      </w:r>
      <w:r w:rsidR="00C31BAA">
        <w:t xml:space="preserve"> means that the information is maintained in a substantively complete and unaltered form. </w:t>
      </w:r>
    </w:p>
    <w:p w:rsidR="002E2F0C" w:rsidRDefault="00C31BAA" w:rsidP="00AE5461">
      <w:pPr>
        <w:jc w:val="both"/>
      </w:pPr>
      <w:r>
        <w:t xml:space="preserve">The application of section 12 is also conditional on the information being recorded or retained in a manner such that it would be reasonable </w:t>
      </w:r>
      <w:r w:rsidRPr="00994D19">
        <w:t xml:space="preserve">to expect that the information would be readily accessible </w:t>
      </w:r>
      <w:r w:rsidRPr="00994D19">
        <w:lastRenderedPageBreak/>
        <w:t>so as to be useable for subsequent reference</w:t>
      </w:r>
      <w:r>
        <w:t>. Given that electronic technology is ever evolving and can potentially fail, this condition is framed as an obje</w:t>
      </w:r>
      <w:r w:rsidR="000A63E0">
        <w:t>ctive point in time test</w:t>
      </w:r>
      <w:r w:rsidR="00DA176D">
        <w:t xml:space="preserve">. </w:t>
      </w:r>
    </w:p>
    <w:tbl>
      <w:tblPr>
        <w:tblStyle w:val="TableGrid"/>
        <w:tblW w:w="0" w:type="auto"/>
        <w:tblLook w:val="04A0" w:firstRow="1" w:lastRow="0" w:firstColumn="1" w:lastColumn="0" w:noHBand="0" w:noVBand="1"/>
      </w:tblPr>
      <w:tblGrid>
        <w:gridCol w:w="9070"/>
      </w:tblGrid>
      <w:tr w:rsidR="00CC31DB" w:rsidTr="00CC31DB">
        <w:tc>
          <w:tcPr>
            <w:tcW w:w="9070" w:type="dxa"/>
          </w:tcPr>
          <w:p w:rsidR="00CC31DB" w:rsidRPr="00CC31DB" w:rsidRDefault="00CC31DB" w:rsidP="00CC31DB">
            <w:pPr>
              <w:pStyle w:val="BoxHeading"/>
              <w:rPr>
                <w:i/>
                <w:color w:val="002C47" w:themeColor="accent1"/>
              </w:rPr>
            </w:pPr>
            <w:r w:rsidRPr="00CC31DB">
              <w:rPr>
                <w:i/>
                <w:color w:val="002C47" w:themeColor="accent1"/>
              </w:rPr>
              <w:t>Case study 7</w:t>
            </w:r>
          </w:p>
          <w:p w:rsidR="00CC31DB" w:rsidRDefault="00CC31DB" w:rsidP="00CC31DB">
            <w:pPr>
              <w:pStyle w:val="BoxText"/>
            </w:pPr>
            <w:r>
              <w:t xml:space="preserve">Regulation 13.18AA of the </w:t>
            </w:r>
            <w:r w:rsidRPr="00DD231B">
              <w:rPr>
                <w:i/>
              </w:rPr>
              <w:t>Superannuation Industry (Supervision) Regulations 1994</w:t>
            </w:r>
            <w:r>
              <w:t xml:space="preserve"> prescribes how certain kinds of assets held by self</w:t>
            </w:r>
            <w:r>
              <w:noBreakHyphen/>
              <w:t xml:space="preserve">managed superannuation funds can be used or stored. Broadly, these assets include artwork, jewellery, antiques and similar items. </w:t>
            </w:r>
          </w:p>
          <w:p w:rsidR="00CC31DB" w:rsidRDefault="00CC31DB" w:rsidP="00CC31DB">
            <w:pPr>
              <w:pStyle w:val="BoxText"/>
            </w:pPr>
            <w:r>
              <w:t>Among other things, it requires trustees to make written records of decisions about the storage of these assets and retain these records for at least 10 years.</w:t>
            </w:r>
          </w:p>
          <w:p w:rsidR="00CC31DB" w:rsidRPr="002E2F0C" w:rsidRDefault="00CC31DB" w:rsidP="00CC31DB">
            <w:pPr>
              <w:pStyle w:val="BoxText"/>
            </w:pPr>
            <w:r>
              <w:t>As the</w:t>
            </w:r>
            <w:r w:rsidRPr="00175039">
              <w:rPr>
                <w:i/>
              </w:rPr>
              <w:t xml:space="preserve"> </w:t>
            </w:r>
            <w:r w:rsidRPr="00C40D64">
              <w:rPr>
                <w:i/>
              </w:rPr>
              <w:t xml:space="preserve">Superannuation Industry (Supervision) Regulations 1994 </w:t>
            </w:r>
            <w:r w:rsidRPr="00C40D64">
              <w:t>is exempt from the application of</w:t>
            </w:r>
            <w:r>
              <w:t xml:space="preserve"> the ETA, this requirement can only be satisfied by a physical written document. This approach can be costly and imposes a greater regulatory burden than if the person was able to record and store the information electronically.</w:t>
            </w:r>
          </w:p>
          <w:p w:rsidR="00CC31DB" w:rsidRDefault="00CC31DB" w:rsidP="00AE5461"/>
        </w:tc>
      </w:tr>
    </w:tbl>
    <w:p w:rsidR="00C31BAA" w:rsidRDefault="00C31BAA" w:rsidP="00AE5461">
      <w:pPr>
        <w:jc w:val="both"/>
      </w:pPr>
    </w:p>
    <w:p w:rsidR="00AB3032" w:rsidRDefault="00AB3032">
      <w:pPr>
        <w:spacing w:before="0" w:after="160" w:line="259" w:lineRule="auto"/>
        <w:rPr>
          <w:rFonts w:cs="Arial"/>
          <w:iCs/>
          <w:color w:val="002C47"/>
          <w:kern w:val="32"/>
          <w:sz w:val="36"/>
          <w:szCs w:val="28"/>
        </w:rPr>
      </w:pPr>
      <w:bookmarkStart w:id="377" w:name="_Toc57209934"/>
      <w:bookmarkStart w:id="378" w:name="_Toc57215214"/>
      <w:bookmarkStart w:id="379" w:name="_Toc52374743"/>
      <w:bookmarkStart w:id="380" w:name="_Toc52375014"/>
      <w:bookmarkStart w:id="381" w:name="_Toc52443789"/>
      <w:r>
        <w:br w:type="page"/>
      </w:r>
    </w:p>
    <w:p w:rsidR="006F5745" w:rsidRDefault="006F5745" w:rsidP="006F5745">
      <w:pPr>
        <w:pStyle w:val="Heading2"/>
        <w:tabs>
          <w:tab w:val="left" w:pos="720"/>
        </w:tabs>
      </w:pPr>
      <w:bookmarkStart w:id="382" w:name="_Toc55478835"/>
      <w:bookmarkStart w:id="383" w:name="_Toc55478130"/>
      <w:bookmarkStart w:id="384" w:name="_Toc55403027"/>
      <w:bookmarkStart w:id="385" w:name="_Toc55399909"/>
      <w:bookmarkStart w:id="386" w:name="_Toc55397502"/>
      <w:bookmarkStart w:id="387" w:name="_Toc55394124"/>
      <w:bookmarkStart w:id="388" w:name="_Toc55381002"/>
      <w:bookmarkStart w:id="389" w:name="_Toc55286664"/>
      <w:bookmarkStart w:id="390" w:name="_Toc54879343"/>
      <w:bookmarkStart w:id="391" w:name="_Toc54872005"/>
      <w:bookmarkStart w:id="392" w:name="_Toc54705649"/>
      <w:bookmarkStart w:id="393" w:name="_Toc54704400"/>
      <w:bookmarkStart w:id="394" w:name="_Toc54691026"/>
      <w:bookmarkStart w:id="395" w:name="_Toc59021143"/>
      <w:bookmarkStart w:id="396" w:name="_Toc54872006"/>
      <w:bookmarkStart w:id="397" w:name="_Toc54879344"/>
      <w:bookmarkStart w:id="398" w:name="_Toc55286665"/>
      <w:bookmarkStart w:id="399" w:name="_Toc55381003"/>
      <w:bookmarkStart w:id="400" w:name="_Toc55394125"/>
      <w:bookmarkStart w:id="401" w:name="_Toc55397503"/>
      <w:bookmarkStart w:id="402" w:name="_Toc55399910"/>
      <w:bookmarkStart w:id="403" w:name="_Toc55403028"/>
      <w:bookmarkStart w:id="404" w:name="_Toc55478131"/>
      <w:bookmarkStart w:id="405" w:name="_Toc55478836"/>
      <w:r>
        <w:lastRenderedPageBreak/>
        <w:t>Payment Methods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6F5745" w:rsidRDefault="006F5745" w:rsidP="006F5745">
      <w:pPr>
        <w:jc w:val="both"/>
      </w:pPr>
      <w:r>
        <w:t>Payment methods have changed significantly over the last several decades. Technological improvements coupled with the globalisation of trade and commerce have driven a dramatic shift toward faster, digital forms of payment. In Australia, this has been evidenced by monthly debit card transactions rising from about 150 million per month as recently as 2011, to nearly 600 million per month by 2019. More broadly, total card transactions (including credit and other card payments, such as gift cards) totalled almost 850 million per month in 2019. Meanwhile, the use of cash continues to decline</w:t>
      </w:r>
      <w:r w:rsidR="00DA176D">
        <w:t xml:space="preserve"> — </w:t>
      </w:r>
      <w:r>
        <w:t>the proportion of in</w:t>
      </w:r>
      <w:r w:rsidR="00DA176D">
        <w:noBreakHyphen/>
      </w:r>
      <w:r>
        <w:t xml:space="preserve">person payments made using cash has fallen from nearly 75% in 2007 to about 30% in 2019. The use of cheques also continues to decline. Today, only around 0.2% of payments are made with cheques (see Figure 1), and this is expected to continue to decline due to the rise of more accessible and efficient payment methods. </w:t>
      </w:r>
    </w:p>
    <w:p w:rsidR="006F5745" w:rsidRDefault="006F5745" w:rsidP="00200CB2">
      <w:pPr>
        <w:pStyle w:val="ChartMainHeading"/>
      </w:pPr>
      <w:bookmarkStart w:id="406" w:name="_Toc59021144"/>
      <w:r>
        <w:t>Figure 1: Declining Use of Cheques as a Method of Payment</w:t>
      </w:r>
      <w:bookmarkEnd w:id="406"/>
    </w:p>
    <w:p w:rsidR="006F5745" w:rsidRDefault="006F5745" w:rsidP="00CC31DB">
      <w:pPr>
        <w:pStyle w:val="ChartGraphic"/>
      </w:pPr>
      <w:r>
        <w:rPr>
          <w:noProof/>
        </w:rPr>
        <w:drawing>
          <wp:inline distT="0" distB="0" distL="0" distR="0" wp14:anchorId="618BCA63" wp14:editId="4AF22E15">
            <wp:extent cx="5876925" cy="2971800"/>
            <wp:effectExtent l="0" t="0" r="9525" b="0"/>
            <wp:docPr id="12" name="Chart 12" descr="Figure 1 shows the use of cheques declining as a percentage of consumer payment methods since 2007 to 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F5745" w:rsidRDefault="006F5745" w:rsidP="00CC31DB">
      <w:pPr>
        <w:pStyle w:val="ChartorTableNote"/>
      </w:pPr>
      <w:r>
        <w:t>Source: Reserve Bank of Australia</w:t>
      </w:r>
    </w:p>
    <w:p w:rsidR="006F5745" w:rsidRDefault="006F5745" w:rsidP="006F5745">
      <w:pPr>
        <w:jc w:val="both"/>
      </w:pPr>
      <w:r>
        <w:t>Legislation has historically taken different approaches to payment provisions. In some cases, legislation has specified what form payment to or by government or other parties should take. For example, cheques were historically common forms of payment for certain payments to or from government, which several provisions across the Treasury portfolio laws still provide for. Nevertheless, in other areas, government payments have changed with the times</w:t>
      </w:r>
      <w:r w:rsidR="00DA176D">
        <w:t xml:space="preserve"> — </w:t>
      </w:r>
      <w:r>
        <w:t xml:space="preserve">Medicare payments, for example, are now commonly electronic. With continuing technological change, it is likely that payment methods will change further. </w:t>
      </w:r>
    </w:p>
    <w:p w:rsidR="006F5745" w:rsidRDefault="006F5745" w:rsidP="006F5745">
      <w:r>
        <w:t xml:space="preserve">Treasury legislation currently contains many provisions regarding payments. The most common provisions are simple requirements for payment to be made, without prescribing the manner in which the payment can be made, or the form the payment can take. However, a small number either prescribe the means of payment or permit it to be prescribed by an entity (usually a Commonwealth regulator). </w:t>
      </w:r>
    </w:p>
    <w:p w:rsidR="006F5745" w:rsidRDefault="006F5745" w:rsidP="006F5745">
      <w:r>
        <w:t xml:space="preserve">There is scope to modernise legislation and instead make legislation neutral for payment methods. This would allow the Commonwealth to make and receive payments using the easiest and most efficient methods available, both for payers and payees, including as payment methods change over time. Some stakeholders have expressed the view that certain provisions require them to accept certain payment methods and, as a result, offer those payment options at significant cost relative to </w:t>
      </w:r>
      <w:r>
        <w:lastRenderedPageBreak/>
        <w:t xml:space="preserve">their use. As such, there may be a rationale to clarify whether these provisions are working as intended and remain appropriate. </w:t>
      </w:r>
    </w:p>
    <w:p w:rsidR="006F5745" w:rsidRDefault="006F5745" w:rsidP="006F5745"/>
    <w:tbl>
      <w:tblPr>
        <w:tblStyle w:val="TableGrid"/>
        <w:tblW w:w="0" w:type="auto"/>
        <w:shd w:val="clear" w:color="auto" w:fill="D2EDFF" w:themeFill="accent1" w:themeFillTint="1A"/>
        <w:tblLook w:val="04A0" w:firstRow="1" w:lastRow="0" w:firstColumn="1" w:lastColumn="0" w:noHBand="0" w:noVBand="1"/>
      </w:tblPr>
      <w:tblGrid>
        <w:gridCol w:w="9026"/>
      </w:tblGrid>
      <w:tr w:rsidR="006F5745" w:rsidTr="00CC31DB">
        <w:tc>
          <w:tcPr>
            <w:tcW w:w="9026" w:type="dxa"/>
            <w:shd w:val="clear" w:color="auto" w:fill="D2EDFF" w:themeFill="accent1" w:themeFillTint="1A"/>
            <w:hideMark/>
          </w:tcPr>
          <w:p w:rsidR="006F5745" w:rsidRDefault="006F5745">
            <w:pPr>
              <w:rPr>
                <w:b/>
                <w:sz w:val="24"/>
                <w:szCs w:val="24"/>
              </w:rPr>
            </w:pPr>
            <w:bookmarkStart w:id="407" w:name="_Toc46220320"/>
            <w:r>
              <w:rPr>
                <w:b/>
                <w:sz w:val="24"/>
                <w:szCs w:val="24"/>
              </w:rPr>
              <w:t xml:space="preserve">Examples </w:t>
            </w:r>
          </w:p>
          <w:p w:rsidR="006F5745" w:rsidRDefault="006F5745">
            <w:r>
              <w:t xml:space="preserve">One example of a restriction related to payment in Treasury legislation exists in paragraph 254P(2)(c) of the </w:t>
            </w:r>
            <w:r>
              <w:rPr>
                <w:i/>
              </w:rPr>
              <w:t>Corporations Act 2001</w:t>
            </w:r>
            <w:r>
              <w:t xml:space="preserve">. </w:t>
            </w:r>
          </w:p>
          <w:p w:rsidR="006F5745" w:rsidRDefault="006F5745">
            <w:pPr>
              <w:ind w:left="720"/>
              <w:rPr>
                <w:b/>
                <w:bCs/>
              </w:rPr>
            </w:pPr>
            <w:r>
              <w:rPr>
                <w:b/>
                <w:bCs/>
              </w:rPr>
              <w:t>254P  No liability companies—calls on shares</w:t>
            </w:r>
            <w:bookmarkEnd w:id="407"/>
          </w:p>
          <w:p w:rsidR="006F5745" w:rsidRDefault="006F5745">
            <w:pPr>
              <w:ind w:left="720"/>
              <w:rPr>
                <w:i/>
                <w:iCs/>
              </w:rPr>
            </w:pPr>
            <w:r>
              <w:rPr>
                <w:i/>
                <w:iCs/>
              </w:rPr>
              <w:t>Notice of call</w:t>
            </w:r>
          </w:p>
          <w:p w:rsidR="006F5745" w:rsidRDefault="006F5745">
            <w:pPr>
              <w:ind w:left="720"/>
            </w:pPr>
            <w:r>
              <w:t>             (2)  At least 7 days before a call on shares in a no liability company becomes payable, the company must give the holders of the shares notice of:</w:t>
            </w:r>
          </w:p>
          <w:p w:rsidR="006F5745" w:rsidRDefault="006F5745">
            <w:pPr>
              <w:ind w:left="720"/>
            </w:pPr>
            <w:r>
              <w:t>                     (a)  the amount of the call; and</w:t>
            </w:r>
          </w:p>
          <w:p w:rsidR="006F5745" w:rsidRDefault="006F5745">
            <w:pPr>
              <w:ind w:left="720"/>
            </w:pPr>
            <w:r>
              <w:t>                     (b)  the day when it is payable; and</w:t>
            </w:r>
          </w:p>
          <w:p w:rsidR="006F5745" w:rsidRDefault="006F5745">
            <w:pPr>
              <w:ind w:left="720"/>
            </w:pPr>
            <w:r>
              <w:t>                     (c)  the place for payment.</w:t>
            </w:r>
          </w:p>
          <w:p w:rsidR="006F5745" w:rsidRDefault="006F5745">
            <w:pPr>
              <w:ind w:left="720"/>
            </w:pPr>
            <w:r>
              <w:t>The notice must be sent by post. If the notice is not given, the call is not payable.</w:t>
            </w:r>
          </w:p>
          <w:p w:rsidR="006F5745" w:rsidRDefault="006F5745">
            <w:r>
              <w:t>This provision requires that, prior to a call on certain shares becoming payable, the company must notify the shareholders of a number of matters, including the place for payment. This implicitly requires that there must be a physical place at which payment can be made.</w:t>
            </w:r>
          </w:p>
          <w:p w:rsidR="006F5745" w:rsidRDefault="006F5745">
            <w:r>
              <w:t>For completeness, it should also be noted that the provision also prescribes the manner of the communication by specifying that notice must be provided by post in a way that is not technology neutral.</w:t>
            </w:r>
          </w:p>
          <w:p w:rsidR="006F5745" w:rsidRDefault="006F5745">
            <w:r>
              <w:t xml:space="preserve">Another example exists in subsection 32(2) of the </w:t>
            </w:r>
            <w:r>
              <w:rPr>
                <w:i/>
              </w:rPr>
              <w:t>Small Superannuation Accounts Act 1995</w:t>
            </w:r>
            <w:r>
              <w:t>.</w:t>
            </w:r>
          </w:p>
          <w:p w:rsidR="006F5745" w:rsidRDefault="006F5745">
            <w:pPr>
              <w:ind w:left="720"/>
              <w:rPr>
                <w:b/>
                <w:bCs/>
                <w:iCs/>
              </w:rPr>
            </w:pPr>
            <w:bookmarkStart w:id="408" w:name="_Toc511119948"/>
            <w:r>
              <w:rPr>
                <w:b/>
                <w:bCs/>
                <w:iCs/>
              </w:rPr>
              <w:t>32  Deposit form may deal with multiple payments</w:t>
            </w:r>
            <w:bookmarkEnd w:id="408"/>
          </w:p>
          <w:p w:rsidR="006F5745" w:rsidRDefault="006F5745">
            <w:pPr>
              <w:ind w:left="720"/>
              <w:rPr>
                <w:i/>
                <w:iCs/>
              </w:rPr>
            </w:pPr>
            <w:r>
              <w:rPr>
                <w:i/>
                <w:iCs/>
              </w:rPr>
              <w:t>Method of payment</w:t>
            </w:r>
          </w:p>
          <w:p w:rsidR="006F5745" w:rsidRDefault="006F5745">
            <w:pPr>
              <w:ind w:left="720"/>
            </w:pPr>
            <w:r>
              <w:t>             (2)  If a deposit form deals with 2 or more payments made by the same person, the person may give the Commissioner of Taxation, in respect of the sum of the payments:</w:t>
            </w:r>
          </w:p>
          <w:p w:rsidR="006F5745" w:rsidRDefault="006F5745">
            <w:pPr>
              <w:ind w:left="720"/>
            </w:pPr>
            <w:r>
              <w:t>                     (a)  one or more valid cheques; or</w:t>
            </w:r>
          </w:p>
          <w:p w:rsidR="006F5745" w:rsidRDefault="006F5745">
            <w:pPr>
              <w:ind w:left="720"/>
            </w:pPr>
            <w:r>
              <w:t>                     (b)  one or more money orders; or</w:t>
            </w:r>
          </w:p>
          <w:p w:rsidR="006F5745" w:rsidRDefault="006F5745">
            <w:pPr>
              <w:ind w:left="720"/>
            </w:pPr>
            <w:r>
              <w:t>                     (c)  cash; or</w:t>
            </w:r>
          </w:p>
          <w:p w:rsidR="006F5745" w:rsidRDefault="006F5745">
            <w:pPr>
              <w:ind w:left="720"/>
            </w:pPr>
            <w:r>
              <w:t>                     (d)  any combination of the above.</w:t>
            </w:r>
          </w:p>
          <w:p w:rsidR="006F5745" w:rsidRDefault="006F5745">
            <w:pPr>
              <w:ind w:left="720"/>
            </w:pPr>
            <w:r>
              <w:t>If the person does so, this Act has effect as if the person had given the Commissioner of Taxation a separate cheque for each of the payments.</w:t>
            </w:r>
          </w:p>
          <w:p w:rsidR="006F5745" w:rsidRDefault="006F5745">
            <w:r>
              <w:t>This provision requires that payment in relation to a deposit form containing two or more payments by the same person must be made by cheque, money order, cash or a combination of those forms of payment.</w:t>
            </w:r>
          </w:p>
        </w:tc>
      </w:tr>
    </w:tbl>
    <w:p w:rsidR="006F5745" w:rsidRDefault="006F5745" w:rsidP="006F5745">
      <w:r>
        <w:t xml:space="preserve">The Government is separately reviewing the regulatory architecture of the Australian payments system to ensure the payments system remains fit for purpose and is capable of supporting continued innovation for the benefit of both businesses and consumers. This review is due to report to the Treasurer by April 2021. </w:t>
      </w:r>
    </w:p>
    <w:p w:rsidR="006F5745" w:rsidRDefault="006F5745" w:rsidP="00200CB2">
      <w:pPr>
        <w:pStyle w:val="Heading3"/>
      </w:pPr>
      <w:bookmarkStart w:id="409" w:name="_Toc52374744"/>
      <w:bookmarkStart w:id="410" w:name="_Toc52375015"/>
      <w:bookmarkStart w:id="411" w:name="_Toc52443790"/>
      <w:bookmarkStart w:id="412" w:name="_Toc54691027"/>
      <w:bookmarkStart w:id="413" w:name="_Toc54872007"/>
      <w:bookmarkStart w:id="414" w:name="_Toc54879345"/>
      <w:bookmarkStart w:id="415" w:name="_Toc55286666"/>
      <w:bookmarkStart w:id="416" w:name="_Toc55381004"/>
      <w:bookmarkStart w:id="417" w:name="_Toc55394126"/>
      <w:bookmarkStart w:id="418" w:name="_Toc55397504"/>
      <w:bookmarkStart w:id="419" w:name="_Toc55399911"/>
      <w:bookmarkStart w:id="420" w:name="_Toc55403029"/>
      <w:bookmarkStart w:id="421" w:name="_Toc55478837"/>
      <w:bookmarkStart w:id="422" w:name="_Toc55478132"/>
      <w:bookmarkStart w:id="423" w:name="_Toc59021145"/>
      <w:r>
        <w:t>Policy Goals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6F5745" w:rsidRDefault="006F5745" w:rsidP="006F5745">
      <w:pPr>
        <w:jc w:val="both"/>
      </w:pPr>
      <w:r>
        <w:t xml:space="preserve">Payment method neutrality would provide both the Commonwealth, businesses and consumers with flexibility in choosing the most accessible and efficient payment methods in different circumstances. There is a wide variety of payment methods available today that are not reflected across many existing </w:t>
      </w:r>
      <w:r>
        <w:lastRenderedPageBreak/>
        <w:t>legislative provisions. There is therefore an opportunity to modernise the law and introduce greater flexibility.</w:t>
      </w:r>
    </w:p>
    <w:p w:rsidR="006F5745" w:rsidRDefault="006F5745" w:rsidP="006F5745">
      <w:pPr>
        <w:jc w:val="both"/>
      </w:pPr>
      <w:r>
        <w:t>However, notwithstanding legislative provisions, some businesses and consumers prefer to use certain payment methods out of habit and familiarity, and may struggle to transition to other payment methods in the short</w:t>
      </w:r>
      <w:r w:rsidR="00DA176D">
        <w:noBreakHyphen/>
      </w:r>
      <w:r>
        <w:t>to</w:t>
      </w:r>
      <w:r w:rsidR="00DA176D">
        <w:noBreakHyphen/>
      </w:r>
      <w:r>
        <w:t xml:space="preserve">medium term. In other instances, some consumers have indicated they are forced to use certain payment methods because of a lack of alternatives. For example, consumers with limited internet access may struggle to use digital forms of payment. </w:t>
      </w:r>
    </w:p>
    <w:p w:rsidR="006F5745" w:rsidRDefault="006F5745" w:rsidP="00200CB2">
      <w:pPr>
        <w:pStyle w:val="Heading3"/>
      </w:pPr>
      <w:bookmarkStart w:id="424" w:name="_Toc55478838"/>
      <w:bookmarkStart w:id="425" w:name="_Toc55478133"/>
      <w:bookmarkStart w:id="426" w:name="_Toc55403030"/>
      <w:bookmarkStart w:id="427" w:name="_Toc55399912"/>
      <w:bookmarkStart w:id="428" w:name="_Toc55397505"/>
      <w:bookmarkStart w:id="429" w:name="_Toc55394128"/>
      <w:bookmarkStart w:id="430" w:name="_Toc55381006"/>
      <w:bookmarkStart w:id="431" w:name="_Toc55286667"/>
      <w:bookmarkStart w:id="432" w:name="_Toc54879346"/>
      <w:bookmarkStart w:id="433" w:name="_Toc54872008"/>
      <w:bookmarkStart w:id="434" w:name="_Toc54705650"/>
      <w:bookmarkStart w:id="435" w:name="_Toc54704401"/>
      <w:bookmarkStart w:id="436" w:name="_Toc54691028"/>
      <w:bookmarkStart w:id="437" w:name="_Toc52443792"/>
      <w:bookmarkStart w:id="438" w:name="_Toc52375017"/>
      <w:bookmarkStart w:id="439" w:name="_Toc52374746"/>
      <w:bookmarkStart w:id="440" w:name="_Toc59021146"/>
      <w:r>
        <w:t>Proposed Principles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6F5745" w:rsidRDefault="006F5745" w:rsidP="006F5745">
      <w:pPr>
        <w:jc w:val="both"/>
      </w:pPr>
      <w:r>
        <w:t>As a starting point, the Government proposes that, the law should only prescribe or restrict the means by which a payment is made where this achieves a policy outcome.</w:t>
      </w:r>
    </w:p>
    <w:p w:rsidR="006F5745" w:rsidRDefault="006F5745" w:rsidP="006F5745">
      <w:pPr>
        <w:jc w:val="both"/>
      </w:pPr>
      <w:r>
        <w:t xml:space="preserve">More generally, a technology neutral approach to legislation would require that legislative provisions do not mandate any particular payment method (e.g. payment by cheque, bank order or cash). However, there are circumstances where it may be appropriate for legislation to still govern how certain payment methods are executed or regulated. </w:t>
      </w:r>
    </w:p>
    <w:tbl>
      <w:tblPr>
        <w:tblStyle w:val="TableGrid"/>
        <w:tblW w:w="0" w:type="auto"/>
        <w:tblLook w:val="04A0" w:firstRow="1" w:lastRow="0" w:firstColumn="1" w:lastColumn="0" w:noHBand="0" w:noVBand="1"/>
      </w:tblPr>
      <w:tblGrid>
        <w:gridCol w:w="9070"/>
      </w:tblGrid>
      <w:tr w:rsidR="00CC31DB" w:rsidTr="00CC31DB">
        <w:tc>
          <w:tcPr>
            <w:tcW w:w="9070" w:type="dxa"/>
          </w:tcPr>
          <w:p w:rsidR="00CC31DB" w:rsidRDefault="00CC31DB" w:rsidP="00CC31DB">
            <w:pPr>
              <w:pStyle w:val="BoxHeading"/>
              <w:rPr>
                <w:rStyle w:val="IntenseEmphasis"/>
              </w:rPr>
            </w:pPr>
            <w:r>
              <w:rPr>
                <w:rStyle w:val="IntenseEmphasis"/>
              </w:rPr>
              <w:t>Case Study 8</w:t>
            </w:r>
          </w:p>
          <w:p w:rsidR="00CC31DB" w:rsidRDefault="00CC31DB" w:rsidP="00CC31DB">
            <w:pPr>
              <w:pStyle w:val="BoxText"/>
            </w:pPr>
            <w:r>
              <w:t xml:space="preserve">Section 32(2) of the </w:t>
            </w:r>
            <w:r>
              <w:rPr>
                <w:i/>
              </w:rPr>
              <w:t>Small Superannuation Accounts Act 1995</w:t>
            </w:r>
            <w:r>
              <w:t xml:space="preserve"> provides that certain payments to the Commissioner of Taxation must, if they are dealt with in a single deposit form, be made by cheque, money order, cash or a combination of these methods.</w:t>
            </w:r>
          </w:p>
          <w:p w:rsidR="00CC31DB" w:rsidRDefault="00CC31DB" w:rsidP="00CC31DB">
            <w:pPr>
              <w:pStyle w:val="BoxText"/>
            </w:pPr>
            <w:r>
              <w:t>This is not technology neutral — only payments made in that form will satisfy the requirements of the legislation.</w:t>
            </w:r>
          </w:p>
          <w:p w:rsidR="00CC31DB" w:rsidRDefault="00CC31DB" w:rsidP="006F5745"/>
        </w:tc>
      </w:tr>
    </w:tbl>
    <w:p w:rsidR="006F5745" w:rsidRDefault="006F5745" w:rsidP="006F5745">
      <w:pPr>
        <w:jc w:val="both"/>
      </w:pPr>
    </w:p>
    <w:p w:rsidR="006F5745" w:rsidRDefault="006F5745" w:rsidP="006F5745">
      <w:pPr>
        <w:spacing w:before="0" w:after="0"/>
        <w:rPr>
          <w:rFonts w:ascii="Times New Roman" w:eastAsiaTheme="minorHAnsi" w:hAnsi="Times New Roman"/>
          <w:sz w:val="24"/>
          <w:szCs w:val="24"/>
        </w:rPr>
      </w:pPr>
      <w:r>
        <w:t>Applying the proposed principles would involve removing the specific references to forms of payment and instead providing that payment may be made in any form acceptable to the Commissioner of Taxation (the relevant regulator).</w:t>
      </w:r>
      <w:r>
        <w:rPr>
          <w:rFonts w:ascii="Times New Roman" w:eastAsiaTheme="minorHAnsi" w:hAnsi="Times New Roman"/>
          <w:sz w:val="24"/>
          <w:szCs w:val="24"/>
        </w:rPr>
        <w:t xml:space="preserve"> </w:t>
      </w:r>
    </w:p>
    <w:p w:rsidR="00D97984" w:rsidRDefault="00D97984" w:rsidP="00D97984">
      <w:pPr>
        <w:jc w:val="both"/>
      </w:pPr>
    </w:p>
    <w:bookmarkEnd w:id="396"/>
    <w:bookmarkEnd w:id="397"/>
    <w:bookmarkEnd w:id="398"/>
    <w:bookmarkEnd w:id="399"/>
    <w:bookmarkEnd w:id="400"/>
    <w:bookmarkEnd w:id="401"/>
    <w:bookmarkEnd w:id="402"/>
    <w:bookmarkEnd w:id="403"/>
    <w:bookmarkEnd w:id="404"/>
    <w:bookmarkEnd w:id="405"/>
    <w:p w:rsidR="00B65415" w:rsidRDefault="00B65415">
      <w:pPr>
        <w:spacing w:before="0" w:after="160" w:line="259" w:lineRule="auto"/>
        <w:rPr>
          <w:rFonts w:cs="Arial"/>
          <w:iCs/>
          <w:color w:val="002C47"/>
          <w:kern w:val="32"/>
          <w:sz w:val="36"/>
          <w:szCs w:val="28"/>
        </w:rPr>
      </w:pPr>
      <w:r>
        <w:br w:type="page"/>
      </w:r>
    </w:p>
    <w:p w:rsidR="005E3D70" w:rsidRPr="00977BEC" w:rsidRDefault="005E3D70" w:rsidP="008821E6">
      <w:pPr>
        <w:pStyle w:val="Heading2"/>
        <w:tabs>
          <w:tab w:val="clear" w:pos="1080"/>
        </w:tabs>
      </w:pPr>
      <w:bookmarkStart w:id="441" w:name="_Toc59021147"/>
      <w:r>
        <w:lastRenderedPageBreak/>
        <w:t>Consultation questions</w:t>
      </w:r>
      <w:bookmarkEnd w:id="377"/>
      <w:bookmarkEnd w:id="378"/>
      <w:bookmarkEnd w:id="441"/>
    </w:p>
    <w:p w:rsidR="005E3D70" w:rsidRDefault="005E3D70" w:rsidP="00AE5461">
      <w:pPr>
        <w:pStyle w:val="ListParagraph"/>
        <w:numPr>
          <w:ilvl w:val="0"/>
          <w:numId w:val="84"/>
        </w:numPr>
        <w:spacing w:before="0" w:after="160" w:line="259" w:lineRule="auto"/>
        <w:jc w:val="both"/>
      </w:pPr>
      <w:r>
        <w:t>Do the business communication requirements in Treasury laws create a burden on business?</w:t>
      </w:r>
    </w:p>
    <w:p w:rsidR="005E3D70" w:rsidRDefault="005E3D70" w:rsidP="00AE5461">
      <w:pPr>
        <w:pStyle w:val="ListParagraph"/>
        <w:numPr>
          <w:ilvl w:val="1"/>
          <w:numId w:val="84"/>
        </w:numPr>
        <w:spacing w:before="0" w:after="160" w:line="259" w:lineRule="auto"/>
        <w:jc w:val="both"/>
      </w:pPr>
      <w:r>
        <w:t xml:space="preserve">If so, what categories of communication (as outlined in this paper) </w:t>
      </w:r>
      <w:r w:rsidRPr="008229B0">
        <w:t>or</w:t>
      </w:r>
      <w:r>
        <w:t xml:space="preserve"> </w:t>
      </w:r>
      <w:r w:rsidR="006A57D8">
        <w:t>legislative provisions</w:t>
      </w:r>
      <w:r>
        <w:t xml:space="preserve"> are creating a burden and should be prioritised for reform?</w:t>
      </w:r>
    </w:p>
    <w:p w:rsidR="00AC303A" w:rsidRDefault="00AC303A" w:rsidP="00AE5461">
      <w:pPr>
        <w:pStyle w:val="ListParagraph"/>
        <w:numPr>
          <w:ilvl w:val="1"/>
          <w:numId w:val="84"/>
        </w:numPr>
        <w:spacing w:before="0" w:after="160" w:line="259" w:lineRule="auto"/>
        <w:jc w:val="both"/>
      </w:pPr>
      <w:r>
        <w:t>Are there non</w:t>
      </w:r>
      <w:r w:rsidR="00DA176D">
        <w:noBreakHyphen/>
      </w:r>
      <w:r>
        <w:t>regulatory requirements that inhibit businesses, consumers or regulators from using their pr</w:t>
      </w:r>
      <w:r w:rsidR="000A7CAB">
        <w:t>eferred method of communication</w:t>
      </w:r>
      <w:r>
        <w:t xml:space="preserve">? If so, please provide examples. </w:t>
      </w:r>
    </w:p>
    <w:p w:rsidR="00BA6A4F" w:rsidRDefault="00BA6A4F" w:rsidP="00AE5461">
      <w:pPr>
        <w:pStyle w:val="ListParagraph"/>
        <w:spacing w:before="0" w:after="160" w:line="259" w:lineRule="auto"/>
        <w:ind w:left="1440"/>
        <w:jc w:val="both"/>
      </w:pPr>
    </w:p>
    <w:p w:rsidR="005E3D70" w:rsidRDefault="005E3D70" w:rsidP="00AE5461">
      <w:pPr>
        <w:pStyle w:val="ListParagraph"/>
        <w:numPr>
          <w:ilvl w:val="0"/>
          <w:numId w:val="84"/>
        </w:numPr>
        <w:spacing w:before="0" w:after="160" w:line="259" w:lineRule="auto"/>
        <w:jc w:val="both"/>
      </w:pPr>
      <w:r>
        <w:t xml:space="preserve">What is the cost of complying with the current regulations? </w:t>
      </w:r>
      <w:r w:rsidRPr="007D03FD">
        <w:t xml:space="preserve">Please provide a breakdown of costs and an indication of the frequency </w:t>
      </w:r>
      <w:r>
        <w:t>at which these communications occur</w:t>
      </w:r>
      <w:r w:rsidRPr="007D03FD">
        <w:t>.</w:t>
      </w:r>
    </w:p>
    <w:p w:rsidR="00BA6A4F" w:rsidRDefault="00BA6A4F" w:rsidP="00AE5461">
      <w:pPr>
        <w:pStyle w:val="ListParagraph"/>
        <w:numPr>
          <w:ilvl w:val="1"/>
          <w:numId w:val="84"/>
        </w:numPr>
        <w:spacing w:before="0" w:after="160" w:line="259" w:lineRule="auto"/>
        <w:jc w:val="both"/>
      </w:pPr>
      <w:r>
        <w:t xml:space="preserve">Would these costs be reduced if the law was technology neutral? Please provide a breakdown of </w:t>
      </w:r>
      <w:r w:rsidR="003F3BFA">
        <w:t>any anticipated savings and any non</w:t>
      </w:r>
      <w:r w:rsidR="00DA176D">
        <w:noBreakHyphen/>
      </w:r>
      <w:r w:rsidR="003F3BFA">
        <w:t>monetary benefits.</w:t>
      </w:r>
    </w:p>
    <w:p w:rsidR="00BA6A4F" w:rsidRDefault="00BA6A4F" w:rsidP="00AE5461">
      <w:pPr>
        <w:pStyle w:val="ListParagraph"/>
        <w:spacing w:before="0" w:after="160" w:line="259" w:lineRule="auto"/>
        <w:ind w:left="1440"/>
        <w:jc w:val="both"/>
      </w:pPr>
    </w:p>
    <w:p w:rsidR="000A7CAB" w:rsidRDefault="000A7CAB" w:rsidP="00AE5461">
      <w:pPr>
        <w:pStyle w:val="ListParagraph"/>
        <w:numPr>
          <w:ilvl w:val="0"/>
          <w:numId w:val="84"/>
        </w:numPr>
        <w:spacing w:before="0" w:after="160" w:line="259" w:lineRule="auto"/>
        <w:jc w:val="both"/>
      </w:pPr>
      <w:r>
        <w:t>Do you agree with the categories of communication outlined in the consultation paper?</w:t>
      </w:r>
    </w:p>
    <w:p w:rsidR="000A7CAB" w:rsidRDefault="000A7CAB" w:rsidP="00AE5461">
      <w:pPr>
        <w:pStyle w:val="ListParagraph"/>
        <w:numPr>
          <w:ilvl w:val="1"/>
          <w:numId w:val="84"/>
        </w:numPr>
        <w:spacing w:before="0" w:after="160" w:line="259" w:lineRule="auto"/>
        <w:jc w:val="both"/>
      </w:pPr>
      <w:r>
        <w:t>Are there other types of business communication that should be considered?</w:t>
      </w:r>
    </w:p>
    <w:p w:rsidR="000A7CAB" w:rsidRDefault="000A7CAB" w:rsidP="00AE5461">
      <w:pPr>
        <w:pStyle w:val="ListParagraph"/>
        <w:numPr>
          <w:ilvl w:val="1"/>
          <w:numId w:val="84"/>
        </w:numPr>
        <w:spacing w:before="0" w:after="160" w:line="259" w:lineRule="auto"/>
        <w:jc w:val="both"/>
      </w:pPr>
      <w:r>
        <w:t>Do you agree with the proposed principles outlined in the consultation paper or are there additional or alternative principles that should be considered?</w:t>
      </w:r>
    </w:p>
    <w:p w:rsidR="00BA6A4F" w:rsidRDefault="00BA6A4F" w:rsidP="00AE5461">
      <w:pPr>
        <w:pStyle w:val="ListParagraph"/>
        <w:numPr>
          <w:ilvl w:val="1"/>
          <w:numId w:val="84"/>
        </w:numPr>
        <w:spacing w:before="0" w:after="160" w:line="259" w:lineRule="auto"/>
        <w:jc w:val="both"/>
      </w:pPr>
      <w:r>
        <w:t>What, if any, barriers would restrict implementation of the proposed principles?</w:t>
      </w:r>
    </w:p>
    <w:p w:rsidR="00BA6A4F" w:rsidRDefault="00BA6A4F" w:rsidP="00AE5461">
      <w:pPr>
        <w:pStyle w:val="ListParagraph"/>
        <w:spacing w:before="0" w:after="160" w:line="259" w:lineRule="auto"/>
        <w:ind w:left="1440"/>
        <w:jc w:val="both"/>
      </w:pPr>
    </w:p>
    <w:p w:rsidR="005E3D70" w:rsidRDefault="005E3D70" w:rsidP="00AE5461">
      <w:pPr>
        <w:pStyle w:val="ListParagraph"/>
        <w:numPr>
          <w:ilvl w:val="0"/>
          <w:numId w:val="84"/>
        </w:numPr>
        <w:jc w:val="both"/>
      </w:pPr>
      <w:r>
        <w:t>How could stakeholders (such as consumers and investors) benefit or be disadvantaged from greater technology neutrality in Treasury laws? Please provide</w:t>
      </w:r>
      <w:r w:rsidR="00AC303A">
        <w:t xml:space="preserve"> any</w:t>
      </w:r>
      <w:r>
        <w:t xml:space="preserve"> relevant data, </w:t>
      </w:r>
      <w:r w:rsidR="00BA6A4F">
        <w:t>if available.</w:t>
      </w:r>
    </w:p>
    <w:p w:rsidR="00BA6A4F" w:rsidRDefault="00BA6A4F" w:rsidP="00AE5461">
      <w:pPr>
        <w:pStyle w:val="ListParagraph"/>
        <w:jc w:val="both"/>
      </w:pPr>
    </w:p>
    <w:p w:rsidR="005E3D70" w:rsidRDefault="005E3D70" w:rsidP="00AE5461">
      <w:pPr>
        <w:pStyle w:val="ListParagraph"/>
        <w:numPr>
          <w:ilvl w:val="0"/>
          <w:numId w:val="84"/>
        </w:numPr>
        <w:spacing w:before="0" w:after="160" w:line="259" w:lineRule="auto"/>
        <w:jc w:val="both"/>
      </w:pPr>
      <w:r>
        <w:t xml:space="preserve">Which </w:t>
      </w:r>
      <w:r w:rsidR="001C3F8D">
        <w:t xml:space="preserve">of the </w:t>
      </w:r>
      <w:r>
        <w:t>option</w:t>
      </w:r>
      <w:r w:rsidR="001C3F8D">
        <w:t>s</w:t>
      </w:r>
      <w:r w:rsidR="003F3BFA">
        <w:t xml:space="preserve"> identified on page 3</w:t>
      </w:r>
      <w:r>
        <w:t xml:space="preserve"> do you consider would provide the biggest benefits while </w:t>
      </w:r>
      <w:r w:rsidR="003F3BFA">
        <w:t>appropriately managing</w:t>
      </w:r>
      <w:r>
        <w:t xml:space="preserve"> risk?</w:t>
      </w:r>
    </w:p>
    <w:p w:rsidR="00BA6A4F" w:rsidRDefault="00BA6A4F" w:rsidP="00AE5461">
      <w:pPr>
        <w:pStyle w:val="ListParagraph"/>
        <w:jc w:val="both"/>
      </w:pPr>
    </w:p>
    <w:p w:rsidR="005E3D70" w:rsidRDefault="005E3D70" w:rsidP="00AE5461">
      <w:pPr>
        <w:pStyle w:val="ListParagraph"/>
        <w:numPr>
          <w:ilvl w:val="0"/>
          <w:numId w:val="84"/>
        </w:numPr>
        <w:spacing w:before="0" w:after="160" w:line="259" w:lineRule="auto"/>
        <w:jc w:val="both"/>
      </w:pPr>
      <w:r>
        <w:t xml:space="preserve">If technology neutral reforms are introduced, what </w:t>
      </w:r>
      <w:r w:rsidR="00E2784F">
        <w:t>should</w:t>
      </w:r>
      <w:r>
        <w:t xml:space="preserve"> businesses do to manage the impact of these changes, to ensure that benefits are realised and disadvantages overcome?</w:t>
      </w:r>
    </w:p>
    <w:p w:rsidR="00BA6A4F" w:rsidRDefault="00BA6A4F" w:rsidP="00AE5461">
      <w:pPr>
        <w:pStyle w:val="ListParagraph"/>
        <w:jc w:val="both"/>
      </w:pPr>
    </w:p>
    <w:p w:rsidR="00BA6A4F" w:rsidRDefault="00BA6A4F" w:rsidP="00AE5461">
      <w:pPr>
        <w:pStyle w:val="ListParagraph"/>
        <w:numPr>
          <w:ilvl w:val="0"/>
          <w:numId w:val="84"/>
        </w:numPr>
        <w:spacing w:before="0" w:after="160" w:line="259" w:lineRule="auto"/>
        <w:jc w:val="both"/>
      </w:pPr>
      <w:r>
        <w:t xml:space="preserve">What transitional issues do you foresee </w:t>
      </w:r>
      <w:r w:rsidR="00F37454">
        <w:t xml:space="preserve">for </w:t>
      </w:r>
      <w:r>
        <w:t xml:space="preserve">businesses, consumers and regulators </w:t>
      </w:r>
      <w:r w:rsidR="00F37454">
        <w:t>in</w:t>
      </w:r>
      <w:r>
        <w:t xml:space="preserve"> moving to technology neutral communication methods?</w:t>
      </w:r>
    </w:p>
    <w:p w:rsidR="00426BEC" w:rsidRDefault="00BA6A4F" w:rsidP="00AE5461">
      <w:pPr>
        <w:pStyle w:val="ListParagraph"/>
        <w:numPr>
          <w:ilvl w:val="1"/>
          <w:numId w:val="84"/>
        </w:numPr>
        <w:spacing w:before="0" w:after="160" w:line="259" w:lineRule="auto"/>
        <w:jc w:val="both"/>
      </w:pPr>
      <w:r>
        <w:t>What are the key implementation risks and their likelihood of occurring? How can we mitigate these risks? Please provide examples.</w:t>
      </w:r>
      <w:r w:rsidR="001E740E">
        <w:br w:type="page"/>
      </w:r>
      <w:bookmarkStart w:id="442" w:name="_Toc57191859"/>
      <w:bookmarkStart w:id="443" w:name="_Toc57194071"/>
      <w:bookmarkStart w:id="444" w:name="_Toc57200725"/>
      <w:bookmarkStart w:id="445" w:name="_Toc57201900"/>
      <w:bookmarkStart w:id="446" w:name="_Toc57191861"/>
      <w:bookmarkStart w:id="447" w:name="_Toc57194073"/>
      <w:bookmarkStart w:id="448" w:name="_Toc57200727"/>
      <w:bookmarkStart w:id="449" w:name="_Toc57201902"/>
      <w:bookmarkStart w:id="450" w:name="_Toc57191862"/>
      <w:bookmarkStart w:id="451" w:name="_Toc57194074"/>
      <w:bookmarkStart w:id="452" w:name="_Toc57200728"/>
      <w:bookmarkStart w:id="453" w:name="_Toc57201903"/>
      <w:bookmarkStart w:id="454" w:name="_Toc57191863"/>
      <w:bookmarkStart w:id="455" w:name="_Toc57194075"/>
      <w:bookmarkStart w:id="456" w:name="_Toc57200729"/>
      <w:bookmarkStart w:id="457" w:name="_Toc57201904"/>
      <w:bookmarkStart w:id="458" w:name="_Toc57191866"/>
      <w:bookmarkStart w:id="459" w:name="_Toc57194078"/>
      <w:bookmarkStart w:id="460" w:name="_Toc57200732"/>
      <w:bookmarkStart w:id="461" w:name="_Toc57201907"/>
      <w:bookmarkStart w:id="462" w:name="_Toc57191867"/>
      <w:bookmarkStart w:id="463" w:name="_Toc57194079"/>
      <w:bookmarkStart w:id="464" w:name="_Toc57200733"/>
      <w:bookmarkStart w:id="465" w:name="_Toc57201908"/>
      <w:bookmarkStart w:id="466" w:name="_Toc57191890"/>
      <w:bookmarkStart w:id="467" w:name="_Toc57194102"/>
      <w:bookmarkStart w:id="468" w:name="_Toc57200756"/>
      <w:bookmarkStart w:id="469" w:name="_Toc57201931"/>
      <w:bookmarkStart w:id="470" w:name="_Toc57191896"/>
      <w:bookmarkStart w:id="471" w:name="_Toc57194108"/>
      <w:bookmarkStart w:id="472" w:name="_Toc57200762"/>
      <w:bookmarkStart w:id="473" w:name="_Toc57201937"/>
      <w:bookmarkStart w:id="474" w:name="_Toc55379982"/>
      <w:bookmarkStart w:id="475" w:name="_Toc55380157"/>
      <w:bookmarkStart w:id="476" w:name="_Toc55380979"/>
      <w:bookmarkStart w:id="477" w:name="_Toc55381005"/>
      <w:bookmarkStart w:id="478" w:name="_Toc55382274"/>
      <w:bookmarkStart w:id="479" w:name="_Toc55383013"/>
      <w:bookmarkStart w:id="480" w:name="_Toc55383525"/>
      <w:bookmarkStart w:id="481" w:name="_Toc55383800"/>
      <w:bookmarkStart w:id="482" w:name="_Toc55386811"/>
      <w:bookmarkStart w:id="483" w:name="_Toc55392439"/>
      <w:bookmarkStart w:id="484" w:name="_Toc55392598"/>
      <w:bookmarkStart w:id="485" w:name="_Toc55394127"/>
      <w:bookmarkStart w:id="486" w:name="_Toc55394426"/>
      <w:bookmarkStart w:id="487" w:name="_Toc55395483"/>
      <w:bookmarkStart w:id="488" w:name="_Toc55396281"/>
      <w:bookmarkStart w:id="489" w:name="_Toc55396749"/>
      <w:bookmarkStart w:id="490" w:name="_Toc55396925"/>
      <w:bookmarkStart w:id="491" w:name="_Toc55397246"/>
      <w:bookmarkStart w:id="492" w:name="_Toc55397078"/>
      <w:bookmarkStart w:id="493" w:name="_Toc55397678"/>
      <w:bookmarkStart w:id="494" w:name="_Toc55399604"/>
      <w:bookmarkStart w:id="495" w:name="_Toc55400615"/>
      <w:bookmarkStart w:id="496" w:name="_Toc57191898"/>
      <w:bookmarkStart w:id="497" w:name="_Toc57194110"/>
      <w:bookmarkStart w:id="498" w:name="_Toc57200764"/>
      <w:bookmarkStart w:id="499" w:name="_Toc57201939"/>
      <w:bookmarkStart w:id="500" w:name="_Toc57191899"/>
      <w:bookmarkStart w:id="501" w:name="_Toc57194111"/>
      <w:bookmarkStart w:id="502" w:name="_Toc57200765"/>
      <w:bookmarkStart w:id="503" w:name="_Toc57201940"/>
      <w:bookmarkStart w:id="504" w:name="_Toc57191901"/>
      <w:bookmarkStart w:id="505" w:name="_Toc57194113"/>
      <w:bookmarkStart w:id="506" w:name="_Toc57200767"/>
      <w:bookmarkStart w:id="507" w:name="_Toc57201942"/>
      <w:bookmarkStart w:id="508" w:name="_Toc57191902"/>
      <w:bookmarkStart w:id="509" w:name="_Toc57194114"/>
      <w:bookmarkStart w:id="510" w:name="_Toc57200768"/>
      <w:bookmarkStart w:id="511" w:name="_Toc57201943"/>
      <w:bookmarkStart w:id="512" w:name="_Toc57191903"/>
      <w:bookmarkStart w:id="513" w:name="_Toc57194115"/>
      <w:bookmarkStart w:id="514" w:name="_Toc57200769"/>
      <w:bookmarkStart w:id="515" w:name="_Toc57201944"/>
      <w:bookmarkStart w:id="516" w:name="_Toc57191904"/>
      <w:bookmarkStart w:id="517" w:name="_Toc57194116"/>
      <w:bookmarkStart w:id="518" w:name="_Toc57200770"/>
      <w:bookmarkStart w:id="519" w:name="_Toc57201945"/>
      <w:bookmarkStart w:id="520" w:name="_Toc57191905"/>
      <w:bookmarkStart w:id="521" w:name="_Toc57194117"/>
      <w:bookmarkStart w:id="522" w:name="_Toc57200771"/>
      <w:bookmarkStart w:id="523" w:name="_Toc57201946"/>
      <w:bookmarkStart w:id="524" w:name="_Toc57191907"/>
      <w:bookmarkStart w:id="525" w:name="_Toc57194119"/>
      <w:bookmarkStart w:id="526" w:name="_Toc57200773"/>
      <w:bookmarkStart w:id="527" w:name="_Toc57201948"/>
      <w:bookmarkStart w:id="528" w:name="_Toc57191919"/>
      <w:bookmarkStart w:id="529" w:name="_Toc57194131"/>
      <w:bookmarkStart w:id="530" w:name="_Toc57200785"/>
      <w:bookmarkStart w:id="531" w:name="_Toc57201960"/>
      <w:bookmarkStart w:id="532" w:name="_Toc57202521"/>
      <w:bookmarkStart w:id="533" w:name="_Toc57204564"/>
      <w:bookmarkStart w:id="534" w:name="_Toc57208096"/>
      <w:bookmarkStart w:id="535" w:name="_Toc57208183"/>
      <w:bookmarkStart w:id="536" w:name="_Toc57209808"/>
      <w:bookmarkStart w:id="537" w:name="_Toc57209938"/>
      <w:bookmarkStart w:id="538" w:name="_Toc57270410"/>
      <w:bookmarkStart w:id="539" w:name="_Toc52374748"/>
      <w:bookmarkStart w:id="540" w:name="_Toc52375018"/>
      <w:bookmarkStart w:id="541" w:name="_Toc52443794"/>
      <w:bookmarkEnd w:id="379"/>
      <w:bookmarkEnd w:id="380"/>
      <w:bookmarkEnd w:id="38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rsidR="009929C5" w:rsidRPr="003E38B3" w:rsidRDefault="0078202F" w:rsidP="008821E6">
      <w:pPr>
        <w:pStyle w:val="Heading2"/>
        <w:tabs>
          <w:tab w:val="clear" w:pos="1080"/>
        </w:tabs>
      </w:pPr>
      <w:bookmarkStart w:id="542" w:name="_Toc54691030"/>
      <w:bookmarkStart w:id="543" w:name="_Toc54704403"/>
      <w:bookmarkStart w:id="544" w:name="_Toc54705652"/>
      <w:bookmarkStart w:id="545" w:name="_Toc54872011"/>
      <w:bookmarkStart w:id="546" w:name="_Toc54879349"/>
      <w:bookmarkStart w:id="547" w:name="_Toc55286670"/>
      <w:bookmarkStart w:id="548" w:name="_Toc55381009"/>
      <w:bookmarkStart w:id="549" w:name="_Toc55394131"/>
      <w:bookmarkStart w:id="550" w:name="_Toc55397510"/>
      <w:bookmarkStart w:id="551" w:name="_Toc55399917"/>
      <w:bookmarkStart w:id="552" w:name="_Toc55403035"/>
      <w:bookmarkStart w:id="553" w:name="_Toc55478137"/>
      <w:bookmarkStart w:id="554" w:name="_Toc57202523"/>
      <w:bookmarkStart w:id="555" w:name="_Toc57209940"/>
      <w:bookmarkStart w:id="556" w:name="_Toc57215215"/>
      <w:bookmarkStart w:id="557" w:name="_Toc59021148"/>
      <w:r>
        <w:lastRenderedPageBreak/>
        <w:t xml:space="preserve">Appendix </w:t>
      </w:r>
      <w:r w:rsidR="003F3BFA">
        <w:t>A</w:t>
      </w:r>
      <w:r>
        <w:t xml:space="preserve">: </w:t>
      </w:r>
      <w:r w:rsidR="003F3BFA">
        <w:t>International</w:t>
      </w:r>
      <w:r w:rsidR="003F3BFA" w:rsidRPr="003E38B3">
        <w:t xml:space="preserve"> </w:t>
      </w:r>
      <w:r w:rsidR="0050732D" w:rsidRPr="003E38B3">
        <w:t>Reform Processes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rsidR="00AE5461" w:rsidRPr="00AE5461" w:rsidRDefault="005A3130" w:rsidP="00AE5461">
      <w:pPr>
        <w:jc w:val="both"/>
        <w:rPr>
          <w:rStyle w:val="IntenseEmphasis"/>
          <w:i w:val="0"/>
          <w:iCs w:val="0"/>
          <w:color w:val="auto"/>
        </w:rPr>
      </w:pPr>
      <w:r>
        <w:t>International jurisdictions such as the European Union</w:t>
      </w:r>
      <w:r w:rsidR="00651CB4">
        <w:t xml:space="preserve"> (EU)</w:t>
      </w:r>
      <w:r>
        <w:t>, New Zealand</w:t>
      </w:r>
      <w:r w:rsidR="00651CB4">
        <w:t xml:space="preserve"> (NZ)</w:t>
      </w:r>
      <w:r>
        <w:t xml:space="preserve">, the United Kingdom </w:t>
      </w:r>
      <w:r w:rsidR="00651CB4">
        <w:t xml:space="preserve">(UK) </w:t>
      </w:r>
      <w:r>
        <w:t>and United States</w:t>
      </w:r>
      <w:r w:rsidR="00651CB4">
        <w:t xml:space="preserve"> (US)</w:t>
      </w:r>
      <w:r>
        <w:t xml:space="preserve"> have recently undertaken a range of changes to facilitate the modernising of business communication methods within </w:t>
      </w:r>
      <w:r w:rsidR="00375A73">
        <w:t>their respective jurisdictions with some of these changes in response to COVID</w:t>
      </w:r>
      <w:r w:rsidR="00DA176D">
        <w:noBreakHyphen/>
      </w:r>
      <w:r w:rsidR="00375A73">
        <w:t>19.</w:t>
      </w:r>
    </w:p>
    <w:p w:rsidR="00375A73" w:rsidRPr="00200CB2" w:rsidRDefault="00651CB4" w:rsidP="00200CB2">
      <w:pPr>
        <w:pStyle w:val="Heading3"/>
        <w:rPr>
          <w:rStyle w:val="IntenseEmphasis"/>
          <w:i w:val="0"/>
          <w:iCs w:val="0"/>
          <w:color w:val="00827F" w:themeColor="accent3"/>
        </w:rPr>
      </w:pPr>
      <w:r w:rsidRPr="00200CB2">
        <w:rPr>
          <w:rStyle w:val="IntenseEmphasis"/>
          <w:i w:val="0"/>
          <w:iCs w:val="0"/>
          <w:color w:val="00827F" w:themeColor="accent3"/>
        </w:rPr>
        <w:t>Written communications</w:t>
      </w:r>
    </w:p>
    <w:p w:rsidR="00AE5461" w:rsidRPr="00AE5461" w:rsidRDefault="00651CB4" w:rsidP="00AE5461">
      <w:pPr>
        <w:jc w:val="both"/>
        <w:rPr>
          <w:rStyle w:val="IntenseEmphasis"/>
          <w:i w:val="0"/>
          <w:iCs w:val="0"/>
          <w:color w:val="auto"/>
        </w:rPr>
      </w:pPr>
      <w:r>
        <w:t>T</w:t>
      </w:r>
      <w:r w:rsidRPr="00651CB4">
        <w:t>he</w:t>
      </w:r>
      <w:r>
        <w:t xml:space="preserve"> EU</w:t>
      </w:r>
      <w:r w:rsidR="00D513E3">
        <w:t>,</w:t>
      </w:r>
      <w:r w:rsidR="00B7455F">
        <w:rPr>
          <w:rStyle w:val="FootnoteReference"/>
        </w:rPr>
        <w:footnoteReference w:id="7"/>
      </w:r>
      <w:r w:rsidR="00D513E3">
        <w:t xml:space="preserve"> UK,</w:t>
      </w:r>
      <w:r w:rsidR="0091670F">
        <w:rPr>
          <w:rStyle w:val="FootnoteReference"/>
        </w:rPr>
        <w:footnoteReference w:id="8"/>
      </w:r>
      <w:r w:rsidR="00D513E3">
        <w:t xml:space="preserve"> NZ</w:t>
      </w:r>
      <w:r w:rsidR="00D702AC">
        <w:rPr>
          <w:rStyle w:val="FootnoteReference"/>
        </w:rPr>
        <w:footnoteReference w:id="9"/>
      </w:r>
      <w:r w:rsidR="00D513E3">
        <w:t xml:space="preserve"> and US</w:t>
      </w:r>
      <w:r w:rsidR="00B868B7">
        <w:rPr>
          <w:rStyle w:val="FootnoteReference"/>
        </w:rPr>
        <w:footnoteReference w:id="10"/>
      </w:r>
      <w:r w:rsidR="00D513E3">
        <w:t xml:space="preserve"> all have laws that electronic forms will satisfy legal requirements relating to written communications. </w:t>
      </w:r>
    </w:p>
    <w:p w:rsidR="00CB5E4D" w:rsidRPr="00200CB2" w:rsidRDefault="00CB5E4D" w:rsidP="00200CB2">
      <w:pPr>
        <w:pStyle w:val="Heading3"/>
      </w:pPr>
      <w:r w:rsidRPr="00200CB2">
        <w:t>Communicating with regulators</w:t>
      </w:r>
    </w:p>
    <w:p w:rsidR="00CB5E4D" w:rsidRDefault="00CB5E4D" w:rsidP="00CB5E4D">
      <w:pPr>
        <w:jc w:val="both"/>
      </w:pPr>
      <w:r w:rsidRPr="00C05A50">
        <w:t xml:space="preserve">The </w:t>
      </w:r>
      <w:r>
        <w:t xml:space="preserve">EU applies </w:t>
      </w:r>
      <w:r w:rsidR="00DA176D">
        <w:t>‘</w:t>
      </w:r>
      <w:r w:rsidRPr="00C05A50">
        <w:t>single digital gateway</w:t>
      </w:r>
      <w:r w:rsidR="00DA176D">
        <w:t>’</w:t>
      </w:r>
      <w:r w:rsidRPr="00C05A50">
        <w:t xml:space="preserve"> regulation that allow</w:t>
      </w:r>
      <w:r>
        <w:t>s</w:t>
      </w:r>
      <w:r w:rsidRPr="00C05A50">
        <w:t xml:space="preserve"> citizens and businesses to conduct a range of regulatory exchanges entirely online.</w:t>
      </w:r>
      <w:r>
        <w:rPr>
          <w:rStyle w:val="FootnoteReference"/>
        </w:rPr>
        <w:footnoteReference w:id="11"/>
      </w:r>
      <w:r w:rsidRPr="00C05A50">
        <w:t xml:space="preserve"> The single digital gateway embodies the </w:t>
      </w:r>
      <w:r w:rsidR="00DA176D">
        <w:t>‘</w:t>
      </w:r>
      <w:r w:rsidRPr="00C05A50">
        <w:t>tell us once</w:t>
      </w:r>
      <w:r w:rsidR="00DA176D">
        <w:t>’</w:t>
      </w:r>
      <w:r w:rsidRPr="00C05A50">
        <w:t xml:space="preserve"> principle.</w:t>
      </w:r>
      <w:r>
        <w:t xml:space="preserve"> NZ provides that any requirement in writing can be satisfied electronically.</w:t>
      </w:r>
      <w:r>
        <w:rPr>
          <w:rStyle w:val="FootnoteReference"/>
        </w:rPr>
        <w:footnoteReference w:id="12"/>
      </w:r>
      <w:r>
        <w:t xml:space="preserve"> The UK</w:t>
      </w:r>
      <w:r>
        <w:rPr>
          <w:rStyle w:val="FootnoteReference"/>
        </w:rPr>
        <w:footnoteReference w:id="13"/>
      </w:r>
      <w:r>
        <w:t xml:space="preserve"> and US</w:t>
      </w:r>
      <w:r>
        <w:rPr>
          <w:rStyle w:val="FootnoteReference"/>
        </w:rPr>
        <w:footnoteReference w:id="14"/>
      </w:r>
      <w:r>
        <w:t xml:space="preserve"> have both expanded the amount of documents that can be lodged electronically in response to COVID</w:t>
      </w:r>
      <w:r w:rsidR="00DA176D">
        <w:noBreakHyphen/>
      </w:r>
      <w:r>
        <w:t>19.</w:t>
      </w:r>
    </w:p>
    <w:p w:rsidR="00D513E3" w:rsidRPr="00200CB2" w:rsidRDefault="00D513E3" w:rsidP="00200CB2">
      <w:pPr>
        <w:pStyle w:val="Heading3"/>
      </w:pPr>
      <w:r w:rsidRPr="00200CB2">
        <w:t>Signature requirements</w:t>
      </w:r>
    </w:p>
    <w:p w:rsidR="004918E6" w:rsidRPr="004918E6" w:rsidRDefault="00D513E3" w:rsidP="004918E6">
      <w:pPr>
        <w:jc w:val="both"/>
        <w:rPr>
          <w:rStyle w:val="IntenseEmphasis"/>
          <w:i w:val="0"/>
          <w:iCs w:val="0"/>
          <w:color w:val="auto"/>
        </w:rPr>
      </w:pPr>
      <w:r w:rsidRPr="00D513E3">
        <w:t>The EU,</w:t>
      </w:r>
      <w:r w:rsidR="00D561C4">
        <w:rPr>
          <w:rStyle w:val="FootnoteReference"/>
        </w:rPr>
        <w:footnoteReference w:id="15"/>
      </w:r>
      <w:r w:rsidRPr="00D513E3">
        <w:t xml:space="preserve"> NZ</w:t>
      </w:r>
      <w:r w:rsidR="00FE4FE4">
        <w:rPr>
          <w:rStyle w:val="FootnoteReference"/>
        </w:rPr>
        <w:footnoteReference w:id="16"/>
      </w:r>
      <w:r w:rsidRPr="00D513E3">
        <w:t xml:space="preserve"> and</w:t>
      </w:r>
      <w:r>
        <w:t xml:space="preserve"> </w:t>
      </w:r>
      <w:r w:rsidR="00ED317A">
        <w:t>UK</w:t>
      </w:r>
      <w:r w:rsidR="000A7086">
        <w:rPr>
          <w:rStyle w:val="FootnoteReference"/>
        </w:rPr>
        <w:footnoteReference w:id="17"/>
      </w:r>
      <w:r>
        <w:t xml:space="preserve"> allow for the use of digital signatures in most circumstances whereas the </w:t>
      </w:r>
      <w:r w:rsidRPr="00D513E3">
        <w:t>US</w:t>
      </w:r>
      <w:r w:rsidR="00B868B7">
        <w:t>,</w:t>
      </w:r>
      <w:r w:rsidR="00B868B7">
        <w:rPr>
          <w:rStyle w:val="FootnoteReference"/>
        </w:rPr>
        <w:footnoteReference w:id="18"/>
      </w:r>
      <w:r w:rsidRPr="00D513E3">
        <w:t xml:space="preserve"> </w:t>
      </w:r>
      <w:r>
        <w:t>provides digital signatures with the same legal equivalence as physical signatures</w:t>
      </w:r>
      <w:r w:rsidR="004918E6">
        <w:t xml:space="preserve">. </w:t>
      </w:r>
    </w:p>
    <w:p w:rsidR="00AE5461" w:rsidRPr="00200CB2" w:rsidRDefault="00C05A50" w:rsidP="00200CB2">
      <w:pPr>
        <w:pStyle w:val="Heading3"/>
      </w:pPr>
      <w:r w:rsidRPr="00200CB2">
        <w:lastRenderedPageBreak/>
        <w:t>Record</w:t>
      </w:r>
      <w:r w:rsidR="00DA176D" w:rsidRPr="00200CB2">
        <w:noBreakHyphen/>
      </w:r>
      <w:r w:rsidRPr="00200CB2">
        <w:t>keeping documents</w:t>
      </w:r>
    </w:p>
    <w:p w:rsidR="00C05A50" w:rsidRDefault="00A848ED" w:rsidP="004918E6">
      <w:pPr>
        <w:jc w:val="both"/>
      </w:pPr>
      <w:r>
        <w:t>The UK,</w:t>
      </w:r>
      <w:r w:rsidR="00810B66">
        <w:rPr>
          <w:rStyle w:val="FootnoteReference"/>
        </w:rPr>
        <w:footnoteReference w:id="19"/>
      </w:r>
      <w:r>
        <w:t xml:space="preserve"> </w:t>
      </w:r>
      <w:r w:rsidR="00C05A50">
        <w:t>US</w:t>
      </w:r>
      <w:r w:rsidR="00FC49A5">
        <w:t>,</w:t>
      </w:r>
      <w:r w:rsidR="0053271D">
        <w:rPr>
          <w:rStyle w:val="FootnoteReference"/>
        </w:rPr>
        <w:footnoteReference w:id="20"/>
      </w:r>
      <w:r w:rsidR="00C05A50">
        <w:t xml:space="preserve"> and NZ</w:t>
      </w:r>
      <w:r w:rsidR="00FC49A5">
        <w:t>,</w:t>
      </w:r>
      <w:r w:rsidR="00C93284">
        <w:rPr>
          <w:rStyle w:val="FootnoteReference"/>
        </w:rPr>
        <w:footnoteReference w:id="21"/>
      </w:r>
      <w:r w:rsidR="00C05A50">
        <w:t xml:space="preserve"> all allow for the use of electronic storage of records. The EU has enacted </w:t>
      </w:r>
      <w:r w:rsidR="00ED317A">
        <w:t>electronic commerce</w:t>
      </w:r>
      <w:r w:rsidR="00C05A50">
        <w:t xml:space="preserve"> legislation</w:t>
      </w:r>
      <w:r w:rsidR="0078202F">
        <w:t>,</w:t>
      </w:r>
      <w:r w:rsidR="00C05A50">
        <w:t xml:space="preserve"> which includes provisions relating to record</w:t>
      </w:r>
      <w:r w:rsidR="00DA176D">
        <w:noBreakHyphen/>
      </w:r>
      <w:r w:rsidR="00C05A50">
        <w:t>keeping.</w:t>
      </w:r>
      <w:r w:rsidR="001E3ECB">
        <w:rPr>
          <w:rStyle w:val="FootnoteReference"/>
        </w:rPr>
        <w:footnoteReference w:id="22"/>
      </w:r>
    </w:p>
    <w:sectPr w:rsidR="00C05A50" w:rsidSect="00E1136B">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42D" w:rsidRDefault="009B042D">
      <w:pPr>
        <w:spacing w:before="0" w:after="0"/>
      </w:pPr>
      <w:r>
        <w:separator/>
      </w:r>
    </w:p>
  </w:endnote>
  <w:endnote w:type="continuationSeparator" w:id="0">
    <w:p w:rsidR="009B042D" w:rsidRDefault="009B042D">
      <w:pPr>
        <w:spacing w:before="0" w:after="0"/>
      </w:pPr>
      <w:r>
        <w:continuationSeparator/>
      </w:r>
    </w:p>
  </w:endnote>
  <w:endnote w:type="continuationNotice" w:id="1">
    <w:p w:rsidR="009B042D" w:rsidRDefault="009B042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Default="009B04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Pr="00E1136B" w:rsidRDefault="009B042D" w:rsidP="00E1136B">
    <w:pPr>
      <w:pStyle w:val="Footer"/>
    </w:pPr>
    <w:r>
      <w:fldChar w:fldCharType="begin"/>
    </w:r>
    <w:r>
      <w:instrText xml:space="preserve"> PAGE   \* MERGEFORMAT </w:instrText>
    </w:r>
    <w:r>
      <w:fldChar w:fldCharType="separate"/>
    </w:r>
    <w:r w:rsidR="00164DE7">
      <w:rPr>
        <w:noProof/>
      </w:rPr>
      <w:t>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Default="009B04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Pr="00E77C89" w:rsidRDefault="009B042D" w:rsidP="0017089D">
    <w:r>
      <w:fldChar w:fldCharType="begin"/>
    </w:r>
    <w:r>
      <w:instrText xml:space="preserve"> PAGE  \* Arabic  \* MERGEFORMAT </w:instrText>
    </w:r>
    <w:r>
      <w:fldChar w:fldCharType="separate"/>
    </w:r>
    <w: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Pr="00E77C89" w:rsidRDefault="009B042D" w:rsidP="0017089D"/>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Pr="00E1136B" w:rsidRDefault="009B042D" w:rsidP="00E1136B">
    <w:pPr>
      <w:pStyle w:val="Footer"/>
    </w:pPr>
    <w:r>
      <w:fldChar w:fldCharType="begin"/>
    </w:r>
    <w:r>
      <w:instrText xml:space="preserve"> PAGE   \* MERGEFORMAT </w:instrText>
    </w:r>
    <w:r>
      <w:fldChar w:fldCharType="separate"/>
    </w:r>
    <w:r w:rsidR="00164DE7">
      <w:rPr>
        <w:noProof/>
      </w:rPr>
      <w:t>18</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Default="009B0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42D" w:rsidRDefault="009B042D">
      <w:pPr>
        <w:spacing w:before="0" w:after="0"/>
      </w:pPr>
      <w:r>
        <w:separator/>
      </w:r>
    </w:p>
  </w:footnote>
  <w:footnote w:type="continuationSeparator" w:id="0">
    <w:p w:rsidR="009B042D" w:rsidRDefault="009B042D">
      <w:pPr>
        <w:spacing w:before="0" w:after="0"/>
      </w:pPr>
      <w:r>
        <w:continuationSeparator/>
      </w:r>
    </w:p>
  </w:footnote>
  <w:footnote w:type="continuationNotice" w:id="1">
    <w:p w:rsidR="009B042D" w:rsidRDefault="009B042D">
      <w:pPr>
        <w:spacing w:before="0" w:after="0"/>
      </w:pPr>
    </w:p>
  </w:footnote>
  <w:footnote w:id="2">
    <w:p w:rsidR="009B042D" w:rsidRPr="00DA176D" w:rsidRDefault="009B042D" w:rsidP="00DA176D">
      <w:pPr>
        <w:pStyle w:val="FootnoteText"/>
      </w:pPr>
      <w:r w:rsidRPr="00DA176D">
        <w:rPr>
          <w:rStyle w:val="FootnoteReference"/>
          <w:vertAlign w:val="baseline"/>
        </w:rPr>
        <w:footnoteRef/>
      </w:r>
      <w:r w:rsidRPr="00DA176D">
        <w:t xml:space="preserve"> </w:t>
      </w:r>
      <w:r w:rsidRPr="00DA176D">
        <w:tab/>
        <w:t>Corporations (Coronavirus Economic Response) Determination (No. 1) 2020;  Corporations (Coronavirus Economic Response) Determination (No. 3) 2020</w:t>
      </w:r>
    </w:p>
  </w:footnote>
  <w:footnote w:id="3">
    <w:p w:rsidR="009B042D" w:rsidRDefault="009B042D" w:rsidP="00DA176D">
      <w:pPr>
        <w:pStyle w:val="FootnoteText"/>
      </w:pPr>
      <w:r w:rsidRPr="00DA176D">
        <w:rPr>
          <w:rStyle w:val="FootnoteReference"/>
          <w:vertAlign w:val="baseline"/>
        </w:rPr>
        <w:footnoteRef/>
      </w:r>
      <w:r>
        <w:t xml:space="preserve"> </w:t>
      </w:r>
      <w:r>
        <w:tab/>
      </w:r>
      <w:r w:rsidRPr="002F65D7">
        <w:t>Corporations (Coronavirus Economi</w:t>
      </w:r>
      <w:r>
        <w:t>c Response) Determination (No. 1</w:t>
      </w:r>
      <w:r w:rsidRPr="002F65D7">
        <w:t>) 2020</w:t>
      </w:r>
      <w:r>
        <w:t xml:space="preserve">;  </w:t>
      </w:r>
      <w:r w:rsidRPr="002F65D7">
        <w:t>Corporations (Coronavirus Economic Response) Determination (No. 3) 2020</w:t>
      </w:r>
    </w:p>
  </w:footnote>
  <w:footnote w:id="4">
    <w:p w:rsidR="009B042D" w:rsidRDefault="009B042D" w:rsidP="00DA176D">
      <w:pPr>
        <w:pStyle w:val="FootnoteText"/>
      </w:pPr>
      <w:r w:rsidRPr="00DA176D">
        <w:rPr>
          <w:rStyle w:val="FootnoteReference"/>
          <w:vertAlign w:val="baseline"/>
        </w:rPr>
        <w:footnoteRef/>
      </w:r>
      <w:r>
        <w:t xml:space="preserve"> </w:t>
      </w:r>
      <w:r>
        <w:tab/>
      </w:r>
      <w:r w:rsidRPr="00C81FB6">
        <w:t xml:space="preserve">For further information relating to the consultation process on the regulatory requirements for </w:t>
      </w:r>
      <w:r>
        <w:t>sending of meeting materials</w:t>
      </w:r>
      <w:r w:rsidRPr="00C81FB6">
        <w:t xml:space="preserve"> during COVID</w:t>
      </w:r>
      <w:r>
        <w:noBreakHyphen/>
      </w:r>
      <w:r w:rsidRPr="00C81FB6">
        <w:t xml:space="preserve">19 please visit the </w:t>
      </w:r>
      <w:hyperlink r:id="rId1" w:history="1">
        <w:r w:rsidRPr="00C81FB6">
          <w:rPr>
            <w:rStyle w:val="Hyperlink"/>
            <w:bCs/>
          </w:rPr>
          <w:t>Select Committee on Financial Technology and Regulatory Technology September 2020</w:t>
        </w:r>
      </w:hyperlink>
      <w:r w:rsidRPr="00C81FB6">
        <w:rPr>
          <w:bCs/>
        </w:rPr>
        <w:t xml:space="preserve"> </w:t>
      </w:r>
      <w:r>
        <w:rPr>
          <w:bCs/>
        </w:rPr>
        <w:t xml:space="preserve">interim </w:t>
      </w:r>
      <w:r w:rsidRPr="00C81FB6">
        <w:rPr>
          <w:bCs/>
        </w:rPr>
        <w:t>report</w:t>
      </w:r>
      <w:r w:rsidRPr="00C81FB6">
        <w:rPr>
          <w:b/>
          <w:bCs/>
        </w:rPr>
        <w:t>.</w:t>
      </w:r>
    </w:p>
  </w:footnote>
  <w:footnote w:id="5">
    <w:p w:rsidR="009B042D" w:rsidRDefault="009B042D" w:rsidP="00DA176D">
      <w:pPr>
        <w:pStyle w:val="FootnoteText"/>
      </w:pPr>
      <w:r w:rsidRPr="00DA176D">
        <w:rPr>
          <w:rStyle w:val="FootnoteReference"/>
          <w:vertAlign w:val="baseline"/>
        </w:rPr>
        <w:footnoteRef/>
      </w:r>
      <w:r>
        <w:t xml:space="preserve"> </w:t>
      </w:r>
      <w:r w:rsidR="00CC31DB">
        <w:tab/>
      </w:r>
      <w:r w:rsidRPr="002F65D7">
        <w:t>Corporations (Coronavirus Economi</w:t>
      </w:r>
      <w:r>
        <w:t>c Response) Determination (No. 1</w:t>
      </w:r>
      <w:r w:rsidRPr="002F65D7">
        <w:t>) 2020</w:t>
      </w:r>
      <w:r>
        <w:t xml:space="preserve">;  </w:t>
      </w:r>
      <w:r w:rsidRPr="002F65D7">
        <w:t>Corporations (Coronavirus Economic Response) Determination (No. 3) 2020</w:t>
      </w:r>
    </w:p>
  </w:footnote>
  <w:footnote w:id="6">
    <w:p w:rsidR="009B042D" w:rsidRDefault="009B042D" w:rsidP="00DA176D">
      <w:pPr>
        <w:pStyle w:val="FootnoteText"/>
      </w:pPr>
      <w:r w:rsidRPr="00DA176D">
        <w:rPr>
          <w:rStyle w:val="FootnoteReference"/>
          <w:vertAlign w:val="baseline"/>
        </w:rPr>
        <w:footnoteRef/>
      </w:r>
      <w:r>
        <w:t xml:space="preserve"> </w:t>
      </w:r>
      <w:r w:rsidR="00CC31DB">
        <w:tab/>
      </w:r>
      <w:r>
        <w:t>For further information relating to the consultation process on the regulatory requirements related to the execution of documents during COVID</w:t>
      </w:r>
      <w:r>
        <w:noBreakHyphen/>
        <w:t xml:space="preserve">19 please visit the </w:t>
      </w:r>
      <w:hyperlink r:id="rId2" w:history="1">
        <w:r w:rsidRPr="00C81FB6">
          <w:rPr>
            <w:rStyle w:val="Hyperlink"/>
            <w:bCs/>
          </w:rPr>
          <w:t>Select Committee on Financial Technology and Regulatory Technology September 2020</w:t>
        </w:r>
      </w:hyperlink>
      <w:r>
        <w:rPr>
          <w:bCs/>
        </w:rPr>
        <w:t xml:space="preserve"> interim report</w:t>
      </w:r>
      <w:r>
        <w:rPr>
          <w:b/>
          <w:bCs/>
        </w:rPr>
        <w:t>.</w:t>
      </w:r>
    </w:p>
  </w:footnote>
  <w:footnote w:id="7">
    <w:p w:rsidR="009B042D" w:rsidRDefault="009B042D" w:rsidP="00DA176D">
      <w:pPr>
        <w:pStyle w:val="FootnoteText"/>
      </w:pPr>
      <w:r w:rsidRPr="00DA176D">
        <w:rPr>
          <w:rStyle w:val="FootnoteReference"/>
          <w:vertAlign w:val="baseline"/>
        </w:rPr>
        <w:footnoteRef/>
      </w:r>
      <w:r>
        <w:t xml:space="preserve"> </w:t>
      </w:r>
      <w:r w:rsidR="00200CB2">
        <w:tab/>
      </w:r>
      <w:r>
        <w:t>‘Council directive 2000/31/EC on certain legal aspects of information society services, in particular electronic commerce, in the Internal Market (‘Directive on electronic commerce’)’ Official Journal of the European Union L178</w:t>
      </w:r>
    </w:p>
  </w:footnote>
  <w:footnote w:id="8">
    <w:p w:rsidR="009B042D" w:rsidRPr="000A7086" w:rsidRDefault="009B042D" w:rsidP="00DA176D">
      <w:pPr>
        <w:pStyle w:val="FootnoteText"/>
      </w:pPr>
      <w:r w:rsidRPr="00DA176D">
        <w:rPr>
          <w:rStyle w:val="FootnoteReference"/>
          <w:vertAlign w:val="baseline"/>
        </w:rPr>
        <w:footnoteRef/>
      </w:r>
      <w:r>
        <w:t xml:space="preserve"> </w:t>
      </w:r>
      <w:r w:rsidR="00200CB2">
        <w:tab/>
      </w:r>
      <w:r>
        <w:t xml:space="preserve">Law Commission, </w:t>
      </w:r>
      <w:r w:rsidRPr="000A7086">
        <w:rPr>
          <w:i/>
        </w:rPr>
        <w:t>Electronic execution of documents</w:t>
      </w:r>
      <w:r>
        <w:rPr>
          <w:i/>
        </w:rPr>
        <w:t xml:space="preserve"> </w:t>
      </w:r>
      <w:r>
        <w:t>(law Com No 386, 2019)</w:t>
      </w:r>
    </w:p>
  </w:footnote>
  <w:footnote w:id="9">
    <w:p w:rsidR="009B042D" w:rsidRPr="00D702AC" w:rsidRDefault="009B042D" w:rsidP="00DA176D">
      <w:pPr>
        <w:pStyle w:val="FootnoteText"/>
      </w:pPr>
      <w:r w:rsidRPr="00DA176D">
        <w:rPr>
          <w:rStyle w:val="FootnoteReference"/>
          <w:vertAlign w:val="baseline"/>
        </w:rPr>
        <w:footnoteRef/>
      </w:r>
      <w:r>
        <w:t xml:space="preserve"> </w:t>
      </w:r>
      <w:r w:rsidR="00200CB2">
        <w:tab/>
      </w:r>
      <w:r>
        <w:t>Contract and Commercial Law Act 2017 s222</w:t>
      </w:r>
    </w:p>
  </w:footnote>
  <w:footnote w:id="10">
    <w:p w:rsidR="009B042D" w:rsidRPr="00B868B7" w:rsidRDefault="009B042D" w:rsidP="00DA176D">
      <w:pPr>
        <w:pStyle w:val="FootnoteText"/>
      </w:pPr>
      <w:r w:rsidRPr="00DA176D">
        <w:rPr>
          <w:rStyle w:val="FootnoteReference"/>
          <w:vertAlign w:val="baseline"/>
        </w:rPr>
        <w:footnoteRef/>
      </w:r>
      <w:r>
        <w:t xml:space="preserve"> </w:t>
      </w:r>
      <w:r w:rsidR="00200CB2">
        <w:tab/>
      </w:r>
      <w:r>
        <w:t>The Uniform Electronic Transactions Act 1999</w:t>
      </w:r>
    </w:p>
  </w:footnote>
  <w:footnote w:id="11">
    <w:p w:rsidR="009B042D" w:rsidRDefault="009B042D" w:rsidP="00DA176D">
      <w:pPr>
        <w:pStyle w:val="FootnoteText"/>
      </w:pPr>
      <w:r w:rsidRPr="00DA176D">
        <w:rPr>
          <w:rStyle w:val="FootnoteReference"/>
          <w:vertAlign w:val="baseline"/>
        </w:rPr>
        <w:footnoteRef/>
      </w:r>
      <w:r>
        <w:t xml:space="preserve"> </w:t>
      </w:r>
      <w:r w:rsidR="00200CB2">
        <w:tab/>
      </w:r>
      <w:r>
        <w:t xml:space="preserve">‘Regulation </w:t>
      </w:r>
      <w:r w:rsidRPr="00882B89">
        <w:t>2018/1724</w:t>
      </w:r>
      <w:r>
        <w:t xml:space="preserve"> establishing a single digital gateway to provide access to information, to procedures and to assistance and problem</w:t>
      </w:r>
      <w:r>
        <w:noBreakHyphen/>
        <w:t>solving services and amending Regulation (EU) No 1024/2012’ Official Journal of the European Union L295/1</w:t>
      </w:r>
    </w:p>
  </w:footnote>
  <w:footnote w:id="12">
    <w:p w:rsidR="009B042D" w:rsidRDefault="009B042D" w:rsidP="00DA176D">
      <w:pPr>
        <w:pStyle w:val="FootnoteText"/>
      </w:pPr>
      <w:r w:rsidRPr="00DA176D">
        <w:rPr>
          <w:rStyle w:val="FootnoteReference"/>
          <w:vertAlign w:val="baseline"/>
        </w:rPr>
        <w:footnoteRef/>
      </w:r>
      <w:r>
        <w:t xml:space="preserve"> </w:t>
      </w:r>
      <w:r w:rsidR="00200CB2">
        <w:tab/>
      </w:r>
      <w:r w:rsidRPr="009947F3">
        <w:rPr>
          <w:i/>
        </w:rPr>
        <w:t xml:space="preserve">Contract and Commercial Law Act </w:t>
      </w:r>
      <w:r w:rsidRPr="009947F3">
        <w:t>2017</w:t>
      </w:r>
      <w:r>
        <w:t xml:space="preserve"> Part 4 Electronic transactions</w:t>
      </w:r>
    </w:p>
  </w:footnote>
  <w:footnote w:id="13">
    <w:p w:rsidR="009B042D" w:rsidRDefault="009B042D" w:rsidP="00DA176D">
      <w:pPr>
        <w:pStyle w:val="FootnoteText"/>
      </w:pPr>
      <w:r w:rsidRPr="00DA176D">
        <w:rPr>
          <w:rStyle w:val="FootnoteReference"/>
          <w:vertAlign w:val="baseline"/>
        </w:rPr>
        <w:footnoteRef/>
      </w:r>
      <w:r>
        <w:t xml:space="preserve"> </w:t>
      </w:r>
      <w:r w:rsidR="00200CB2">
        <w:tab/>
      </w:r>
      <w:r>
        <w:t>James Lewis and</w:t>
      </w:r>
      <w:r w:rsidRPr="000A7086">
        <w:t xml:space="preserve"> Bhavul Haria</w:t>
      </w:r>
      <w:r>
        <w:t>, ‘Coronavirus — a guide to electronic signatures during the COVID</w:t>
      </w:r>
      <w:r>
        <w:noBreakHyphen/>
        <w:t xml:space="preserve">19 UK lockdown’, May 2020, </w:t>
      </w:r>
      <w:hyperlink r:id="rId3" w:history="1">
        <w:r w:rsidRPr="0049385F">
          <w:rPr>
            <w:rStyle w:val="Hyperlink"/>
          </w:rPr>
          <w:t>https://www.fieldfisher.com/en/insights/a</w:t>
        </w:r>
        <w:r>
          <w:rPr>
            <w:rStyle w:val="Hyperlink"/>
          </w:rPr>
          <w:noBreakHyphen/>
        </w:r>
        <w:r w:rsidRPr="0049385F">
          <w:rPr>
            <w:rStyle w:val="Hyperlink"/>
          </w:rPr>
          <w:t>guide</w:t>
        </w:r>
        <w:r>
          <w:rPr>
            <w:rStyle w:val="Hyperlink"/>
          </w:rPr>
          <w:noBreakHyphen/>
        </w:r>
        <w:r w:rsidRPr="0049385F">
          <w:rPr>
            <w:rStyle w:val="Hyperlink"/>
          </w:rPr>
          <w:t>to</w:t>
        </w:r>
        <w:r>
          <w:rPr>
            <w:rStyle w:val="Hyperlink"/>
          </w:rPr>
          <w:noBreakHyphen/>
        </w:r>
        <w:r w:rsidRPr="0049385F">
          <w:rPr>
            <w:rStyle w:val="Hyperlink"/>
          </w:rPr>
          <w:t>electronic</w:t>
        </w:r>
        <w:r>
          <w:rPr>
            <w:rStyle w:val="Hyperlink"/>
          </w:rPr>
          <w:noBreakHyphen/>
        </w:r>
        <w:r w:rsidRPr="0049385F">
          <w:rPr>
            <w:rStyle w:val="Hyperlink"/>
          </w:rPr>
          <w:t>signatures</w:t>
        </w:r>
        <w:r>
          <w:rPr>
            <w:rStyle w:val="Hyperlink"/>
          </w:rPr>
          <w:noBreakHyphen/>
        </w:r>
        <w:r w:rsidRPr="0049385F">
          <w:rPr>
            <w:rStyle w:val="Hyperlink"/>
          </w:rPr>
          <w:t>during</w:t>
        </w:r>
        <w:r>
          <w:rPr>
            <w:rStyle w:val="Hyperlink"/>
          </w:rPr>
          <w:noBreakHyphen/>
        </w:r>
        <w:r w:rsidRPr="0049385F">
          <w:rPr>
            <w:rStyle w:val="Hyperlink"/>
          </w:rPr>
          <w:t>coronavirus</w:t>
        </w:r>
      </w:hyperlink>
      <w:r>
        <w:t xml:space="preserve">, (accessed 27/10/2020) </w:t>
      </w:r>
    </w:p>
  </w:footnote>
  <w:footnote w:id="14">
    <w:p w:rsidR="009B042D" w:rsidRDefault="009B042D" w:rsidP="00DA176D">
      <w:pPr>
        <w:pStyle w:val="FootnoteText"/>
      </w:pPr>
      <w:r w:rsidRPr="00DA176D">
        <w:rPr>
          <w:rStyle w:val="FootnoteReference"/>
          <w:vertAlign w:val="baseline"/>
        </w:rPr>
        <w:footnoteRef/>
      </w:r>
      <w:r>
        <w:t xml:space="preserve"> </w:t>
      </w:r>
      <w:r w:rsidR="00200CB2">
        <w:tab/>
      </w:r>
      <w:r>
        <w:t>U.S. Securities and Exchange Commission, ‘</w:t>
      </w:r>
      <w:r w:rsidRPr="0053271D">
        <w:t>SEC Provides Additional Temporary Regulatory Relief and Assistance to Market Participants Affected by COVID</w:t>
      </w:r>
      <w:r>
        <w:noBreakHyphen/>
      </w:r>
      <w:r w:rsidRPr="0053271D">
        <w:t>19</w:t>
      </w:r>
      <w:r>
        <w:t xml:space="preserve">’, March 2020, </w:t>
      </w:r>
      <w:r w:rsidRPr="0053271D">
        <w:t>https://www.sec.gov/news/press</w:t>
      </w:r>
      <w:r>
        <w:noBreakHyphen/>
      </w:r>
      <w:r w:rsidRPr="0053271D">
        <w:t>release/2020</w:t>
      </w:r>
      <w:r>
        <w:noBreakHyphen/>
      </w:r>
      <w:r w:rsidRPr="0053271D">
        <w:t>74</w:t>
      </w:r>
      <w:r>
        <w:t>. (accessed 27/10/2020)</w:t>
      </w:r>
    </w:p>
  </w:footnote>
  <w:footnote w:id="15">
    <w:p w:rsidR="009B042D" w:rsidRPr="004E2EAB" w:rsidRDefault="009B042D" w:rsidP="00DA176D">
      <w:pPr>
        <w:pStyle w:val="FootnoteText"/>
      </w:pPr>
      <w:r w:rsidRPr="00DA176D">
        <w:rPr>
          <w:rStyle w:val="FootnoteReference"/>
          <w:vertAlign w:val="baseline"/>
        </w:rPr>
        <w:footnoteRef/>
      </w:r>
      <w:r>
        <w:t xml:space="preserve"> </w:t>
      </w:r>
      <w:r w:rsidR="00200CB2">
        <w:tab/>
      </w:r>
      <w:r>
        <w:t>Andrew Liptak, ‘</w:t>
      </w:r>
      <w:r w:rsidRPr="00D561C4">
        <w:t>The European Union is updating its electronic signature laws</w:t>
      </w:r>
      <w:r>
        <w:t xml:space="preserve">’, June 2016, </w:t>
      </w:r>
      <w:r w:rsidRPr="00D561C4">
        <w:rPr>
          <w:i/>
        </w:rPr>
        <w:t>https://www.theverge.com/2016/6/30/12066886/eu</w:t>
      </w:r>
      <w:r>
        <w:rPr>
          <w:i/>
        </w:rPr>
        <w:noBreakHyphen/>
      </w:r>
      <w:r w:rsidRPr="00D561C4">
        <w:rPr>
          <w:i/>
        </w:rPr>
        <w:t>european</w:t>
      </w:r>
      <w:r>
        <w:rPr>
          <w:i/>
        </w:rPr>
        <w:noBreakHyphen/>
      </w:r>
      <w:r w:rsidRPr="00D561C4">
        <w:rPr>
          <w:i/>
        </w:rPr>
        <w:t>union</w:t>
      </w:r>
      <w:r>
        <w:rPr>
          <w:i/>
        </w:rPr>
        <w:noBreakHyphen/>
      </w:r>
      <w:r w:rsidRPr="00D561C4">
        <w:rPr>
          <w:i/>
        </w:rPr>
        <w:t>electronic</w:t>
      </w:r>
      <w:r>
        <w:rPr>
          <w:i/>
        </w:rPr>
        <w:noBreakHyphen/>
      </w:r>
      <w:r w:rsidRPr="00D561C4">
        <w:rPr>
          <w:i/>
        </w:rPr>
        <w:t>signature</w:t>
      </w:r>
      <w:r>
        <w:rPr>
          <w:i/>
        </w:rPr>
        <w:noBreakHyphen/>
      </w:r>
      <w:r w:rsidRPr="00D561C4">
        <w:rPr>
          <w:i/>
        </w:rPr>
        <w:t>laws</w:t>
      </w:r>
      <w:r>
        <w:rPr>
          <w:i/>
        </w:rPr>
        <w:noBreakHyphen/>
      </w:r>
      <w:r w:rsidRPr="00D561C4">
        <w:rPr>
          <w:i/>
        </w:rPr>
        <w:t>eidas</w:t>
      </w:r>
      <w:r>
        <w:t>, (accessed 27 October 2020)</w:t>
      </w:r>
    </w:p>
  </w:footnote>
  <w:footnote w:id="16">
    <w:p w:rsidR="009B042D" w:rsidRDefault="009B042D" w:rsidP="00DA176D">
      <w:pPr>
        <w:pStyle w:val="FootnoteText"/>
      </w:pPr>
      <w:r w:rsidRPr="00DA176D">
        <w:rPr>
          <w:rStyle w:val="FootnoteReference"/>
          <w:vertAlign w:val="baseline"/>
        </w:rPr>
        <w:footnoteRef/>
      </w:r>
      <w:r>
        <w:t xml:space="preserve"> </w:t>
      </w:r>
      <w:r w:rsidR="00200CB2">
        <w:tab/>
      </w:r>
      <w:r w:rsidRPr="00FE4FE4">
        <w:t>Duncan Cotterill</w:t>
      </w:r>
      <w:r>
        <w:t>, ‘</w:t>
      </w:r>
      <w:r w:rsidRPr="00ED6760">
        <w:rPr>
          <w:bCs/>
        </w:rPr>
        <w:t>Electronic signatures</w:t>
      </w:r>
      <w:r>
        <w:rPr>
          <w:bCs/>
        </w:rPr>
        <w:t xml:space="preserve"> — </w:t>
      </w:r>
      <w:r w:rsidRPr="00ED6760">
        <w:rPr>
          <w:bCs/>
        </w:rPr>
        <w:t>when can I use them and when can</w:t>
      </w:r>
      <w:r>
        <w:rPr>
          <w:bCs/>
        </w:rPr>
        <w:t>’</w:t>
      </w:r>
      <w:r w:rsidRPr="00ED6760">
        <w:rPr>
          <w:bCs/>
        </w:rPr>
        <w:t>t I?</w:t>
      </w:r>
      <w:r>
        <w:rPr>
          <w:bCs/>
        </w:rPr>
        <w:t xml:space="preserve">’, March 2020, </w:t>
      </w:r>
      <w:hyperlink r:id="rId4" w:history="1">
        <w:r w:rsidRPr="0049385F">
          <w:rPr>
            <w:rStyle w:val="Hyperlink"/>
            <w:bCs/>
          </w:rPr>
          <w:t>https://duncancotterill.com/publications/electronic</w:t>
        </w:r>
        <w:r>
          <w:rPr>
            <w:rStyle w:val="Hyperlink"/>
            <w:bCs/>
          </w:rPr>
          <w:noBreakHyphen/>
        </w:r>
        <w:r w:rsidRPr="0049385F">
          <w:rPr>
            <w:rStyle w:val="Hyperlink"/>
            <w:bCs/>
          </w:rPr>
          <w:t>signatures</w:t>
        </w:r>
        <w:r>
          <w:rPr>
            <w:rStyle w:val="Hyperlink"/>
            <w:bCs/>
          </w:rPr>
          <w:noBreakHyphen/>
        </w:r>
        <w:r w:rsidRPr="0049385F">
          <w:rPr>
            <w:rStyle w:val="Hyperlink"/>
            <w:bCs/>
          </w:rPr>
          <w:t>when</w:t>
        </w:r>
        <w:r>
          <w:rPr>
            <w:rStyle w:val="Hyperlink"/>
            <w:bCs/>
          </w:rPr>
          <w:noBreakHyphen/>
        </w:r>
        <w:r w:rsidRPr="0049385F">
          <w:rPr>
            <w:rStyle w:val="Hyperlink"/>
            <w:bCs/>
          </w:rPr>
          <w:t>can</w:t>
        </w:r>
        <w:r>
          <w:rPr>
            <w:rStyle w:val="Hyperlink"/>
            <w:bCs/>
          </w:rPr>
          <w:noBreakHyphen/>
        </w:r>
        <w:r w:rsidRPr="0049385F">
          <w:rPr>
            <w:rStyle w:val="Hyperlink"/>
            <w:bCs/>
          </w:rPr>
          <w:t>i</w:t>
        </w:r>
        <w:r>
          <w:rPr>
            <w:rStyle w:val="Hyperlink"/>
            <w:bCs/>
          </w:rPr>
          <w:noBreakHyphen/>
        </w:r>
        <w:r w:rsidRPr="0049385F">
          <w:rPr>
            <w:rStyle w:val="Hyperlink"/>
            <w:bCs/>
          </w:rPr>
          <w:t>use</w:t>
        </w:r>
        <w:r>
          <w:rPr>
            <w:rStyle w:val="Hyperlink"/>
            <w:bCs/>
          </w:rPr>
          <w:noBreakHyphen/>
        </w:r>
        <w:r w:rsidRPr="0049385F">
          <w:rPr>
            <w:rStyle w:val="Hyperlink"/>
            <w:bCs/>
          </w:rPr>
          <w:t>them</w:t>
        </w:r>
        <w:r>
          <w:rPr>
            <w:rStyle w:val="Hyperlink"/>
            <w:bCs/>
          </w:rPr>
          <w:noBreakHyphen/>
        </w:r>
        <w:r w:rsidRPr="0049385F">
          <w:rPr>
            <w:rStyle w:val="Hyperlink"/>
            <w:bCs/>
          </w:rPr>
          <w:t>and</w:t>
        </w:r>
        <w:r>
          <w:rPr>
            <w:rStyle w:val="Hyperlink"/>
            <w:bCs/>
          </w:rPr>
          <w:noBreakHyphen/>
        </w:r>
        <w:r w:rsidRPr="0049385F">
          <w:rPr>
            <w:rStyle w:val="Hyperlink"/>
            <w:bCs/>
          </w:rPr>
          <w:t>when</w:t>
        </w:r>
        <w:r>
          <w:rPr>
            <w:rStyle w:val="Hyperlink"/>
            <w:bCs/>
          </w:rPr>
          <w:noBreakHyphen/>
        </w:r>
        <w:r w:rsidRPr="0049385F">
          <w:rPr>
            <w:rStyle w:val="Hyperlink"/>
            <w:bCs/>
          </w:rPr>
          <w:t>cant</w:t>
        </w:r>
        <w:r>
          <w:rPr>
            <w:rStyle w:val="Hyperlink"/>
            <w:bCs/>
          </w:rPr>
          <w:noBreakHyphen/>
        </w:r>
        <w:r w:rsidRPr="0049385F">
          <w:rPr>
            <w:rStyle w:val="Hyperlink"/>
            <w:bCs/>
          </w:rPr>
          <w:t>i</w:t>
        </w:r>
      </w:hyperlink>
      <w:r>
        <w:rPr>
          <w:bCs/>
        </w:rPr>
        <w:t>, (accessed 27 October 2020)</w:t>
      </w:r>
    </w:p>
  </w:footnote>
  <w:footnote w:id="17">
    <w:p w:rsidR="009B042D" w:rsidRDefault="009B042D" w:rsidP="00DA176D">
      <w:pPr>
        <w:pStyle w:val="FootnoteText"/>
      </w:pPr>
      <w:r w:rsidRPr="00DA176D">
        <w:rPr>
          <w:rStyle w:val="FootnoteReference"/>
          <w:vertAlign w:val="baseline"/>
        </w:rPr>
        <w:footnoteRef/>
      </w:r>
      <w:r>
        <w:t xml:space="preserve"> </w:t>
      </w:r>
      <w:r w:rsidR="00200CB2">
        <w:tab/>
      </w:r>
      <w:r>
        <w:t>Pippa Whitmore, ‘</w:t>
      </w:r>
      <w:r w:rsidRPr="000A7086">
        <w:t>E</w:t>
      </w:r>
      <w:r>
        <w:noBreakHyphen/>
      </w:r>
      <w:r w:rsidRPr="000A7086">
        <w:t>signatures in England and Wales</w:t>
      </w:r>
      <w:r>
        <w:t xml:space="preserve">’, July 2020, </w:t>
      </w:r>
      <w:r w:rsidRPr="000A7086">
        <w:t>https://www.pinsentmasons.com/out</w:t>
      </w:r>
      <w:r>
        <w:noBreakHyphen/>
      </w:r>
      <w:r w:rsidRPr="000A7086">
        <w:t>law/guides/e</w:t>
      </w:r>
      <w:r>
        <w:noBreakHyphen/>
      </w:r>
      <w:r w:rsidRPr="000A7086">
        <w:t>signatures</w:t>
      </w:r>
      <w:r>
        <w:noBreakHyphen/>
      </w:r>
      <w:r w:rsidRPr="000A7086">
        <w:t>england</w:t>
      </w:r>
      <w:r>
        <w:noBreakHyphen/>
      </w:r>
      <w:r w:rsidRPr="000A7086">
        <w:t>wales</w:t>
      </w:r>
      <w:r>
        <w:t xml:space="preserve"> , (accessed 27/12/2020)</w:t>
      </w:r>
    </w:p>
  </w:footnote>
  <w:footnote w:id="18">
    <w:p w:rsidR="009B042D" w:rsidRDefault="009B042D" w:rsidP="00DA176D">
      <w:pPr>
        <w:pStyle w:val="FootnoteText"/>
      </w:pPr>
      <w:r w:rsidRPr="00DA176D">
        <w:rPr>
          <w:rStyle w:val="FootnoteReference"/>
          <w:vertAlign w:val="baseline"/>
        </w:rPr>
        <w:footnoteRef/>
      </w:r>
      <w:r>
        <w:t xml:space="preserve"> </w:t>
      </w:r>
      <w:r w:rsidR="00200CB2">
        <w:tab/>
      </w:r>
      <w:r>
        <w:t>The Uniform Electronic Transactions Act 1999</w:t>
      </w:r>
    </w:p>
  </w:footnote>
  <w:footnote w:id="19">
    <w:p w:rsidR="009B042D" w:rsidRDefault="009B042D" w:rsidP="00DA176D">
      <w:pPr>
        <w:pStyle w:val="FootnoteText"/>
      </w:pPr>
      <w:r w:rsidRPr="00DA176D">
        <w:rPr>
          <w:rStyle w:val="FootnoteReference"/>
          <w:vertAlign w:val="baseline"/>
        </w:rPr>
        <w:footnoteRef/>
      </w:r>
      <w:r>
        <w:t xml:space="preserve"> </w:t>
      </w:r>
      <w:r w:rsidR="00200CB2">
        <w:tab/>
      </w:r>
      <w:r w:rsidRPr="00810B66">
        <w:t xml:space="preserve">Companies Act </w:t>
      </w:r>
      <w:r>
        <w:t>2006 s1135</w:t>
      </w:r>
    </w:p>
  </w:footnote>
  <w:footnote w:id="20">
    <w:p w:rsidR="009B042D" w:rsidRDefault="009B042D" w:rsidP="00DA176D">
      <w:pPr>
        <w:pStyle w:val="FootnoteText"/>
      </w:pPr>
      <w:r w:rsidRPr="00DA176D">
        <w:rPr>
          <w:rStyle w:val="FootnoteReference"/>
          <w:vertAlign w:val="baseline"/>
        </w:rPr>
        <w:footnoteRef/>
      </w:r>
      <w:r>
        <w:t xml:space="preserve"> </w:t>
      </w:r>
      <w:r w:rsidR="00200CB2">
        <w:tab/>
      </w:r>
      <w:r w:rsidRPr="0053271D">
        <w:t>The Uniform Electronic Transactions Act 1999</w:t>
      </w:r>
      <w:r>
        <w:t xml:space="preserve"> </w:t>
      </w:r>
    </w:p>
  </w:footnote>
  <w:footnote w:id="21">
    <w:p w:rsidR="009B042D" w:rsidRDefault="009B042D" w:rsidP="00DA176D">
      <w:pPr>
        <w:pStyle w:val="FootnoteText"/>
      </w:pPr>
      <w:r w:rsidRPr="00DA176D">
        <w:rPr>
          <w:rStyle w:val="FootnoteReference"/>
          <w:vertAlign w:val="baseline"/>
        </w:rPr>
        <w:footnoteRef/>
      </w:r>
      <w:r>
        <w:t xml:space="preserve"> </w:t>
      </w:r>
      <w:r w:rsidR="00200CB2">
        <w:tab/>
      </w:r>
      <w:r w:rsidRPr="00C93284">
        <w:t>Contract and Commercial Law Act 2017</w:t>
      </w:r>
      <w:r>
        <w:t xml:space="preserve"> s223</w:t>
      </w:r>
    </w:p>
  </w:footnote>
  <w:footnote w:id="22">
    <w:p w:rsidR="009B042D" w:rsidRDefault="009B042D" w:rsidP="00DA176D">
      <w:pPr>
        <w:pStyle w:val="FootnoteText"/>
      </w:pPr>
      <w:r w:rsidRPr="00DA176D">
        <w:rPr>
          <w:rStyle w:val="FootnoteReference"/>
          <w:vertAlign w:val="baseline"/>
        </w:rPr>
        <w:footnoteRef/>
      </w:r>
      <w:r>
        <w:t xml:space="preserve"> </w:t>
      </w:r>
      <w:r w:rsidR="00200CB2">
        <w:tab/>
      </w:r>
      <w:r w:rsidRPr="00293BD1">
        <w:t>J. Benjamin Lambert</w:t>
      </w:r>
      <w:r>
        <w:t xml:space="preserve">, ‘The U.N. convention on electronic contracting: back from the dead?’, 2017, </w:t>
      </w:r>
      <w:hyperlink r:id="rId5" w:history="1">
        <w:r w:rsidRPr="00293BD1">
          <w:rPr>
            <w:rStyle w:val="Hyperlink"/>
            <w:i/>
          </w:rPr>
          <w:t>https://digitalcommons.law.msu.edu/cgi/viewcontent.cgi?article=1214&amp;context=ilr</w:t>
        </w:r>
      </w:hyperlink>
      <w:r>
        <w:rPr>
          <w:i/>
        </w:rPr>
        <w:t>,</w:t>
      </w:r>
      <w:r w:rsidRPr="00293BD1">
        <w:t xml:space="preserve"> Michigan State International Law 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Default="009B04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Default="009B042D">
    <w:pPr>
      <w:pStyle w:val="Header"/>
    </w:pPr>
    <w:r>
      <w:rPr>
        <w:noProof/>
      </w:rPr>
      <w:drawing>
        <wp:anchor distT="0" distB="0" distL="114300" distR="114300" simplePos="0" relativeHeight="251658240" behindDoc="1" locked="0" layoutInCell="1" allowOverlap="1" wp14:anchorId="6F5B672D" wp14:editId="20920A02">
          <wp:simplePos x="0" y="0"/>
          <wp:positionH relativeFrom="page">
            <wp:align>center</wp:align>
          </wp:positionH>
          <wp:positionV relativeFrom="page">
            <wp:posOffset>180340</wp:posOffset>
          </wp:positionV>
          <wp:extent cx="7200000" cy="10184400"/>
          <wp:effectExtent l="0" t="0" r="127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Default="009B04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Pr="001F3912" w:rsidRDefault="009B042D" w:rsidP="0017089D">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Pr="001F3912" w:rsidRDefault="009B042D" w:rsidP="0017089D">
    <w:r>
      <w:rPr>
        <w:noProof/>
      </w:rPr>
      <mc:AlternateContent>
        <mc:Choice Requires="wps">
          <w:drawing>
            <wp:anchor distT="0" distB="0" distL="114300" distR="114300" simplePos="0" relativeHeight="251658243" behindDoc="0" locked="1" layoutInCell="0" allowOverlap="1" wp14:anchorId="534137D2" wp14:editId="66F7A57B">
              <wp:simplePos x="0" y="0"/>
              <wp:positionH relativeFrom="margin">
                <wp:align>center</wp:align>
              </wp:positionH>
              <wp:positionV relativeFrom="topMargin">
                <wp:posOffset>101600</wp:posOffset>
              </wp:positionV>
              <wp:extent cx="892175" cy="425450"/>
              <wp:effectExtent l="0" t="0" r="0" b="0"/>
              <wp:wrapNone/>
              <wp:docPr id="6" name="janusSEAL SC Header_S_2"/>
              <wp:cNvGraphicFramePr/>
              <a:graphic xmlns:a="http://schemas.openxmlformats.org/drawingml/2006/main">
                <a:graphicData uri="http://schemas.microsoft.com/office/word/2010/wordprocessingShape">
                  <wps:wsp>
                    <wps:cNvSpPr txBox="1"/>
                    <wps:spPr>
                      <a:xfrm>
                        <a:off x="0" y="0"/>
                        <a:ext cx="892175" cy="4254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B042D" w:rsidRPr="005B09A4" w:rsidRDefault="009B042D" w:rsidP="005B09A4">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34137D2" id="_x0000_t202" coordsize="21600,21600" o:spt="202" path="m,l,21600r21600,l21600,xe">
              <v:stroke joinstyle="miter"/>
              <v:path gradientshapeok="t" o:connecttype="rect"/>
            </v:shapetype>
            <v:shape id="janusSEAL SC Header_S_2" o:spid="_x0000_s1026" type="#_x0000_t202" style="position:absolute;margin-left:0;margin-top:8pt;width:70.25pt;height:33.5pt;z-index:251658243;visibility:visible;mso-wrap-style:none;mso-wrap-distance-left:9pt;mso-wrap-distance-top:0;mso-wrap-distance-right:9pt;mso-wrap-distance-bottom:0;mso-position-horizontal:center;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GgpwIAAFIFAAAOAAAAZHJzL2Uyb0RvYy54bWysVEtv2zAMvg/YfxB0T/2Y87BRp0jTZRsQ&#10;tAXSocdCkeXamywJkhI7HfbfR8lxm3Y7DMMuEkVSFPl9pM4vuoajPdOmliLH0VmIERNUFrV4zPHX&#10;u9VohpGxRBSES8FyfGAGX8zfvztvVcZiWUleMI0giDBZq3JcWauyIDC0Yg0xZ1IxAcZS6oZYOOrH&#10;oNCkhegND+IwnASt1IXSkjJjQHvVG/Hcxy9LRu1NWRpmEc8x5Gb9qv26dWswPyfZoyaqqukxDfIP&#10;WTSkFvDoc6grYgna6fq3UE1NtTSytGdUNoEsy5oyXwNUE4VvqtlURDFfC4Bj1DNM5v+Fpdf7W43q&#10;IscTjARpgKJvROzM5uNijTZL9JkRIOhh8xA7qFplMrixUXDHdpeyA8oHvQGlQ6ArdeN2qA2BHUA/&#10;PAPNOosoKGdpHE3HGFEwJfE4GXsigpfLShv7ickGOSHHGnj08JL92lhIBFwHF/eWkKuac88lF6iF&#10;Yj5AyFcWuMGF00AOEOMo9Rz9SKM4CS/jdLSazKajZJWMR+k0nI3CKL1MJ2GSJlerny5elGRVXRRM&#10;rGvBhn6Jkr/j49i5PdO+Y16laiSvC1eHy81Vt+Qa7Qk07pYT+t3hDEWceAWv0/FmqG7YfZWBo6yn&#10;xkm223ae7WSgbSuLA7CpJcAMXBlFVzW8vSbG3hINswBKmG97A0vJJWArjxJGldRPf9I7f4AErBi1&#10;MFs5FjD8GPEvAlo3jZLEjaI/JONpDAd9atmeWsSuWUrAIPK5edH5Wz6IpZbNPXwCC/cmmIig8HKO&#10;7SAubT/v8IlQtlh4Jxg+RexabBR1oQfE77p7otWx6SxgeS2HGSTZm97rfd1NoxY7Cx3oG9Oh3GMK&#10;PLgDDK5n5PjJuJ/h9Oy9Xr7C+S8AAAD//wMAUEsDBBQABgAIAAAAIQDbEGXt2wAAAAYBAAAPAAAA&#10;ZHJzL2Rvd25yZXYueG1sTI9BT8MwDIXvSPyHyEjcWAKDaSpNJzSJXRAHBoKr23ht1capmqwr/Hq8&#10;E5ys52e99znfzL5XE42xDWzhdmFAEVfBtVxb+Hh/vlmDignZYR+YLHxThE1xeZFj5sKJ32jap1pJ&#10;CMcMLTQpDZnWsWrIY1yEgVi8Qxg9JpFjrd2IJwn3vb4zZqU9tiwNDQ60bajq9kdv4RU/d2mau2rX&#10;DQf35Ydyu/x5sfb6an56BJVoTn/HcMYXdCiEqQxHdlH1FuSRJNuVzLN7bx5AlRbWSwO6yPV//OIX&#10;AAD//wMAUEsBAi0AFAAGAAgAAAAhALaDOJL+AAAA4QEAABMAAAAAAAAAAAAAAAAAAAAAAFtDb250&#10;ZW50X1R5cGVzXS54bWxQSwECLQAUAAYACAAAACEAOP0h/9YAAACUAQAACwAAAAAAAAAAAAAAAAAv&#10;AQAAX3JlbHMvLnJlbHNQSwECLQAUAAYACAAAACEAMdLxoKcCAABSBQAADgAAAAAAAAAAAAAAAAAu&#10;AgAAZHJzL2Uyb0RvYy54bWxQSwECLQAUAAYACAAAACEA2xBl7dsAAAAGAQAADwAAAAAAAAAAAAAA&#10;AAABBQAAZHJzL2Rvd25yZXYueG1sUEsFBgAAAAAEAAQA8wAAAAkGAAAAAA==&#10;" o:allowincell="f" filled="f" stroked="f" strokeweight=".5pt">
              <v:textbox style="mso-fit-shape-to-text:t">
                <w:txbxContent>
                  <w:p w:rsidR="009B042D" w:rsidRPr="005B09A4" w:rsidRDefault="009B042D" w:rsidP="005B09A4">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Pr="001F3912" w:rsidRDefault="009B042D" w:rsidP="0017089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Pr="001F3912" w:rsidRDefault="0086782E" w:rsidP="001606CF">
    <w:pPr>
      <w:pStyle w:val="Header"/>
    </w:pPr>
    <w:fldSimple w:instr=" STYLEREF  Title  \* MERGEFORMAT ">
      <w:r w:rsidR="00164DE7">
        <w:rPr>
          <w:noProof/>
        </w:rPr>
        <w:t>Modernising Business Communications</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42D" w:rsidRDefault="009B0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68E813CC"/>
    <w:lvl w:ilvl="0">
      <w:start w:val="1"/>
      <w:numFmt w:val="decimal"/>
      <w:pStyle w:val="ListNumber2"/>
      <w:lvlText w:val="%1."/>
      <w:lvlJc w:val="left"/>
      <w:pPr>
        <w:tabs>
          <w:tab w:val="num" w:pos="643"/>
        </w:tabs>
        <w:ind w:left="643" w:hanging="360"/>
      </w:pPr>
    </w:lvl>
  </w:abstractNum>
  <w:abstractNum w:abstractNumId="1" w15:restartNumberingAfterBreak="0">
    <w:nsid w:val="015C59D3"/>
    <w:multiLevelType w:val="multilevel"/>
    <w:tmpl w:val="FAC641FE"/>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2D78A5"/>
    <w:multiLevelType w:val="hybridMultilevel"/>
    <w:tmpl w:val="FEE2F2CC"/>
    <w:lvl w:ilvl="0" w:tplc="966AFAFC">
      <w:start w:val="3"/>
      <w:numFmt w:val="decimal"/>
      <w:lvlText w:val="6.%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0A29A7"/>
    <w:multiLevelType w:val="hybridMultilevel"/>
    <w:tmpl w:val="0280244E"/>
    <w:lvl w:ilvl="0" w:tplc="4ACE3C4E">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5792D45"/>
    <w:multiLevelType w:val="hybridMultilevel"/>
    <w:tmpl w:val="BAAC03C6"/>
    <w:lvl w:ilvl="0" w:tplc="9B745060">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5997BE9"/>
    <w:multiLevelType w:val="multilevel"/>
    <w:tmpl w:val="E19A75B8"/>
    <w:lvl w:ilvl="0">
      <w:start w:val="1"/>
      <w:numFmt w:val="decimal"/>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lvlText w:val="5.%3"/>
      <w:lvlJc w:val="left"/>
      <w:pPr>
        <w:ind w:left="720" w:hanging="720"/>
      </w:pPr>
      <w:rPr>
        <w:rFonts w:hint="default"/>
      </w:rPr>
    </w:lvl>
    <w:lvl w:ilvl="3">
      <w:start w:val="1"/>
      <w:numFmt w:val="decimal"/>
      <w:lvlText w:val="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6DB2389"/>
    <w:multiLevelType w:val="hybridMultilevel"/>
    <w:tmpl w:val="835E1268"/>
    <w:lvl w:ilvl="0" w:tplc="BDA4CF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D93871"/>
    <w:multiLevelType w:val="hybridMultilevel"/>
    <w:tmpl w:val="1794E9A2"/>
    <w:lvl w:ilvl="0" w:tplc="FA44A34C">
      <w:start w:val="6"/>
      <w:numFmt w:val="decimal"/>
      <w:lvlText w:val="4.%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09704DB0"/>
    <w:multiLevelType w:val="hybridMultilevel"/>
    <w:tmpl w:val="C5644974"/>
    <w:lvl w:ilvl="0" w:tplc="966AFAFC">
      <w:start w:val="3"/>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CD1EF5"/>
    <w:multiLevelType w:val="hybridMultilevel"/>
    <w:tmpl w:val="B156BE42"/>
    <w:lvl w:ilvl="0" w:tplc="FA44A34C">
      <w:start w:val="6"/>
      <w:numFmt w:val="decimal"/>
      <w:lvlText w:val="4.%1"/>
      <w:lvlJc w:val="left"/>
      <w:pPr>
        <w:ind w:left="1008" w:hanging="360"/>
      </w:pPr>
      <w:rPr>
        <w:rFonts w:hint="default"/>
      </w:rPr>
    </w:lvl>
    <w:lvl w:ilvl="1" w:tplc="0C090019" w:tentative="1">
      <w:start w:val="1"/>
      <w:numFmt w:val="lowerLetter"/>
      <w:lvlText w:val="%2."/>
      <w:lvlJc w:val="left"/>
      <w:pPr>
        <w:ind w:left="1728" w:hanging="360"/>
      </w:pPr>
    </w:lvl>
    <w:lvl w:ilvl="2" w:tplc="0C09001B" w:tentative="1">
      <w:start w:val="1"/>
      <w:numFmt w:val="lowerRoman"/>
      <w:lvlText w:val="%3."/>
      <w:lvlJc w:val="right"/>
      <w:pPr>
        <w:ind w:left="2448" w:hanging="180"/>
      </w:pPr>
    </w:lvl>
    <w:lvl w:ilvl="3" w:tplc="0C09000F" w:tentative="1">
      <w:start w:val="1"/>
      <w:numFmt w:val="decimal"/>
      <w:lvlText w:val="%4."/>
      <w:lvlJc w:val="left"/>
      <w:pPr>
        <w:ind w:left="3168" w:hanging="360"/>
      </w:pPr>
    </w:lvl>
    <w:lvl w:ilvl="4" w:tplc="0C090019" w:tentative="1">
      <w:start w:val="1"/>
      <w:numFmt w:val="lowerLetter"/>
      <w:lvlText w:val="%5."/>
      <w:lvlJc w:val="left"/>
      <w:pPr>
        <w:ind w:left="3888" w:hanging="360"/>
      </w:pPr>
    </w:lvl>
    <w:lvl w:ilvl="5" w:tplc="0C09001B" w:tentative="1">
      <w:start w:val="1"/>
      <w:numFmt w:val="lowerRoman"/>
      <w:lvlText w:val="%6."/>
      <w:lvlJc w:val="right"/>
      <w:pPr>
        <w:ind w:left="4608" w:hanging="180"/>
      </w:pPr>
    </w:lvl>
    <w:lvl w:ilvl="6" w:tplc="0C09000F" w:tentative="1">
      <w:start w:val="1"/>
      <w:numFmt w:val="decimal"/>
      <w:lvlText w:val="%7."/>
      <w:lvlJc w:val="left"/>
      <w:pPr>
        <w:ind w:left="5328" w:hanging="360"/>
      </w:pPr>
    </w:lvl>
    <w:lvl w:ilvl="7" w:tplc="0C090019" w:tentative="1">
      <w:start w:val="1"/>
      <w:numFmt w:val="lowerLetter"/>
      <w:lvlText w:val="%8."/>
      <w:lvlJc w:val="left"/>
      <w:pPr>
        <w:ind w:left="6048" w:hanging="360"/>
      </w:pPr>
    </w:lvl>
    <w:lvl w:ilvl="8" w:tplc="0C09001B" w:tentative="1">
      <w:start w:val="1"/>
      <w:numFmt w:val="lowerRoman"/>
      <w:lvlText w:val="%9."/>
      <w:lvlJc w:val="right"/>
      <w:pPr>
        <w:ind w:left="6768" w:hanging="180"/>
      </w:pPr>
    </w:lvl>
  </w:abstractNum>
  <w:abstractNum w:abstractNumId="11" w15:restartNumberingAfterBreak="0">
    <w:nsid w:val="0BC24519"/>
    <w:multiLevelType w:val="hybridMultilevel"/>
    <w:tmpl w:val="763C4928"/>
    <w:lvl w:ilvl="0" w:tplc="A52AEF2C">
      <w:start w:val="3"/>
      <w:numFmt w:val="decimal"/>
      <w:lvlText w:val="5.%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EF213E1"/>
    <w:multiLevelType w:val="hybridMultilevel"/>
    <w:tmpl w:val="C98CB9AA"/>
    <w:lvl w:ilvl="0" w:tplc="5F5E1390">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F2A6634"/>
    <w:multiLevelType w:val="hybridMultilevel"/>
    <w:tmpl w:val="4790DE48"/>
    <w:lvl w:ilvl="0" w:tplc="EE5000BC">
      <w:start w:val="1"/>
      <w:numFmt w:val="decimal"/>
      <w:lvlText w:val="2.%1"/>
      <w:lvlJc w:val="left"/>
      <w:pPr>
        <w:ind w:left="1008" w:hanging="360"/>
      </w:pPr>
      <w:rPr>
        <w:rFonts w:hint="default"/>
      </w:rPr>
    </w:lvl>
    <w:lvl w:ilvl="1" w:tplc="0C090019" w:tentative="1">
      <w:start w:val="1"/>
      <w:numFmt w:val="lowerLetter"/>
      <w:lvlText w:val="%2."/>
      <w:lvlJc w:val="left"/>
      <w:pPr>
        <w:ind w:left="1728" w:hanging="360"/>
      </w:pPr>
    </w:lvl>
    <w:lvl w:ilvl="2" w:tplc="0C09001B" w:tentative="1">
      <w:start w:val="1"/>
      <w:numFmt w:val="lowerRoman"/>
      <w:lvlText w:val="%3."/>
      <w:lvlJc w:val="right"/>
      <w:pPr>
        <w:ind w:left="2448" w:hanging="180"/>
      </w:pPr>
    </w:lvl>
    <w:lvl w:ilvl="3" w:tplc="0C09000F" w:tentative="1">
      <w:start w:val="1"/>
      <w:numFmt w:val="decimal"/>
      <w:lvlText w:val="%4."/>
      <w:lvlJc w:val="left"/>
      <w:pPr>
        <w:ind w:left="3168" w:hanging="360"/>
      </w:pPr>
    </w:lvl>
    <w:lvl w:ilvl="4" w:tplc="0C090019" w:tentative="1">
      <w:start w:val="1"/>
      <w:numFmt w:val="lowerLetter"/>
      <w:lvlText w:val="%5."/>
      <w:lvlJc w:val="left"/>
      <w:pPr>
        <w:ind w:left="3888" w:hanging="360"/>
      </w:pPr>
    </w:lvl>
    <w:lvl w:ilvl="5" w:tplc="0C09001B" w:tentative="1">
      <w:start w:val="1"/>
      <w:numFmt w:val="lowerRoman"/>
      <w:lvlText w:val="%6."/>
      <w:lvlJc w:val="right"/>
      <w:pPr>
        <w:ind w:left="4608" w:hanging="180"/>
      </w:pPr>
    </w:lvl>
    <w:lvl w:ilvl="6" w:tplc="0C09000F" w:tentative="1">
      <w:start w:val="1"/>
      <w:numFmt w:val="decimal"/>
      <w:lvlText w:val="%7."/>
      <w:lvlJc w:val="left"/>
      <w:pPr>
        <w:ind w:left="5328" w:hanging="360"/>
      </w:pPr>
    </w:lvl>
    <w:lvl w:ilvl="7" w:tplc="0C090019" w:tentative="1">
      <w:start w:val="1"/>
      <w:numFmt w:val="lowerLetter"/>
      <w:lvlText w:val="%8."/>
      <w:lvlJc w:val="left"/>
      <w:pPr>
        <w:ind w:left="6048" w:hanging="360"/>
      </w:pPr>
    </w:lvl>
    <w:lvl w:ilvl="8" w:tplc="0C09001B" w:tentative="1">
      <w:start w:val="1"/>
      <w:numFmt w:val="lowerRoman"/>
      <w:lvlText w:val="%9."/>
      <w:lvlJc w:val="right"/>
      <w:pPr>
        <w:ind w:left="6768" w:hanging="180"/>
      </w:pPr>
    </w:lvl>
  </w:abstractNum>
  <w:abstractNum w:abstractNumId="1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4884F4B"/>
    <w:multiLevelType w:val="hybridMultilevel"/>
    <w:tmpl w:val="09C411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7DF7717"/>
    <w:multiLevelType w:val="multilevel"/>
    <w:tmpl w:val="B91AC3AC"/>
    <w:lvl w:ilvl="0">
      <w:start w:val="1"/>
      <w:numFmt w:val="decimal"/>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023BD0"/>
    <w:multiLevelType w:val="multilevel"/>
    <w:tmpl w:val="CCC05730"/>
    <w:lvl w:ilvl="0">
      <w:start w:val="5"/>
      <w:numFmt w:val="decimal"/>
      <w:lvlText w:val="%1"/>
      <w:lvlJc w:val="left"/>
      <w:pPr>
        <w:ind w:left="360" w:hanging="360"/>
      </w:pPr>
      <w:rPr>
        <w:rFonts w:hint="default"/>
        <w:sz w:val="20"/>
      </w:rPr>
    </w:lvl>
    <w:lvl w:ilvl="1">
      <w:start w:val="4"/>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8" w15:restartNumberingAfterBreak="0">
    <w:nsid w:val="187D3477"/>
    <w:multiLevelType w:val="multilevel"/>
    <w:tmpl w:val="86BC63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2"/>
      <w:numFmt w:val="decimal"/>
      <w:lvlText w:val="6.%3"/>
      <w:lvlJc w:val="left"/>
      <w:pPr>
        <w:ind w:left="720" w:hanging="720"/>
      </w:pPr>
      <w:rPr>
        <w:rFonts w:hint="default"/>
      </w:rPr>
    </w:lvl>
    <w:lvl w:ilvl="3">
      <w:start w:val="1"/>
      <w:numFmt w:val="decimal"/>
      <w:lvlText w:val="%4.5.3"/>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AF03134"/>
    <w:multiLevelType w:val="hybridMultilevel"/>
    <w:tmpl w:val="9A0C43C2"/>
    <w:lvl w:ilvl="0" w:tplc="BF00D6A4">
      <w:start w:val="10"/>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ED04E7"/>
    <w:multiLevelType w:val="hybridMultilevel"/>
    <w:tmpl w:val="BAC47C40"/>
    <w:lvl w:ilvl="0" w:tplc="FA44A34C">
      <w:start w:val="6"/>
      <w:numFmt w:val="decimal"/>
      <w:lvlText w:val="4.%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CA64170"/>
    <w:multiLevelType w:val="multilevel"/>
    <w:tmpl w:val="7DBCFCD6"/>
    <w:lvl w:ilvl="0">
      <w:start w:val="2"/>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CF5188A"/>
    <w:multiLevelType w:val="multilevel"/>
    <w:tmpl w:val="4C2CACE6"/>
    <w:lvl w:ilvl="0">
      <w:start w:val="6"/>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EFE1D64"/>
    <w:multiLevelType w:val="hybridMultilevel"/>
    <w:tmpl w:val="CEE47876"/>
    <w:lvl w:ilvl="0" w:tplc="EAF8F16E">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F077C88"/>
    <w:multiLevelType w:val="multilevel"/>
    <w:tmpl w:val="CCEE69C6"/>
    <w:lvl w:ilvl="0">
      <w:start w:val="3"/>
      <w:numFmt w:val="decimal"/>
      <w:lvlText w:val="4.%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1F69331B"/>
    <w:multiLevelType w:val="multilevel"/>
    <w:tmpl w:val="912CA6D6"/>
    <w:lvl w:ilvl="0">
      <w:start w:val="2"/>
      <w:numFmt w:val="decimal"/>
      <w:lvlText w:val="2.%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1F7A3D9B"/>
    <w:multiLevelType w:val="multilevel"/>
    <w:tmpl w:val="D0109564"/>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07E28B3"/>
    <w:multiLevelType w:val="multilevel"/>
    <w:tmpl w:val="09905EB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0B44C13"/>
    <w:multiLevelType w:val="hybridMultilevel"/>
    <w:tmpl w:val="4A2E4CAC"/>
    <w:lvl w:ilvl="0" w:tplc="F9F00656">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41322CE"/>
    <w:multiLevelType w:val="multilevel"/>
    <w:tmpl w:val="63C61AD2"/>
    <w:lvl w:ilvl="0">
      <w:start w:val="3"/>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27F75D0D"/>
    <w:multiLevelType w:val="multilevel"/>
    <w:tmpl w:val="EB522ACC"/>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8073F4D"/>
    <w:multiLevelType w:val="hybridMultilevel"/>
    <w:tmpl w:val="BB228C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8115B6D"/>
    <w:multiLevelType w:val="hybridMultilevel"/>
    <w:tmpl w:val="5A280DD6"/>
    <w:lvl w:ilvl="0" w:tplc="5B4492CE">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2828401E"/>
    <w:multiLevelType w:val="hybridMultilevel"/>
    <w:tmpl w:val="11A082BA"/>
    <w:lvl w:ilvl="0" w:tplc="6F3E03E8">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BD01221"/>
    <w:multiLevelType w:val="hybridMultilevel"/>
    <w:tmpl w:val="74869BB2"/>
    <w:lvl w:ilvl="0" w:tplc="FA44A34C">
      <w:start w:val="6"/>
      <w:numFmt w:val="decimal"/>
      <w:lvlText w:val="4.%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2CE1709F"/>
    <w:multiLevelType w:val="hybridMultilevel"/>
    <w:tmpl w:val="903236E4"/>
    <w:lvl w:ilvl="0" w:tplc="B290C150">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30626728"/>
    <w:multiLevelType w:val="hybridMultilevel"/>
    <w:tmpl w:val="64046ADA"/>
    <w:lvl w:ilvl="0" w:tplc="EE5000BC">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08C2710"/>
    <w:multiLevelType w:val="multilevel"/>
    <w:tmpl w:val="BA282FBC"/>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8" w15:restartNumberingAfterBreak="0">
    <w:nsid w:val="312E7D96"/>
    <w:multiLevelType w:val="hybridMultilevel"/>
    <w:tmpl w:val="499C6C64"/>
    <w:lvl w:ilvl="0" w:tplc="F5BE186C">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47F2458"/>
    <w:multiLevelType w:val="multilevel"/>
    <w:tmpl w:val="8C46C6AA"/>
    <w:lvl w:ilvl="0">
      <w:start w:val="1"/>
      <w:numFmt w:val="decimal"/>
      <w:lvlText w:val="%1."/>
      <w:lvlJc w:val="left"/>
      <w:pPr>
        <w:ind w:left="360" w:hanging="360"/>
      </w:pPr>
      <w:rPr>
        <w:rFonts w:hint="default"/>
      </w:rPr>
    </w:lvl>
    <w:lvl w:ilvl="1">
      <w:start w:val="1"/>
      <w:numFmt w:val="decimal"/>
      <w:lvlText w:val="2.%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15:restartNumberingAfterBreak="0">
    <w:nsid w:val="34B83652"/>
    <w:multiLevelType w:val="multilevel"/>
    <w:tmpl w:val="3AD6B0F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5D453FB"/>
    <w:multiLevelType w:val="hybridMultilevel"/>
    <w:tmpl w:val="939C55B2"/>
    <w:lvl w:ilvl="0" w:tplc="DFF2F048">
      <w:start w:val="1"/>
      <w:numFmt w:val="decimal"/>
      <w:lvlText w:val="3.%1"/>
      <w:lvlJc w:val="left"/>
      <w:pPr>
        <w:ind w:left="360" w:hanging="360"/>
      </w:pPr>
      <w:rPr>
        <w:rFonts w:hint="default"/>
        <w:color w:val="007F8D" w:themeColor="accent5" w:themeShade="BF"/>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AFF1464"/>
    <w:multiLevelType w:val="multilevel"/>
    <w:tmpl w:val="0DFA71C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4.%3"/>
      <w:lvlJc w:val="left"/>
      <w:pPr>
        <w:ind w:left="720" w:hanging="720"/>
      </w:pPr>
      <w:rPr>
        <w:rFonts w:hint="default"/>
      </w:rPr>
    </w:lvl>
    <w:lvl w:ilvl="3">
      <w:start w:val="1"/>
      <w:numFmt w:val="decimal"/>
      <w:lvlText w:val="%4.5.3"/>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3CE30AB4"/>
    <w:multiLevelType w:val="multilevel"/>
    <w:tmpl w:val="F8962620"/>
    <w:lvl w:ilvl="0">
      <w:start w:val="1"/>
      <w:numFmt w:val="decimal"/>
      <w:lvlText w:val="%1"/>
      <w:lvlJc w:val="left"/>
      <w:pPr>
        <w:ind w:left="360" w:hanging="360"/>
      </w:pPr>
      <w:rPr>
        <w:rFonts w:hint="default"/>
      </w:rPr>
    </w:lvl>
    <w:lvl w:ilvl="1">
      <w:start w:val="5"/>
      <w:numFmt w:val="decimal"/>
      <w:lvlText w:val="%2."/>
      <w:lvlJc w:val="left"/>
      <w:pPr>
        <w:ind w:left="360" w:hanging="360"/>
      </w:pPr>
      <w:rPr>
        <w:rFonts w:hint="default"/>
      </w:rPr>
    </w:lvl>
    <w:lvl w:ilvl="2">
      <w:start w:val="5"/>
      <w:numFmt w:val="decimal"/>
      <w:lvlText w:val="4.%3"/>
      <w:lvlJc w:val="left"/>
      <w:pPr>
        <w:ind w:left="720" w:hanging="720"/>
      </w:pPr>
      <w:rPr>
        <w:rFonts w:hint="default"/>
      </w:rPr>
    </w:lvl>
    <w:lvl w:ilvl="3">
      <w:start w:val="1"/>
      <w:numFmt w:val="decimal"/>
      <w:lvlText w:val="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3D714D4B"/>
    <w:multiLevelType w:val="multilevel"/>
    <w:tmpl w:val="1B281892"/>
    <w:styleLink w:val="ChapterList"/>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3E3D6C39"/>
    <w:multiLevelType w:val="multilevel"/>
    <w:tmpl w:val="445CC9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3EE94019"/>
    <w:multiLevelType w:val="hybridMultilevel"/>
    <w:tmpl w:val="80468DBA"/>
    <w:lvl w:ilvl="0" w:tplc="CE5647D0">
      <w:start w:val="8"/>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F950960"/>
    <w:multiLevelType w:val="multilevel"/>
    <w:tmpl w:val="AD1C7528"/>
    <w:name w:val="DotPointList"/>
    <w:styleLink w:val="BulletedList"/>
    <w:lvl w:ilvl="0">
      <w:start w:val="1"/>
      <w:numFmt w:val="bullet"/>
      <w:lvlRestart w:val="0"/>
      <w:pStyle w:val="dotpoint"/>
      <w:lvlText w:val="•"/>
      <w:lvlJc w:val="left"/>
      <w:pPr>
        <w:tabs>
          <w:tab w:val="num" w:pos="568"/>
        </w:tabs>
        <w:ind w:left="568" w:hanging="284"/>
      </w:pPr>
      <w:rPr>
        <w:b w:val="0"/>
        <w:i w:val="0"/>
        <w:color w:val="000000"/>
      </w:rPr>
    </w:lvl>
    <w:lvl w:ilvl="1">
      <w:start w:val="1"/>
      <w:numFmt w:val="bullet"/>
      <w:lvlText w:val="–"/>
      <w:lvlJc w:val="left"/>
      <w:pPr>
        <w:tabs>
          <w:tab w:val="num" w:pos="851"/>
        </w:tabs>
        <w:ind w:left="851" w:hanging="283"/>
      </w:pPr>
      <w:rPr>
        <w:b w:val="0"/>
        <w:i w:val="0"/>
        <w:color w:val="000000"/>
      </w:rPr>
    </w:lvl>
    <w:lvl w:ilvl="2">
      <w:start w:val="1"/>
      <w:numFmt w:val="decimal"/>
      <w:lvlText w:val="%3"/>
      <w:lvlJc w:val="left"/>
      <w:pPr>
        <w:tabs>
          <w:tab w:val="num" w:pos="1"/>
        </w:tabs>
        <w:ind w:left="1" w:hanging="567"/>
      </w:pPr>
      <w:rPr>
        <w:b w:val="0"/>
        <w:i w:val="0"/>
        <w:color w:val="000000"/>
      </w:rPr>
    </w:lvl>
    <w:lvl w:ilvl="3">
      <w:start w:val="1"/>
      <w:numFmt w:val="decimal"/>
      <w:lvlText w:val="%4"/>
      <w:lvlJc w:val="left"/>
      <w:pPr>
        <w:tabs>
          <w:tab w:val="num" w:pos="568"/>
        </w:tabs>
        <w:ind w:left="568" w:hanging="567"/>
      </w:pPr>
      <w:rPr>
        <w:b w:val="0"/>
        <w:i w:val="0"/>
        <w:color w:val="000000"/>
      </w:rPr>
    </w:lvl>
    <w:lvl w:ilvl="4">
      <w:start w:val="1"/>
      <w:numFmt w:val="decimal"/>
      <w:lvlText w:val="%5"/>
      <w:lvlJc w:val="left"/>
      <w:pPr>
        <w:tabs>
          <w:tab w:val="num" w:pos="1135"/>
        </w:tabs>
        <w:ind w:left="1135" w:hanging="567"/>
      </w:pPr>
      <w:rPr>
        <w:b w:val="0"/>
        <w:i w:val="0"/>
        <w:color w:val="000000"/>
      </w:rPr>
    </w:lvl>
    <w:lvl w:ilvl="5">
      <w:start w:val="1"/>
      <w:numFmt w:val="decimal"/>
      <w:lvlText w:val="%6"/>
      <w:lvlJc w:val="left"/>
      <w:pPr>
        <w:tabs>
          <w:tab w:val="num" w:pos="1702"/>
        </w:tabs>
        <w:ind w:left="1702" w:hanging="567"/>
      </w:pPr>
      <w:rPr>
        <w:b w:val="0"/>
        <w:i w:val="0"/>
        <w:color w:val="000000"/>
      </w:rPr>
    </w:lvl>
    <w:lvl w:ilvl="6">
      <w:start w:val="1"/>
      <w:numFmt w:val="decimal"/>
      <w:lvlText w:val="%7"/>
      <w:lvlJc w:val="left"/>
      <w:pPr>
        <w:tabs>
          <w:tab w:val="num" w:pos="2269"/>
        </w:tabs>
        <w:ind w:left="2269" w:hanging="567"/>
      </w:pPr>
      <w:rPr>
        <w:b w:val="0"/>
        <w:i w:val="0"/>
        <w:color w:val="000000"/>
      </w:rPr>
    </w:lvl>
    <w:lvl w:ilvl="7">
      <w:start w:val="1"/>
      <w:numFmt w:val="decimal"/>
      <w:lvlText w:val="%8"/>
      <w:lvlJc w:val="left"/>
      <w:pPr>
        <w:tabs>
          <w:tab w:val="num" w:pos="2836"/>
        </w:tabs>
        <w:ind w:left="2836" w:hanging="567"/>
      </w:pPr>
      <w:rPr>
        <w:b w:val="0"/>
        <w:i w:val="0"/>
        <w:color w:val="000000"/>
      </w:rPr>
    </w:lvl>
    <w:lvl w:ilvl="8">
      <w:start w:val="1"/>
      <w:numFmt w:val="decimal"/>
      <w:lvlText w:val="%9"/>
      <w:lvlJc w:val="left"/>
      <w:pPr>
        <w:tabs>
          <w:tab w:val="num" w:pos="3403"/>
        </w:tabs>
        <w:ind w:left="3403" w:hanging="567"/>
      </w:pPr>
      <w:rPr>
        <w:b w:val="0"/>
        <w:i w:val="0"/>
        <w:color w:val="000000"/>
      </w:rPr>
    </w:lvl>
  </w:abstractNum>
  <w:abstractNum w:abstractNumId="50" w15:restartNumberingAfterBreak="0">
    <w:nsid w:val="41FC29A1"/>
    <w:multiLevelType w:val="multilevel"/>
    <w:tmpl w:val="912CA6D6"/>
    <w:lvl w:ilvl="0">
      <w:start w:val="2"/>
      <w:numFmt w:val="decimal"/>
      <w:lvlText w:val="2.%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1" w15:restartNumberingAfterBreak="0">
    <w:nsid w:val="42395574"/>
    <w:multiLevelType w:val="hybridMultilevel"/>
    <w:tmpl w:val="2FBE175E"/>
    <w:lvl w:ilvl="0" w:tplc="EE5000BC">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4370547C"/>
    <w:multiLevelType w:val="hybridMultilevel"/>
    <w:tmpl w:val="54965024"/>
    <w:lvl w:ilvl="0" w:tplc="A52AEF2C">
      <w:start w:val="3"/>
      <w:numFmt w:val="decimal"/>
      <w:lvlText w:val="5.%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5E649C4"/>
    <w:multiLevelType w:val="hybridMultilevel"/>
    <w:tmpl w:val="33188A1C"/>
    <w:lvl w:ilvl="0" w:tplc="47EA5F68">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6FF755A"/>
    <w:multiLevelType w:val="hybridMultilevel"/>
    <w:tmpl w:val="479CB05E"/>
    <w:lvl w:ilvl="0" w:tplc="4644054A">
      <w:start w:val="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CD6632A"/>
    <w:multiLevelType w:val="multilevel"/>
    <w:tmpl w:val="0332E0F2"/>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4D073F36"/>
    <w:multiLevelType w:val="hybridMultilevel"/>
    <w:tmpl w:val="5B36AD24"/>
    <w:lvl w:ilvl="0" w:tplc="D736F1C2">
      <w:start w:val="1"/>
      <w:numFmt w:val="decimal"/>
      <w:lvlText w:val="6.%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E5D032D"/>
    <w:multiLevelType w:val="hybridMultilevel"/>
    <w:tmpl w:val="E884C7B8"/>
    <w:lvl w:ilvl="0" w:tplc="FC8E7AA8">
      <w:start w:val="1"/>
      <w:numFmt w:val="decimal"/>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8" w15:restartNumberingAfterBreak="0">
    <w:nsid w:val="4FCA38C1"/>
    <w:multiLevelType w:val="hybridMultilevel"/>
    <w:tmpl w:val="242AC832"/>
    <w:lvl w:ilvl="0" w:tplc="EE5000BC">
      <w:start w:val="1"/>
      <w:numFmt w:val="decimal"/>
      <w:lvlText w:val="2.%1"/>
      <w:lvlJc w:val="left"/>
      <w:pPr>
        <w:ind w:left="1008" w:hanging="360"/>
      </w:pPr>
      <w:rPr>
        <w:rFonts w:hint="default"/>
      </w:rPr>
    </w:lvl>
    <w:lvl w:ilvl="1" w:tplc="0C090019" w:tentative="1">
      <w:start w:val="1"/>
      <w:numFmt w:val="lowerLetter"/>
      <w:lvlText w:val="%2."/>
      <w:lvlJc w:val="left"/>
      <w:pPr>
        <w:ind w:left="1728" w:hanging="360"/>
      </w:pPr>
    </w:lvl>
    <w:lvl w:ilvl="2" w:tplc="0C09001B" w:tentative="1">
      <w:start w:val="1"/>
      <w:numFmt w:val="lowerRoman"/>
      <w:lvlText w:val="%3."/>
      <w:lvlJc w:val="right"/>
      <w:pPr>
        <w:ind w:left="2448" w:hanging="180"/>
      </w:pPr>
    </w:lvl>
    <w:lvl w:ilvl="3" w:tplc="0C09000F" w:tentative="1">
      <w:start w:val="1"/>
      <w:numFmt w:val="decimal"/>
      <w:lvlText w:val="%4."/>
      <w:lvlJc w:val="left"/>
      <w:pPr>
        <w:ind w:left="3168" w:hanging="360"/>
      </w:pPr>
    </w:lvl>
    <w:lvl w:ilvl="4" w:tplc="0C090019" w:tentative="1">
      <w:start w:val="1"/>
      <w:numFmt w:val="lowerLetter"/>
      <w:lvlText w:val="%5."/>
      <w:lvlJc w:val="left"/>
      <w:pPr>
        <w:ind w:left="3888" w:hanging="360"/>
      </w:pPr>
    </w:lvl>
    <w:lvl w:ilvl="5" w:tplc="0C09001B" w:tentative="1">
      <w:start w:val="1"/>
      <w:numFmt w:val="lowerRoman"/>
      <w:lvlText w:val="%6."/>
      <w:lvlJc w:val="right"/>
      <w:pPr>
        <w:ind w:left="4608" w:hanging="180"/>
      </w:pPr>
    </w:lvl>
    <w:lvl w:ilvl="6" w:tplc="0C09000F" w:tentative="1">
      <w:start w:val="1"/>
      <w:numFmt w:val="decimal"/>
      <w:lvlText w:val="%7."/>
      <w:lvlJc w:val="left"/>
      <w:pPr>
        <w:ind w:left="5328" w:hanging="360"/>
      </w:pPr>
    </w:lvl>
    <w:lvl w:ilvl="7" w:tplc="0C090019" w:tentative="1">
      <w:start w:val="1"/>
      <w:numFmt w:val="lowerLetter"/>
      <w:lvlText w:val="%8."/>
      <w:lvlJc w:val="left"/>
      <w:pPr>
        <w:ind w:left="6048" w:hanging="360"/>
      </w:pPr>
    </w:lvl>
    <w:lvl w:ilvl="8" w:tplc="0C09001B" w:tentative="1">
      <w:start w:val="1"/>
      <w:numFmt w:val="lowerRoman"/>
      <w:lvlText w:val="%9."/>
      <w:lvlJc w:val="right"/>
      <w:pPr>
        <w:ind w:left="6768" w:hanging="180"/>
      </w:pPr>
    </w:lvl>
  </w:abstractNum>
  <w:abstractNum w:abstractNumId="59" w15:restartNumberingAfterBreak="0">
    <w:nsid w:val="55420E15"/>
    <w:multiLevelType w:val="multilevel"/>
    <w:tmpl w:val="EC588308"/>
    <w:lvl w:ilvl="0">
      <w:start w:val="6"/>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577C6D5D"/>
    <w:multiLevelType w:val="hybridMultilevel"/>
    <w:tmpl w:val="A3F222A4"/>
    <w:lvl w:ilvl="0" w:tplc="ADB6AF1E">
      <w:start w:val="1"/>
      <w:numFmt w:val="decimal"/>
      <w:lvlText w:val="5.%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F1B558D"/>
    <w:multiLevelType w:val="hybridMultilevel"/>
    <w:tmpl w:val="87DA4B84"/>
    <w:lvl w:ilvl="0" w:tplc="0C090013">
      <w:start w:val="1"/>
      <w:numFmt w:val="upperRoman"/>
      <w:lvlText w:val="%1."/>
      <w:lvlJc w:val="righ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2" w15:restartNumberingAfterBreak="0">
    <w:nsid w:val="61B8258D"/>
    <w:multiLevelType w:val="hybridMultilevel"/>
    <w:tmpl w:val="95C674F0"/>
    <w:lvl w:ilvl="0" w:tplc="14AA2E68">
      <w:start w:val="3"/>
      <w:numFmt w:val="decimal"/>
      <w:lvlText w:val="6.%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23710EF"/>
    <w:multiLevelType w:val="hybridMultilevel"/>
    <w:tmpl w:val="29040B0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25B1779"/>
    <w:multiLevelType w:val="hybridMultilevel"/>
    <w:tmpl w:val="4CDAD13A"/>
    <w:lvl w:ilvl="0" w:tplc="FA44A34C">
      <w:start w:val="6"/>
      <w:numFmt w:val="decimal"/>
      <w:lvlText w:val="4.%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63CE2197"/>
    <w:multiLevelType w:val="hybridMultilevel"/>
    <w:tmpl w:val="CA56046C"/>
    <w:lvl w:ilvl="0" w:tplc="EE5000BC">
      <w:start w:val="1"/>
      <w:numFmt w:val="decimal"/>
      <w:lvlText w:val="2.%1"/>
      <w:lvlJc w:val="left"/>
      <w:pPr>
        <w:ind w:left="1008" w:hanging="360"/>
      </w:pPr>
      <w:rPr>
        <w:rFonts w:hint="default"/>
      </w:rPr>
    </w:lvl>
    <w:lvl w:ilvl="1" w:tplc="0C090019" w:tentative="1">
      <w:start w:val="1"/>
      <w:numFmt w:val="lowerLetter"/>
      <w:lvlText w:val="%2."/>
      <w:lvlJc w:val="left"/>
      <w:pPr>
        <w:ind w:left="1728" w:hanging="360"/>
      </w:pPr>
    </w:lvl>
    <w:lvl w:ilvl="2" w:tplc="0C09001B" w:tentative="1">
      <w:start w:val="1"/>
      <w:numFmt w:val="lowerRoman"/>
      <w:lvlText w:val="%3."/>
      <w:lvlJc w:val="right"/>
      <w:pPr>
        <w:ind w:left="2448" w:hanging="180"/>
      </w:pPr>
    </w:lvl>
    <w:lvl w:ilvl="3" w:tplc="0C09000F" w:tentative="1">
      <w:start w:val="1"/>
      <w:numFmt w:val="decimal"/>
      <w:lvlText w:val="%4."/>
      <w:lvlJc w:val="left"/>
      <w:pPr>
        <w:ind w:left="3168" w:hanging="360"/>
      </w:pPr>
    </w:lvl>
    <w:lvl w:ilvl="4" w:tplc="0C090019" w:tentative="1">
      <w:start w:val="1"/>
      <w:numFmt w:val="lowerLetter"/>
      <w:lvlText w:val="%5."/>
      <w:lvlJc w:val="left"/>
      <w:pPr>
        <w:ind w:left="3888" w:hanging="360"/>
      </w:pPr>
    </w:lvl>
    <w:lvl w:ilvl="5" w:tplc="0C09001B" w:tentative="1">
      <w:start w:val="1"/>
      <w:numFmt w:val="lowerRoman"/>
      <w:lvlText w:val="%6."/>
      <w:lvlJc w:val="right"/>
      <w:pPr>
        <w:ind w:left="4608" w:hanging="180"/>
      </w:pPr>
    </w:lvl>
    <w:lvl w:ilvl="6" w:tplc="0C09000F" w:tentative="1">
      <w:start w:val="1"/>
      <w:numFmt w:val="decimal"/>
      <w:lvlText w:val="%7."/>
      <w:lvlJc w:val="left"/>
      <w:pPr>
        <w:ind w:left="5328" w:hanging="360"/>
      </w:pPr>
    </w:lvl>
    <w:lvl w:ilvl="7" w:tplc="0C090019" w:tentative="1">
      <w:start w:val="1"/>
      <w:numFmt w:val="lowerLetter"/>
      <w:lvlText w:val="%8."/>
      <w:lvlJc w:val="left"/>
      <w:pPr>
        <w:ind w:left="6048" w:hanging="360"/>
      </w:pPr>
    </w:lvl>
    <w:lvl w:ilvl="8" w:tplc="0C09001B" w:tentative="1">
      <w:start w:val="1"/>
      <w:numFmt w:val="lowerRoman"/>
      <w:lvlText w:val="%9."/>
      <w:lvlJc w:val="right"/>
      <w:pPr>
        <w:ind w:left="6768" w:hanging="180"/>
      </w:pPr>
    </w:lvl>
  </w:abstractNum>
  <w:abstractNum w:abstractNumId="66" w15:restartNumberingAfterBreak="0">
    <w:nsid w:val="6481677E"/>
    <w:multiLevelType w:val="hybridMultilevel"/>
    <w:tmpl w:val="B5B22052"/>
    <w:lvl w:ilvl="0" w:tplc="F9F00656">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6644581"/>
    <w:multiLevelType w:val="hybridMultilevel"/>
    <w:tmpl w:val="C9961C44"/>
    <w:lvl w:ilvl="0" w:tplc="B290C150">
      <w:start w:val="1"/>
      <w:numFmt w:val="decimal"/>
      <w:lvlText w:val="1.%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68A2584E"/>
    <w:multiLevelType w:val="hybridMultilevel"/>
    <w:tmpl w:val="C0F4E33A"/>
    <w:lvl w:ilvl="0" w:tplc="A8C6343A">
      <w:start w:val="1"/>
      <w:numFmt w:val="decimal"/>
      <w:lvlText w:val="3.%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6C153E01"/>
    <w:multiLevelType w:val="hybridMultilevel"/>
    <w:tmpl w:val="F0663576"/>
    <w:lvl w:ilvl="0" w:tplc="EF7E3A38">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D73336B"/>
    <w:multiLevelType w:val="hybridMultilevel"/>
    <w:tmpl w:val="4FA4B544"/>
    <w:lvl w:ilvl="0" w:tplc="BF00D6A4">
      <w:start w:val="10"/>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E3C4AA6"/>
    <w:multiLevelType w:val="multilevel"/>
    <w:tmpl w:val="15B4E7CE"/>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713432D5"/>
    <w:multiLevelType w:val="hybridMultilevel"/>
    <w:tmpl w:val="DC3A2490"/>
    <w:lvl w:ilvl="0" w:tplc="F9F00656">
      <w:start w:val="1"/>
      <w:numFmt w:val="decimal"/>
      <w:lvlText w:val="1.%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73DC20F8"/>
    <w:multiLevelType w:val="multilevel"/>
    <w:tmpl w:val="0C3A64D0"/>
    <w:lvl w:ilvl="0">
      <w:start w:val="6"/>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75BF738E"/>
    <w:multiLevelType w:val="multilevel"/>
    <w:tmpl w:val="D46E3D02"/>
    <w:lvl w:ilvl="0">
      <w:start w:val="3"/>
      <w:numFmt w:val="decimal"/>
      <w:lvlText w:val="%1"/>
      <w:lvlJc w:val="left"/>
      <w:pPr>
        <w:ind w:left="360" w:hanging="360"/>
      </w:pPr>
      <w:rPr>
        <w:rFonts w:hint="default"/>
      </w:rPr>
    </w:lvl>
    <w:lvl w:ilvl="1">
      <w:start w:val="2"/>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784C4B8D"/>
    <w:multiLevelType w:val="hybridMultilevel"/>
    <w:tmpl w:val="5B541202"/>
    <w:lvl w:ilvl="0" w:tplc="FA44A34C">
      <w:start w:val="6"/>
      <w:numFmt w:val="decimal"/>
      <w:lvlText w:val="4.%1"/>
      <w:lvlJc w:val="left"/>
      <w:pPr>
        <w:ind w:left="1008" w:hanging="360"/>
      </w:pPr>
      <w:rPr>
        <w:rFonts w:hint="default"/>
      </w:rPr>
    </w:lvl>
    <w:lvl w:ilvl="1" w:tplc="0C090019" w:tentative="1">
      <w:start w:val="1"/>
      <w:numFmt w:val="lowerLetter"/>
      <w:lvlText w:val="%2."/>
      <w:lvlJc w:val="left"/>
      <w:pPr>
        <w:ind w:left="1728" w:hanging="360"/>
      </w:pPr>
    </w:lvl>
    <w:lvl w:ilvl="2" w:tplc="0C09001B" w:tentative="1">
      <w:start w:val="1"/>
      <w:numFmt w:val="lowerRoman"/>
      <w:lvlText w:val="%3."/>
      <w:lvlJc w:val="right"/>
      <w:pPr>
        <w:ind w:left="2448" w:hanging="180"/>
      </w:pPr>
    </w:lvl>
    <w:lvl w:ilvl="3" w:tplc="0C09000F" w:tentative="1">
      <w:start w:val="1"/>
      <w:numFmt w:val="decimal"/>
      <w:lvlText w:val="%4."/>
      <w:lvlJc w:val="left"/>
      <w:pPr>
        <w:ind w:left="3168" w:hanging="360"/>
      </w:pPr>
    </w:lvl>
    <w:lvl w:ilvl="4" w:tplc="0C090019" w:tentative="1">
      <w:start w:val="1"/>
      <w:numFmt w:val="lowerLetter"/>
      <w:lvlText w:val="%5."/>
      <w:lvlJc w:val="left"/>
      <w:pPr>
        <w:ind w:left="3888" w:hanging="360"/>
      </w:pPr>
    </w:lvl>
    <w:lvl w:ilvl="5" w:tplc="0C09001B" w:tentative="1">
      <w:start w:val="1"/>
      <w:numFmt w:val="lowerRoman"/>
      <w:lvlText w:val="%6."/>
      <w:lvlJc w:val="right"/>
      <w:pPr>
        <w:ind w:left="4608" w:hanging="180"/>
      </w:pPr>
    </w:lvl>
    <w:lvl w:ilvl="6" w:tplc="0C09000F" w:tentative="1">
      <w:start w:val="1"/>
      <w:numFmt w:val="decimal"/>
      <w:lvlText w:val="%7."/>
      <w:lvlJc w:val="left"/>
      <w:pPr>
        <w:ind w:left="5328" w:hanging="360"/>
      </w:pPr>
    </w:lvl>
    <w:lvl w:ilvl="7" w:tplc="0C090019" w:tentative="1">
      <w:start w:val="1"/>
      <w:numFmt w:val="lowerLetter"/>
      <w:lvlText w:val="%8."/>
      <w:lvlJc w:val="left"/>
      <w:pPr>
        <w:ind w:left="6048" w:hanging="360"/>
      </w:pPr>
    </w:lvl>
    <w:lvl w:ilvl="8" w:tplc="0C09001B" w:tentative="1">
      <w:start w:val="1"/>
      <w:numFmt w:val="lowerRoman"/>
      <w:lvlText w:val="%9."/>
      <w:lvlJc w:val="right"/>
      <w:pPr>
        <w:ind w:left="6768" w:hanging="180"/>
      </w:pPr>
    </w:lvl>
  </w:abstractNum>
  <w:abstractNum w:abstractNumId="76" w15:restartNumberingAfterBreak="0">
    <w:nsid w:val="78AC2107"/>
    <w:multiLevelType w:val="multilevel"/>
    <w:tmpl w:val="5D0E8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8B16110"/>
    <w:multiLevelType w:val="multilevel"/>
    <w:tmpl w:val="7AFA27D8"/>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2680" w:hanging="360"/>
      </w:pPr>
    </w:lvl>
    <w:lvl w:ilvl="4">
      <w:start w:val="1"/>
      <w:numFmt w:val="lowerLetter"/>
      <w:lvlText w:val="(%5)"/>
      <w:lvlJc w:val="left"/>
      <w:pPr>
        <w:ind w:left="3040" w:hanging="360"/>
      </w:pPr>
    </w:lvl>
    <w:lvl w:ilvl="5">
      <w:start w:val="1"/>
      <w:numFmt w:val="lowerRoman"/>
      <w:lvlText w:val="(%6)"/>
      <w:lvlJc w:val="left"/>
      <w:pPr>
        <w:ind w:left="3400" w:hanging="360"/>
      </w:pPr>
    </w:lvl>
    <w:lvl w:ilvl="6">
      <w:start w:val="1"/>
      <w:numFmt w:val="decimal"/>
      <w:lvlText w:val="%7."/>
      <w:lvlJc w:val="left"/>
      <w:pPr>
        <w:ind w:left="3760" w:hanging="360"/>
      </w:pPr>
    </w:lvl>
    <w:lvl w:ilvl="7">
      <w:start w:val="1"/>
      <w:numFmt w:val="lowerLetter"/>
      <w:lvlText w:val="%8."/>
      <w:lvlJc w:val="left"/>
      <w:pPr>
        <w:ind w:left="4120" w:hanging="360"/>
      </w:pPr>
    </w:lvl>
    <w:lvl w:ilvl="8">
      <w:start w:val="1"/>
      <w:numFmt w:val="lowerRoman"/>
      <w:lvlText w:val="%9."/>
      <w:lvlJc w:val="left"/>
      <w:pPr>
        <w:ind w:left="4480" w:hanging="360"/>
      </w:pPr>
    </w:lvl>
  </w:abstractNum>
  <w:abstractNum w:abstractNumId="78" w15:restartNumberingAfterBreak="0">
    <w:nsid w:val="796F79B5"/>
    <w:multiLevelType w:val="multilevel"/>
    <w:tmpl w:val="AF468D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79C83E2E"/>
    <w:multiLevelType w:val="hybridMultilevel"/>
    <w:tmpl w:val="766C9488"/>
    <w:lvl w:ilvl="0" w:tplc="EB48E850">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AE3192D"/>
    <w:multiLevelType w:val="multilevel"/>
    <w:tmpl w:val="436CFB88"/>
    <w:lvl w:ilvl="0">
      <w:start w:val="5"/>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C8C5E8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2" w15:restartNumberingAfterBreak="0">
    <w:nsid w:val="7F233142"/>
    <w:multiLevelType w:val="hybridMultilevel"/>
    <w:tmpl w:val="E67246CE"/>
    <w:lvl w:ilvl="0" w:tplc="FA44A34C">
      <w:start w:val="6"/>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F681E93"/>
    <w:multiLevelType w:val="hybridMultilevel"/>
    <w:tmpl w:val="1EF89130"/>
    <w:lvl w:ilvl="0" w:tplc="BC84BE1E">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7"/>
    <w:lvlOverride w:ilvl="6">
      <w:lvl w:ilvl="6">
        <w:start w:val="1"/>
        <w:numFmt w:val="decimal"/>
        <w:lvlText w:val="%7."/>
        <w:lvlJc w:val="left"/>
        <w:pPr>
          <w:tabs>
            <w:tab w:val="num" w:pos="2520"/>
          </w:tabs>
          <w:ind w:left="2520" w:hanging="360"/>
        </w:pPr>
        <w:rPr>
          <w:rFonts w:hint="default"/>
          <w:b w:val="0"/>
          <w:i w:val="0"/>
        </w:rPr>
      </w:lvl>
    </w:lvlOverride>
  </w:num>
  <w:num w:numId="2">
    <w:abstractNumId w:val="8"/>
  </w:num>
  <w:num w:numId="3">
    <w:abstractNumId w:val="40"/>
  </w:num>
  <w:num w:numId="4">
    <w:abstractNumId w:val="14"/>
  </w:num>
  <w:num w:numId="5">
    <w:abstractNumId w:val="3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6">
    <w:abstractNumId w:val="16"/>
  </w:num>
  <w:num w:numId="7">
    <w:abstractNumId w:val="39"/>
  </w:num>
  <w:num w:numId="8">
    <w:abstractNumId w:val="77"/>
  </w:num>
  <w:num w:numId="9">
    <w:abstractNumId w:val="26"/>
  </w:num>
  <w:num w:numId="10">
    <w:abstractNumId w:val="59"/>
  </w:num>
  <w:num w:numId="11">
    <w:abstractNumId w:val="27"/>
  </w:num>
  <w:num w:numId="12">
    <w:abstractNumId w:val="1"/>
  </w:num>
  <w:num w:numId="13">
    <w:abstractNumId w:val="55"/>
  </w:num>
  <w:num w:numId="14">
    <w:abstractNumId w:val="80"/>
  </w:num>
  <w:num w:numId="15">
    <w:abstractNumId w:val="21"/>
  </w:num>
  <w:num w:numId="16">
    <w:abstractNumId w:val="74"/>
  </w:num>
  <w:num w:numId="17">
    <w:abstractNumId w:val="30"/>
  </w:num>
  <w:num w:numId="18">
    <w:abstractNumId w:val="81"/>
  </w:num>
  <w:num w:numId="19">
    <w:abstractNumId w:val="46"/>
  </w:num>
  <w:num w:numId="20">
    <w:abstractNumId w:val="49"/>
  </w:num>
  <w:num w:numId="21">
    <w:abstractNumId w:val="0"/>
  </w:num>
  <w:num w:numId="22">
    <w:abstractNumId w:val="44"/>
  </w:num>
  <w:num w:numId="23">
    <w:abstractNumId w:val="15"/>
  </w:num>
  <w:num w:numId="24">
    <w:abstractNumId w:val="70"/>
  </w:num>
  <w:num w:numId="25">
    <w:abstractNumId w:val="66"/>
  </w:num>
  <w:num w:numId="26">
    <w:abstractNumId w:val="72"/>
  </w:num>
  <w:num w:numId="27">
    <w:abstractNumId w:val="41"/>
  </w:num>
  <w:num w:numId="28">
    <w:abstractNumId w:val="48"/>
  </w:num>
  <w:num w:numId="29">
    <w:abstractNumId w:val="18"/>
  </w:num>
  <w:num w:numId="30">
    <w:abstractNumId w:val="28"/>
  </w:num>
  <w:num w:numId="31">
    <w:abstractNumId w:val="31"/>
  </w:num>
  <w:num w:numId="32">
    <w:abstractNumId w:val="19"/>
  </w:num>
  <w:num w:numId="33">
    <w:abstractNumId w:val="12"/>
  </w:num>
  <w:num w:numId="34">
    <w:abstractNumId w:val="45"/>
  </w:num>
  <w:num w:numId="35">
    <w:abstractNumId w:val="22"/>
  </w:num>
  <w:num w:numId="36">
    <w:abstractNumId w:val="47"/>
  </w:num>
  <w:num w:numId="37">
    <w:abstractNumId w:val="33"/>
  </w:num>
  <w:num w:numId="38">
    <w:abstractNumId w:val="81"/>
  </w:num>
  <w:num w:numId="39">
    <w:abstractNumId w:val="5"/>
  </w:num>
  <w:num w:numId="40">
    <w:abstractNumId w:val="78"/>
  </w:num>
  <w:num w:numId="41">
    <w:abstractNumId w:val="17"/>
  </w:num>
  <w:num w:numId="42">
    <w:abstractNumId w:val="76"/>
  </w:num>
  <w:num w:numId="43">
    <w:abstractNumId w:val="54"/>
  </w:num>
  <w:num w:numId="44">
    <w:abstractNumId w:val="6"/>
  </w:num>
  <w:num w:numId="45">
    <w:abstractNumId w:val="50"/>
  </w:num>
  <w:num w:numId="46">
    <w:abstractNumId w:val="29"/>
  </w:num>
  <w:num w:numId="47">
    <w:abstractNumId w:val="42"/>
  </w:num>
  <w:num w:numId="48">
    <w:abstractNumId w:val="4"/>
  </w:num>
  <w:num w:numId="49">
    <w:abstractNumId w:val="67"/>
  </w:num>
  <w:num w:numId="50">
    <w:abstractNumId w:val="35"/>
  </w:num>
  <w:num w:numId="51">
    <w:abstractNumId w:val="25"/>
  </w:num>
  <w:num w:numId="52">
    <w:abstractNumId w:val="24"/>
  </w:num>
  <w:num w:numId="53">
    <w:abstractNumId w:val="68"/>
  </w:num>
  <w:num w:numId="54">
    <w:abstractNumId w:val="52"/>
  </w:num>
  <w:num w:numId="55">
    <w:abstractNumId w:val="62"/>
  </w:num>
  <w:num w:numId="56">
    <w:abstractNumId w:val="9"/>
  </w:num>
  <w:num w:numId="57">
    <w:abstractNumId w:val="2"/>
  </w:num>
  <w:num w:numId="58">
    <w:abstractNumId w:val="32"/>
  </w:num>
  <w:num w:numId="59">
    <w:abstractNumId w:val="56"/>
  </w:num>
  <w:num w:numId="60">
    <w:abstractNumId w:val="73"/>
  </w:num>
  <w:num w:numId="61">
    <w:abstractNumId w:val="69"/>
  </w:num>
  <w:num w:numId="62">
    <w:abstractNumId w:val="23"/>
  </w:num>
  <w:num w:numId="63">
    <w:abstractNumId w:val="11"/>
  </w:num>
  <w:num w:numId="64">
    <w:abstractNumId w:val="60"/>
  </w:num>
  <w:num w:numId="65">
    <w:abstractNumId w:val="7"/>
  </w:num>
  <w:num w:numId="66">
    <w:abstractNumId w:val="10"/>
  </w:num>
  <w:num w:numId="67">
    <w:abstractNumId w:val="75"/>
  </w:num>
  <w:num w:numId="68">
    <w:abstractNumId w:val="13"/>
  </w:num>
  <w:num w:numId="69">
    <w:abstractNumId w:val="65"/>
  </w:num>
  <w:num w:numId="70">
    <w:abstractNumId w:val="58"/>
  </w:num>
  <w:num w:numId="71">
    <w:abstractNumId w:val="51"/>
  </w:num>
  <w:num w:numId="72">
    <w:abstractNumId w:val="36"/>
  </w:num>
  <w:num w:numId="73">
    <w:abstractNumId w:val="20"/>
  </w:num>
  <w:num w:numId="74">
    <w:abstractNumId w:val="71"/>
  </w:num>
  <w:num w:numId="75">
    <w:abstractNumId w:val="64"/>
  </w:num>
  <w:num w:numId="76">
    <w:abstractNumId w:val="43"/>
  </w:num>
  <w:num w:numId="77">
    <w:abstractNumId w:val="82"/>
  </w:num>
  <w:num w:numId="78">
    <w:abstractNumId w:val="34"/>
  </w:num>
  <w:num w:numId="79">
    <w:abstractNumId w:val="53"/>
  </w:num>
  <w:num w:numId="80">
    <w:abstractNumId w:val="38"/>
  </w:num>
  <w:num w:numId="81">
    <w:abstractNumId w:val="3"/>
  </w:num>
  <w:num w:numId="82">
    <w:abstractNumId w:val="79"/>
  </w:num>
  <w:num w:numId="83">
    <w:abstractNumId w:val="83"/>
  </w:num>
  <w:num w:numId="84">
    <w:abstractNumId w:val="63"/>
  </w:num>
  <w:num w:numId="85">
    <w:abstractNumId w:val="57"/>
  </w:num>
  <w:num w:numId="86">
    <w:abstractNumId w:val="61"/>
  </w:num>
  <w:num w:numId="87">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43B"/>
    <w:rsid w:val="000006AD"/>
    <w:rsid w:val="00002D18"/>
    <w:rsid w:val="00003C08"/>
    <w:rsid w:val="00003C34"/>
    <w:rsid w:val="00004823"/>
    <w:rsid w:val="00004EA3"/>
    <w:rsid w:val="00005784"/>
    <w:rsid w:val="00006288"/>
    <w:rsid w:val="00006ED3"/>
    <w:rsid w:val="00006F3B"/>
    <w:rsid w:val="00010177"/>
    <w:rsid w:val="0001105C"/>
    <w:rsid w:val="000113C6"/>
    <w:rsid w:val="00011725"/>
    <w:rsid w:val="00011A93"/>
    <w:rsid w:val="00011D93"/>
    <w:rsid w:val="00011E96"/>
    <w:rsid w:val="0001256F"/>
    <w:rsid w:val="00012C62"/>
    <w:rsid w:val="00013199"/>
    <w:rsid w:val="000146CA"/>
    <w:rsid w:val="00014BD6"/>
    <w:rsid w:val="00015B55"/>
    <w:rsid w:val="00016221"/>
    <w:rsid w:val="00016BA2"/>
    <w:rsid w:val="00020110"/>
    <w:rsid w:val="00024290"/>
    <w:rsid w:val="00024802"/>
    <w:rsid w:val="00025397"/>
    <w:rsid w:val="0002544D"/>
    <w:rsid w:val="000261D3"/>
    <w:rsid w:val="0002762B"/>
    <w:rsid w:val="000308D8"/>
    <w:rsid w:val="00030E6E"/>
    <w:rsid w:val="00031BE8"/>
    <w:rsid w:val="000328BD"/>
    <w:rsid w:val="00034898"/>
    <w:rsid w:val="00036F98"/>
    <w:rsid w:val="00037274"/>
    <w:rsid w:val="00040410"/>
    <w:rsid w:val="00041A8B"/>
    <w:rsid w:val="0004274D"/>
    <w:rsid w:val="0004297F"/>
    <w:rsid w:val="00043D17"/>
    <w:rsid w:val="00044484"/>
    <w:rsid w:val="00044C0A"/>
    <w:rsid w:val="00044EBD"/>
    <w:rsid w:val="0004573F"/>
    <w:rsid w:val="000458A3"/>
    <w:rsid w:val="000461C0"/>
    <w:rsid w:val="00050AEA"/>
    <w:rsid w:val="00051535"/>
    <w:rsid w:val="0005279F"/>
    <w:rsid w:val="00052A17"/>
    <w:rsid w:val="00052F8F"/>
    <w:rsid w:val="000531CB"/>
    <w:rsid w:val="000534DF"/>
    <w:rsid w:val="0005420A"/>
    <w:rsid w:val="000551FF"/>
    <w:rsid w:val="00056880"/>
    <w:rsid w:val="00057211"/>
    <w:rsid w:val="00057FBE"/>
    <w:rsid w:val="00060F98"/>
    <w:rsid w:val="0006105E"/>
    <w:rsid w:val="000624B1"/>
    <w:rsid w:val="00062BD5"/>
    <w:rsid w:val="000631AB"/>
    <w:rsid w:val="00063309"/>
    <w:rsid w:val="00064A53"/>
    <w:rsid w:val="00064C92"/>
    <w:rsid w:val="000675D1"/>
    <w:rsid w:val="0007102C"/>
    <w:rsid w:val="00072352"/>
    <w:rsid w:val="00072EE3"/>
    <w:rsid w:val="00073521"/>
    <w:rsid w:val="00073AF1"/>
    <w:rsid w:val="00073DD0"/>
    <w:rsid w:val="00074775"/>
    <w:rsid w:val="00074F9A"/>
    <w:rsid w:val="000775DE"/>
    <w:rsid w:val="000812AD"/>
    <w:rsid w:val="00081ECB"/>
    <w:rsid w:val="000834A3"/>
    <w:rsid w:val="0008356F"/>
    <w:rsid w:val="000840F6"/>
    <w:rsid w:val="000858F2"/>
    <w:rsid w:val="00085F05"/>
    <w:rsid w:val="00087421"/>
    <w:rsid w:val="0008758A"/>
    <w:rsid w:val="000879BA"/>
    <w:rsid w:val="00087FAF"/>
    <w:rsid w:val="000904E6"/>
    <w:rsid w:val="000907CC"/>
    <w:rsid w:val="0009149B"/>
    <w:rsid w:val="00093C54"/>
    <w:rsid w:val="00094D8C"/>
    <w:rsid w:val="00095B7B"/>
    <w:rsid w:val="00095BFD"/>
    <w:rsid w:val="00097622"/>
    <w:rsid w:val="000976B9"/>
    <w:rsid w:val="00097EB6"/>
    <w:rsid w:val="000A03A3"/>
    <w:rsid w:val="000A0F9A"/>
    <w:rsid w:val="000A150A"/>
    <w:rsid w:val="000A3E64"/>
    <w:rsid w:val="000A3EB7"/>
    <w:rsid w:val="000A63E0"/>
    <w:rsid w:val="000A7086"/>
    <w:rsid w:val="000A7CAB"/>
    <w:rsid w:val="000B0007"/>
    <w:rsid w:val="000B0FD4"/>
    <w:rsid w:val="000B3830"/>
    <w:rsid w:val="000B3E51"/>
    <w:rsid w:val="000B4269"/>
    <w:rsid w:val="000B4953"/>
    <w:rsid w:val="000B5FA7"/>
    <w:rsid w:val="000B662A"/>
    <w:rsid w:val="000B69CB"/>
    <w:rsid w:val="000B71FB"/>
    <w:rsid w:val="000B7AE5"/>
    <w:rsid w:val="000B7F06"/>
    <w:rsid w:val="000C1103"/>
    <w:rsid w:val="000C14C4"/>
    <w:rsid w:val="000C2633"/>
    <w:rsid w:val="000C2899"/>
    <w:rsid w:val="000C2935"/>
    <w:rsid w:val="000C2956"/>
    <w:rsid w:val="000C2B98"/>
    <w:rsid w:val="000C2CCE"/>
    <w:rsid w:val="000C3780"/>
    <w:rsid w:val="000C4136"/>
    <w:rsid w:val="000C5248"/>
    <w:rsid w:val="000C5F40"/>
    <w:rsid w:val="000C7718"/>
    <w:rsid w:val="000D026B"/>
    <w:rsid w:val="000D026F"/>
    <w:rsid w:val="000D0B3B"/>
    <w:rsid w:val="000D265C"/>
    <w:rsid w:val="000D2FFE"/>
    <w:rsid w:val="000D55BD"/>
    <w:rsid w:val="000D5FAE"/>
    <w:rsid w:val="000D72B8"/>
    <w:rsid w:val="000E0B74"/>
    <w:rsid w:val="000E0C4B"/>
    <w:rsid w:val="000E154A"/>
    <w:rsid w:val="000E21B6"/>
    <w:rsid w:val="000E2CAC"/>
    <w:rsid w:val="000E5B7C"/>
    <w:rsid w:val="000E6026"/>
    <w:rsid w:val="000E7B2B"/>
    <w:rsid w:val="000F0533"/>
    <w:rsid w:val="000F0664"/>
    <w:rsid w:val="000F0BF8"/>
    <w:rsid w:val="000F0D10"/>
    <w:rsid w:val="000F5E70"/>
    <w:rsid w:val="000F6302"/>
    <w:rsid w:val="000F6ACB"/>
    <w:rsid w:val="000F6F5A"/>
    <w:rsid w:val="000F7517"/>
    <w:rsid w:val="00100F67"/>
    <w:rsid w:val="00101F95"/>
    <w:rsid w:val="00102B16"/>
    <w:rsid w:val="00102E45"/>
    <w:rsid w:val="00103947"/>
    <w:rsid w:val="00104669"/>
    <w:rsid w:val="00107CC3"/>
    <w:rsid w:val="00107D66"/>
    <w:rsid w:val="0011137D"/>
    <w:rsid w:val="001124A1"/>
    <w:rsid w:val="0011260E"/>
    <w:rsid w:val="0011475F"/>
    <w:rsid w:val="00114C06"/>
    <w:rsid w:val="0011656C"/>
    <w:rsid w:val="00117215"/>
    <w:rsid w:val="00122396"/>
    <w:rsid w:val="00122E3F"/>
    <w:rsid w:val="0012714D"/>
    <w:rsid w:val="0012756D"/>
    <w:rsid w:val="001306DC"/>
    <w:rsid w:val="001310BE"/>
    <w:rsid w:val="00131617"/>
    <w:rsid w:val="00131FA6"/>
    <w:rsid w:val="001340DE"/>
    <w:rsid w:val="00134D15"/>
    <w:rsid w:val="001351C9"/>
    <w:rsid w:val="001363A2"/>
    <w:rsid w:val="00137359"/>
    <w:rsid w:val="0013791B"/>
    <w:rsid w:val="0014091C"/>
    <w:rsid w:val="00142322"/>
    <w:rsid w:val="00144394"/>
    <w:rsid w:val="0014473B"/>
    <w:rsid w:val="00144A9A"/>
    <w:rsid w:val="00145148"/>
    <w:rsid w:val="00146176"/>
    <w:rsid w:val="00146CF6"/>
    <w:rsid w:val="00147302"/>
    <w:rsid w:val="0014781E"/>
    <w:rsid w:val="0014798D"/>
    <w:rsid w:val="0015077C"/>
    <w:rsid w:val="00150F17"/>
    <w:rsid w:val="001515B1"/>
    <w:rsid w:val="001520B2"/>
    <w:rsid w:val="0015216C"/>
    <w:rsid w:val="0015394F"/>
    <w:rsid w:val="00153BBA"/>
    <w:rsid w:val="00154FFF"/>
    <w:rsid w:val="00155F2A"/>
    <w:rsid w:val="0015731F"/>
    <w:rsid w:val="00157CDA"/>
    <w:rsid w:val="00157F2F"/>
    <w:rsid w:val="0016057A"/>
    <w:rsid w:val="001605B0"/>
    <w:rsid w:val="001606CF"/>
    <w:rsid w:val="0016128D"/>
    <w:rsid w:val="001617F7"/>
    <w:rsid w:val="00162E8A"/>
    <w:rsid w:val="00162F95"/>
    <w:rsid w:val="0016375D"/>
    <w:rsid w:val="0016401E"/>
    <w:rsid w:val="00164DE7"/>
    <w:rsid w:val="00165097"/>
    <w:rsid w:val="00165AF8"/>
    <w:rsid w:val="0017089D"/>
    <w:rsid w:val="001732EB"/>
    <w:rsid w:val="00175039"/>
    <w:rsid w:val="00175CED"/>
    <w:rsid w:val="00176017"/>
    <w:rsid w:val="00182969"/>
    <w:rsid w:val="0018298C"/>
    <w:rsid w:val="00183240"/>
    <w:rsid w:val="00183775"/>
    <w:rsid w:val="00184DD4"/>
    <w:rsid w:val="00185501"/>
    <w:rsid w:val="001871CE"/>
    <w:rsid w:val="0019083D"/>
    <w:rsid w:val="00190E09"/>
    <w:rsid w:val="00190F95"/>
    <w:rsid w:val="0019101A"/>
    <w:rsid w:val="001918FF"/>
    <w:rsid w:val="00192A98"/>
    <w:rsid w:val="00192F61"/>
    <w:rsid w:val="00193D87"/>
    <w:rsid w:val="00196585"/>
    <w:rsid w:val="001967F0"/>
    <w:rsid w:val="001A19E6"/>
    <w:rsid w:val="001A54FE"/>
    <w:rsid w:val="001A6451"/>
    <w:rsid w:val="001A79E6"/>
    <w:rsid w:val="001A7C84"/>
    <w:rsid w:val="001B0E62"/>
    <w:rsid w:val="001B2256"/>
    <w:rsid w:val="001B397D"/>
    <w:rsid w:val="001B3A4E"/>
    <w:rsid w:val="001B5A03"/>
    <w:rsid w:val="001B623F"/>
    <w:rsid w:val="001B73C9"/>
    <w:rsid w:val="001C0835"/>
    <w:rsid w:val="001C0A5B"/>
    <w:rsid w:val="001C14A7"/>
    <w:rsid w:val="001C222E"/>
    <w:rsid w:val="001C358D"/>
    <w:rsid w:val="001C3F8D"/>
    <w:rsid w:val="001C574A"/>
    <w:rsid w:val="001C703A"/>
    <w:rsid w:val="001C7197"/>
    <w:rsid w:val="001C7860"/>
    <w:rsid w:val="001C7BB3"/>
    <w:rsid w:val="001C7BB5"/>
    <w:rsid w:val="001D1EC0"/>
    <w:rsid w:val="001D2687"/>
    <w:rsid w:val="001D4980"/>
    <w:rsid w:val="001D4E85"/>
    <w:rsid w:val="001D4EAA"/>
    <w:rsid w:val="001D5051"/>
    <w:rsid w:val="001D6925"/>
    <w:rsid w:val="001D7512"/>
    <w:rsid w:val="001D793D"/>
    <w:rsid w:val="001D7EFC"/>
    <w:rsid w:val="001E1FB3"/>
    <w:rsid w:val="001E2030"/>
    <w:rsid w:val="001E28A9"/>
    <w:rsid w:val="001E3ECB"/>
    <w:rsid w:val="001E451E"/>
    <w:rsid w:val="001E4584"/>
    <w:rsid w:val="001E4D69"/>
    <w:rsid w:val="001E61BA"/>
    <w:rsid w:val="001E740E"/>
    <w:rsid w:val="001F08B9"/>
    <w:rsid w:val="001F08E8"/>
    <w:rsid w:val="001F0AB4"/>
    <w:rsid w:val="001F145D"/>
    <w:rsid w:val="001F32BE"/>
    <w:rsid w:val="001F37D1"/>
    <w:rsid w:val="001F3DDE"/>
    <w:rsid w:val="001F3FC4"/>
    <w:rsid w:val="001F48FD"/>
    <w:rsid w:val="001F4FD5"/>
    <w:rsid w:val="001F612A"/>
    <w:rsid w:val="001F7F20"/>
    <w:rsid w:val="00200332"/>
    <w:rsid w:val="0020066A"/>
    <w:rsid w:val="00200CB2"/>
    <w:rsid w:val="00201186"/>
    <w:rsid w:val="00201DCA"/>
    <w:rsid w:val="002025B2"/>
    <w:rsid w:val="00202907"/>
    <w:rsid w:val="00204BAB"/>
    <w:rsid w:val="00204EC5"/>
    <w:rsid w:val="002054BB"/>
    <w:rsid w:val="00206252"/>
    <w:rsid w:val="00207506"/>
    <w:rsid w:val="0020774C"/>
    <w:rsid w:val="002079CF"/>
    <w:rsid w:val="002113ED"/>
    <w:rsid w:val="00211FDB"/>
    <w:rsid w:val="0021286E"/>
    <w:rsid w:val="00212B66"/>
    <w:rsid w:val="00212C21"/>
    <w:rsid w:val="00213A08"/>
    <w:rsid w:val="00213B6E"/>
    <w:rsid w:val="002141C9"/>
    <w:rsid w:val="002153B8"/>
    <w:rsid w:val="0021622F"/>
    <w:rsid w:val="00216474"/>
    <w:rsid w:val="00217803"/>
    <w:rsid w:val="002211BA"/>
    <w:rsid w:val="002214A5"/>
    <w:rsid w:val="0022190E"/>
    <w:rsid w:val="0022396A"/>
    <w:rsid w:val="00224DCD"/>
    <w:rsid w:val="002268EB"/>
    <w:rsid w:val="00231049"/>
    <w:rsid w:val="00231222"/>
    <w:rsid w:val="002314D2"/>
    <w:rsid w:val="002323D1"/>
    <w:rsid w:val="00234DA5"/>
    <w:rsid w:val="00236945"/>
    <w:rsid w:val="00236BD7"/>
    <w:rsid w:val="002370DE"/>
    <w:rsid w:val="002372A6"/>
    <w:rsid w:val="002408C1"/>
    <w:rsid w:val="002433EE"/>
    <w:rsid w:val="00245436"/>
    <w:rsid w:val="00246BA1"/>
    <w:rsid w:val="00247238"/>
    <w:rsid w:val="00247338"/>
    <w:rsid w:val="002506F9"/>
    <w:rsid w:val="00250CC7"/>
    <w:rsid w:val="00250D22"/>
    <w:rsid w:val="002526CF"/>
    <w:rsid w:val="002550DC"/>
    <w:rsid w:val="002551C1"/>
    <w:rsid w:val="00255506"/>
    <w:rsid w:val="0025561D"/>
    <w:rsid w:val="00256A90"/>
    <w:rsid w:val="00257AEE"/>
    <w:rsid w:val="00261F94"/>
    <w:rsid w:val="00262024"/>
    <w:rsid w:val="00263B6C"/>
    <w:rsid w:val="00266860"/>
    <w:rsid w:val="0026730A"/>
    <w:rsid w:val="00267625"/>
    <w:rsid w:val="0027590B"/>
    <w:rsid w:val="00276C11"/>
    <w:rsid w:val="0028149F"/>
    <w:rsid w:val="002845C4"/>
    <w:rsid w:val="00285969"/>
    <w:rsid w:val="00286CDA"/>
    <w:rsid w:val="00287411"/>
    <w:rsid w:val="00290AD0"/>
    <w:rsid w:val="00292FF7"/>
    <w:rsid w:val="00293BD1"/>
    <w:rsid w:val="00293D9C"/>
    <w:rsid w:val="002940EC"/>
    <w:rsid w:val="00295330"/>
    <w:rsid w:val="002955F3"/>
    <w:rsid w:val="0029564C"/>
    <w:rsid w:val="0029575D"/>
    <w:rsid w:val="002971A5"/>
    <w:rsid w:val="0029750C"/>
    <w:rsid w:val="002A2DC6"/>
    <w:rsid w:val="002A2DFF"/>
    <w:rsid w:val="002A4CA0"/>
    <w:rsid w:val="002A5AC4"/>
    <w:rsid w:val="002A5FC3"/>
    <w:rsid w:val="002A699C"/>
    <w:rsid w:val="002A71EA"/>
    <w:rsid w:val="002A7D9A"/>
    <w:rsid w:val="002B17A4"/>
    <w:rsid w:val="002B33FE"/>
    <w:rsid w:val="002B3829"/>
    <w:rsid w:val="002B3E95"/>
    <w:rsid w:val="002B4D4D"/>
    <w:rsid w:val="002B5B44"/>
    <w:rsid w:val="002B5C39"/>
    <w:rsid w:val="002B687C"/>
    <w:rsid w:val="002B6C66"/>
    <w:rsid w:val="002B7135"/>
    <w:rsid w:val="002B7F59"/>
    <w:rsid w:val="002C002F"/>
    <w:rsid w:val="002C0C10"/>
    <w:rsid w:val="002C104F"/>
    <w:rsid w:val="002C226A"/>
    <w:rsid w:val="002C37CF"/>
    <w:rsid w:val="002C63B8"/>
    <w:rsid w:val="002D1C20"/>
    <w:rsid w:val="002D28C9"/>
    <w:rsid w:val="002D488F"/>
    <w:rsid w:val="002D48CE"/>
    <w:rsid w:val="002D49EA"/>
    <w:rsid w:val="002D4E26"/>
    <w:rsid w:val="002D5A1E"/>
    <w:rsid w:val="002D6931"/>
    <w:rsid w:val="002E0586"/>
    <w:rsid w:val="002E0BE3"/>
    <w:rsid w:val="002E0F40"/>
    <w:rsid w:val="002E2F0C"/>
    <w:rsid w:val="002E3C3E"/>
    <w:rsid w:val="002E461E"/>
    <w:rsid w:val="002E5D24"/>
    <w:rsid w:val="002E5E87"/>
    <w:rsid w:val="002F1224"/>
    <w:rsid w:val="002F1755"/>
    <w:rsid w:val="002F1924"/>
    <w:rsid w:val="002F334D"/>
    <w:rsid w:val="002F4DD3"/>
    <w:rsid w:val="002F524A"/>
    <w:rsid w:val="002F617F"/>
    <w:rsid w:val="002F61AC"/>
    <w:rsid w:val="002F77CE"/>
    <w:rsid w:val="003003D9"/>
    <w:rsid w:val="0030070A"/>
    <w:rsid w:val="00301282"/>
    <w:rsid w:val="00301739"/>
    <w:rsid w:val="003030E6"/>
    <w:rsid w:val="003033D9"/>
    <w:rsid w:val="00303549"/>
    <w:rsid w:val="00305788"/>
    <w:rsid w:val="0030605A"/>
    <w:rsid w:val="003070EC"/>
    <w:rsid w:val="003104D0"/>
    <w:rsid w:val="0031162E"/>
    <w:rsid w:val="003122C3"/>
    <w:rsid w:val="003122F4"/>
    <w:rsid w:val="0031272E"/>
    <w:rsid w:val="00312DEF"/>
    <w:rsid w:val="00315681"/>
    <w:rsid w:val="0032024B"/>
    <w:rsid w:val="00321E35"/>
    <w:rsid w:val="00323981"/>
    <w:rsid w:val="00323EFE"/>
    <w:rsid w:val="00324138"/>
    <w:rsid w:val="0032539B"/>
    <w:rsid w:val="00325572"/>
    <w:rsid w:val="003255F3"/>
    <w:rsid w:val="003259E9"/>
    <w:rsid w:val="00325E7F"/>
    <w:rsid w:val="003268D5"/>
    <w:rsid w:val="0032721F"/>
    <w:rsid w:val="003316D9"/>
    <w:rsid w:val="003319C2"/>
    <w:rsid w:val="00331E03"/>
    <w:rsid w:val="00331E58"/>
    <w:rsid w:val="00332CFB"/>
    <w:rsid w:val="003344C3"/>
    <w:rsid w:val="003346FB"/>
    <w:rsid w:val="00334DA6"/>
    <w:rsid w:val="003368B0"/>
    <w:rsid w:val="003368F5"/>
    <w:rsid w:val="00336BDB"/>
    <w:rsid w:val="00337160"/>
    <w:rsid w:val="0033740D"/>
    <w:rsid w:val="003375F9"/>
    <w:rsid w:val="00337C6F"/>
    <w:rsid w:val="0034416B"/>
    <w:rsid w:val="00344779"/>
    <w:rsid w:val="0034490D"/>
    <w:rsid w:val="003449B0"/>
    <w:rsid w:val="00345037"/>
    <w:rsid w:val="003452E3"/>
    <w:rsid w:val="00345760"/>
    <w:rsid w:val="00345BBA"/>
    <w:rsid w:val="0034634D"/>
    <w:rsid w:val="0035007A"/>
    <w:rsid w:val="003533F7"/>
    <w:rsid w:val="00353D8F"/>
    <w:rsid w:val="00354D27"/>
    <w:rsid w:val="00354FBB"/>
    <w:rsid w:val="00362782"/>
    <w:rsid w:val="0036314A"/>
    <w:rsid w:val="00364ABC"/>
    <w:rsid w:val="00364BEC"/>
    <w:rsid w:val="00365E5D"/>
    <w:rsid w:val="003663B5"/>
    <w:rsid w:val="00367748"/>
    <w:rsid w:val="003677DC"/>
    <w:rsid w:val="00370A96"/>
    <w:rsid w:val="0037228F"/>
    <w:rsid w:val="003722D2"/>
    <w:rsid w:val="0037265C"/>
    <w:rsid w:val="00372F6E"/>
    <w:rsid w:val="00374801"/>
    <w:rsid w:val="00375A73"/>
    <w:rsid w:val="00376891"/>
    <w:rsid w:val="00377A89"/>
    <w:rsid w:val="00380E06"/>
    <w:rsid w:val="00381240"/>
    <w:rsid w:val="00381F48"/>
    <w:rsid w:val="003839F0"/>
    <w:rsid w:val="003848D4"/>
    <w:rsid w:val="00384FA3"/>
    <w:rsid w:val="003856CB"/>
    <w:rsid w:val="003858A6"/>
    <w:rsid w:val="0039130B"/>
    <w:rsid w:val="003913AA"/>
    <w:rsid w:val="00392DCC"/>
    <w:rsid w:val="00392FF4"/>
    <w:rsid w:val="003932D4"/>
    <w:rsid w:val="00393D04"/>
    <w:rsid w:val="00394DD6"/>
    <w:rsid w:val="003959C6"/>
    <w:rsid w:val="00396AD1"/>
    <w:rsid w:val="00396AFE"/>
    <w:rsid w:val="00396C3D"/>
    <w:rsid w:val="00397903"/>
    <w:rsid w:val="003A0DBA"/>
    <w:rsid w:val="003A177C"/>
    <w:rsid w:val="003A2249"/>
    <w:rsid w:val="003A22F3"/>
    <w:rsid w:val="003A25AC"/>
    <w:rsid w:val="003A3F97"/>
    <w:rsid w:val="003A7B94"/>
    <w:rsid w:val="003A7C99"/>
    <w:rsid w:val="003B0BAC"/>
    <w:rsid w:val="003B0E01"/>
    <w:rsid w:val="003B0FA8"/>
    <w:rsid w:val="003B1F78"/>
    <w:rsid w:val="003B4A3C"/>
    <w:rsid w:val="003B5557"/>
    <w:rsid w:val="003B5588"/>
    <w:rsid w:val="003B6877"/>
    <w:rsid w:val="003B6F8A"/>
    <w:rsid w:val="003B7B75"/>
    <w:rsid w:val="003C1890"/>
    <w:rsid w:val="003C206E"/>
    <w:rsid w:val="003C209B"/>
    <w:rsid w:val="003C2865"/>
    <w:rsid w:val="003C29C3"/>
    <w:rsid w:val="003C3A99"/>
    <w:rsid w:val="003C5297"/>
    <w:rsid w:val="003C61A5"/>
    <w:rsid w:val="003C6A92"/>
    <w:rsid w:val="003C7FB3"/>
    <w:rsid w:val="003D1FB2"/>
    <w:rsid w:val="003D2ACF"/>
    <w:rsid w:val="003D3B95"/>
    <w:rsid w:val="003D3BEE"/>
    <w:rsid w:val="003D4CBF"/>
    <w:rsid w:val="003D4EB1"/>
    <w:rsid w:val="003D5B42"/>
    <w:rsid w:val="003D6269"/>
    <w:rsid w:val="003D6EC4"/>
    <w:rsid w:val="003D74C3"/>
    <w:rsid w:val="003D7CEA"/>
    <w:rsid w:val="003D7CF1"/>
    <w:rsid w:val="003D7DB6"/>
    <w:rsid w:val="003E0019"/>
    <w:rsid w:val="003E059A"/>
    <w:rsid w:val="003E16AF"/>
    <w:rsid w:val="003E1B90"/>
    <w:rsid w:val="003E2149"/>
    <w:rsid w:val="003E2ED1"/>
    <w:rsid w:val="003E3112"/>
    <w:rsid w:val="003E38B0"/>
    <w:rsid w:val="003E38B3"/>
    <w:rsid w:val="003E3B17"/>
    <w:rsid w:val="003E4081"/>
    <w:rsid w:val="003E46CC"/>
    <w:rsid w:val="003E4CC9"/>
    <w:rsid w:val="003E4D87"/>
    <w:rsid w:val="003E4E40"/>
    <w:rsid w:val="003E5827"/>
    <w:rsid w:val="003E5A42"/>
    <w:rsid w:val="003E61E2"/>
    <w:rsid w:val="003E6231"/>
    <w:rsid w:val="003F023C"/>
    <w:rsid w:val="003F0A58"/>
    <w:rsid w:val="003F12EB"/>
    <w:rsid w:val="003F1491"/>
    <w:rsid w:val="003F159A"/>
    <w:rsid w:val="003F2477"/>
    <w:rsid w:val="003F29FC"/>
    <w:rsid w:val="003F2A80"/>
    <w:rsid w:val="003F3990"/>
    <w:rsid w:val="003F3BFA"/>
    <w:rsid w:val="003F4C0B"/>
    <w:rsid w:val="003F5C53"/>
    <w:rsid w:val="003F60AF"/>
    <w:rsid w:val="003F71F2"/>
    <w:rsid w:val="00401064"/>
    <w:rsid w:val="00401119"/>
    <w:rsid w:val="0040154D"/>
    <w:rsid w:val="00401F4E"/>
    <w:rsid w:val="0040353E"/>
    <w:rsid w:val="00404CBA"/>
    <w:rsid w:val="00404F78"/>
    <w:rsid w:val="00406514"/>
    <w:rsid w:val="00406A91"/>
    <w:rsid w:val="004070CA"/>
    <w:rsid w:val="004072F1"/>
    <w:rsid w:val="00410149"/>
    <w:rsid w:val="0041023A"/>
    <w:rsid w:val="00410F14"/>
    <w:rsid w:val="0041167C"/>
    <w:rsid w:val="0041243B"/>
    <w:rsid w:val="00412BA6"/>
    <w:rsid w:val="00412D61"/>
    <w:rsid w:val="00413C1C"/>
    <w:rsid w:val="00415D9D"/>
    <w:rsid w:val="00416762"/>
    <w:rsid w:val="00417B16"/>
    <w:rsid w:val="00420568"/>
    <w:rsid w:val="00421351"/>
    <w:rsid w:val="0042340B"/>
    <w:rsid w:val="00423FA0"/>
    <w:rsid w:val="00424EA3"/>
    <w:rsid w:val="00425002"/>
    <w:rsid w:val="00425460"/>
    <w:rsid w:val="00426BEC"/>
    <w:rsid w:val="0042779D"/>
    <w:rsid w:val="00427CB1"/>
    <w:rsid w:val="00430604"/>
    <w:rsid w:val="00430AA7"/>
    <w:rsid w:val="00430BA2"/>
    <w:rsid w:val="004311B8"/>
    <w:rsid w:val="0043359B"/>
    <w:rsid w:val="0043402D"/>
    <w:rsid w:val="00435698"/>
    <w:rsid w:val="004370F9"/>
    <w:rsid w:val="00437C9B"/>
    <w:rsid w:val="0044185E"/>
    <w:rsid w:val="00442BF9"/>
    <w:rsid w:val="00442F2F"/>
    <w:rsid w:val="0044384A"/>
    <w:rsid w:val="004449B3"/>
    <w:rsid w:val="00444B8F"/>
    <w:rsid w:val="00445265"/>
    <w:rsid w:val="0044597B"/>
    <w:rsid w:val="00445FF0"/>
    <w:rsid w:val="004464F9"/>
    <w:rsid w:val="00446DA9"/>
    <w:rsid w:val="00447A7B"/>
    <w:rsid w:val="00450C45"/>
    <w:rsid w:val="00450E07"/>
    <w:rsid w:val="0045173F"/>
    <w:rsid w:val="00451C6D"/>
    <w:rsid w:val="00451E34"/>
    <w:rsid w:val="00451F3E"/>
    <w:rsid w:val="004520C9"/>
    <w:rsid w:val="00452D10"/>
    <w:rsid w:val="00452D31"/>
    <w:rsid w:val="00453362"/>
    <w:rsid w:val="004542DB"/>
    <w:rsid w:val="0045487F"/>
    <w:rsid w:val="004555DD"/>
    <w:rsid w:val="004556D4"/>
    <w:rsid w:val="00455997"/>
    <w:rsid w:val="004559CE"/>
    <w:rsid w:val="004568A7"/>
    <w:rsid w:val="00457938"/>
    <w:rsid w:val="0046026D"/>
    <w:rsid w:val="00460309"/>
    <w:rsid w:val="00461AD5"/>
    <w:rsid w:val="004624CC"/>
    <w:rsid w:val="00462D8C"/>
    <w:rsid w:val="0046321B"/>
    <w:rsid w:val="00463F69"/>
    <w:rsid w:val="00464D01"/>
    <w:rsid w:val="00465E85"/>
    <w:rsid w:val="004717E2"/>
    <w:rsid w:val="00471A04"/>
    <w:rsid w:val="00475A91"/>
    <w:rsid w:val="00475B7B"/>
    <w:rsid w:val="00475F4D"/>
    <w:rsid w:val="00476864"/>
    <w:rsid w:val="00476F0E"/>
    <w:rsid w:val="004802B1"/>
    <w:rsid w:val="00480F19"/>
    <w:rsid w:val="00482AD1"/>
    <w:rsid w:val="00483049"/>
    <w:rsid w:val="004842FB"/>
    <w:rsid w:val="00485D56"/>
    <w:rsid w:val="00486923"/>
    <w:rsid w:val="00486B91"/>
    <w:rsid w:val="00486CB5"/>
    <w:rsid w:val="004918E6"/>
    <w:rsid w:val="00492499"/>
    <w:rsid w:val="00492F66"/>
    <w:rsid w:val="00492FCB"/>
    <w:rsid w:val="00493295"/>
    <w:rsid w:val="00493351"/>
    <w:rsid w:val="00493467"/>
    <w:rsid w:val="004938D1"/>
    <w:rsid w:val="004945B0"/>
    <w:rsid w:val="00494959"/>
    <w:rsid w:val="00494E0B"/>
    <w:rsid w:val="004951A8"/>
    <w:rsid w:val="00495CFA"/>
    <w:rsid w:val="00495D87"/>
    <w:rsid w:val="00497F23"/>
    <w:rsid w:val="004A02B3"/>
    <w:rsid w:val="004A077D"/>
    <w:rsid w:val="004A0D94"/>
    <w:rsid w:val="004A369A"/>
    <w:rsid w:val="004A3DBE"/>
    <w:rsid w:val="004A5C34"/>
    <w:rsid w:val="004A65BA"/>
    <w:rsid w:val="004A7BC2"/>
    <w:rsid w:val="004B04ED"/>
    <w:rsid w:val="004B0B9C"/>
    <w:rsid w:val="004B0E32"/>
    <w:rsid w:val="004B16D3"/>
    <w:rsid w:val="004B2CE4"/>
    <w:rsid w:val="004B3044"/>
    <w:rsid w:val="004B3103"/>
    <w:rsid w:val="004B31E9"/>
    <w:rsid w:val="004B39F9"/>
    <w:rsid w:val="004B4B44"/>
    <w:rsid w:val="004C0C1E"/>
    <w:rsid w:val="004C1059"/>
    <w:rsid w:val="004C373E"/>
    <w:rsid w:val="004C4C5A"/>
    <w:rsid w:val="004C4E9A"/>
    <w:rsid w:val="004C59CB"/>
    <w:rsid w:val="004C6C49"/>
    <w:rsid w:val="004C76A9"/>
    <w:rsid w:val="004C7A4F"/>
    <w:rsid w:val="004D07AC"/>
    <w:rsid w:val="004D28B5"/>
    <w:rsid w:val="004D412D"/>
    <w:rsid w:val="004D4D5E"/>
    <w:rsid w:val="004D518C"/>
    <w:rsid w:val="004D5EF0"/>
    <w:rsid w:val="004D615B"/>
    <w:rsid w:val="004D61C7"/>
    <w:rsid w:val="004D62D2"/>
    <w:rsid w:val="004D69BD"/>
    <w:rsid w:val="004E07BE"/>
    <w:rsid w:val="004E1062"/>
    <w:rsid w:val="004E2633"/>
    <w:rsid w:val="004E2EAB"/>
    <w:rsid w:val="004E350E"/>
    <w:rsid w:val="004E3CC9"/>
    <w:rsid w:val="004E5707"/>
    <w:rsid w:val="004E6C16"/>
    <w:rsid w:val="004E70A3"/>
    <w:rsid w:val="004E79A8"/>
    <w:rsid w:val="004F1164"/>
    <w:rsid w:val="004F14F1"/>
    <w:rsid w:val="004F4950"/>
    <w:rsid w:val="004F5655"/>
    <w:rsid w:val="004F62A2"/>
    <w:rsid w:val="004F7073"/>
    <w:rsid w:val="00500E7C"/>
    <w:rsid w:val="00502A1C"/>
    <w:rsid w:val="00503268"/>
    <w:rsid w:val="005036ED"/>
    <w:rsid w:val="0050570B"/>
    <w:rsid w:val="00505E95"/>
    <w:rsid w:val="005067E4"/>
    <w:rsid w:val="0050732D"/>
    <w:rsid w:val="00510550"/>
    <w:rsid w:val="005112A1"/>
    <w:rsid w:val="00511B46"/>
    <w:rsid w:val="00513AC2"/>
    <w:rsid w:val="00514E24"/>
    <w:rsid w:val="00516785"/>
    <w:rsid w:val="00517024"/>
    <w:rsid w:val="005177FE"/>
    <w:rsid w:val="0052092F"/>
    <w:rsid w:val="00520E2C"/>
    <w:rsid w:val="00520FD1"/>
    <w:rsid w:val="005213A9"/>
    <w:rsid w:val="00521F78"/>
    <w:rsid w:val="00522E6F"/>
    <w:rsid w:val="00522FAD"/>
    <w:rsid w:val="005232A9"/>
    <w:rsid w:val="0052405A"/>
    <w:rsid w:val="0052419D"/>
    <w:rsid w:val="0052571E"/>
    <w:rsid w:val="00525D97"/>
    <w:rsid w:val="005266F7"/>
    <w:rsid w:val="00527504"/>
    <w:rsid w:val="00530025"/>
    <w:rsid w:val="005301F8"/>
    <w:rsid w:val="00530BFF"/>
    <w:rsid w:val="00531143"/>
    <w:rsid w:val="005312FC"/>
    <w:rsid w:val="00531BF0"/>
    <w:rsid w:val="0053271D"/>
    <w:rsid w:val="0053603D"/>
    <w:rsid w:val="005368AC"/>
    <w:rsid w:val="00536A4A"/>
    <w:rsid w:val="00536E40"/>
    <w:rsid w:val="0053772C"/>
    <w:rsid w:val="0054060C"/>
    <w:rsid w:val="00541DE5"/>
    <w:rsid w:val="00543CBE"/>
    <w:rsid w:val="0054453B"/>
    <w:rsid w:val="00544BA2"/>
    <w:rsid w:val="005455DC"/>
    <w:rsid w:val="00545BF7"/>
    <w:rsid w:val="00546E97"/>
    <w:rsid w:val="005474F8"/>
    <w:rsid w:val="0055128B"/>
    <w:rsid w:val="00552846"/>
    <w:rsid w:val="00552E07"/>
    <w:rsid w:val="005534DA"/>
    <w:rsid w:val="00553D76"/>
    <w:rsid w:val="00555875"/>
    <w:rsid w:val="00560DD6"/>
    <w:rsid w:val="00561CF0"/>
    <w:rsid w:val="005623A1"/>
    <w:rsid w:val="00562816"/>
    <w:rsid w:val="00563D0C"/>
    <w:rsid w:val="00565CE7"/>
    <w:rsid w:val="005670B2"/>
    <w:rsid w:val="00567E04"/>
    <w:rsid w:val="0057082F"/>
    <w:rsid w:val="0057212D"/>
    <w:rsid w:val="005722AB"/>
    <w:rsid w:val="00572E3B"/>
    <w:rsid w:val="00572E4D"/>
    <w:rsid w:val="00572F9D"/>
    <w:rsid w:val="005744EC"/>
    <w:rsid w:val="00575900"/>
    <w:rsid w:val="00576521"/>
    <w:rsid w:val="00577B33"/>
    <w:rsid w:val="005816A1"/>
    <w:rsid w:val="005823F1"/>
    <w:rsid w:val="0058497F"/>
    <w:rsid w:val="0058527B"/>
    <w:rsid w:val="00585782"/>
    <w:rsid w:val="005866D9"/>
    <w:rsid w:val="005868DE"/>
    <w:rsid w:val="0058792D"/>
    <w:rsid w:val="005917D3"/>
    <w:rsid w:val="00592A5A"/>
    <w:rsid w:val="00592C9D"/>
    <w:rsid w:val="00593258"/>
    <w:rsid w:val="00594A90"/>
    <w:rsid w:val="00595095"/>
    <w:rsid w:val="005952B8"/>
    <w:rsid w:val="005966ED"/>
    <w:rsid w:val="005968BE"/>
    <w:rsid w:val="005969AB"/>
    <w:rsid w:val="00596EA2"/>
    <w:rsid w:val="005A00A3"/>
    <w:rsid w:val="005A11CE"/>
    <w:rsid w:val="005A1925"/>
    <w:rsid w:val="005A1F7F"/>
    <w:rsid w:val="005A3130"/>
    <w:rsid w:val="005A57C4"/>
    <w:rsid w:val="005A77BF"/>
    <w:rsid w:val="005A7C67"/>
    <w:rsid w:val="005A7CF1"/>
    <w:rsid w:val="005B0306"/>
    <w:rsid w:val="005B09A4"/>
    <w:rsid w:val="005B178F"/>
    <w:rsid w:val="005B2CBF"/>
    <w:rsid w:val="005B332F"/>
    <w:rsid w:val="005B3736"/>
    <w:rsid w:val="005B4909"/>
    <w:rsid w:val="005B49A6"/>
    <w:rsid w:val="005B5ABE"/>
    <w:rsid w:val="005B6432"/>
    <w:rsid w:val="005B6C49"/>
    <w:rsid w:val="005B7259"/>
    <w:rsid w:val="005B725A"/>
    <w:rsid w:val="005B7884"/>
    <w:rsid w:val="005C0C9F"/>
    <w:rsid w:val="005C0F47"/>
    <w:rsid w:val="005C249B"/>
    <w:rsid w:val="005C490D"/>
    <w:rsid w:val="005C56E3"/>
    <w:rsid w:val="005C6AD8"/>
    <w:rsid w:val="005C7A1B"/>
    <w:rsid w:val="005D035C"/>
    <w:rsid w:val="005D1BF7"/>
    <w:rsid w:val="005D1DDF"/>
    <w:rsid w:val="005D2249"/>
    <w:rsid w:val="005D37A9"/>
    <w:rsid w:val="005D60D7"/>
    <w:rsid w:val="005D6582"/>
    <w:rsid w:val="005D7E27"/>
    <w:rsid w:val="005E009F"/>
    <w:rsid w:val="005E0B72"/>
    <w:rsid w:val="005E129E"/>
    <w:rsid w:val="005E320E"/>
    <w:rsid w:val="005E3D70"/>
    <w:rsid w:val="005E68C7"/>
    <w:rsid w:val="005E77BF"/>
    <w:rsid w:val="005E7C33"/>
    <w:rsid w:val="005F00D3"/>
    <w:rsid w:val="005F0E6E"/>
    <w:rsid w:val="005F383B"/>
    <w:rsid w:val="005F44FE"/>
    <w:rsid w:val="005F5528"/>
    <w:rsid w:val="005F553C"/>
    <w:rsid w:val="005F56CE"/>
    <w:rsid w:val="005F630E"/>
    <w:rsid w:val="005F7158"/>
    <w:rsid w:val="005F78D1"/>
    <w:rsid w:val="00600EC9"/>
    <w:rsid w:val="00604005"/>
    <w:rsid w:val="006049C0"/>
    <w:rsid w:val="006056B3"/>
    <w:rsid w:val="0060595B"/>
    <w:rsid w:val="00605AFD"/>
    <w:rsid w:val="00605C3E"/>
    <w:rsid w:val="00606414"/>
    <w:rsid w:val="0060731C"/>
    <w:rsid w:val="00607C7C"/>
    <w:rsid w:val="00607E6E"/>
    <w:rsid w:val="006101D0"/>
    <w:rsid w:val="0061020B"/>
    <w:rsid w:val="006123D4"/>
    <w:rsid w:val="00612720"/>
    <w:rsid w:val="00612DEA"/>
    <w:rsid w:val="006140DC"/>
    <w:rsid w:val="00614B45"/>
    <w:rsid w:val="006153CD"/>
    <w:rsid w:val="006165EF"/>
    <w:rsid w:val="00616AFB"/>
    <w:rsid w:val="006173B4"/>
    <w:rsid w:val="00620A1C"/>
    <w:rsid w:val="00621340"/>
    <w:rsid w:val="00622242"/>
    <w:rsid w:val="0062630E"/>
    <w:rsid w:val="00626CF2"/>
    <w:rsid w:val="00626FCD"/>
    <w:rsid w:val="00630EC8"/>
    <w:rsid w:val="0063205F"/>
    <w:rsid w:val="006343A7"/>
    <w:rsid w:val="00634E4C"/>
    <w:rsid w:val="0063532D"/>
    <w:rsid w:val="0063550E"/>
    <w:rsid w:val="00635BBD"/>
    <w:rsid w:val="006361BB"/>
    <w:rsid w:val="006368FC"/>
    <w:rsid w:val="00637422"/>
    <w:rsid w:val="00637C14"/>
    <w:rsid w:val="00640E39"/>
    <w:rsid w:val="00641A84"/>
    <w:rsid w:val="006428CC"/>
    <w:rsid w:val="00642E61"/>
    <w:rsid w:val="006435D2"/>
    <w:rsid w:val="00644AFF"/>
    <w:rsid w:val="00646EAF"/>
    <w:rsid w:val="00650B54"/>
    <w:rsid w:val="00651353"/>
    <w:rsid w:val="0065175E"/>
    <w:rsid w:val="00651CB4"/>
    <w:rsid w:val="0065488A"/>
    <w:rsid w:val="00654AE9"/>
    <w:rsid w:val="00654EED"/>
    <w:rsid w:val="0065507E"/>
    <w:rsid w:val="00656356"/>
    <w:rsid w:val="00656A59"/>
    <w:rsid w:val="00660D49"/>
    <w:rsid w:val="00661016"/>
    <w:rsid w:val="006629C1"/>
    <w:rsid w:val="00662D9D"/>
    <w:rsid w:val="006634AB"/>
    <w:rsid w:val="006644A2"/>
    <w:rsid w:val="00664650"/>
    <w:rsid w:val="006655F9"/>
    <w:rsid w:val="00666890"/>
    <w:rsid w:val="0067084B"/>
    <w:rsid w:val="00670AE7"/>
    <w:rsid w:val="00670BE8"/>
    <w:rsid w:val="00671184"/>
    <w:rsid w:val="00671FD3"/>
    <w:rsid w:val="0067215C"/>
    <w:rsid w:val="00674B07"/>
    <w:rsid w:val="00675505"/>
    <w:rsid w:val="006755BF"/>
    <w:rsid w:val="00675C75"/>
    <w:rsid w:val="00676838"/>
    <w:rsid w:val="006824D7"/>
    <w:rsid w:val="00683D0C"/>
    <w:rsid w:val="0068433D"/>
    <w:rsid w:val="00685866"/>
    <w:rsid w:val="006860FE"/>
    <w:rsid w:val="00686165"/>
    <w:rsid w:val="00686CFE"/>
    <w:rsid w:val="00687C7E"/>
    <w:rsid w:val="00690F33"/>
    <w:rsid w:val="00691CB5"/>
    <w:rsid w:val="00692390"/>
    <w:rsid w:val="00692D8E"/>
    <w:rsid w:val="006939A9"/>
    <w:rsid w:val="00696085"/>
    <w:rsid w:val="0069639A"/>
    <w:rsid w:val="0069653B"/>
    <w:rsid w:val="00696A2A"/>
    <w:rsid w:val="00696E67"/>
    <w:rsid w:val="0069713B"/>
    <w:rsid w:val="006A069B"/>
    <w:rsid w:val="006A0DBF"/>
    <w:rsid w:val="006A2145"/>
    <w:rsid w:val="006A2694"/>
    <w:rsid w:val="006A2843"/>
    <w:rsid w:val="006A3D60"/>
    <w:rsid w:val="006A4BB4"/>
    <w:rsid w:val="006A57D8"/>
    <w:rsid w:val="006A5ABE"/>
    <w:rsid w:val="006A5BE9"/>
    <w:rsid w:val="006A69B7"/>
    <w:rsid w:val="006A6CCA"/>
    <w:rsid w:val="006A6E9C"/>
    <w:rsid w:val="006A6EE1"/>
    <w:rsid w:val="006A73AB"/>
    <w:rsid w:val="006B2316"/>
    <w:rsid w:val="006B2C49"/>
    <w:rsid w:val="006B5E7C"/>
    <w:rsid w:val="006B5F9F"/>
    <w:rsid w:val="006B6286"/>
    <w:rsid w:val="006B6CE5"/>
    <w:rsid w:val="006C0773"/>
    <w:rsid w:val="006C2440"/>
    <w:rsid w:val="006C2CFB"/>
    <w:rsid w:val="006C2CFE"/>
    <w:rsid w:val="006C3C82"/>
    <w:rsid w:val="006C645D"/>
    <w:rsid w:val="006C7203"/>
    <w:rsid w:val="006D020D"/>
    <w:rsid w:val="006D0C9D"/>
    <w:rsid w:val="006D12D6"/>
    <w:rsid w:val="006D1EEB"/>
    <w:rsid w:val="006D25E4"/>
    <w:rsid w:val="006D283E"/>
    <w:rsid w:val="006D2DC9"/>
    <w:rsid w:val="006D2E65"/>
    <w:rsid w:val="006D33E3"/>
    <w:rsid w:val="006D42C7"/>
    <w:rsid w:val="006D49F6"/>
    <w:rsid w:val="006D4A7F"/>
    <w:rsid w:val="006D5C38"/>
    <w:rsid w:val="006D7DF0"/>
    <w:rsid w:val="006E01A1"/>
    <w:rsid w:val="006E0774"/>
    <w:rsid w:val="006E111E"/>
    <w:rsid w:val="006E1808"/>
    <w:rsid w:val="006E3209"/>
    <w:rsid w:val="006E378D"/>
    <w:rsid w:val="006E3CC3"/>
    <w:rsid w:val="006E4DF8"/>
    <w:rsid w:val="006E5409"/>
    <w:rsid w:val="006F0E85"/>
    <w:rsid w:val="006F1CEF"/>
    <w:rsid w:val="006F31FC"/>
    <w:rsid w:val="006F33C4"/>
    <w:rsid w:val="006F45B1"/>
    <w:rsid w:val="006F49B5"/>
    <w:rsid w:val="006F5745"/>
    <w:rsid w:val="006F5B82"/>
    <w:rsid w:val="006F618C"/>
    <w:rsid w:val="006F656C"/>
    <w:rsid w:val="006F7101"/>
    <w:rsid w:val="007001DE"/>
    <w:rsid w:val="0070111C"/>
    <w:rsid w:val="0070143A"/>
    <w:rsid w:val="00701B49"/>
    <w:rsid w:val="007031A3"/>
    <w:rsid w:val="00704081"/>
    <w:rsid w:val="007062CE"/>
    <w:rsid w:val="007068F5"/>
    <w:rsid w:val="00707014"/>
    <w:rsid w:val="0070787D"/>
    <w:rsid w:val="00710860"/>
    <w:rsid w:val="00710958"/>
    <w:rsid w:val="00711B44"/>
    <w:rsid w:val="00711F54"/>
    <w:rsid w:val="00712207"/>
    <w:rsid w:val="00713A9F"/>
    <w:rsid w:val="007143D5"/>
    <w:rsid w:val="0071610E"/>
    <w:rsid w:val="00717A9E"/>
    <w:rsid w:val="00717FA4"/>
    <w:rsid w:val="007203C0"/>
    <w:rsid w:val="007222AB"/>
    <w:rsid w:val="00722888"/>
    <w:rsid w:val="00724DEE"/>
    <w:rsid w:val="00724EAE"/>
    <w:rsid w:val="00725A50"/>
    <w:rsid w:val="00725F65"/>
    <w:rsid w:val="00726230"/>
    <w:rsid w:val="007265B7"/>
    <w:rsid w:val="0072668B"/>
    <w:rsid w:val="00727A1F"/>
    <w:rsid w:val="00727A62"/>
    <w:rsid w:val="007315C6"/>
    <w:rsid w:val="0073178A"/>
    <w:rsid w:val="0073220E"/>
    <w:rsid w:val="00732A18"/>
    <w:rsid w:val="00732A7C"/>
    <w:rsid w:val="00732D9D"/>
    <w:rsid w:val="007330CE"/>
    <w:rsid w:val="00733212"/>
    <w:rsid w:val="00733663"/>
    <w:rsid w:val="00734117"/>
    <w:rsid w:val="0073472B"/>
    <w:rsid w:val="0073494F"/>
    <w:rsid w:val="0073498C"/>
    <w:rsid w:val="00734D47"/>
    <w:rsid w:val="00736ACA"/>
    <w:rsid w:val="0074125B"/>
    <w:rsid w:val="00741618"/>
    <w:rsid w:val="0074226A"/>
    <w:rsid w:val="0074252F"/>
    <w:rsid w:val="00743E8F"/>
    <w:rsid w:val="00744724"/>
    <w:rsid w:val="0074489B"/>
    <w:rsid w:val="00744DD7"/>
    <w:rsid w:val="007450C8"/>
    <w:rsid w:val="007452C2"/>
    <w:rsid w:val="00745A87"/>
    <w:rsid w:val="00745F0E"/>
    <w:rsid w:val="0074619C"/>
    <w:rsid w:val="00746B05"/>
    <w:rsid w:val="0074795D"/>
    <w:rsid w:val="00747ACD"/>
    <w:rsid w:val="00750206"/>
    <w:rsid w:val="00750917"/>
    <w:rsid w:val="007517D9"/>
    <w:rsid w:val="00751B82"/>
    <w:rsid w:val="0075296B"/>
    <w:rsid w:val="00752EC9"/>
    <w:rsid w:val="00752F8D"/>
    <w:rsid w:val="0075482C"/>
    <w:rsid w:val="00754B57"/>
    <w:rsid w:val="0075531C"/>
    <w:rsid w:val="007603CD"/>
    <w:rsid w:val="00760B58"/>
    <w:rsid w:val="007631E1"/>
    <w:rsid w:val="00763356"/>
    <w:rsid w:val="0076356E"/>
    <w:rsid w:val="00765B05"/>
    <w:rsid w:val="007662EC"/>
    <w:rsid w:val="007663EC"/>
    <w:rsid w:val="007665C4"/>
    <w:rsid w:val="00767E81"/>
    <w:rsid w:val="00773869"/>
    <w:rsid w:val="007739DC"/>
    <w:rsid w:val="007747FB"/>
    <w:rsid w:val="00774986"/>
    <w:rsid w:val="00774E20"/>
    <w:rsid w:val="00776FE0"/>
    <w:rsid w:val="0077769C"/>
    <w:rsid w:val="00777A48"/>
    <w:rsid w:val="00777DFA"/>
    <w:rsid w:val="00780E12"/>
    <w:rsid w:val="00781B6F"/>
    <w:rsid w:val="00781C0A"/>
    <w:rsid w:val="00781FD6"/>
    <w:rsid w:val="0078202F"/>
    <w:rsid w:val="00782074"/>
    <w:rsid w:val="00782CA8"/>
    <w:rsid w:val="00783F3B"/>
    <w:rsid w:val="00784773"/>
    <w:rsid w:val="0078509F"/>
    <w:rsid w:val="007864FB"/>
    <w:rsid w:val="0078688B"/>
    <w:rsid w:val="007873BA"/>
    <w:rsid w:val="00791C9A"/>
    <w:rsid w:val="00792395"/>
    <w:rsid w:val="00792E7F"/>
    <w:rsid w:val="00793BAF"/>
    <w:rsid w:val="00793BF5"/>
    <w:rsid w:val="00794499"/>
    <w:rsid w:val="00795DC7"/>
    <w:rsid w:val="007967C9"/>
    <w:rsid w:val="00796E04"/>
    <w:rsid w:val="00797F6D"/>
    <w:rsid w:val="007A08E8"/>
    <w:rsid w:val="007A1EC5"/>
    <w:rsid w:val="007A20BA"/>
    <w:rsid w:val="007A237B"/>
    <w:rsid w:val="007A37BF"/>
    <w:rsid w:val="007A39CD"/>
    <w:rsid w:val="007A4559"/>
    <w:rsid w:val="007A57D0"/>
    <w:rsid w:val="007A66F8"/>
    <w:rsid w:val="007A6FE7"/>
    <w:rsid w:val="007B0D44"/>
    <w:rsid w:val="007B13C1"/>
    <w:rsid w:val="007B14AD"/>
    <w:rsid w:val="007B1507"/>
    <w:rsid w:val="007B18EF"/>
    <w:rsid w:val="007B3188"/>
    <w:rsid w:val="007B3BB1"/>
    <w:rsid w:val="007B629E"/>
    <w:rsid w:val="007B66D3"/>
    <w:rsid w:val="007B6B90"/>
    <w:rsid w:val="007C1F93"/>
    <w:rsid w:val="007C2365"/>
    <w:rsid w:val="007C30B2"/>
    <w:rsid w:val="007C3130"/>
    <w:rsid w:val="007C342F"/>
    <w:rsid w:val="007C3ABD"/>
    <w:rsid w:val="007C3ADA"/>
    <w:rsid w:val="007C4851"/>
    <w:rsid w:val="007C5392"/>
    <w:rsid w:val="007C53EB"/>
    <w:rsid w:val="007C6067"/>
    <w:rsid w:val="007C6073"/>
    <w:rsid w:val="007C616E"/>
    <w:rsid w:val="007D0035"/>
    <w:rsid w:val="007D03FD"/>
    <w:rsid w:val="007D2015"/>
    <w:rsid w:val="007D28D6"/>
    <w:rsid w:val="007D34C4"/>
    <w:rsid w:val="007D3BA2"/>
    <w:rsid w:val="007D4F4E"/>
    <w:rsid w:val="007D52F7"/>
    <w:rsid w:val="007D5AA6"/>
    <w:rsid w:val="007D5C6B"/>
    <w:rsid w:val="007D634D"/>
    <w:rsid w:val="007D64F4"/>
    <w:rsid w:val="007D7509"/>
    <w:rsid w:val="007D7A8F"/>
    <w:rsid w:val="007E140B"/>
    <w:rsid w:val="007E1718"/>
    <w:rsid w:val="007E2AB9"/>
    <w:rsid w:val="007E40FC"/>
    <w:rsid w:val="007E4B57"/>
    <w:rsid w:val="007E4EAC"/>
    <w:rsid w:val="007E6456"/>
    <w:rsid w:val="007E6991"/>
    <w:rsid w:val="007E6D8B"/>
    <w:rsid w:val="007E7468"/>
    <w:rsid w:val="007F1623"/>
    <w:rsid w:val="007F1AD3"/>
    <w:rsid w:val="007F21E7"/>
    <w:rsid w:val="007F3AF0"/>
    <w:rsid w:val="007F69C5"/>
    <w:rsid w:val="007F7FBB"/>
    <w:rsid w:val="00800409"/>
    <w:rsid w:val="00801551"/>
    <w:rsid w:val="00802099"/>
    <w:rsid w:val="00802630"/>
    <w:rsid w:val="00803B67"/>
    <w:rsid w:val="00803EA9"/>
    <w:rsid w:val="0080575B"/>
    <w:rsid w:val="00807CE0"/>
    <w:rsid w:val="00810875"/>
    <w:rsid w:val="00810B66"/>
    <w:rsid w:val="008114ED"/>
    <w:rsid w:val="008123F2"/>
    <w:rsid w:val="00812B92"/>
    <w:rsid w:val="0081685B"/>
    <w:rsid w:val="00817CAD"/>
    <w:rsid w:val="00820893"/>
    <w:rsid w:val="0082152B"/>
    <w:rsid w:val="00822828"/>
    <w:rsid w:val="0082308F"/>
    <w:rsid w:val="0082441C"/>
    <w:rsid w:val="00825CBF"/>
    <w:rsid w:val="0082695B"/>
    <w:rsid w:val="00826A78"/>
    <w:rsid w:val="00827B9E"/>
    <w:rsid w:val="00827D0B"/>
    <w:rsid w:val="008309C8"/>
    <w:rsid w:val="00830C0D"/>
    <w:rsid w:val="008325C1"/>
    <w:rsid w:val="00832622"/>
    <w:rsid w:val="008326F3"/>
    <w:rsid w:val="0083317E"/>
    <w:rsid w:val="00833A32"/>
    <w:rsid w:val="00833EA3"/>
    <w:rsid w:val="00834243"/>
    <w:rsid w:val="00834279"/>
    <w:rsid w:val="00834B0B"/>
    <w:rsid w:val="00835AA0"/>
    <w:rsid w:val="00836230"/>
    <w:rsid w:val="00836A99"/>
    <w:rsid w:val="00836D8B"/>
    <w:rsid w:val="0084031A"/>
    <w:rsid w:val="008407AC"/>
    <w:rsid w:val="00841968"/>
    <w:rsid w:val="00841AE7"/>
    <w:rsid w:val="00842432"/>
    <w:rsid w:val="0084315B"/>
    <w:rsid w:val="0084372C"/>
    <w:rsid w:val="008441C0"/>
    <w:rsid w:val="008449EC"/>
    <w:rsid w:val="00844F2D"/>
    <w:rsid w:val="0084545F"/>
    <w:rsid w:val="00845509"/>
    <w:rsid w:val="00851251"/>
    <w:rsid w:val="0085178B"/>
    <w:rsid w:val="00851CE6"/>
    <w:rsid w:val="00851F66"/>
    <w:rsid w:val="00852344"/>
    <w:rsid w:val="00852433"/>
    <w:rsid w:val="00852DF2"/>
    <w:rsid w:val="00852F18"/>
    <w:rsid w:val="00853C23"/>
    <w:rsid w:val="00855592"/>
    <w:rsid w:val="00855618"/>
    <w:rsid w:val="0085568C"/>
    <w:rsid w:val="00857774"/>
    <w:rsid w:val="00857969"/>
    <w:rsid w:val="008608EA"/>
    <w:rsid w:val="0086257B"/>
    <w:rsid w:val="00862B2F"/>
    <w:rsid w:val="00862C6D"/>
    <w:rsid w:val="00863CAD"/>
    <w:rsid w:val="00865B6D"/>
    <w:rsid w:val="00865D81"/>
    <w:rsid w:val="0086709E"/>
    <w:rsid w:val="008675C8"/>
    <w:rsid w:val="0086782E"/>
    <w:rsid w:val="008718CC"/>
    <w:rsid w:val="0087197D"/>
    <w:rsid w:val="00871A3E"/>
    <w:rsid w:val="00872752"/>
    <w:rsid w:val="0087291E"/>
    <w:rsid w:val="00872B38"/>
    <w:rsid w:val="008756D9"/>
    <w:rsid w:val="00875F66"/>
    <w:rsid w:val="00877908"/>
    <w:rsid w:val="00880A5D"/>
    <w:rsid w:val="00880BEA"/>
    <w:rsid w:val="00881512"/>
    <w:rsid w:val="00881F5E"/>
    <w:rsid w:val="008821E6"/>
    <w:rsid w:val="00882B89"/>
    <w:rsid w:val="00883F73"/>
    <w:rsid w:val="00884408"/>
    <w:rsid w:val="008855F4"/>
    <w:rsid w:val="00885D1B"/>
    <w:rsid w:val="00885E4D"/>
    <w:rsid w:val="0088626F"/>
    <w:rsid w:val="0088637C"/>
    <w:rsid w:val="00886A0C"/>
    <w:rsid w:val="00886E0C"/>
    <w:rsid w:val="00890C35"/>
    <w:rsid w:val="008911D3"/>
    <w:rsid w:val="00891650"/>
    <w:rsid w:val="008928FF"/>
    <w:rsid w:val="008930A4"/>
    <w:rsid w:val="008934BE"/>
    <w:rsid w:val="0089397F"/>
    <w:rsid w:val="008947D2"/>
    <w:rsid w:val="00895223"/>
    <w:rsid w:val="00895358"/>
    <w:rsid w:val="008968BF"/>
    <w:rsid w:val="008A01D3"/>
    <w:rsid w:val="008A0349"/>
    <w:rsid w:val="008A0757"/>
    <w:rsid w:val="008A1187"/>
    <w:rsid w:val="008A1D82"/>
    <w:rsid w:val="008A3601"/>
    <w:rsid w:val="008A3D0C"/>
    <w:rsid w:val="008A3F09"/>
    <w:rsid w:val="008A52B6"/>
    <w:rsid w:val="008A5413"/>
    <w:rsid w:val="008A5687"/>
    <w:rsid w:val="008A5CE2"/>
    <w:rsid w:val="008A7566"/>
    <w:rsid w:val="008B1373"/>
    <w:rsid w:val="008B1499"/>
    <w:rsid w:val="008B17B9"/>
    <w:rsid w:val="008B4B9A"/>
    <w:rsid w:val="008B4D58"/>
    <w:rsid w:val="008B6A5C"/>
    <w:rsid w:val="008B71CD"/>
    <w:rsid w:val="008B72D1"/>
    <w:rsid w:val="008C0325"/>
    <w:rsid w:val="008C11F9"/>
    <w:rsid w:val="008C1F5E"/>
    <w:rsid w:val="008C3CE1"/>
    <w:rsid w:val="008C405F"/>
    <w:rsid w:val="008C46A0"/>
    <w:rsid w:val="008C70CD"/>
    <w:rsid w:val="008C79A8"/>
    <w:rsid w:val="008D01A4"/>
    <w:rsid w:val="008D0BDC"/>
    <w:rsid w:val="008D12EE"/>
    <w:rsid w:val="008D1705"/>
    <w:rsid w:val="008D2C8E"/>
    <w:rsid w:val="008D339F"/>
    <w:rsid w:val="008D6DE6"/>
    <w:rsid w:val="008D6FB5"/>
    <w:rsid w:val="008D7583"/>
    <w:rsid w:val="008D799B"/>
    <w:rsid w:val="008D7F38"/>
    <w:rsid w:val="008E0784"/>
    <w:rsid w:val="008E0EC1"/>
    <w:rsid w:val="008E1231"/>
    <w:rsid w:val="008E1BE5"/>
    <w:rsid w:val="008E32DB"/>
    <w:rsid w:val="008E5A9D"/>
    <w:rsid w:val="008E6005"/>
    <w:rsid w:val="008E6292"/>
    <w:rsid w:val="008E6F33"/>
    <w:rsid w:val="008E72C2"/>
    <w:rsid w:val="008E75CA"/>
    <w:rsid w:val="008E7D30"/>
    <w:rsid w:val="008E7E6D"/>
    <w:rsid w:val="008F11D1"/>
    <w:rsid w:val="008F1706"/>
    <w:rsid w:val="008F5CEE"/>
    <w:rsid w:val="008F5F84"/>
    <w:rsid w:val="008F63A5"/>
    <w:rsid w:val="008F6A39"/>
    <w:rsid w:val="008F6CF2"/>
    <w:rsid w:val="00900ADF"/>
    <w:rsid w:val="00901C64"/>
    <w:rsid w:val="00902DCE"/>
    <w:rsid w:val="009037B1"/>
    <w:rsid w:val="00905B2A"/>
    <w:rsid w:val="009078E9"/>
    <w:rsid w:val="00910EB4"/>
    <w:rsid w:val="009112D2"/>
    <w:rsid w:val="009114AE"/>
    <w:rsid w:val="009124EC"/>
    <w:rsid w:val="00914EDA"/>
    <w:rsid w:val="0091608C"/>
    <w:rsid w:val="0091670F"/>
    <w:rsid w:val="009174FE"/>
    <w:rsid w:val="00917FA8"/>
    <w:rsid w:val="00921DEB"/>
    <w:rsid w:val="0092272D"/>
    <w:rsid w:val="00923790"/>
    <w:rsid w:val="00923807"/>
    <w:rsid w:val="00924775"/>
    <w:rsid w:val="00924C66"/>
    <w:rsid w:val="00924DC6"/>
    <w:rsid w:val="009256A2"/>
    <w:rsid w:val="00925AA5"/>
    <w:rsid w:val="00925ADB"/>
    <w:rsid w:val="0093009A"/>
    <w:rsid w:val="0093051B"/>
    <w:rsid w:val="00930619"/>
    <w:rsid w:val="00930A69"/>
    <w:rsid w:val="00931040"/>
    <w:rsid w:val="00931277"/>
    <w:rsid w:val="009316C4"/>
    <w:rsid w:val="00932E96"/>
    <w:rsid w:val="00932EE3"/>
    <w:rsid w:val="00935A9F"/>
    <w:rsid w:val="009366CF"/>
    <w:rsid w:val="009368E0"/>
    <w:rsid w:val="0093702C"/>
    <w:rsid w:val="0094019D"/>
    <w:rsid w:val="0094131E"/>
    <w:rsid w:val="00941612"/>
    <w:rsid w:val="0094257B"/>
    <w:rsid w:val="009427CD"/>
    <w:rsid w:val="00942C11"/>
    <w:rsid w:val="00943379"/>
    <w:rsid w:val="0094380A"/>
    <w:rsid w:val="00944862"/>
    <w:rsid w:val="00944DF5"/>
    <w:rsid w:val="009466AF"/>
    <w:rsid w:val="0094713B"/>
    <w:rsid w:val="00947361"/>
    <w:rsid w:val="00947E8D"/>
    <w:rsid w:val="00951360"/>
    <w:rsid w:val="009530BB"/>
    <w:rsid w:val="009530D8"/>
    <w:rsid w:val="0095648C"/>
    <w:rsid w:val="00957353"/>
    <w:rsid w:val="00960542"/>
    <w:rsid w:val="0096136C"/>
    <w:rsid w:val="00961893"/>
    <w:rsid w:val="0096195F"/>
    <w:rsid w:val="00961FD1"/>
    <w:rsid w:val="00962919"/>
    <w:rsid w:val="00963318"/>
    <w:rsid w:val="00964B9E"/>
    <w:rsid w:val="00965048"/>
    <w:rsid w:val="0096774D"/>
    <w:rsid w:val="0097173E"/>
    <w:rsid w:val="00971C1B"/>
    <w:rsid w:val="00971D33"/>
    <w:rsid w:val="00972DFB"/>
    <w:rsid w:val="009732EC"/>
    <w:rsid w:val="009737C2"/>
    <w:rsid w:val="009743AA"/>
    <w:rsid w:val="00974EE8"/>
    <w:rsid w:val="00975B0E"/>
    <w:rsid w:val="00975C54"/>
    <w:rsid w:val="00977B26"/>
    <w:rsid w:val="00977BEC"/>
    <w:rsid w:val="00977F7C"/>
    <w:rsid w:val="00980171"/>
    <w:rsid w:val="009807CA"/>
    <w:rsid w:val="00981031"/>
    <w:rsid w:val="00981217"/>
    <w:rsid w:val="009821CE"/>
    <w:rsid w:val="009823A8"/>
    <w:rsid w:val="009824F7"/>
    <w:rsid w:val="00982EED"/>
    <w:rsid w:val="00983702"/>
    <w:rsid w:val="00984487"/>
    <w:rsid w:val="009851A1"/>
    <w:rsid w:val="009852CF"/>
    <w:rsid w:val="00985534"/>
    <w:rsid w:val="00985995"/>
    <w:rsid w:val="009866FE"/>
    <w:rsid w:val="00986C15"/>
    <w:rsid w:val="009875C3"/>
    <w:rsid w:val="009911D0"/>
    <w:rsid w:val="00992568"/>
    <w:rsid w:val="009929C5"/>
    <w:rsid w:val="009947F3"/>
    <w:rsid w:val="009949C8"/>
    <w:rsid w:val="009950A5"/>
    <w:rsid w:val="009950EB"/>
    <w:rsid w:val="00996101"/>
    <w:rsid w:val="00997D10"/>
    <w:rsid w:val="009A0269"/>
    <w:rsid w:val="009A09EC"/>
    <w:rsid w:val="009A0C21"/>
    <w:rsid w:val="009A2875"/>
    <w:rsid w:val="009A3292"/>
    <w:rsid w:val="009A401A"/>
    <w:rsid w:val="009A41D4"/>
    <w:rsid w:val="009A658F"/>
    <w:rsid w:val="009A668A"/>
    <w:rsid w:val="009A7359"/>
    <w:rsid w:val="009B02BE"/>
    <w:rsid w:val="009B042D"/>
    <w:rsid w:val="009B0450"/>
    <w:rsid w:val="009B2898"/>
    <w:rsid w:val="009B2D59"/>
    <w:rsid w:val="009B3DE9"/>
    <w:rsid w:val="009B66D8"/>
    <w:rsid w:val="009B73BB"/>
    <w:rsid w:val="009B756B"/>
    <w:rsid w:val="009C1876"/>
    <w:rsid w:val="009C22C1"/>
    <w:rsid w:val="009C3EE5"/>
    <w:rsid w:val="009C41B2"/>
    <w:rsid w:val="009C74C1"/>
    <w:rsid w:val="009D1196"/>
    <w:rsid w:val="009D19DF"/>
    <w:rsid w:val="009D1FC2"/>
    <w:rsid w:val="009D297C"/>
    <w:rsid w:val="009D3111"/>
    <w:rsid w:val="009D3221"/>
    <w:rsid w:val="009D3913"/>
    <w:rsid w:val="009D630F"/>
    <w:rsid w:val="009D6CDD"/>
    <w:rsid w:val="009D7C6B"/>
    <w:rsid w:val="009E0FCB"/>
    <w:rsid w:val="009E19C6"/>
    <w:rsid w:val="009E2C97"/>
    <w:rsid w:val="009E410E"/>
    <w:rsid w:val="009E59AB"/>
    <w:rsid w:val="009E5C89"/>
    <w:rsid w:val="009E7D58"/>
    <w:rsid w:val="009F03D7"/>
    <w:rsid w:val="009F07F7"/>
    <w:rsid w:val="009F16A3"/>
    <w:rsid w:val="009F1E0F"/>
    <w:rsid w:val="009F21B3"/>
    <w:rsid w:val="009F36CC"/>
    <w:rsid w:val="009F4C6E"/>
    <w:rsid w:val="009F5198"/>
    <w:rsid w:val="009F7BAE"/>
    <w:rsid w:val="00A02254"/>
    <w:rsid w:val="00A0341E"/>
    <w:rsid w:val="00A03F9D"/>
    <w:rsid w:val="00A04527"/>
    <w:rsid w:val="00A04F53"/>
    <w:rsid w:val="00A066B2"/>
    <w:rsid w:val="00A076AD"/>
    <w:rsid w:val="00A10C17"/>
    <w:rsid w:val="00A10C43"/>
    <w:rsid w:val="00A121AE"/>
    <w:rsid w:val="00A13119"/>
    <w:rsid w:val="00A1356E"/>
    <w:rsid w:val="00A15226"/>
    <w:rsid w:val="00A15546"/>
    <w:rsid w:val="00A15B28"/>
    <w:rsid w:val="00A16E03"/>
    <w:rsid w:val="00A1752D"/>
    <w:rsid w:val="00A21E6C"/>
    <w:rsid w:val="00A22FFC"/>
    <w:rsid w:val="00A233EB"/>
    <w:rsid w:val="00A260CD"/>
    <w:rsid w:val="00A26511"/>
    <w:rsid w:val="00A27398"/>
    <w:rsid w:val="00A3133D"/>
    <w:rsid w:val="00A321F8"/>
    <w:rsid w:val="00A32D22"/>
    <w:rsid w:val="00A333B5"/>
    <w:rsid w:val="00A333EB"/>
    <w:rsid w:val="00A34654"/>
    <w:rsid w:val="00A353EC"/>
    <w:rsid w:val="00A35D35"/>
    <w:rsid w:val="00A36E75"/>
    <w:rsid w:val="00A37338"/>
    <w:rsid w:val="00A3749B"/>
    <w:rsid w:val="00A41CF7"/>
    <w:rsid w:val="00A4207A"/>
    <w:rsid w:val="00A427E0"/>
    <w:rsid w:val="00A435FC"/>
    <w:rsid w:val="00A4372B"/>
    <w:rsid w:val="00A43F48"/>
    <w:rsid w:val="00A44108"/>
    <w:rsid w:val="00A445EE"/>
    <w:rsid w:val="00A44BA5"/>
    <w:rsid w:val="00A4731A"/>
    <w:rsid w:val="00A518AA"/>
    <w:rsid w:val="00A51CA0"/>
    <w:rsid w:val="00A529E6"/>
    <w:rsid w:val="00A5342C"/>
    <w:rsid w:val="00A54141"/>
    <w:rsid w:val="00A54605"/>
    <w:rsid w:val="00A54ED7"/>
    <w:rsid w:val="00A551C7"/>
    <w:rsid w:val="00A55481"/>
    <w:rsid w:val="00A56706"/>
    <w:rsid w:val="00A572AF"/>
    <w:rsid w:val="00A57808"/>
    <w:rsid w:val="00A62BBF"/>
    <w:rsid w:val="00A62E42"/>
    <w:rsid w:val="00A63A45"/>
    <w:rsid w:val="00A64A71"/>
    <w:rsid w:val="00A64CCE"/>
    <w:rsid w:val="00A65120"/>
    <w:rsid w:val="00A67BCB"/>
    <w:rsid w:val="00A701B2"/>
    <w:rsid w:val="00A702C2"/>
    <w:rsid w:val="00A7266A"/>
    <w:rsid w:val="00A72C14"/>
    <w:rsid w:val="00A732D3"/>
    <w:rsid w:val="00A7355B"/>
    <w:rsid w:val="00A75137"/>
    <w:rsid w:val="00A7554B"/>
    <w:rsid w:val="00A7555C"/>
    <w:rsid w:val="00A75BCB"/>
    <w:rsid w:val="00A76B66"/>
    <w:rsid w:val="00A7770A"/>
    <w:rsid w:val="00A779BF"/>
    <w:rsid w:val="00A8003B"/>
    <w:rsid w:val="00A803F9"/>
    <w:rsid w:val="00A84750"/>
    <w:rsid w:val="00A848ED"/>
    <w:rsid w:val="00A85A44"/>
    <w:rsid w:val="00A85F73"/>
    <w:rsid w:val="00A86053"/>
    <w:rsid w:val="00A8651D"/>
    <w:rsid w:val="00A877BD"/>
    <w:rsid w:val="00A87A17"/>
    <w:rsid w:val="00A9029E"/>
    <w:rsid w:val="00A90CDA"/>
    <w:rsid w:val="00A914FC"/>
    <w:rsid w:val="00A91889"/>
    <w:rsid w:val="00A91F00"/>
    <w:rsid w:val="00A92E9D"/>
    <w:rsid w:val="00A93B14"/>
    <w:rsid w:val="00A94149"/>
    <w:rsid w:val="00A9564E"/>
    <w:rsid w:val="00A95FD3"/>
    <w:rsid w:val="00A96FD3"/>
    <w:rsid w:val="00A9717A"/>
    <w:rsid w:val="00A97783"/>
    <w:rsid w:val="00A97AFB"/>
    <w:rsid w:val="00AA1575"/>
    <w:rsid w:val="00AA1799"/>
    <w:rsid w:val="00AA26D7"/>
    <w:rsid w:val="00AA27AF"/>
    <w:rsid w:val="00AA472E"/>
    <w:rsid w:val="00AA476F"/>
    <w:rsid w:val="00AA50A1"/>
    <w:rsid w:val="00AA5238"/>
    <w:rsid w:val="00AA54CB"/>
    <w:rsid w:val="00AA55E4"/>
    <w:rsid w:val="00AA74B7"/>
    <w:rsid w:val="00AA7565"/>
    <w:rsid w:val="00AB1440"/>
    <w:rsid w:val="00AB18EA"/>
    <w:rsid w:val="00AB247D"/>
    <w:rsid w:val="00AB2AA1"/>
    <w:rsid w:val="00AB3032"/>
    <w:rsid w:val="00AB316E"/>
    <w:rsid w:val="00AB3839"/>
    <w:rsid w:val="00AB3B9E"/>
    <w:rsid w:val="00AB5E3F"/>
    <w:rsid w:val="00AB66B1"/>
    <w:rsid w:val="00AB7D0A"/>
    <w:rsid w:val="00AC14BA"/>
    <w:rsid w:val="00AC154F"/>
    <w:rsid w:val="00AC1BF7"/>
    <w:rsid w:val="00AC2F50"/>
    <w:rsid w:val="00AC303A"/>
    <w:rsid w:val="00AC42E2"/>
    <w:rsid w:val="00AC47AE"/>
    <w:rsid w:val="00AC5D8D"/>
    <w:rsid w:val="00AC7845"/>
    <w:rsid w:val="00AD14A5"/>
    <w:rsid w:val="00AD21DF"/>
    <w:rsid w:val="00AD34F9"/>
    <w:rsid w:val="00AD3941"/>
    <w:rsid w:val="00AD42C9"/>
    <w:rsid w:val="00AD4843"/>
    <w:rsid w:val="00AD4B14"/>
    <w:rsid w:val="00AD529A"/>
    <w:rsid w:val="00AD603F"/>
    <w:rsid w:val="00AD722C"/>
    <w:rsid w:val="00AE0918"/>
    <w:rsid w:val="00AE21F3"/>
    <w:rsid w:val="00AE22C2"/>
    <w:rsid w:val="00AE2DD5"/>
    <w:rsid w:val="00AE2F90"/>
    <w:rsid w:val="00AE3509"/>
    <w:rsid w:val="00AE3756"/>
    <w:rsid w:val="00AE3CC7"/>
    <w:rsid w:val="00AE4EA4"/>
    <w:rsid w:val="00AE5461"/>
    <w:rsid w:val="00AE5B5A"/>
    <w:rsid w:val="00AE60B3"/>
    <w:rsid w:val="00AF0563"/>
    <w:rsid w:val="00AF071F"/>
    <w:rsid w:val="00AF0E5A"/>
    <w:rsid w:val="00AF3E3C"/>
    <w:rsid w:val="00AF6B30"/>
    <w:rsid w:val="00AF73A5"/>
    <w:rsid w:val="00B002E8"/>
    <w:rsid w:val="00B014CC"/>
    <w:rsid w:val="00B01631"/>
    <w:rsid w:val="00B01705"/>
    <w:rsid w:val="00B02B8D"/>
    <w:rsid w:val="00B03BC5"/>
    <w:rsid w:val="00B055C4"/>
    <w:rsid w:val="00B06985"/>
    <w:rsid w:val="00B07AA1"/>
    <w:rsid w:val="00B10CC1"/>
    <w:rsid w:val="00B11159"/>
    <w:rsid w:val="00B127C6"/>
    <w:rsid w:val="00B1445E"/>
    <w:rsid w:val="00B163A6"/>
    <w:rsid w:val="00B1685C"/>
    <w:rsid w:val="00B17160"/>
    <w:rsid w:val="00B209F1"/>
    <w:rsid w:val="00B20CDC"/>
    <w:rsid w:val="00B21B0E"/>
    <w:rsid w:val="00B21E40"/>
    <w:rsid w:val="00B227E6"/>
    <w:rsid w:val="00B2395B"/>
    <w:rsid w:val="00B23DDF"/>
    <w:rsid w:val="00B24147"/>
    <w:rsid w:val="00B25FD1"/>
    <w:rsid w:val="00B30A1D"/>
    <w:rsid w:val="00B30E03"/>
    <w:rsid w:val="00B3149D"/>
    <w:rsid w:val="00B319F7"/>
    <w:rsid w:val="00B31D97"/>
    <w:rsid w:val="00B328F7"/>
    <w:rsid w:val="00B33F06"/>
    <w:rsid w:val="00B34CDF"/>
    <w:rsid w:val="00B36940"/>
    <w:rsid w:val="00B36D28"/>
    <w:rsid w:val="00B37343"/>
    <w:rsid w:val="00B377FB"/>
    <w:rsid w:val="00B37962"/>
    <w:rsid w:val="00B40BA5"/>
    <w:rsid w:val="00B41359"/>
    <w:rsid w:val="00B42108"/>
    <w:rsid w:val="00B425F9"/>
    <w:rsid w:val="00B4333D"/>
    <w:rsid w:val="00B451BF"/>
    <w:rsid w:val="00B45BBF"/>
    <w:rsid w:val="00B45EC0"/>
    <w:rsid w:val="00B46187"/>
    <w:rsid w:val="00B469B0"/>
    <w:rsid w:val="00B47A22"/>
    <w:rsid w:val="00B47E6D"/>
    <w:rsid w:val="00B50078"/>
    <w:rsid w:val="00B52454"/>
    <w:rsid w:val="00B52B0C"/>
    <w:rsid w:val="00B54D45"/>
    <w:rsid w:val="00B54D46"/>
    <w:rsid w:val="00B5564E"/>
    <w:rsid w:val="00B573EC"/>
    <w:rsid w:val="00B576FE"/>
    <w:rsid w:val="00B60B39"/>
    <w:rsid w:val="00B6236F"/>
    <w:rsid w:val="00B6459F"/>
    <w:rsid w:val="00B65415"/>
    <w:rsid w:val="00B65E4A"/>
    <w:rsid w:val="00B66289"/>
    <w:rsid w:val="00B66584"/>
    <w:rsid w:val="00B66DFD"/>
    <w:rsid w:val="00B67E40"/>
    <w:rsid w:val="00B7455F"/>
    <w:rsid w:val="00B745A0"/>
    <w:rsid w:val="00B75B8C"/>
    <w:rsid w:val="00B769AB"/>
    <w:rsid w:val="00B76F60"/>
    <w:rsid w:val="00B770FF"/>
    <w:rsid w:val="00B81019"/>
    <w:rsid w:val="00B82EF9"/>
    <w:rsid w:val="00B83752"/>
    <w:rsid w:val="00B83AC9"/>
    <w:rsid w:val="00B853CE"/>
    <w:rsid w:val="00B85B57"/>
    <w:rsid w:val="00B85F47"/>
    <w:rsid w:val="00B868B7"/>
    <w:rsid w:val="00B87927"/>
    <w:rsid w:val="00B90AC3"/>
    <w:rsid w:val="00B9157B"/>
    <w:rsid w:val="00B92619"/>
    <w:rsid w:val="00B92C86"/>
    <w:rsid w:val="00B931D0"/>
    <w:rsid w:val="00B93514"/>
    <w:rsid w:val="00B9373E"/>
    <w:rsid w:val="00B93A74"/>
    <w:rsid w:val="00B94AAD"/>
    <w:rsid w:val="00B969BA"/>
    <w:rsid w:val="00B97068"/>
    <w:rsid w:val="00B970DA"/>
    <w:rsid w:val="00B973FF"/>
    <w:rsid w:val="00BA04D4"/>
    <w:rsid w:val="00BA0E6A"/>
    <w:rsid w:val="00BA1E1C"/>
    <w:rsid w:val="00BA30E1"/>
    <w:rsid w:val="00BA3CC4"/>
    <w:rsid w:val="00BA3CFF"/>
    <w:rsid w:val="00BA3D11"/>
    <w:rsid w:val="00BA486D"/>
    <w:rsid w:val="00BA5C71"/>
    <w:rsid w:val="00BA6A4F"/>
    <w:rsid w:val="00BA6BC0"/>
    <w:rsid w:val="00BA7B00"/>
    <w:rsid w:val="00BB1AA7"/>
    <w:rsid w:val="00BB2B15"/>
    <w:rsid w:val="00BB2DA9"/>
    <w:rsid w:val="00BB5222"/>
    <w:rsid w:val="00BB5318"/>
    <w:rsid w:val="00BB5A96"/>
    <w:rsid w:val="00BB671F"/>
    <w:rsid w:val="00BB7996"/>
    <w:rsid w:val="00BB7EBA"/>
    <w:rsid w:val="00BC1034"/>
    <w:rsid w:val="00BC1292"/>
    <w:rsid w:val="00BC142E"/>
    <w:rsid w:val="00BC37E7"/>
    <w:rsid w:val="00BC3DEF"/>
    <w:rsid w:val="00BC44B3"/>
    <w:rsid w:val="00BC4502"/>
    <w:rsid w:val="00BC4A66"/>
    <w:rsid w:val="00BC533E"/>
    <w:rsid w:val="00BC5585"/>
    <w:rsid w:val="00BC6784"/>
    <w:rsid w:val="00BC6A9E"/>
    <w:rsid w:val="00BC7B31"/>
    <w:rsid w:val="00BD0B26"/>
    <w:rsid w:val="00BD12A2"/>
    <w:rsid w:val="00BD1356"/>
    <w:rsid w:val="00BD168B"/>
    <w:rsid w:val="00BD1924"/>
    <w:rsid w:val="00BD2312"/>
    <w:rsid w:val="00BD2808"/>
    <w:rsid w:val="00BD2D08"/>
    <w:rsid w:val="00BD2EA3"/>
    <w:rsid w:val="00BD3282"/>
    <w:rsid w:val="00BD3B84"/>
    <w:rsid w:val="00BD40AE"/>
    <w:rsid w:val="00BD4EB6"/>
    <w:rsid w:val="00BD4F1C"/>
    <w:rsid w:val="00BD5650"/>
    <w:rsid w:val="00BD63B4"/>
    <w:rsid w:val="00BE07B5"/>
    <w:rsid w:val="00BE0D58"/>
    <w:rsid w:val="00BE1967"/>
    <w:rsid w:val="00BE1DE8"/>
    <w:rsid w:val="00BE1EFA"/>
    <w:rsid w:val="00BE207C"/>
    <w:rsid w:val="00BE212F"/>
    <w:rsid w:val="00BE2DCA"/>
    <w:rsid w:val="00BE323B"/>
    <w:rsid w:val="00BE39CD"/>
    <w:rsid w:val="00BE4771"/>
    <w:rsid w:val="00BE4B9D"/>
    <w:rsid w:val="00BE5166"/>
    <w:rsid w:val="00BE575E"/>
    <w:rsid w:val="00BE5913"/>
    <w:rsid w:val="00BE5A06"/>
    <w:rsid w:val="00BE64E0"/>
    <w:rsid w:val="00BE7DC1"/>
    <w:rsid w:val="00BF0413"/>
    <w:rsid w:val="00BF09AB"/>
    <w:rsid w:val="00BF3761"/>
    <w:rsid w:val="00BF39E4"/>
    <w:rsid w:val="00BF4C86"/>
    <w:rsid w:val="00BF53AA"/>
    <w:rsid w:val="00BF5A5B"/>
    <w:rsid w:val="00C00CBE"/>
    <w:rsid w:val="00C021E8"/>
    <w:rsid w:val="00C022DE"/>
    <w:rsid w:val="00C0253F"/>
    <w:rsid w:val="00C03E5A"/>
    <w:rsid w:val="00C04D83"/>
    <w:rsid w:val="00C05746"/>
    <w:rsid w:val="00C05A50"/>
    <w:rsid w:val="00C0692E"/>
    <w:rsid w:val="00C06B99"/>
    <w:rsid w:val="00C07535"/>
    <w:rsid w:val="00C07576"/>
    <w:rsid w:val="00C07F15"/>
    <w:rsid w:val="00C10099"/>
    <w:rsid w:val="00C10AE6"/>
    <w:rsid w:val="00C10EA7"/>
    <w:rsid w:val="00C126DA"/>
    <w:rsid w:val="00C138DC"/>
    <w:rsid w:val="00C154B7"/>
    <w:rsid w:val="00C1785B"/>
    <w:rsid w:val="00C22784"/>
    <w:rsid w:val="00C228A0"/>
    <w:rsid w:val="00C249A5"/>
    <w:rsid w:val="00C26EA4"/>
    <w:rsid w:val="00C27F11"/>
    <w:rsid w:val="00C30297"/>
    <w:rsid w:val="00C30BD5"/>
    <w:rsid w:val="00C30F71"/>
    <w:rsid w:val="00C313BE"/>
    <w:rsid w:val="00C31930"/>
    <w:rsid w:val="00C31A3D"/>
    <w:rsid w:val="00C31BAA"/>
    <w:rsid w:val="00C32E3F"/>
    <w:rsid w:val="00C333BF"/>
    <w:rsid w:val="00C333D5"/>
    <w:rsid w:val="00C33B2D"/>
    <w:rsid w:val="00C34182"/>
    <w:rsid w:val="00C3428B"/>
    <w:rsid w:val="00C3602F"/>
    <w:rsid w:val="00C37B09"/>
    <w:rsid w:val="00C41F26"/>
    <w:rsid w:val="00C42154"/>
    <w:rsid w:val="00C4226D"/>
    <w:rsid w:val="00C42710"/>
    <w:rsid w:val="00C42C86"/>
    <w:rsid w:val="00C42F85"/>
    <w:rsid w:val="00C43AD3"/>
    <w:rsid w:val="00C43DB2"/>
    <w:rsid w:val="00C44037"/>
    <w:rsid w:val="00C462E9"/>
    <w:rsid w:val="00C464F9"/>
    <w:rsid w:val="00C46FEF"/>
    <w:rsid w:val="00C478D1"/>
    <w:rsid w:val="00C47B05"/>
    <w:rsid w:val="00C47CA4"/>
    <w:rsid w:val="00C51943"/>
    <w:rsid w:val="00C5202C"/>
    <w:rsid w:val="00C521E3"/>
    <w:rsid w:val="00C54379"/>
    <w:rsid w:val="00C5481B"/>
    <w:rsid w:val="00C54984"/>
    <w:rsid w:val="00C54E4E"/>
    <w:rsid w:val="00C550BA"/>
    <w:rsid w:val="00C553F1"/>
    <w:rsid w:val="00C55487"/>
    <w:rsid w:val="00C556B3"/>
    <w:rsid w:val="00C564E2"/>
    <w:rsid w:val="00C60D09"/>
    <w:rsid w:val="00C610F0"/>
    <w:rsid w:val="00C61C4C"/>
    <w:rsid w:val="00C61E0A"/>
    <w:rsid w:val="00C63129"/>
    <w:rsid w:val="00C64C67"/>
    <w:rsid w:val="00C65D6B"/>
    <w:rsid w:val="00C663AB"/>
    <w:rsid w:val="00C66FB6"/>
    <w:rsid w:val="00C67F6B"/>
    <w:rsid w:val="00C70730"/>
    <w:rsid w:val="00C70EB6"/>
    <w:rsid w:val="00C7142F"/>
    <w:rsid w:val="00C718AC"/>
    <w:rsid w:val="00C71C77"/>
    <w:rsid w:val="00C7515F"/>
    <w:rsid w:val="00C75938"/>
    <w:rsid w:val="00C75B27"/>
    <w:rsid w:val="00C77D20"/>
    <w:rsid w:val="00C81FB6"/>
    <w:rsid w:val="00C82111"/>
    <w:rsid w:val="00C82215"/>
    <w:rsid w:val="00C82249"/>
    <w:rsid w:val="00C82256"/>
    <w:rsid w:val="00C82583"/>
    <w:rsid w:val="00C83D0B"/>
    <w:rsid w:val="00C85314"/>
    <w:rsid w:val="00C855C7"/>
    <w:rsid w:val="00C90DDB"/>
    <w:rsid w:val="00C923D9"/>
    <w:rsid w:val="00C92ACF"/>
    <w:rsid w:val="00C92AEA"/>
    <w:rsid w:val="00C93284"/>
    <w:rsid w:val="00C9439F"/>
    <w:rsid w:val="00C9525B"/>
    <w:rsid w:val="00C95A3A"/>
    <w:rsid w:val="00C95AC0"/>
    <w:rsid w:val="00C95C0E"/>
    <w:rsid w:val="00C976AE"/>
    <w:rsid w:val="00C97C25"/>
    <w:rsid w:val="00CA1ECD"/>
    <w:rsid w:val="00CA22E4"/>
    <w:rsid w:val="00CA25AC"/>
    <w:rsid w:val="00CA2D58"/>
    <w:rsid w:val="00CA36C2"/>
    <w:rsid w:val="00CA39A2"/>
    <w:rsid w:val="00CA46D6"/>
    <w:rsid w:val="00CA4BC0"/>
    <w:rsid w:val="00CA4F47"/>
    <w:rsid w:val="00CA5C43"/>
    <w:rsid w:val="00CA671A"/>
    <w:rsid w:val="00CA7A65"/>
    <w:rsid w:val="00CB1150"/>
    <w:rsid w:val="00CB1BDE"/>
    <w:rsid w:val="00CB248D"/>
    <w:rsid w:val="00CB2988"/>
    <w:rsid w:val="00CB3CF4"/>
    <w:rsid w:val="00CB4BB5"/>
    <w:rsid w:val="00CB4D44"/>
    <w:rsid w:val="00CB546C"/>
    <w:rsid w:val="00CB5E4D"/>
    <w:rsid w:val="00CB6AE4"/>
    <w:rsid w:val="00CC0902"/>
    <w:rsid w:val="00CC0BEF"/>
    <w:rsid w:val="00CC2CC2"/>
    <w:rsid w:val="00CC31DB"/>
    <w:rsid w:val="00CC34DA"/>
    <w:rsid w:val="00CC559D"/>
    <w:rsid w:val="00CC6DFC"/>
    <w:rsid w:val="00CD04BC"/>
    <w:rsid w:val="00CD0503"/>
    <w:rsid w:val="00CD0859"/>
    <w:rsid w:val="00CD0941"/>
    <w:rsid w:val="00CD0EA9"/>
    <w:rsid w:val="00CD14EE"/>
    <w:rsid w:val="00CD3258"/>
    <w:rsid w:val="00CD3A14"/>
    <w:rsid w:val="00CD3D8F"/>
    <w:rsid w:val="00CD43B4"/>
    <w:rsid w:val="00CD48D1"/>
    <w:rsid w:val="00CD539C"/>
    <w:rsid w:val="00CD654B"/>
    <w:rsid w:val="00CD6BD4"/>
    <w:rsid w:val="00CD6C33"/>
    <w:rsid w:val="00CD79C1"/>
    <w:rsid w:val="00CD7ED4"/>
    <w:rsid w:val="00CE223E"/>
    <w:rsid w:val="00CE249C"/>
    <w:rsid w:val="00CE2DFD"/>
    <w:rsid w:val="00CE3187"/>
    <w:rsid w:val="00CE320F"/>
    <w:rsid w:val="00CE4477"/>
    <w:rsid w:val="00CE485F"/>
    <w:rsid w:val="00CE48D7"/>
    <w:rsid w:val="00CE5B0C"/>
    <w:rsid w:val="00CE6A97"/>
    <w:rsid w:val="00CE727F"/>
    <w:rsid w:val="00CE77F4"/>
    <w:rsid w:val="00CF024F"/>
    <w:rsid w:val="00CF0254"/>
    <w:rsid w:val="00CF098F"/>
    <w:rsid w:val="00CF1EB4"/>
    <w:rsid w:val="00CF3071"/>
    <w:rsid w:val="00CF327F"/>
    <w:rsid w:val="00CF34D4"/>
    <w:rsid w:val="00CF72D0"/>
    <w:rsid w:val="00CF73A7"/>
    <w:rsid w:val="00D002E0"/>
    <w:rsid w:val="00D01AE5"/>
    <w:rsid w:val="00D01FE5"/>
    <w:rsid w:val="00D02A94"/>
    <w:rsid w:val="00D0306D"/>
    <w:rsid w:val="00D033A6"/>
    <w:rsid w:val="00D0377E"/>
    <w:rsid w:val="00D03860"/>
    <w:rsid w:val="00D03B78"/>
    <w:rsid w:val="00D04673"/>
    <w:rsid w:val="00D07CF7"/>
    <w:rsid w:val="00D1181F"/>
    <w:rsid w:val="00D119B7"/>
    <w:rsid w:val="00D11BE5"/>
    <w:rsid w:val="00D12921"/>
    <w:rsid w:val="00D12E5A"/>
    <w:rsid w:val="00D13F5E"/>
    <w:rsid w:val="00D145F5"/>
    <w:rsid w:val="00D174C7"/>
    <w:rsid w:val="00D17A14"/>
    <w:rsid w:val="00D21672"/>
    <w:rsid w:val="00D2198A"/>
    <w:rsid w:val="00D22DCD"/>
    <w:rsid w:val="00D24ED1"/>
    <w:rsid w:val="00D25024"/>
    <w:rsid w:val="00D2619A"/>
    <w:rsid w:val="00D30E64"/>
    <w:rsid w:val="00D32EDE"/>
    <w:rsid w:val="00D32F71"/>
    <w:rsid w:val="00D330F0"/>
    <w:rsid w:val="00D33327"/>
    <w:rsid w:val="00D33F0A"/>
    <w:rsid w:val="00D346C3"/>
    <w:rsid w:val="00D355F0"/>
    <w:rsid w:val="00D37552"/>
    <w:rsid w:val="00D3758A"/>
    <w:rsid w:val="00D400FD"/>
    <w:rsid w:val="00D4189F"/>
    <w:rsid w:val="00D41B1B"/>
    <w:rsid w:val="00D438AE"/>
    <w:rsid w:val="00D43E0F"/>
    <w:rsid w:val="00D4420D"/>
    <w:rsid w:val="00D447B8"/>
    <w:rsid w:val="00D44AA3"/>
    <w:rsid w:val="00D4572F"/>
    <w:rsid w:val="00D45790"/>
    <w:rsid w:val="00D45AF8"/>
    <w:rsid w:val="00D505E9"/>
    <w:rsid w:val="00D51100"/>
    <w:rsid w:val="00D511A3"/>
    <w:rsid w:val="00D513E3"/>
    <w:rsid w:val="00D51C05"/>
    <w:rsid w:val="00D5250B"/>
    <w:rsid w:val="00D52940"/>
    <w:rsid w:val="00D52D20"/>
    <w:rsid w:val="00D538FE"/>
    <w:rsid w:val="00D55692"/>
    <w:rsid w:val="00D561C4"/>
    <w:rsid w:val="00D6091B"/>
    <w:rsid w:val="00D62789"/>
    <w:rsid w:val="00D63476"/>
    <w:rsid w:val="00D63C37"/>
    <w:rsid w:val="00D64274"/>
    <w:rsid w:val="00D645EE"/>
    <w:rsid w:val="00D64D68"/>
    <w:rsid w:val="00D65BDD"/>
    <w:rsid w:val="00D67426"/>
    <w:rsid w:val="00D702AC"/>
    <w:rsid w:val="00D7091B"/>
    <w:rsid w:val="00D70C2F"/>
    <w:rsid w:val="00D710B3"/>
    <w:rsid w:val="00D73624"/>
    <w:rsid w:val="00D77B48"/>
    <w:rsid w:val="00D809A1"/>
    <w:rsid w:val="00D80F32"/>
    <w:rsid w:val="00D81D00"/>
    <w:rsid w:val="00D83111"/>
    <w:rsid w:val="00D83BD9"/>
    <w:rsid w:val="00D8478F"/>
    <w:rsid w:val="00D84ED3"/>
    <w:rsid w:val="00D90755"/>
    <w:rsid w:val="00D90B60"/>
    <w:rsid w:val="00D91568"/>
    <w:rsid w:val="00D924E7"/>
    <w:rsid w:val="00D9358C"/>
    <w:rsid w:val="00D93DA2"/>
    <w:rsid w:val="00D95966"/>
    <w:rsid w:val="00D95D19"/>
    <w:rsid w:val="00D95FB9"/>
    <w:rsid w:val="00D9744E"/>
    <w:rsid w:val="00D97984"/>
    <w:rsid w:val="00DA08BF"/>
    <w:rsid w:val="00DA176D"/>
    <w:rsid w:val="00DA263E"/>
    <w:rsid w:val="00DA33FB"/>
    <w:rsid w:val="00DA3B60"/>
    <w:rsid w:val="00DA4E64"/>
    <w:rsid w:val="00DA59A1"/>
    <w:rsid w:val="00DA5DCC"/>
    <w:rsid w:val="00DA686B"/>
    <w:rsid w:val="00DB095F"/>
    <w:rsid w:val="00DB1935"/>
    <w:rsid w:val="00DB1C17"/>
    <w:rsid w:val="00DB1E0A"/>
    <w:rsid w:val="00DB1FE1"/>
    <w:rsid w:val="00DB2937"/>
    <w:rsid w:val="00DB404F"/>
    <w:rsid w:val="00DB4069"/>
    <w:rsid w:val="00DB4DF9"/>
    <w:rsid w:val="00DB5D60"/>
    <w:rsid w:val="00DB6728"/>
    <w:rsid w:val="00DB69FD"/>
    <w:rsid w:val="00DB705E"/>
    <w:rsid w:val="00DB70DC"/>
    <w:rsid w:val="00DB7335"/>
    <w:rsid w:val="00DB7F09"/>
    <w:rsid w:val="00DC00E8"/>
    <w:rsid w:val="00DC0465"/>
    <w:rsid w:val="00DC322C"/>
    <w:rsid w:val="00DC3606"/>
    <w:rsid w:val="00DC36F9"/>
    <w:rsid w:val="00DC372D"/>
    <w:rsid w:val="00DC46CB"/>
    <w:rsid w:val="00DC5247"/>
    <w:rsid w:val="00DC5BCD"/>
    <w:rsid w:val="00DC5E9D"/>
    <w:rsid w:val="00DD18CA"/>
    <w:rsid w:val="00DD231B"/>
    <w:rsid w:val="00DD2467"/>
    <w:rsid w:val="00DD44D2"/>
    <w:rsid w:val="00DD5147"/>
    <w:rsid w:val="00DE0447"/>
    <w:rsid w:val="00DE08B8"/>
    <w:rsid w:val="00DE0985"/>
    <w:rsid w:val="00DE1517"/>
    <w:rsid w:val="00DE39D7"/>
    <w:rsid w:val="00DE400D"/>
    <w:rsid w:val="00DE4FEC"/>
    <w:rsid w:val="00DE53B8"/>
    <w:rsid w:val="00DE5727"/>
    <w:rsid w:val="00DE5937"/>
    <w:rsid w:val="00DE5BED"/>
    <w:rsid w:val="00DE624C"/>
    <w:rsid w:val="00DE6258"/>
    <w:rsid w:val="00DE6A16"/>
    <w:rsid w:val="00DE7C5D"/>
    <w:rsid w:val="00DE7FCE"/>
    <w:rsid w:val="00DF1A0E"/>
    <w:rsid w:val="00DF3056"/>
    <w:rsid w:val="00DF3D0F"/>
    <w:rsid w:val="00DF3D59"/>
    <w:rsid w:val="00DF5D04"/>
    <w:rsid w:val="00DF67DA"/>
    <w:rsid w:val="00DF69B2"/>
    <w:rsid w:val="00DF72E7"/>
    <w:rsid w:val="00E01ADE"/>
    <w:rsid w:val="00E02058"/>
    <w:rsid w:val="00E02A99"/>
    <w:rsid w:val="00E032B4"/>
    <w:rsid w:val="00E0388F"/>
    <w:rsid w:val="00E03893"/>
    <w:rsid w:val="00E03CAA"/>
    <w:rsid w:val="00E06764"/>
    <w:rsid w:val="00E06BC9"/>
    <w:rsid w:val="00E06F17"/>
    <w:rsid w:val="00E07468"/>
    <w:rsid w:val="00E07F68"/>
    <w:rsid w:val="00E10B9C"/>
    <w:rsid w:val="00E10D39"/>
    <w:rsid w:val="00E1136B"/>
    <w:rsid w:val="00E13BD7"/>
    <w:rsid w:val="00E14D08"/>
    <w:rsid w:val="00E150E1"/>
    <w:rsid w:val="00E1556A"/>
    <w:rsid w:val="00E15D67"/>
    <w:rsid w:val="00E1618B"/>
    <w:rsid w:val="00E223A6"/>
    <w:rsid w:val="00E22D51"/>
    <w:rsid w:val="00E22F1C"/>
    <w:rsid w:val="00E23EEB"/>
    <w:rsid w:val="00E25101"/>
    <w:rsid w:val="00E254C4"/>
    <w:rsid w:val="00E26A6E"/>
    <w:rsid w:val="00E272CF"/>
    <w:rsid w:val="00E2784F"/>
    <w:rsid w:val="00E27B98"/>
    <w:rsid w:val="00E3162C"/>
    <w:rsid w:val="00E318BC"/>
    <w:rsid w:val="00E31E62"/>
    <w:rsid w:val="00E31F9B"/>
    <w:rsid w:val="00E33F33"/>
    <w:rsid w:val="00E34EEC"/>
    <w:rsid w:val="00E35E5E"/>
    <w:rsid w:val="00E35FA1"/>
    <w:rsid w:val="00E3622A"/>
    <w:rsid w:val="00E379CD"/>
    <w:rsid w:val="00E37C34"/>
    <w:rsid w:val="00E37F76"/>
    <w:rsid w:val="00E4093E"/>
    <w:rsid w:val="00E40F9A"/>
    <w:rsid w:val="00E41C12"/>
    <w:rsid w:val="00E41E3E"/>
    <w:rsid w:val="00E43AD4"/>
    <w:rsid w:val="00E44C50"/>
    <w:rsid w:val="00E453A7"/>
    <w:rsid w:val="00E4605E"/>
    <w:rsid w:val="00E46175"/>
    <w:rsid w:val="00E46BA6"/>
    <w:rsid w:val="00E46DF2"/>
    <w:rsid w:val="00E4726B"/>
    <w:rsid w:val="00E47FEB"/>
    <w:rsid w:val="00E5077A"/>
    <w:rsid w:val="00E50E7C"/>
    <w:rsid w:val="00E51125"/>
    <w:rsid w:val="00E51545"/>
    <w:rsid w:val="00E526F7"/>
    <w:rsid w:val="00E52979"/>
    <w:rsid w:val="00E52B05"/>
    <w:rsid w:val="00E52D45"/>
    <w:rsid w:val="00E54C74"/>
    <w:rsid w:val="00E54F83"/>
    <w:rsid w:val="00E55326"/>
    <w:rsid w:val="00E55CF2"/>
    <w:rsid w:val="00E56B6B"/>
    <w:rsid w:val="00E56C23"/>
    <w:rsid w:val="00E572F3"/>
    <w:rsid w:val="00E57450"/>
    <w:rsid w:val="00E57CF5"/>
    <w:rsid w:val="00E60911"/>
    <w:rsid w:val="00E616C9"/>
    <w:rsid w:val="00E61A60"/>
    <w:rsid w:val="00E642C6"/>
    <w:rsid w:val="00E65D1A"/>
    <w:rsid w:val="00E66ABE"/>
    <w:rsid w:val="00E70828"/>
    <w:rsid w:val="00E711D7"/>
    <w:rsid w:val="00E72604"/>
    <w:rsid w:val="00E74226"/>
    <w:rsid w:val="00E74BD0"/>
    <w:rsid w:val="00E823CF"/>
    <w:rsid w:val="00E836DB"/>
    <w:rsid w:val="00E83C83"/>
    <w:rsid w:val="00E868F6"/>
    <w:rsid w:val="00E87B39"/>
    <w:rsid w:val="00E9010C"/>
    <w:rsid w:val="00E902B0"/>
    <w:rsid w:val="00E902E8"/>
    <w:rsid w:val="00E906CC"/>
    <w:rsid w:val="00E90C1A"/>
    <w:rsid w:val="00E91B7A"/>
    <w:rsid w:val="00E92C16"/>
    <w:rsid w:val="00E94CCE"/>
    <w:rsid w:val="00E967B8"/>
    <w:rsid w:val="00EA020E"/>
    <w:rsid w:val="00EA0B5A"/>
    <w:rsid w:val="00EA2A03"/>
    <w:rsid w:val="00EA2C1F"/>
    <w:rsid w:val="00EA4D52"/>
    <w:rsid w:val="00EA6914"/>
    <w:rsid w:val="00EA72F7"/>
    <w:rsid w:val="00EA7C73"/>
    <w:rsid w:val="00EA7D4C"/>
    <w:rsid w:val="00EB030F"/>
    <w:rsid w:val="00EB05A9"/>
    <w:rsid w:val="00EB0A54"/>
    <w:rsid w:val="00EB0F2E"/>
    <w:rsid w:val="00EB20A1"/>
    <w:rsid w:val="00EB3413"/>
    <w:rsid w:val="00EB38F6"/>
    <w:rsid w:val="00EB4454"/>
    <w:rsid w:val="00EB487C"/>
    <w:rsid w:val="00EB4C8E"/>
    <w:rsid w:val="00EB4F0F"/>
    <w:rsid w:val="00EB6C44"/>
    <w:rsid w:val="00EB6F6B"/>
    <w:rsid w:val="00EC233F"/>
    <w:rsid w:val="00EC31A5"/>
    <w:rsid w:val="00EC3A7B"/>
    <w:rsid w:val="00EC6B16"/>
    <w:rsid w:val="00EC7974"/>
    <w:rsid w:val="00ED12AC"/>
    <w:rsid w:val="00ED16FD"/>
    <w:rsid w:val="00ED1EE2"/>
    <w:rsid w:val="00ED317A"/>
    <w:rsid w:val="00ED3E27"/>
    <w:rsid w:val="00ED416D"/>
    <w:rsid w:val="00ED4B89"/>
    <w:rsid w:val="00ED5C93"/>
    <w:rsid w:val="00ED6760"/>
    <w:rsid w:val="00EE0679"/>
    <w:rsid w:val="00EE1BCB"/>
    <w:rsid w:val="00EE58FE"/>
    <w:rsid w:val="00EE5E05"/>
    <w:rsid w:val="00EE5E95"/>
    <w:rsid w:val="00EE5F35"/>
    <w:rsid w:val="00EE677F"/>
    <w:rsid w:val="00EE683E"/>
    <w:rsid w:val="00EE7332"/>
    <w:rsid w:val="00EE7BF2"/>
    <w:rsid w:val="00EF0383"/>
    <w:rsid w:val="00EF1FF1"/>
    <w:rsid w:val="00EF47E4"/>
    <w:rsid w:val="00EF4C26"/>
    <w:rsid w:val="00EF5B34"/>
    <w:rsid w:val="00EF6341"/>
    <w:rsid w:val="00EF65D6"/>
    <w:rsid w:val="00F0082D"/>
    <w:rsid w:val="00F0087D"/>
    <w:rsid w:val="00F00DA6"/>
    <w:rsid w:val="00F0167C"/>
    <w:rsid w:val="00F02D9B"/>
    <w:rsid w:val="00F039D2"/>
    <w:rsid w:val="00F03CFC"/>
    <w:rsid w:val="00F05194"/>
    <w:rsid w:val="00F05D0B"/>
    <w:rsid w:val="00F0604C"/>
    <w:rsid w:val="00F07511"/>
    <w:rsid w:val="00F076D8"/>
    <w:rsid w:val="00F07C90"/>
    <w:rsid w:val="00F103A8"/>
    <w:rsid w:val="00F10BFE"/>
    <w:rsid w:val="00F119B1"/>
    <w:rsid w:val="00F132A3"/>
    <w:rsid w:val="00F15D5F"/>
    <w:rsid w:val="00F15F49"/>
    <w:rsid w:val="00F1652E"/>
    <w:rsid w:val="00F172D0"/>
    <w:rsid w:val="00F17B7F"/>
    <w:rsid w:val="00F17F1C"/>
    <w:rsid w:val="00F20469"/>
    <w:rsid w:val="00F2074F"/>
    <w:rsid w:val="00F21C46"/>
    <w:rsid w:val="00F21D91"/>
    <w:rsid w:val="00F21F6E"/>
    <w:rsid w:val="00F2243A"/>
    <w:rsid w:val="00F22738"/>
    <w:rsid w:val="00F22BBD"/>
    <w:rsid w:val="00F22D81"/>
    <w:rsid w:val="00F2357E"/>
    <w:rsid w:val="00F236D7"/>
    <w:rsid w:val="00F239ED"/>
    <w:rsid w:val="00F2486E"/>
    <w:rsid w:val="00F24A04"/>
    <w:rsid w:val="00F24D43"/>
    <w:rsid w:val="00F251A9"/>
    <w:rsid w:val="00F26649"/>
    <w:rsid w:val="00F26E77"/>
    <w:rsid w:val="00F278F0"/>
    <w:rsid w:val="00F27AA0"/>
    <w:rsid w:val="00F315C4"/>
    <w:rsid w:val="00F316AC"/>
    <w:rsid w:val="00F3194C"/>
    <w:rsid w:val="00F32587"/>
    <w:rsid w:val="00F3413F"/>
    <w:rsid w:val="00F34752"/>
    <w:rsid w:val="00F34D0D"/>
    <w:rsid w:val="00F358C5"/>
    <w:rsid w:val="00F35E0C"/>
    <w:rsid w:val="00F3612F"/>
    <w:rsid w:val="00F367D2"/>
    <w:rsid w:val="00F36946"/>
    <w:rsid w:val="00F37454"/>
    <w:rsid w:val="00F40239"/>
    <w:rsid w:val="00F41C17"/>
    <w:rsid w:val="00F4215A"/>
    <w:rsid w:val="00F428A0"/>
    <w:rsid w:val="00F42A8B"/>
    <w:rsid w:val="00F42BCD"/>
    <w:rsid w:val="00F440F8"/>
    <w:rsid w:val="00F44726"/>
    <w:rsid w:val="00F459C1"/>
    <w:rsid w:val="00F45E41"/>
    <w:rsid w:val="00F4685F"/>
    <w:rsid w:val="00F46FA4"/>
    <w:rsid w:val="00F472CB"/>
    <w:rsid w:val="00F5214A"/>
    <w:rsid w:val="00F521B8"/>
    <w:rsid w:val="00F54528"/>
    <w:rsid w:val="00F55829"/>
    <w:rsid w:val="00F55971"/>
    <w:rsid w:val="00F57632"/>
    <w:rsid w:val="00F6166C"/>
    <w:rsid w:val="00F61EF2"/>
    <w:rsid w:val="00F62BCB"/>
    <w:rsid w:val="00F63F59"/>
    <w:rsid w:val="00F6412C"/>
    <w:rsid w:val="00F64982"/>
    <w:rsid w:val="00F6595B"/>
    <w:rsid w:val="00F66003"/>
    <w:rsid w:val="00F66B9F"/>
    <w:rsid w:val="00F66E87"/>
    <w:rsid w:val="00F6720A"/>
    <w:rsid w:val="00F67975"/>
    <w:rsid w:val="00F71227"/>
    <w:rsid w:val="00F71871"/>
    <w:rsid w:val="00F71A0E"/>
    <w:rsid w:val="00F71E33"/>
    <w:rsid w:val="00F7202E"/>
    <w:rsid w:val="00F7225E"/>
    <w:rsid w:val="00F7250F"/>
    <w:rsid w:val="00F7322D"/>
    <w:rsid w:val="00F740D5"/>
    <w:rsid w:val="00F741D0"/>
    <w:rsid w:val="00F742BF"/>
    <w:rsid w:val="00F74DDA"/>
    <w:rsid w:val="00F752AD"/>
    <w:rsid w:val="00F7541F"/>
    <w:rsid w:val="00F75B2E"/>
    <w:rsid w:val="00F75C1D"/>
    <w:rsid w:val="00F767F3"/>
    <w:rsid w:val="00F76B00"/>
    <w:rsid w:val="00F76BAB"/>
    <w:rsid w:val="00F77EFF"/>
    <w:rsid w:val="00F80F91"/>
    <w:rsid w:val="00F82A2A"/>
    <w:rsid w:val="00F83EF4"/>
    <w:rsid w:val="00F84CF9"/>
    <w:rsid w:val="00F85405"/>
    <w:rsid w:val="00F862EB"/>
    <w:rsid w:val="00F87973"/>
    <w:rsid w:val="00F906A9"/>
    <w:rsid w:val="00F9092C"/>
    <w:rsid w:val="00F90DBE"/>
    <w:rsid w:val="00F91B6B"/>
    <w:rsid w:val="00F92279"/>
    <w:rsid w:val="00F92B9D"/>
    <w:rsid w:val="00F94BB6"/>
    <w:rsid w:val="00F961A8"/>
    <w:rsid w:val="00F9712C"/>
    <w:rsid w:val="00F97368"/>
    <w:rsid w:val="00F975CB"/>
    <w:rsid w:val="00F975E0"/>
    <w:rsid w:val="00FA03DF"/>
    <w:rsid w:val="00FA04B0"/>
    <w:rsid w:val="00FA0F3E"/>
    <w:rsid w:val="00FA161E"/>
    <w:rsid w:val="00FA18F5"/>
    <w:rsid w:val="00FA28A7"/>
    <w:rsid w:val="00FA4036"/>
    <w:rsid w:val="00FA4EF1"/>
    <w:rsid w:val="00FA7930"/>
    <w:rsid w:val="00FA7AAC"/>
    <w:rsid w:val="00FB2780"/>
    <w:rsid w:val="00FB2A44"/>
    <w:rsid w:val="00FB2BD7"/>
    <w:rsid w:val="00FB48B3"/>
    <w:rsid w:val="00FB563A"/>
    <w:rsid w:val="00FB584B"/>
    <w:rsid w:val="00FB585F"/>
    <w:rsid w:val="00FB64AA"/>
    <w:rsid w:val="00FB6D16"/>
    <w:rsid w:val="00FB6F09"/>
    <w:rsid w:val="00FB7804"/>
    <w:rsid w:val="00FC094F"/>
    <w:rsid w:val="00FC15CC"/>
    <w:rsid w:val="00FC1756"/>
    <w:rsid w:val="00FC1858"/>
    <w:rsid w:val="00FC2893"/>
    <w:rsid w:val="00FC49A5"/>
    <w:rsid w:val="00FC4BA9"/>
    <w:rsid w:val="00FC4F11"/>
    <w:rsid w:val="00FC51FC"/>
    <w:rsid w:val="00FC5DCA"/>
    <w:rsid w:val="00FC64AE"/>
    <w:rsid w:val="00FC6ADA"/>
    <w:rsid w:val="00FC6D85"/>
    <w:rsid w:val="00FC7728"/>
    <w:rsid w:val="00FC77A6"/>
    <w:rsid w:val="00FD030A"/>
    <w:rsid w:val="00FD2988"/>
    <w:rsid w:val="00FD66D6"/>
    <w:rsid w:val="00FD6F06"/>
    <w:rsid w:val="00FD7356"/>
    <w:rsid w:val="00FD7B28"/>
    <w:rsid w:val="00FD7C30"/>
    <w:rsid w:val="00FE1806"/>
    <w:rsid w:val="00FE1D33"/>
    <w:rsid w:val="00FE1D45"/>
    <w:rsid w:val="00FE24D1"/>
    <w:rsid w:val="00FE4A3D"/>
    <w:rsid w:val="00FE4FE4"/>
    <w:rsid w:val="00FE5349"/>
    <w:rsid w:val="00FE59BC"/>
    <w:rsid w:val="00FE6460"/>
    <w:rsid w:val="00FE66C4"/>
    <w:rsid w:val="00FE6BC3"/>
    <w:rsid w:val="00FE79C7"/>
    <w:rsid w:val="00FF0CF2"/>
    <w:rsid w:val="00FF138C"/>
    <w:rsid w:val="00FF215D"/>
    <w:rsid w:val="00FF217D"/>
    <w:rsid w:val="00FF3A5D"/>
    <w:rsid w:val="00FF6504"/>
    <w:rsid w:val="00FF6E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A7C"/>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tabs>
        <w:tab w:val="num" w:pos="1440"/>
      </w:tabs>
      <w:spacing w:before="480"/>
      <w:outlineLvl w:val="0"/>
    </w:pPr>
    <w:rPr>
      <w:bCs w:val="0"/>
      <w:color w:val="002C47" w:themeColor="accent1"/>
      <w:sz w:val="48"/>
    </w:rPr>
  </w:style>
  <w:style w:type="paragraph" w:styleId="Heading2">
    <w:name w:val="heading 2"/>
    <w:basedOn w:val="HeadingBase"/>
    <w:next w:val="Normal"/>
    <w:link w:val="Heading2Char"/>
    <w:qFormat/>
    <w:rsid w:val="000E0B74"/>
    <w:pPr>
      <w:tabs>
        <w:tab w:val="num" w:pos="1080"/>
      </w:tabs>
      <w:spacing w:before="360"/>
      <w:outlineLvl w:val="1"/>
    </w:pPr>
    <w:rPr>
      <w:bCs w:val="0"/>
      <w:iCs/>
      <w:sz w:val="36"/>
      <w:szCs w:val="28"/>
    </w:rPr>
  </w:style>
  <w:style w:type="paragraph" w:styleId="Heading3">
    <w:name w:val="heading 3"/>
    <w:basedOn w:val="HeadingBase"/>
    <w:next w:val="Normal"/>
    <w:link w:val="Heading3Char"/>
    <w:qFormat/>
    <w:rsid w:val="00200CB2"/>
    <w:pPr>
      <w:tabs>
        <w:tab w:val="num" w:pos="720"/>
      </w:tabs>
      <w:spacing w:before="240"/>
      <w:ind w:left="432" w:hanging="432"/>
      <w:outlineLvl w:val="2"/>
    </w:pPr>
    <w:rPr>
      <w:bCs w:val="0"/>
      <w:color w:val="00827F" w:themeColor="accent3"/>
      <w:sz w:val="28"/>
      <w:szCs w:val="26"/>
    </w:rPr>
  </w:style>
  <w:style w:type="paragraph" w:styleId="Heading4">
    <w:name w:val="heading 4"/>
    <w:basedOn w:val="Normal"/>
    <w:next w:val="Normal"/>
    <w:link w:val="Heading4Char"/>
    <w:qFormat/>
    <w:rsid w:val="00CC31DB"/>
    <w:pPr>
      <w:outlineLvl w:val="3"/>
    </w:pPr>
    <w:rPr>
      <w:color w:val="3A6FAF" w:themeColor="accent2"/>
      <w:sz w:val="26"/>
      <w:szCs w:val="26"/>
    </w:rPr>
  </w:style>
  <w:style w:type="paragraph" w:styleId="Heading5">
    <w:name w:val="heading 5"/>
    <w:basedOn w:val="HeadingBase"/>
    <w:next w:val="Normal"/>
    <w:link w:val="Heading5Char"/>
    <w:qFormat/>
    <w:rsid w:val="003E4D87"/>
    <w:pPr>
      <w:tabs>
        <w:tab w:val="num" w:pos="1008"/>
      </w:tabs>
      <w:ind w:left="1008" w:hanging="432"/>
      <w:outlineLvl w:val="4"/>
    </w:pPr>
    <w:rPr>
      <w:b/>
      <w:bCs w:val="0"/>
      <w:iCs/>
    </w:rPr>
  </w:style>
  <w:style w:type="paragraph" w:styleId="Heading6">
    <w:name w:val="heading 6"/>
    <w:basedOn w:val="HeadingBase"/>
    <w:next w:val="Normal"/>
    <w:link w:val="Heading6Char"/>
    <w:qFormat/>
    <w:rsid w:val="003E4D87"/>
    <w:pPr>
      <w:tabs>
        <w:tab w:val="num" w:pos="1152"/>
      </w:tabs>
      <w:ind w:left="1152" w:hanging="432"/>
      <w:outlineLvl w:val="5"/>
    </w:pPr>
    <w:rPr>
      <w:bCs w:val="0"/>
      <w:szCs w:val="22"/>
    </w:rPr>
  </w:style>
  <w:style w:type="paragraph" w:styleId="Heading7">
    <w:name w:val="heading 7"/>
    <w:basedOn w:val="Normal"/>
    <w:next w:val="Normal"/>
    <w:link w:val="Heading7Char"/>
    <w:uiPriority w:val="9"/>
    <w:semiHidden/>
    <w:unhideWhenUsed/>
    <w:qFormat/>
    <w:rsid w:val="00451F3E"/>
    <w:pPr>
      <w:keepNext/>
      <w:keepLines/>
      <w:tabs>
        <w:tab w:val="num" w:pos="1296"/>
      </w:tabs>
      <w:spacing w:before="40" w:after="0"/>
      <w:ind w:left="1296" w:hanging="288"/>
      <w:outlineLvl w:val="6"/>
    </w:pPr>
    <w:rPr>
      <w:rFonts w:asciiTheme="majorHAnsi" w:eastAsiaTheme="majorEastAsia" w:hAnsiTheme="majorHAnsi" w:cstheme="majorBidi"/>
      <w:i/>
      <w:iCs/>
      <w:color w:val="001523" w:themeColor="accent1" w:themeShade="7F"/>
    </w:rPr>
  </w:style>
  <w:style w:type="paragraph" w:styleId="Heading8">
    <w:name w:val="heading 8"/>
    <w:basedOn w:val="Normal"/>
    <w:next w:val="Normal"/>
    <w:link w:val="Heading8Char"/>
    <w:uiPriority w:val="9"/>
    <w:semiHidden/>
    <w:unhideWhenUsed/>
    <w:qFormat/>
    <w:rsid w:val="00451F3E"/>
    <w:pPr>
      <w:keepNext/>
      <w:keepLines/>
      <w:tabs>
        <w:tab w:val="num" w:pos="1440"/>
      </w:tabs>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1F3E"/>
    <w:pPr>
      <w:keepNext/>
      <w:keepLines/>
      <w:tabs>
        <w:tab w:val="num" w:pos="1584"/>
      </w:tabs>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2C47"/>
      <w:kern w:val="32"/>
      <w:sz w:val="36"/>
      <w:szCs w:val="28"/>
      <w:lang w:eastAsia="en-AU"/>
    </w:rPr>
  </w:style>
  <w:style w:type="character" w:customStyle="1" w:styleId="Heading3Char">
    <w:name w:val="Heading 3 Char"/>
    <w:basedOn w:val="DefaultParagraphFont"/>
    <w:link w:val="Heading3"/>
    <w:rsid w:val="00200CB2"/>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CC31DB"/>
    <w:rPr>
      <w:rFonts w:ascii="Calibri" w:eastAsia="Times New Roman" w:hAnsi="Calibri" w:cs="Times New Roman"/>
      <w:color w:val="3A6FAF" w:themeColor="accent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2C47"/>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2C47"/>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spacing w:before="0"/>
      <w:ind w:left="720" w:hanging="36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354FBB"/>
    <w:pPr>
      <w:keepNext/>
      <w:spacing w:before="240"/>
    </w:pPr>
    <w:rPr>
      <w:b/>
      <w:color w:val="00827F" w:themeColor="accent3"/>
      <w:sz w:val="26"/>
      <w:szCs w:val="26"/>
    </w:rPr>
  </w:style>
  <w:style w:type="paragraph" w:customStyle="1" w:styleId="BoxText">
    <w:name w:val="Box Text"/>
    <w:basedOn w:val="Normal"/>
    <w:rsid w:val="000E0B74"/>
  </w:style>
  <w:style w:type="paragraph" w:customStyle="1" w:styleId="Bullet">
    <w:name w:val="Bullet"/>
    <w:aliases w:val="Body,Bullet + line,b,b + line,b1,level 1"/>
    <w:basedOn w:val="Normal"/>
    <w:link w:val="BulletChar"/>
    <w:qFormat/>
    <w:rsid w:val="000E0B74"/>
    <w:pPr>
      <w:numPr>
        <w:numId w:val="8"/>
      </w:numPr>
      <w:spacing w:before="0"/>
    </w:pPr>
  </w:style>
  <w:style w:type="paragraph" w:customStyle="1" w:styleId="ChartandTableFootnoteAlpha">
    <w:name w:val="Chart and Table Footnote Alpha"/>
    <w:rsid w:val="002D488F"/>
    <w:pPr>
      <w:numPr>
        <w:numId w:val="5"/>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8"/>
      </w:numPr>
      <w:spacing w:before="0"/>
    </w:pPr>
  </w:style>
  <w:style w:type="paragraph" w:customStyle="1" w:styleId="DoubleDot">
    <w:name w:val="Double Dot"/>
    <w:basedOn w:val="Normal"/>
    <w:qFormat/>
    <w:rsid w:val="000E0B74"/>
    <w:pPr>
      <w:numPr>
        <w:ilvl w:val="2"/>
        <w:numId w:val="8"/>
      </w:numPr>
      <w:spacing w:before="0"/>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CE5B0C"/>
    <w:rPr>
      <w:color w:val="3A6FAF"/>
      <w:u w:val="none"/>
    </w:rPr>
  </w:style>
  <w:style w:type="paragraph" w:customStyle="1" w:styleId="OutlineNumbered1">
    <w:name w:val="Outline Numbered 1"/>
    <w:basedOn w:val="Normal"/>
    <w:link w:val="OutlineNumbered1Char"/>
    <w:rsid w:val="000E0B74"/>
    <w:pPr>
      <w:numPr>
        <w:numId w:val="12"/>
      </w:numPr>
      <w:spacing w:before="0"/>
    </w:pPr>
  </w:style>
  <w:style w:type="paragraph" w:customStyle="1" w:styleId="OneLevelNumberedParagraph">
    <w:name w:val="One Level Numbered Paragraph"/>
    <w:basedOn w:val="Normal"/>
    <w:rsid w:val="000E0B74"/>
    <w:pPr>
      <w:tabs>
        <w:tab w:val="num" w:pos="284"/>
      </w:tabs>
      <w:spacing w:before="0"/>
      <w:ind w:left="284" w:hanging="284"/>
    </w:pPr>
  </w:style>
  <w:style w:type="paragraph" w:customStyle="1" w:styleId="OutlineNumbered2">
    <w:name w:val="Outline Numbered 2"/>
    <w:basedOn w:val="Normal"/>
    <w:rsid w:val="000E0B74"/>
    <w:pPr>
      <w:numPr>
        <w:ilvl w:val="1"/>
        <w:numId w:val="12"/>
      </w:numPr>
      <w:spacing w:before="0"/>
    </w:pPr>
  </w:style>
  <w:style w:type="paragraph" w:customStyle="1" w:styleId="OutlineNumbered3">
    <w:name w:val="Outline Numbered 3"/>
    <w:basedOn w:val="Normal"/>
    <w:rsid w:val="000E0B74"/>
    <w:pPr>
      <w:numPr>
        <w:ilvl w:val="2"/>
        <w:numId w:val="12"/>
      </w:numPr>
      <w:spacing w:before="0"/>
    </w:pPr>
  </w:style>
  <w:style w:type="paragraph" w:customStyle="1" w:styleId="Romannumeral">
    <w:name w:val="Roman numeral"/>
    <w:basedOn w:val="Normal"/>
    <w:rsid w:val="00E35FA1"/>
    <w:pPr>
      <w:tabs>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20"/>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tabs>
        <w:tab w:val="clear" w:pos="1440"/>
      </w:tabs>
      <w:ind w:left="360" w:hanging="360"/>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6"/>
      </w:numPr>
    </w:pPr>
  </w:style>
  <w:style w:type="paragraph" w:customStyle="1" w:styleId="Heading3Numbered">
    <w:name w:val="Heading 3 Numbered"/>
    <w:basedOn w:val="Heading3"/>
    <w:qFormat/>
    <w:rsid w:val="000E0B74"/>
    <w:pPr>
      <w:tabs>
        <w:tab w:val="clear" w:pos="720"/>
      </w:tabs>
      <w:ind w:left="1080" w:hanging="360"/>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rsid w:val="000F7517"/>
    <w:rPr>
      <w:rFonts w:ascii="Calibri" w:hAnsi="Calibri"/>
      <w:sz w:val="20"/>
      <w:vertAlign w:val="superscript"/>
    </w:rPr>
  </w:style>
  <w:style w:type="paragraph" w:styleId="FootnoteText">
    <w:name w:val="footnote text"/>
    <w:basedOn w:val="Normal"/>
    <w:link w:val="FootnoteTextChar"/>
    <w:rsid w:val="00DA176D"/>
    <w:pPr>
      <w:tabs>
        <w:tab w:val="left" w:pos="426"/>
      </w:tabs>
      <w:spacing w:before="0" w:after="0"/>
      <w:ind w:left="426" w:hanging="426"/>
    </w:pPr>
    <w:rPr>
      <w:sz w:val="20"/>
    </w:rPr>
  </w:style>
  <w:style w:type="character" w:customStyle="1" w:styleId="FootnoteTextChar">
    <w:name w:val="Footnote Text Char"/>
    <w:basedOn w:val="DefaultParagraphFont"/>
    <w:link w:val="FootnoteText"/>
    <w:rsid w:val="00DA176D"/>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FA4EF1"/>
    <w:rPr>
      <w:sz w:val="16"/>
      <w:szCs w:val="16"/>
    </w:rPr>
  </w:style>
  <w:style w:type="paragraph" w:styleId="CommentText">
    <w:name w:val="annotation text"/>
    <w:basedOn w:val="Normal"/>
    <w:link w:val="CommentTextChar"/>
    <w:uiPriority w:val="99"/>
    <w:unhideWhenUsed/>
    <w:rsid w:val="00FA4EF1"/>
    <w:rPr>
      <w:sz w:val="20"/>
    </w:rPr>
  </w:style>
  <w:style w:type="character" w:customStyle="1" w:styleId="CommentTextChar">
    <w:name w:val="Comment Text Char"/>
    <w:basedOn w:val="DefaultParagraphFont"/>
    <w:link w:val="CommentText"/>
    <w:uiPriority w:val="99"/>
    <w:rsid w:val="00FA4EF1"/>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A4EF1"/>
    <w:rPr>
      <w:b/>
      <w:bCs/>
    </w:rPr>
  </w:style>
  <w:style w:type="character" w:customStyle="1" w:styleId="CommentSubjectChar">
    <w:name w:val="Comment Subject Char"/>
    <w:basedOn w:val="CommentTextChar"/>
    <w:link w:val="CommentSubject"/>
    <w:uiPriority w:val="99"/>
    <w:semiHidden/>
    <w:rsid w:val="00FA4EF1"/>
    <w:rPr>
      <w:rFonts w:ascii="Calibri" w:eastAsia="Times New Roman" w:hAnsi="Calibri" w:cs="Times New Roman"/>
      <w:b/>
      <w:bCs/>
      <w:sz w:val="20"/>
      <w:szCs w:val="20"/>
      <w:lang w:eastAsia="en-AU"/>
    </w:rPr>
  </w:style>
  <w:style w:type="character" w:customStyle="1" w:styleId="BulletChar">
    <w:name w:val="Bullet Char"/>
    <w:aliases w:val="Body Char,b + line Char,b + line Char Char,b Char,b Char Char,b1 Char,level 1 Char,CV text Char,Dot pt Char,F5 List Paragraph Char,L Char,List Paragraph1 Char,List Paragraph11 Char,Number Char,Recommendation Char,Bullet + line Char"/>
    <w:basedOn w:val="Heading1Char"/>
    <w:link w:val="Bullet"/>
    <w:rsid w:val="00A914FC"/>
    <w:rPr>
      <w:rFonts w:ascii="Calibri" w:eastAsia="Times New Roman" w:hAnsi="Calibri" w:cs="Times New Roman"/>
      <w:color w:val="002C47" w:themeColor="accent1"/>
      <w:kern w:val="32"/>
      <w:sz w:val="48"/>
      <w:szCs w:val="20"/>
      <w:lang w:eastAsia="en-AU"/>
    </w:rPr>
  </w:style>
  <w:style w:type="paragraph" w:styleId="ListParagraph">
    <w:name w:val="List Paragraph"/>
    <w:basedOn w:val="Normal"/>
    <w:uiPriority w:val="34"/>
    <w:qFormat/>
    <w:rsid w:val="00D07CF7"/>
    <w:pPr>
      <w:ind w:left="720"/>
      <w:contextualSpacing/>
    </w:pPr>
  </w:style>
  <w:style w:type="paragraph" w:styleId="Revision">
    <w:name w:val="Revision"/>
    <w:hidden/>
    <w:uiPriority w:val="99"/>
    <w:semiHidden/>
    <w:rsid w:val="006D4A7F"/>
    <w:pPr>
      <w:spacing w:after="0" w:line="240" w:lineRule="auto"/>
    </w:pPr>
    <w:rPr>
      <w:rFonts w:ascii="Calibri" w:eastAsia="Times New Roman" w:hAnsi="Calibri" w:cs="Times New Roman"/>
      <w:szCs w:val="20"/>
      <w:lang w:eastAsia="en-AU"/>
    </w:rPr>
  </w:style>
  <w:style w:type="character" w:customStyle="1" w:styleId="OutlineNumbered1Char">
    <w:name w:val="Outline Numbered 1 Char"/>
    <w:basedOn w:val="DefaultParagraphFont"/>
    <w:link w:val="OutlineNumbered1"/>
    <w:locked/>
    <w:rsid w:val="00C31BAA"/>
    <w:rPr>
      <w:rFonts w:ascii="Calibri" w:eastAsia="Times New Roman" w:hAnsi="Calibri" w:cs="Times New Roman"/>
      <w:szCs w:val="20"/>
      <w:lang w:eastAsia="en-AU"/>
    </w:rPr>
  </w:style>
  <w:style w:type="character" w:customStyle="1" w:styleId="DashChar">
    <w:name w:val="Dash Char"/>
    <w:basedOn w:val="DefaultParagraphFont"/>
    <w:link w:val="Dash"/>
    <w:rsid w:val="00F71227"/>
    <w:rPr>
      <w:rFonts w:ascii="Calibri" w:eastAsia="Times New Roman" w:hAnsi="Calibri" w:cs="Times New Roman"/>
      <w:szCs w:val="20"/>
      <w:lang w:eastAsia="en-AU"/>
    </w:rPr>
  </w:style>
  <w:style w:type="character" w:styleId="Strong">
    <w:name w:val="Strong"/>
    <w:basedOn w:val="DefaultParagraphFont"/>
    <w:uiPriority w:val="22"/>
    <w:qFormat/>
    <w:rsid w:val="00725F65"/>
    <w:rPr>
      <w:b/>
      <w:bCs/>
    </w:rPr>
  </w:style>
  <w:style w:type="character" w:styleId="IntenseEmphasis">
    <w:name w:val="Intense Emphasis"/>
    <w:basedOn w:val="DefaultParagraphFont"/>
    <w:uiPriority w:val="21"/>
    <w:qFormat/>
    <w:rsid w:val="00725F65"/>
    <w:rPr>
      <w:i/>
      <w:iCs/>
      <w:color w:val="002C47" w:themeColor="accent1"/>
    </w:rPr>
  </w:style>
  <w:style w:type="character" w:customStyle="1" w:styleId="normaltextrun1">
    <w:name w:val="normaltextrun1"/>
    <w:basedOn w:val="DefaultParagraphFont"/>
    <w:rsid w:val="004D62D2"/>
  </w:style>
  <w:style w:type="character" w:customStyle="1" w:styleId="eop">
    <w:name w:val="eop"/>
    <w:basedOn w:val="DefaultParagraphFont"/>
    <w:rsid w:val="004D62D2"/>
  </w:style>
  <w:style w:type="paragraph" w:styleId="NormalWeb">
    <w:name w:val="Normal (Web)"/>
    <w:basedOn w:val="Normal"/>
    <w:uiPriority w:val="99"/>
    <w:semiHidden/>
    <w:unhideWhenUsed/>
    <w:rsid w:val="00B20CDC"/>
    <w:rPr>
      <w:rFonts w:ascii="Times New Roman" w:hAnsi="Times New Roman"/>
      <w:sz w:val="24"/>
      <w:szCs w:val="24"/>
    </w:rPr>
  </w:style>
  <w:style w:type="table" w:styleId="TableGridLight">
    <w:name w:val="Grid Table Light"/>
    <w:basedOn w:val="TableNormal"/>
    <w:uiPriority w:val="40"/>
    <w:rsid w:val="003239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323981"/>
    <w:pPr>
      <w:spacing w:after="0" w:line="240" w:lineRule="auto"/>
    </w:pPr>
    <w:tblPr>
      <w:tblStyleRowBandSize w:val="1"/>
      <w:tblStyleColBandSize w:val="1"/>
      <w:tblBorders>
        <w:top w:val="single" w:sz="4" w:space="0" w:color="4FBCFF" w:themeColor="accent1" w:themeTint="66"/>
        <w:left w:val="single" w:sz="4" w:space="0" w:color="4FBCFF" w:themeColor="accent1" w:themeTint="66"/>
        <w:bottom w:val="single" w:sz="4" w:space="0" w:color="4FBCFF" w:themeColor="accent1" w:themeTint="66"/>
        <w:right w:val="single" w:sz="4" w:space="0" w:color="4FBCFF" w:themeColor="accent1" w:themeTint="66"/>
        <w:insideH w:val="single" w:sz="4" w:space="0" w:color="4FBCFF" w:themeColor="accent1" w:themeTint="66"/>
        <w:insideV w:val="single" w:sz="4" w:space="0" w:color="4FBCFF" w:themeColor="accent1" w:themeTint="66"/>
      </w:tblBorders>
    </w:tblPr>
    <w:tblStylePr w:type="firstRow">
      <w:rPr>
        <w:b/>
        <w:bCs/>
      </w:rPr>
      <w:tblPr/>
      <w:tcPr>
        <w:tcBorders>
          <w:bottom w:val="single" w:sz="12" w:space="0" w:color="0098F6" w:themeColor="accent1" w:themeTint="99"/>
        </w:tcBorders>
      </w:tcPr>
    </w:tblStylePr>
    <w:tblStylePr w:type="lastRow">
      <w:rPr>
        <w:b/>
        <w:bCs/>
      </w:rPr>
      <w:tblPr/>
      <w:tcPr>
        <w:tcBorders>
          <w:top w:val="double" w:sz="2" w:space="0" w:color="0098F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23981"/>
    <w:pPr>
      <w:spacing w:after="0" w:line="240" w:lineRule="auto"/>
    </w:pPr>
    <w:tblPr>
      <w:tblStyleRowBandSize w:val="1"/>
      <w:tblStyleColBandSize w:val="1"/>
      <w:tblBorders>
        <w:top w:val="single" w:sz="4" w:space="0" w:color="ABC4E3" w:themeColor="accent2" w:themeTint="66"/>
        <w:left w:val="single" w:sz="4" w:space="0" w:color="ABC4E3" w:themeColor="accent2" w:themeTint="66"/>
        <w:bottom w:val="single" w:sz="4" w:space="0" w:color="ABC4E3" w:themeColor="accent2" w:themeTint="66"/>
        <w:right w:val="single" w:sz="4" w:space="0" w:color="ABC4E3" w:themeColor="accent2" w:themeTint="66"/>
        <w:insideH w:val="single" w:sz="4" w:space="0" w:color="ABC4E3" w:themeColor="accent2" w:themeTint="66"/>
        <w:insideV w:val="single" w:sz="4" w:space="0" w:color="ABC4E3" w:themeColor="accent2" w:themeTint="66"/>
      </w:tblBorders>
    </w:tblPr>
    <w:tblStylePr w:type="firstRow">
      <w:rPr>
        <w:b/>
        <w:bCs/>
      </w:rPr>
      <w:tblPr/>
      <w:tcPr>
        <w:tcBorders>
          <w:bottom w:val="single" w:sz="12" w:space="0" w:color="82A7D5" w:themeColor="accent2" w:themeTint="99"/>
        </w:tcBorders>
      </w:tcPr>
    </w:tblStylePr>
    <w:tblStylePr w:type="lastRow">
      <w:rPr>
        <w:b/>
        <w:bCs/>
      </w:rPr>
      <w:tblPr/>
      <w:tcPr>
        <w:tcBorders>
          <w:top w:val="double" w:sz="2" w:space="0" w:color="82A7D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23981"/>
    <w:pPr>
      <w:spacing w:after="0" w:line="240" w:lineRule="auto"/>
    </w:pPr>
    <w:tblPr>
      <w:tblStyleRowBandSize w:val="1"/>
      <w:tblStyleColBandSize w:val="1"/>
      <w:tblBorders>
        <w:top w:val="single" w:sz="4" w:space="0" w:color="67FFFB" w:themeColor="accent3" w:themeTint="66"/>
        <w:left w:val="single" w:sz="4" w:space="0" w:color="67FFFB" w:themeColor="accent3" w:themeTint="66"/>
        <w:bottom w:val="single" w:sz="4" w:space="0" w:color="67FFFB" w:themeColor="accent3" w:themeTint="66"/>
        <w:right w:val="single" w:sz="4" w:space="0" w:color="67FFFB" w:themeColor="accent3" w:themeTint="66"/>
        <w:insideH w:val="single" w:sz="4" w:space="0" w:color="67FFFB" w:themeColor="accent3" w:themeTint="66"/>
        <w:insideV w:val="single" w:sz="4" w:space="0" w:color="67FFFB" w:themeColor="accent3" w:themeTint="66"/>
      </w:tblBorders>
    </w:tblPr>
    <w:tblStylePr w:type="firstRow">
      <w:rPr>
        <w:b/>
        <w:bCs/>
      </w:rPr>
      <w:tblPr/>
      <w:tcPr>
        <w:tcBorders>
          <w:bottom w:val="single" w:sz="12" w:space="0" w:color="1BFFF9" w:themeColor="accent3" w:themeTint="99"/>
        </w:tcBorders>
      </w:tcPr>
    </w:tblStylePr>
    <w:tblStylePr w:type="lastRow">
      <w:rPr>
        <w:b/>
        <w:bCs/>
      </w:rPr>
      <w:tblPr/>
      <w:tcPr>
        <w:tcBorders>
          <w:top w:val="double" w:sz="2" w:space="0" w:color="1BFFF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23981"/>
    <w:pPr>
      <w:spacing w:after="0" w:line="240" w:lineRule="auto"/>
    </w:pPr>
    <w:tblPr>
      <w:tblStyleRowBandSize w:val="1"/>
      <w:tblStyleColBandSize w:val="1"/>
      <w:tblBorders>
        <w:top w:val="single" w:sz="4" w:space="0" w:color="FBD2A4" w:themeColor="accent4" w:themeTint="66"/>
        <w:left w:val="single" w:sz="4" w:space="0" w:color="FBD2A4" w:themeColor="accent4" w:themeTint="66"/>
        <w:bottom w:val="single" w:sz="4" w:space="0" w:color="FBD2A4" w:themeColor="accent4" w:themeTint="66"/>
        <w:right w:val="single" w:sz="4" w:space="0" w:color="FBD2A4" w:themeColor="accent4" w:themeTint="66"/>
        <w:insideH w:val="single" w:sz="4" w:space="0" w:color="FBD2A4" w:themeColor="accent4" w:themeTint="66"/>
        <w:insideV w:val="single" w:sz="4" w:space="0" w:color="FBD2A4" w:themeColor="accent4" w:themeTint="66"/>
      </w:tblBorders>
    </w:tblPr>
    <w:tblStylePr w:type="firstRow">
      <w:rPr>
        <w:b/>
        <w:bCs/>
      </w:rPr>
      <w:tblPr/>
      <w:tcPr>
        <w:tcBorders>
          <w:bottom w:val="single" w:sz="12" w:space="0" w:color="FABB77" w:themeColor="accent4" w:themeTint="99"/>
        </w:tcBorders>
      </w:tcPr>
    </w:tblStylePr>
    <w:tblStylePr w:type="lastRow">
      <w:rPr>
        <w:b/>
        <w:bCs/>
      </w:rPr>
      <w:tblPr/>
      <w:tcPr>
        <w:tcBorders>
          <w:top w:val="double" w:sz="2" w:space="0" w:color="FABB7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3981"/>
    <w:pPr>
      <w:spacing w:after="0" w:line="240" w:lineRule="auto"/>
    </w:pPr>
    <w:tblPr>
      <w:tblStyleRowBandSize w:val="1"/>
      <w:tblStyleColBandSize w:val="1"/>
      <w:tblBorders>
        <w:top w:val="single" w:sz="4" w:space="0" w:color="7EF2FF" w:themeColor="accent5" w:themeTint="66"/>
        <w:left w:val="single" w:sz="4" w:space="0" w:color="7EF2FF" w:themeColor="accent5" w:themeTint="66"/>
        <w:bottom w:val="single" w:sz="4" w:space="0" w:color="7EF2FF" w:themeColor="accent5" w:themeTint="66"/>
        <w:right w:val="single" w:sz="4" w:space="0" w:color="7EF2FF" w:themeColor="accent5" w:themeTint="66"/>
        <w:insideH w:val="single" w:sz="4" w:space="0" w:color="7EF2FF" w:themeColor="accent5" w:themeTint="66"/>
        <w:insideV w:val="single" w:sz="4" w:space="0" w:color="7EF2FF" w:themeColor="accent5" w:themeTint="66"/>
      </w:tblBorders>
    </w:tblPr>
    <w:tblStylePr w:type="firstRow">
      <w:rPr>
        <w:b/>
        <w:bCs/>
      </w:rPr>
      <w:tblPr/>
      <w:tcPr>
        <w:tcBorders>
          <w:bottom w:val="single" w:sz="12" w:space="0" w:color="3EECFF" w:themeColor="accent5" w:themeTint="99"/>
        </w:tcBorders>
      </w:tcPr>
    </w:tblStylePr>
    <w:tblStylePr w:type="lastRow">
      <w:rPr>
        <w:b/>
        <w:bCs/>
      </w:rPr>
      <w:tblPr/>
      <w:tcPr>
        <w:tcBorders>
          <w:top w:val="double" w:sz="2" w:space="0" w:color="3EEC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23981"/>
    <w:pPr>
      <w:spacing w:after="0" w:line="240" w:lineRule="auto"/>
    </w:pPr>
    <w:tblPr>
      <w:tblStyleRowBandSize w:val="1"/>
      <w:tblStyleColBandSize w:val="1"/>
      <w:tblBorders>
        <w:top w:val="single" w:sz="4" w:space="0" w:color="CEB5DB" w:themeColor="accent6" w:themeTint="66"/>
        <w:left w:val="single" w:sz="4" w:space="0" w:color="CEB5DB" w:themeColor="accent6" w:themeTint="66"/>
        <w:bottom w:val="single" w:sz="4" w:space="0" w:color="CEB5DB" w:themeColor="accent6" w:themeTint="66"/>
        <w:right w:val="single" w:sz="4" w:space="0" w:color="CEB5DB" w:themeColor="accent6" w:themeTint="66"/>
        <w:insideH w:val="single" w:sz="4" w:space="0" w:color="CEB5DB" w:themeColor="accent6" w:themeTint="66"/>
        <w:insideV w:val="single" w:sz="4" w:space="0" w:color="CEB5DB" w:themeColor="accent6" w:themeTint="66"/>
      </w:tblBorders>
    </w:tblPr>
    <w:tblStylePr w:type="firstRow">
      <w:rPr>
        <w:b/>
        <w:bCs/>
      </w:rPr>
      <w:tblPr/>
      <w:tcPr>
        <w:tcBorders>
          <w:bottom w:val="single" w:sz="12" w:space="0" w:color="B690C9" w:themeColor="accent6" w:themeTint="99"/>
        </w:tcBorders>
      </w:tcPr>
    </w:tblStylePr>
    <w:tblStylePr w:type="lastRow">
      <w:rPr>
        <w:b/>
        <w:bCs/>
      </w:rPr>
      <w:tblPr/>
      <w:tcPr>
        <w:tcBorders>
          <w:top w:val="double" w:sz="2" w:space="0" w:color="B690C9" w:themeColor="accent6"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239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32398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239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7Char">
    <w:name w:val="Heading 7 Char"/>
    <w:basedOn w:val="DefaultParagraphFont"/>
    <w:link w:val="Heading7"/>
    <w:uiPriority w:val="9"/>
    <w:semiHidden/>
    <w:rsid w:val="00451F3E"/>
    <w:rPr>
      <w:rFonts w:asciiTheme="majorHAnsi" w:eastAsiaTheme="majorEastAsia" w:hAnsiTheme="majorHAnsi" w:cstheme="majorBidi"/>
      <w:i/>
      <w:iCs/>
      <w:color w:val="001523" w:themeColor="accent1" w:themeShade="7F"/>
      <w:szCs w:val="20"/>
      <w:lang w:eastAsia="en-AU"/>
    </w:rPr>
  </w:style>
  <w:style w:type="character" w:customStyle="1" w:styleId="Heading8Char">
    <w:name w:val="Heading 8 Char"/>
    <w:basedOn w:val="DefaultParagraphFont"/>
    <w:link w:val="Heading8"/>
    <w:uiPriority w:val="9"/>
    <w:semiHidden/>
    <w:rsid w:val="00451F3E"/>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451F3E"/>
    <w:rPr>
      <w:rFonts w:asciiTheme="majorHAnsi" w:eastAsiaTheme="majorEastAsia" w:hAnsiTheme="majorHAnsi" w:cstheme="majorBidi"/>
      <w:i/>
      <w:iCs/>
      <w:color w:val="272727" w:themeColor="text1" w:themeTint="D8"/>
      <w:sz w:val="21"/>
      <w:szCs w:val="21"/>
      <w:lang w:eastAsia="en-AU"/>
    </w:rPr>
  </w:style>
  <w:style w:type="numbering" w:styleId="ArticleSection">
    <w:name w:val="Outline List 3"/>
    <w:basedOn w:val="NoList"/>
    <w:semiHidden/>
    <w:rsid w:val="002A699C"/>
    <w:pPr>
      <w:numPr>
        <w:numId w:val="18"/>
      </w:numPr>
    </w:pPr>
  </w:style>
  <w:style w:type="paragraph" w:customStyle="1" w:styleId="base-text-paragraph">
    <w:name w:val="base-text-paragraph"/>
    <w:basedOn w:val="Normal"/>
    <w:link w:val="base-text-paragraphChar"/>
    <w:qFormat/>
    <w:rsid w:val="002A699C"/>
    <w:pPr>
      <w:tabs>
        <w:tab w:val="num" w:pos="1985"/>
      </w:tabs>
      <w:ind w:left="1134"/>
    </w:pPr>
    <w:rPr>
      <w:rFonts w:ascii="Times New Roman" w:hAnsi="Times New Roman"/>
    </w:rPr>
  </w:style>
  <w:style w:type="character" w:customStyle="1" w:styleId="base-text-paragraphChar">
    <w:name w:val="base-text-paragraph Char"/>
    <w:basedOn w:val="DefaultParagraphFont"/>
    <w:link w:val="base-text-paragraph"/>
    <w:rsid w:val="00451F3E"/>
    <w:rPr>
      <w:rFonts w:ascii="Times New Roman" w:eastAsia="Times New Roman" w:hAnsi="Times New Roman" w:cs="Times New Roman"/>
      <w:szCs w:val="20"/>
      <w:lang w:eastAsia="en-AU"/>
    </w:rPr>
  </w:style>
  <w:style w:type="numbering" w:customStyle="1" w:styleId="ChapterList">
    <w:name w:val="ChapterList"/>
    <w:uiPriority w:val="99"/>
    <w:rsid w:val="002A699C"/>
    <w:pPr>
      <w:numPr>
        <w:numId w:val="19"/>
      </w:numPr>
    </w:pPr>
  </w:style>
  <w:style w:type="paragraph" w:customStyle="1" w:styleId="dotpoint">
    <w:name w:val="dot point"/>
    <w:basedOn w:val="Normal"/>
    <w:link w:val="dotpointChar"/>
    <w:rsid w:val="00451F3E"/>
    <w:pPr>
      <w:numPr>
        <w:numId w:val="20"/>
      </w:numPr>
    </w:pPr>
    <w:rPr>
      <w:rFonts w:ascii="Times New Roman" w:hAnsi="Times New Roman"/>
    </w:rPr>
  </w:style>
  <w:style w:type="paragraph" w:styleId="ListNumber2">
    <w:name w:val="List Number 2"/>
    <w:basedOn w:val="Normal"/>
    <w:semiHidden/>
    <w:rsid w:val="00451F3E"/>
    <w:pPr>
      <w:numPr>
        <w:numId w:val="21"/>
      </w:numPr>
    </w:pPr>
    <w:rPr>
      <w:rFonts w:ascii="Times New Roman" w:hAnsi="Times New Roman"/>
    </w:rPr>
  </w:style>
  <w:style w:type="character" w:customStyle="1" w:styleId="Referencingstyle">
    <w:name w:val="Referencing style"/>
    <w:basedOn w:val="DefaultParagraphFont"/>
    <w:rsid w:val="00451F3E"/>
    <w:rPr>
      <w:b/>
      <w:i/>
      <w:sz w:val="18"/>
    </w:rPr>
  </w:style>
  <w:style w:type="character" w:customStyle="1" w:styleId="dotpointChar">
    <w:name w:val="dot point Char"/>
    <w:basedOn w:val="DefaultParagraphFont"/>
    <w:link w:val="dotpoint"/>
    <w:rsid w:val="00451F3E"/>
    <w:rPr>
      <w:rFonts w:ascii="Times New Roman" w:eastAsia="Times New Roman" w:hAnsi="Times New Roman" w:cs="Times New Roman"/>
      <w:szCs w:val="20"/>
      <w:lang w:eastAsia="en-AU"/>
    </w:rPr>
  </w:style>
  <w:style w:type="character" w:styleId="FollowedHyperlink">
    <w:name w:val="FollowedHyperlink"/>
    <w:basedOn w:val="DefaultParagraphFont"/>
    <w:uiPriority w:val="99"/>
    <w:semiHidden/>
    <w:unhideWhenUsed/>
    <w:rsid w:val="00AC154F"/>
    <w:rPr>
      <w:color w:val="E61E26" w:themeColor="followedHyperlink"/>
      <w:u w:val="single"/>
    </w:rPr>
  </w:style>
  <w:style w:type="character" w:customStyle="1" w:styleId="normaltextrun">
    <w:name w:val="normaltextrun"/>
    <w:basedOn w:val="DefaultParagraphFont"/>
    <w:rsid w:val="000879BA"/>
  </w:style>
  <w:style w:type="character" w:styleId="Emphasis">
    <w:name w:val="Emphasis"/>
    <w:basedOn w:val="DefaultParagraphFont"/>
    <w:uiPriority w:val="20"/>
    <w:qFormat/>
    <w:rsid w:val="00BC1292"/>
    <w:rPr>
      <w:i/>
      <w:iCs/>
    </w:rPr>
  </w:style>
  <w:style w:type="paragraph" w:customStyle="1" w:styleId="BoxHeading2">
    <w:name w:val="Box Heading 2"/>
    <w:basedOn w:val="BoxHeading"/>
    <w:qFormat/>
    <w:rsid w:val="00DA176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94539">
      <w:bodyDiv w:val="1"/>
      <w:marLeft w:val="0"/>
      <w:marRight w:val="0"/>
      <w:marTop w:val="0"/>
      <w:marBottom w:val="0"/>
      <w:divBdr>
        <w:top w:val="none" w:sz="0" w:space="0" w:color="auto"/>
        <w:left w:val="none" w:sz="0" w:space="0" w:color="auto"/>
        <w:bottom w:val="none" w:sz="0" w:space="0" w:color="auto"/>
        <w:right w:val="none" w:sz="0" w:space="0" w:color="auto"/>
      </w:divBdr>
    </w:div>
    <w:div w:id="253560811">
      <w:bodyDiv w:val="1"/>
      <w:marLeft w:val="0"/>
      <w:marRight w:val="0"/>
      <w:marTop w:val="0"/>
      <w:marBottom w:val="0"/>
      <w:divBdr>
        <w:top w:val="none" w:sz="0" w:space="0" w:color="auto"/>
        <w:left w:val="none" w:sz="0" w:space="0" w:color="auto"/>
        <w:bottom w:val="none" w:sz="0" w:space="0" w:color="auto"/>
        <w:right w:val="none" w:sz="0" w:space="0" w:color="auto"/>
      </w:divBdr>
    </w:div>
    <w:div w:id="351079797">
      <w:bodyDiv w:val="1"/>
      <w:marLeft w:val="0"/>
      <w:marRight w:val="0"/>
      <w:marTop w:val="0"/>
      <w:marBottom w:val="0"/>
      <w:divBdr>
        <w:top w:val="none" w:sz="0" w:space="0" w:color="auto"/>
        <w:left w:val="none" w:sz="0" w:space="0" w:color="auto"/>
        <w:bottom w:val="none" w:sz="0" w:space="0" w:color="auto"/>
        <w:right w:val="none" w:sz="0" w:space="0" w:color="auto"/>
      </w:divBdr>
    </w:div>
    <w:div w:id="384565507">
      <w:bodyDiv w:val="1"/>
      <w:marLeft w:val="0"/>
      <w:marRight w:val="0"/>
      <w:marTop w:val="0"/>
      <w:marBottom w:val="0"/>
      <w:divBdr>
        <w:top w:val="none" w:sz="0" w:space="0" w:color="auto"/>
        <w:left w:val="none" w:sz="0" w:space="0" w:color="auto"/>
        <w:bottom w:val="none" w:sz="0" w:space="0" w:color="auto"/>
        <w:right w:val="none" w:sz="0" w:space="0" w:color="auto"/>
      </w:divBdr>
    </w:div>
    <w:div w:id="437991440">
      <w:bodyDiv w:val="1"/>
      <w:marLeft w:val="0"/>
      <w:marRight w:val="0"/>
      <w:marTop w:val="0"/>
      <w:marBottom w:val="0"/>
      <w:divBdr>
        <w:top w:val="none" w:sz="0" w:space="0" w:color="auto"/>
        <w:left w:val="none" w:sz="0" w:space="0" w:color="auto"/>
        <w:bottom w:val="none" w:sz="0" w:space="0" w:color="auto"/>
        <w:right w:val="none" w:sz="0" w:space="0" w:color="auto"/>
      </w:divBdr>
    </w:div>
    <w:div w:id="531891892">
      <w:bodyDiv w:val="1"/>
      <w:marLeft w:val="0"/>
      <w:marRight w:val="0"/>
      <w:marTop w:val="0"/>
      <w:marBottom w:val="0"/>
      <w:divBdr>
        <w:top w:val="none" w:sz="0" w:space="0" w:color="auto"/>
        <w:left w:val="none" w:sz="0" w:space="0" w:color="auto"/>
        <w:bottom w:val="none" w:sz="0" w:space="0" w:color="auto"/>
        <w:right w:val="none" w:sz="0" w:space="0" w:color="auto"/>
      </w:divBdr>
    </w:div>
    <w:div w:id="562643494">
      <w:bodyDiv w:val="1"/>
      <w:marLeft w:val="0"/>
      <w:marRight w:val="0"/>
      <w:marTop w:val="0"/>
      <w:marBottom w:val="0"/>
      <w:divBdr>
        <w:top w:val="none" w:sz="0" w:space="0" w:color="auto"/>
        <w:left w:val="none" w:sz="0" w:space="0" w:color="auto"/>
        <w:bottom w:val="none" w:sz="0" w:space="0" w:color="auto"/>
        <w:right w:val="none" w:sz="0" w:space="0" w:color="auto"/>
      </w:divBdr>
    </w:div>
    <w:div w:id="608853326">
      <w:bodyDiv w:val="1"/>
      <w:marLeft w:val="0"/>
      <w:marRight w:val="0"/>
      <w:marTop w:val="0"/>
      <w:marBottom w:val="0"/>
      <w:divBdr>
        <w:top w:val="none" w:sz="0" w:space="0" w:color="auto"/>
        <w:left w:val="none" w:sz="0" w:space="0" w:color="auto"/>
        <w:bottom w:val="none" w:sz="0" w:space="0" w:color="auto"/>
        <w:right w:val="none" w:sz="0" w:space="0" w:color="auto"/>
      </w:divBdr>
    </w:div>
    <w:div w:id="639270776">
      <w:bodyDiv w:val="1"/>
      <w:marLeft w:val="0"/>
      <w:marRight w:val="0"/>
      <w:marTop w:val="0"/>
      <w:marBottom w:val="0"/>
      <w:divBdr>
        <w:top w:val="none" w:sz="0" w:space="0" w:color="auto"/>
        <w:left w:val="none" w:sz="0" w:space="0" w:color="auto"/>
        <w:bottom w:val="none" w:sz="0" w:space="0" w:color="auto"/>
        <w:right w:val="none" w:sz="0" w:space="0" w:color="auto"/>
      </w:divBdr>
    </w:div>
    <w:div w:id="827330774">
      <w:bodyDiv w:val="1"/>
      <w:marLeft w:val="0"/>
      <w:marRight w:val="0"/>
      <w:marTop w:val="0"/>
      <w:marBottom w:val="0"/>
      <w:divBdr>
        <w:top w:val="none" w:sz="0" w:space="0" w:color="auto"/>
        <w:left w:val="none" w:sz="0" w:space="0" w:color="auto"/>
        <w:bottom w:val="none" w:sz="0" w:space="0" w:color="auto"/>
        <w:right w:val="none" w:sz="0" w:space="0" w:color="auto"/>
      </w:divBdr>
    </w:div>
    <w:div w:id="861044260">
      <w:bodyDiv w:val="1"/>
      <w:marLeft w:val="0"/>
      <w:marRight w:val="0"/>
      <w:marTop w:val="0"/>
      <w:marBottom w:val="0"/>
      <w:divBdr>
        <w:top w:val="none" w:sz="0" w:space="0" w:color="auto"/>
        <w:left w:val="none" w:sz="0" w:space="0" w:color="auto"/>
        <w:bottom w:val="none" w:sz="0" w:space="0" w:color="auto"/>
        <w:right w:val="none" w:sz="0" w:space="0" w:color="auto"/>
      </w:divBdr>
    </w:div>
    <w:div w:id="887646186">
      <w:bodyDiv w:val="1"/>
      <w:marLeft w:val="0"/>
      <w:marRight w:val="0"/>
      <w:marTop w:val="0"/>
      <w:marBottom w:val="0"/>
      <w:divBdr>
        <w:top w:val="none" w:sz="0" w:space="0" w:color="auto"/>
        <w:left w:val="none" w:sz="0" w:space="0" w:color="auto"/>
        <w:bottom w:val="none" w:sz="0" w:space="0" w:color="auto"/>
        <w:right w:val="none" w:sz="0" w:space="0" w:color="auto"/>
      </w:divBdr>
    </w:div>
    <w:div w:id="1035960073">
      <w:bodyDiv w:val="1"/>
      <w:marLeft w:val="0"/>
      <w:marRight w:val="0"/>
      <w:marTop w:val="0"/>
      <w:marBottom w:val="0"/>
      <w:divBdr>
        <w:top w:val="none" w:sz="0" w:space="0" w:color="auto"/>
        <w:left w:val="none" w:sz="0" w:space="0" w:color="auto"/>
        <w:bottom w:val="none" w:sz="0" w:space="0" w:color="auto"/>
        <w:right w:val="none" w:sz="0" w:space="0" w:color="auto"/>
      </w:divBdr>
    </w:div>
    <w:div w:id="1132943846">
      <w:bodyDiv w:val="1"/>
      <w:marLeft w:val="0"/>
      <w:marRight w:val="0"/>
      <w:marTop w:val="0"/>
      <w:marBottom w:val="0"/>
      <w:divBdr>
        <w:top w:val="none" w:sz="0" w:space="0" w:color="auto"/>
        <w:left w:val="none" w:sz="0" w:space="0" w:color="auto"/>
        <w:bottom w:val="none" w:sz="0" w:space="0" w:color="auto"/>
        <w:right w:val="none" w:sz="0" w:space="0" w:color="auto"/>
      </w:divBdr>
    </w:div>
    <w:div w:id="1244679262">
      <w:bodyDiv w:val="1"/>
      <w:marLeft w:val="0"/>
      <w:marRight w:val="0"/>
      <w:marTop w:val="0"/>
      <w:marBottom w:val="0"/>
      <w:divBdr>
        <w:top w:val="none" w:sz="0" w:space="0" w:color="auto"/>
        <w:left w:val="none" w:sz="0" w:space="0" w:color="auto"/>
        <w:bottom w:val="none" w:sz="0" w:space="0" w:color="auto"/>
        <w:right w:val="none" w:sz="0" w:space="0" w:color="auto"/>
      </w:divBdr>
    </w:div>
    <w:div w:id="1614632407">
      <w:bodyDiv w:val="1"/>
      <w:marLeft w:val="0"/>
      <w:marRight w:val="0"/>
      <w:marTop w:val="0"/>
      <w:marBottom w:val="0"/>
      <w:divBdr>
        <w:top w:val="none" w:sz="0" w:space="0" w:color="auto"/>
        <w:left w:val="none" w:sz="0" w:space="0" w:color="auto"/>
        <w:bottom w:val="none" w:sz="0" w:space="0" w:color="auto"/>
        <w:right w:val="none" w:sz="0" w:space="0" w:color="auto"/>
      </w:divBdr>
    </w:div>
    <w:div w:id="1670405823">
      <w:bodyDiv w:val="1"/>
      <w:marLeft w:val="0"/>
      <w:marRight w:val="0"/>
      <w:marTop w:val="0"/>
      <w:marBottom w:val="0"/>
      <w:divBdr>
        <w:top w:val="none" w:sz="0" w:space="0" w:color="auto"/>
        <w:left w:val="none" w:sz="0" w:space="0" w:color="auto"/>
        <w:bottom w:val="none" w:sz="0" w:space="0" w:color="auto"/>
        <w:right w:val="none" w:sz="0" w:space="0" w:color="auto"/>
      </w:divBdr>
    </w:div>
    <w:div w:id="1674070661">
      <w:bodyDiv w:val="1"/>
      <w:marLeft w:val="0"/>
      <w:marRight w:val="0"/>
      <w:marTop w:val="0"/>
      <w:marBottom w:val="0"/>
      <w:divBdr>
        <w:top w:val="none" w:sz="0" w:space="0" w:color="auto"/>
        <w:left w:val="none" w:sz="0" w:space="0" w:color="auto"/>
        <w:bottom w:val="none" w:sz="0" w:space="0" w:color="auto"/>
        <w:right w:val="none" w:sz="0" w:space="0" w:color="auto"/>
      </w:divBdr>
    </w:div>
    <w:div w:id="1678312381">
      <w:bodyDiv w:val="1"/>
      <w:marLeft w:val="0"/>
      <w:marRight w:val="0"/>
      <w:marTop w:val="0"/>
      <w:marBottom w:val="0"/>
      <w:divBdr>
        <w:top w:val="none" w:sz="0" w:space="0" w:color="auto"/>
        <w:left w:val="none" w:sz="0" w:space="0" w:color="auto"/>
        <w:bottom w:val="none" w:sz="0" w:space="0" w:color="auto"/>
        <w:right w:val="none" w:sz="0" w:space="0" w:color="auto"/>
      </w:divBdr>
    </w:div>
    <w:div w:id="1770349691">
      <w:bodyDiv w:val="1"/>
      <w:marLeft w:val="0"/>
      <w:marRight w:val="0"/>
      <w:marTop w:val="0"/>
      <w:marBottom w:val="0"/>
      <w:divBdr>
        <w:top w:val="none" w:sz="0" w:space="0" w:color="auto"/>
        <w:left w:val="none" w:sz="0" w:space="0" w:color="auto"/>
        <w:bottom w:val="none" w:sz="0" w:space="0" w:color="auto"/>
        <w:right w:val="none" w:sz="0" w:space="0" w:color="auto"/>
      </w:divBdr>
    </w:div>
    <w:div w:id="1884554426">
      <w:bodyDiv w:val="1"/>
      <w:marLeft w:val="0"/>
      <w:marRight w:val="0"/>
      <w:marTop w:val="0"/>
      <w:marBottom w:val="0"/>
      <w:divBdr>
        <w:top w:val="none" w:sz="0" w:space="0" w:color="auto"/>
        <w:left w:val="none" w:sz="0" w:space="0" w:color="auto"/>
        <w:bottom w:val="none" w:sz="0" w:space="0" w:color="auto"/>
        <w:right w:val="none" w:sz="0" w:space="0" w:color="auto"/>
      </w:divBdr>
    </w:div>
    <w:div w:id="2000690885">
      <w:bodyDiv w:val="1"/>
      <w:marLeft w:val="0"/>
      <w:marRight w:val="0"/>
      <w:marTop w:val="0"/>
      <w:marBottom w:val="0"/>
      <w:divBdr>
        <w:top w:val="none" w:sz="0" w:space="0" w:color="auto"/>
        <w:left w:val="none" w:sz="0" w:space="0" w:color="auto"/>
        <w:bottom w:val="none" w:sz="0" w:space="0" w:color="auto"/>
        <w:right w:val="none" w:sz="0" w:space="0" w:color="auto"/>
      </w:divBdr>
    </w:div>
    <w:div w:id="2010594048">
      <w:bodyDiv w:val="1"/>
      <w:marLeft w:val="0"/>
      <w:marRight w:val="0"/>
      <w:marTop w:val="0"/>
      <w:marBottom w:val="0"/>
      <w:divBdr>
        <w:top w:val="none" w:sz="0" w:space="0" w:color="auto"/>
        <w:left w:val="none" w:sz="0" w:space="0" w:color="auto"/>
        <w:bottom w:val="none" w:sz="0" w:space="0" w:color="auto"/>
        <w:right w:val="none" w:sz="0" w:space="0" w:color="auto"/>
      </w:divBdr>
    </w:div>
    <w:div w:id="2012027019">
      <w:bodyDiv w:val="1"/>
      <w:marLeft w:val="0"/>
      <w:marRight w:val="0"/>
      <w:marTop w:val="0"/>
      <w:marBottom w:val="0"/>
      <w:divBdr>
        <w:top w:val="none" w:sz="0" w:space="0" w:color="auto"/>
        <w:left w:val="none" w:sz="0" w:space="0" w:color="auto"/>
        <w:bottom w:val="none" w:sz="0" w:space="0" w:color="auto"/>
        <w:right w:val="none" w:sz="0" w:space="0" w:color="auto"/>
      </w:divBdr>
    </w:div>
    <w:div w:id="2093771387">
      <w:bodyDiv w:val="1"/>
      <w:marLeft w:val="0"/>
      <w:marRight w:val="0"/>
      <w:marTop w:val="0"/>
      <w:marBottom w:val="0"/>
      <w:divBdr>
        <w:top w:val="none" w:sz="0" w:space="0" w:color="auto"/>
        <w:left w:val="none" w:sz="0" w:space="0" w:color="auto"/>
        <w:bottom w:val="none" w:sz="0" w:space="0" w:color="auto"/>
        <w:right w:val="none" w:sz="0" w:space="0" w:color="auto"/>
      </w:divBdr>
    </w:div>
    <w:div w:id="214638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pmc.gov.au/government/commonwealth-coat-arms"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creativecommons.org/licenses/by/3.0/au/deed.en" TargetMode="External"/><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mbcomms@treasury.gov.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reativecommons.org/licenses/by/3.0/au/legalcode" TargetMode="External"/><Relationship Id="rId23" Type="http://schemas.openxmlformats.org/officeDocument/2006/relationships/hyperlink" Target="mailto:mbcomms@treasury.gov.au"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mailto:media@treasury.gov.au"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ses/by/3.0/au/deed.en" TargetMode="Externa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fieldfisher.com/en/insights/a-guide-to-electronic-signatures-during-coronavirus" TargetMode="External"/><Relationship Id="rId2" Type="http://schemas.openxmlformats.org/officeDocument/2006/relationships/hyperlink" Target="https://www.aph.gov.au/Parliamentary_Business/Committees/Senate/Financial_Technology_and_Regulatory_Technology/FinancialRegulatoryTech/Interim_Report/Section?id=committees%2Freportsen%2F024366%2F73005" TargetMode="External"/><Relationship Id="rId1" Type="http://schemas.openxmlformats.org/officeDocument/2006/relationships/hyperlink" Target="https://www.aph.gov.au/Parliamentary_Business/Committees/Senate/Financial_Technology_and_Regulatory_Technology/FinancialRegulatoryTech/Interim_Report/Section?id=committees%2Freportsen%2F024366%2F73005" TargetMode="External"/><Relationship Id="rId5" Type="http://schemas.openxmlformats.org/officeDocument/2006/relationships/hyperlink" Target="https://digitalcommons.law.msu.edu/cgi/viewcontent.cgi?article=1214&amp;context=ilr" TargetMode="External"/><Relationship Id="rId4" Type="http://schemas.openxmlformats.org/officeDocument/2006/relationships/hyperlink" Target="https://duncancotterill.com/publications/electronic-signatures-when-can-i-use-them-and-when-cant-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Sheet1!$A$20</c:f>
              <c:strCache>
                <c:ptCount val="1"/>
                <c:pt idx="0">
                  <c:v>Cheque</c:v>
                </c:pt>
              </c:strCache>
            </c:strRef>
          </c:tx>
          <c:spPr>
            <a:solidFill>
              <a:srgbClr val="002C47"/>
            </a:solidFill>
            <a:ln>
              <a:noFill/>
            </a:ln>
            <a:effectLst/>
          </c:spPr>
          <c:invertIfNegative val="0"/>
          <c:cat>
            <c:numRef>
              <c:f>Sheet1!$B$19:$F$19</c:f>
              <c:numCache>
                <c:formatCode>General</c:formatCode>
                <c:ptCount val="5"/>
                <c:pt idx="0">
                  <c:v>2007</c:v>
                </c:pt>
                <c:pt idx="1">
                  <c:v>2010</c:v>
                </c:pt>
                <c:pt idx="2">
                  <c:v>2013</c:v>
                </c:pt>
                <c:pt idx="3">
                  <c:v>2016</c:v>
                </c:pt>
                <c:pt idx="4">
                  <c:v>2019</c:v>
                </c:pt>
              </c:numCache>
            </c:numRef>
          </c:cat>
          <c:val>
            <c:numRef>
              <c:f>Sheet1!$B$20:$F$20</c:f>
              <c:numCache>
                <c:formatCode>General</c:formatCode>
                <c:ptCount val="5"/>
                <c:pt idx="0">
                  <c:v>1</c:v>
                </c:pt>
                <c:pt idx="1">
                  <c:v>1</c:v>
                </c:pt>
                <c:pt idx="2">
                  <c:v>0.4</c:v>
                </c:pt>
                <c:pt idx="3">
                  <c:v>0.2</c:v>
                </c:pt>
                <c:pt idx="4">
                  <c:v>0.2</c:v>
                </c:pt>
              </c:numCache>
            </c:numRef>
          </c:val>
          <c:extLst>
            <c:ext xmlns:c16="http://schemas.microsoft.com/office/drawing/2014/chart" uri="{C3380CC4-5D6E-409C-BE32-E72D297353CC}">
              <c16:uniqueId val="{00000000-194B-469E-AFB8-9D1C7AB1687C}"/>
            </c:ext>
          </c:extLst>
        </c:ser>
        <c:dLbls>
          <c:showLegendKey val="0"/>
          <c:showVal val="0"/>
          <c:showCatName val="0"/>
          <c:showSerName val="0"/>
          <c:showPercent val="0"/>
          <c:showBubbleSize val="0"/>
        </c:dLbls>
        <c:gapWidth val="219"/>
        <c:overlap val="-27"/>
        <c:axId val="481334976"/>
        <c:axId val="481333336"/>
      </c:barChart>
      <c:catAx>
        <c:axId val="481334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333336"/>
        <c:crosses val="autoZero"/>
        <c:auto val="1"/>
        <c:lblAlgn val="ctr"/>
        <c:lblOffset val="100"/>
        <c:noMultiLvlLbl val="0"/>
      </c:catAx>
      <c:valAx>
        <c:axId val="481333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Share of</a:t>
                </a:r>
                <a:r>
                  <a:rPr lang="en-AU" baseline="0"/>
                  <a:t> consumer payments (%)</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33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32215-7582-4D2A-95B0-4E6685E15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7748</Words>
  <Characters>43364</Characters>
  <Application>Microsoft Office Word</Application>
  <DocSecurity>0</DocSecurity>
  <Lines>736</Lines>
  <Paragraphs>308</Paragraphs>
  <ScaleCrop>false</ScaleCrop>
  <HeadingPairs>
    <vt:vector size="2" baseType="variant">
      <vt:variant>
        <vt:lpstr>Title</vt:lpstr>
      </vt:variant>
      <vt:variant>
        <vt:i4>1</vt:i4>
      </vt:variant>
    </vt:vector>
  </HeadingPairs>
  <TitlesOfParts>
    <vt:vector size="1" baseType="lpstr">
      <vt:lpstr>Modernising Business Communications</vt:lpstr>
    </vt:vector>
  </TitlesOfParts>
  <Company/>
  <LinksUpToDate>false</LinksUpToDate>
  <CharactersWithSpaces>51120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Modernising Business Communications</dc:title>
  <dc:subject/>
  <dc:creator/>
  <cp:keywords/>
  <dc:description/>
  <cp:lastModifiedBy/>
  <cp:revision>1</cp:revision>
  <dcterms:created xsi:type="dcterms:W3CDTF">2020-12-16T02:52:00Z</dcterms:created>
  <dcterms:modified xsi:type="dcterms:W3CDTF">2020-12-17T21:57:00Z</dcterms:modified>
  <cp:category/>
</cp:coreProperties>
</file>