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B74" w:rsidRPr="006D0240" w:rsidRDefault="000E0B74" w:rsidP="008E6292"/>
    <w:p w:rsidR="000E0B74" w:rsidRPr="006D0240" w:rsidRDefault="000E0B74" w:rsidP="001D4EAA">
      <w:pPr>
        <w:pStyle w:val="Crest"/>
        <w:spacing w:after="1320"/>
        <w:jc w:val="left"/>
      </w:pPr>
    </w:p>
    <w:p w:rsidR="000E0B74" w:rsidRPr="008D48B8" w:rsidRDefault="008D48B8" w:rsidP="001D4EAA">
      <w:pPr>
        <w:pStyle w:val="Title"/>
        <w:rPr>
          <w:sz w:val="56"/>
        </w:rPr>
      </w:pPr>
      <w:r w:rsidRPr="008D48B8">
        <w:rPr>
          <w:sz w:val="56"/>
        </w:rPr>
        <w:t xml:space="preserve">Review of the </w:t>
      </w:r>
      <w:r w:rsidR="007F5670">
        <w:rPr>
          <w:sz w:val="56"/>
        </w:rPr>
        <w:t xml:space="preserve">operation of the </w:t>
      </w:r>
      <w:r w:rsidRPr="008D48B8">
        <w:rPr>
          <w:i/>
          <w:sz w:val="56"/>
        </w:rPr>
        <w:t>National Housing Finance and Investment Corporation Act 2018</w:t>
      </w:r>
    </w:p>
    <w:p w:rsidR="000E0B74" w:rsidRPr="000454D2" w:rsidRDefault="00E61D14" w:rsidP="001D4EAA">
      <w:pPr>
        <w:pStyle w:val="Subtitle"/>
        <w:rPr>
          <w:b/>
        </w:rPr>
      </w:pPr>
      <w:r w:rsidRPr="000454D2">
        <w:rPr>
          <w:b/>
        </w:rPr>
        <w:t>Issues Paper</w:t>
      </w:r>
    </w:p>
    <w:p w:rsidR="00056880" w:rsidRDefault="00893672" w:rsidP="001D4EAA">
      <w:pPr>
        <w:pStyle w:val="ReportDate"/>
        <w:rPr>
          <w:rFonts w:ascii="Rockwell" w:hAnsi="Rockwell"/>
          <w:sz w:val="24"/>
        </w:rPr>
      </w:pPr>
      <w:r>
        <w:rPr>
          <w:rStyle w:val="ReportDateChar"/>
        </w:rPr>
        <w:t xml:space="preserve">December </w:t>
      </w:r>
      <w:r w:rsidR="008D48B8">
        <w:rPr>
          <w:rStyle w:val="ReportDateChar"/>
        </w:rPr>
        <w:t>2020</w:t>
      </w:r>
    </w:p>
    <w:p w:rsidR="002F617F" w:rsidRPr="001D4EAA" w:rsidRDefault="002F617F" w:rsidP="001D4EAA">
      <w:pPr>
        <w:spacing w:after="6000"/>
      </w:pPr>
    </w:p>
    <w:p w:rsidR="002F617F" w:rsidRDefault="002F617F"/>
    <w:p w:rsidR="000E0B74" w:rsidRDefault="000E0B74" w:rsidP="000E0B74">
      <w:pPr>
        <w:rPr>
          <w:rFonts w:cs="Calibri"/>
          <w:sz w:val="20"/>
        </w:rPr>
      </w:pPr>
    </w:p>
    <w:p w:rsidR="000E0B74" w:rsidRDefault="000E0B74" w:rsidP="000E0B74">
      <w:pPr>
        <w:sectPr w:rsidR="000E0B74" w:rsidSect="00E1136B">
          <w:headerReference w:type="default" r:id="rId13"/>
          <w:footerReference w:type="default" r:id="rId14"/>
          <w:pgSz w:w="11906" w:h="16838"/>
          <w:pgMar w:top="1418" w:right="1418" w:bottom="1418" w:left="1418" w:header="709" w:footer="709" w:gutter="0"/>
          <w:pgNumType w:fmt="lowerRoman" w:start="1"/>
          <w:cols w:space="720"/>
        </w:sectPr>
      </w:pPr>
    </w:p>
    <w:p w:rsidR="000E0B74" w:rsidRDefault="000E0B74" w:rsidP="000E0B74">
      <w:pPr>
        <w:spacing w:before="240"/>
      </w:pPr>
      <w:r w:rsidRPr="00661BF0">
        <w:t xml:space="preserve">© Commonwealth of Australia </w:t>
      </w:r>
      <w:r w:rsidR="00231F56" w:rsidRPr="00A867BB">
        <w:t>2020</w:t>
      </w:r>
    </w:p>
    <w:p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6" w:history="1">
        <w:r w:rsidRPr="00D45AF8">
          <w:rPr>
            <w:rStyle w:val="Hyperlink"/>
          </w:rPr>
          <w:t>http://creativecommons.org/licenses/by/3.0/au/legalcode</w:t>
        </w:r>
      </w:hyperlink>
      <w:r w:rsidRPr="006627B4">
        <w:rPr>
          <w:rStyle w:val="Hyperlink"/>
        </w:rPr>
        <w:t>.</w:t>
      </w:r>
      <w:r w:rsidRPr="00D06A21">
        <w:rPr>
          <w:sz w:val="24"/>
          <w:szCs w:val="24"/>
        </w:rPr>
        <w:t xml:space="preserve"> </w:t>
      </w:r>
    </w:p>
    <w:p w:rsidR="000E0B74" w:rsidRDefault="000E0B74" w:rsidP="000E0B74">
      <w:pPr>
        <w:pStyle w:val="ChartGraphic"/>
        <w:jc w:val="left"/>
      </w:pPr>
      <w:r w:rsidRPr="00E56DFB">
        <w:rPr>
          <w:noProof/>
        </w:rPr>
        <w:drawing>
          <wp:inline distT="0" distB="0" distL="0" distR="0" wp14:anchorId="2C0F33F7" wp14:editId="5E4952CF">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rsidR="000E0B74" w:rsidRPr="00A13A11" w:rsidRDefault="000E0B74" w:rsidP="000E0B74">
      <w:pPr>
        <w:ind w:firstLine="720"/>
      </w:pPr>
      <w:r w:rsidRPr="002F1BC2">
        <w:rPr>
          <w:i/>
        </w:rPr>
        <w:t xml:space="preserve">Source: The </w:t>
      </w:r>
      <w:r w:rsidRPr="002F1BC2">
        <w:rPr>
          <w:i/>
          <w:iCs/>
        </w:rPr>
        <w:t>Australian Government the Treasury</w:t>
      </w:r>
      <w:r>
        <w:t>.</w:t>
      </w:r>
    </w:p>
    <w:p w:rsidR="000E0B74" w:rsidRPr="006627B4" w:rsidRDefault="000E0B74" w:rsidP="000E0B74">
      <w:pPr>
        <w:spacing w:before="240"/>
      </w:pPr>
      <w:r w:rsidRPr="00CC63CC">
        <w:rPr>
          <w:b/>
        </w:rPr>
        <w:t>Derivative</w:t>
      </w:r>
      <w:r w:rsidRPr="006627B4">
        <w:t xml:space="preserve"> </w:t>
      </w:r>
      <w:r w:rsidRPr="00CC63CC">
        <w:rPr>
          <w:b/>
        </w:rPr>
        <w:t>material</w:t>
      </w:r>
    </w:p>
    <w:p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rsidR="000E0B74" w:rsidRPr="006627B4" w:rsidRDefault="000E0B74" w:rsidP="000E0B74">
      <w:pPr>
        <w:ind w:firstLine="720"/>
      </w:pPr>
      <w:r w:rsidRPr="002F1BC2">
        <w:rPr>
          <w:i/>
        </w:rPr>
        <w:t>Based on The Australian Government the Treasury data</w:t>
      </w:r>
      <w:r>
        <w:t>.</w:t>
      </w:r>
    </w:p>
    <w:p w:rsidR="000E0B74" w:rsidRPr="006627B4" w:rsidRDefault="000E0B74" w:rsidP="000E0B74">
      <w:pPr>
        <w:spacing w:before="240"/>
        <w:rPr>
          <w:b/>
        </w:rPr>
      </w:pPr>
      <w:r w:rsidRPr="006627B4">
        <w:rPr>
          <w:b/>
        </w:rPr>
        <w:t>Use of the Coat of Arms</w:t>
      </w:r>
    </w:p>
    <w:p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r w:rsidR="00ED723E" w:rsidRPr="00F85C67">
        <w:rPr>
          <w:rStyle w:val="Hyperlink"/>
        </w:rPr>
        <w:t>https://www.pmc.gov.au/government/commonwealth-coat-arms</w:t>
      </w:r>
      <w:r w:rsidRPr="004A7BC2">
        <w:t>).</w:t>
      </w:r>
    </w:p>
    <w:p w:rsidR="000E0B74" w:rsidRPr="006627B4" w:rsidRDefault="000E0B74" w:rsidP="000E0B74">
      <w:pPr>
        <w:spacing w:before="240"/>
        <w:rPr>
          <w:b/>
        </w:rPr>
      </w:pPr>
      <w:r>
        <w:rPr>
          <w:b/>
        </w:rPr>
        <w:t>Other u</w:t>
      </w:r>
      <w:r w:rsidRPr="006627B4">
        <w:rPr>
          <w:b/>
        </w:rPr>
        <w:t>ses</w:t>
      </w:r>
    </w:p>
    <w:p w:rsidR="000E0B74" w:rsidRPr="006627B4" w:rsidRDefault="000E0B74" w:rsidP="000E0B74">
      <w:r>
        <w:t>E</w:t>
      </w:r>
      <w:r w:rsidRPr="006627B4">
        <w:t>nquiries regarding this licence and any other use of this document are welcome at:</w:t>
      </w:r>
    </w:p>
    <w:p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9" w:history="1">
        <w:r w:rsidR="004A077D" w:rsidRPr="000951A5">
          <w:rPr>
            <w:rStyle w:val="Hyperlink"/>
          </w:rPr>
          <w:t>media@treasury.gov.au</w:t>
        </w:r>
      </w:hyperlink>
      <w:r w:rsidR="004A077D">
        <w:t xml:space="preserve"> </w:t>
      </w:r>
    </w:p>
    <w:p w:rsidR="000E0B74" w:rsidRDefault="000E0B74" w:rsidP="000E0B74">
      <w:pPr>
        <w:pStyle w:val="SingleParagraph"/>
        <w:sectPr w:rsidR="000E0B74"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rsidR="000E0B74" w:rsidRPr="00354FBB" w:rsidRDefault="000E0B74" w:rsidP="00354FBB">
      <w:pPr>
        <w:pStyle w:val="Heading1"/>
      </w:pPr>
      <w:bookmarkStart w:id="0" w:name="_Toc56587645"/>
      <w:bookmarkStart w:id="1" w:name="_Toc56684820"/>
      <w:bookmarkStart w:id="2" w:name="_Toc57283498"/>
      <w:bookmarkStart w:id="3" w:name="_Toc57283733"/>
      <w:bookmarkStart w:id="4" w:name="_Toc57305076"/>
      <w:bookmarkStart w:id="5" w:name="_Toc57305262"/>
      <w:bookmarkStart w:id="6" w:name="_Toc57377422"/>
      <w:bookmarkStart w:id="7" w:name="_Toc58252732"/>
      <w:r w:rsidRPr="00354FBB">
        <w:t>Contents</w:t>
      </w:r>
      <w:bookmarkEnd w:id="0"/>
      <w:bookmarkEnd w:id="1"/>
      <w:bookmarkEnd w:id="2"/>
      <w:bookmarkEnd w:id="3"/>
      <w:bookmarkEnd w:id="4"/>
      <w:bookmarkEnd w:id="5"/>
      <w:bookmarkEnd w:id="6"/>
      <w:bookmarkEnd w:id="7"/>
    </w:p>
    <w:p w:rsidR="00FE2AB0"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58252732" w:history="1">
        <w:r w:rsidR="00FE2AB0" w:rsidRPr="002C2F97">
          <w:rPr>
            <w:rStyle w:val="Hyperlink"/>
          </w:rPr>
          <w:t>Contents</w:t>
        </w:r>
        <w:r w:rsidR="00FE2AB0">
          <w:rPr>
            <w:webHidden/>
          </w:rPr>
          <w:tab/>
        </w:r>
        <w:r w:rsidR="00FE2AB0">
          <w:rPr>
            <w:webHidden/>
          </w:rPr>
          <w:fldChar w:fldCharType="begin"/>
        </w:r>
        <w:r w:rsidR="00FE2AB0">
          <w:rPr>
            <w:webHidden/>
          </w:rPr>
          <w:instrText xml:space="preserve"> PAGEREF _Toc58252732 \h </w:instrText>
        </w:r>
        <w:r w:rsidR="00FE2AB0">
          <w:rPr>
            <w:webHidden/>
          </w:rPr>
        </w:r>
        <w:r w:rsidR="00FE2AB0">
          <w:rPr>
            <w:webHidden/>
          </w:rPr>
          <w:fldChar w:fldCharType="separate"/>
        </w:r>
        <w:r w:rsidR="00FE2AB0">
          <w:rPr>
            <w:webHidden/>
          </w:rPr>
          <w:t>iii</w:t>
        </w:r>
        <w:r w:rsidR="00FE2AB0">
          <w:rPr>
            <w:webHidden/>
          </w:rPr>
          <w:fldChar w:fldCharType="end"/>
        </w:r>
      </w:hyperlink>
    </w:p>
    <w:p w:rsidR="00FE2AB0" w:rsidRDefault="00FE2AB0">
      <w:pPr>
        <w:pStyle w:val="TOC1"/>
        <w:rPr>
          <w:rFonts w:asciiTheme="minorHAnsi" w:eastAsiaTheme="minorEastAsia" w:hAnsiTheme="minorHAnsi" w:cstheme="minorBidi"/>
          <w:b w:val="0"/>
          <w:color w:val="auto"/>
        </w:rPr>
      </w:pPr>
      <w:hyperlink w:anchor="_Toc58252733" w:history="1">
        <w:r w:rsidRPr="002C2F97">
          <w:rPr>
            <w:rStyle w:val="Hyperlink"/>
          </w:rPr>
          <w:t>Consultation Process</w:t>
        </w:r>
        <w:r>
          <w:rPr>
            <w:webHidden/>
          </w:rPr>
          <w:tab/>
        </w:r>
        <w:r>
          <w:rPr>
            <w:webHidden/>
          </w:rPr>
          <w:fldChar w:fldCharType="begin"/>
        </w:r>
        <w:r>
          <w:rPr>
            <w:webHidden/>
          </w:rPr>
          <w:instrText xml:space="preserve"> PAGEREF _Toc58252733 \h </w:instrText>
        </w:r>
        <w:r>
          <w:rPr>
            <w:webHidden/>
          </w:rPr>
        </w:r>
        <w:r>
          <w:rPr>
            <w:webHidden/>
          </w:rPr>
          <w:fldChar w:fldCharType="separate"/>
        </w:r>
        <w:r>
          <w:rPr>
            <w:webHidden/>
          </w:rPr>
          <w:t>1</w:t>
        </w:r>
        <w:r>
          <w:rPr>
            <w:webHidden/>
          </w:rPr>
          <w:fldChar w:fldCharType="end"/>
        </w:r>
      </w:hyperlink>
    </w:p>
    <w:p w:rsidR="00FE2AB0" w:rsidRDefault="00FE2AB0">
      <w:pPr>
        <w:pStyle w:val="TOC2"/>
        <w:rPr>
          <w:rFonts w:asciiTheme="minorHAnsi" w:eastAsiaTheme="minorEastAsia" w:hAnsiTheme="minorHAnsi" w:cstheme="minorBidi"/>
          <w:color w:val="auto"/>
          <w:szCs w:val="22"/>
        </w:rPr>
      </w:pPr>
      <w:hyperlink w:anchor="_Toc58252734" w:history="1">
        <w:r w:rsidRPr="002C2F97">
          <w:rPr>
            <w:rStyle w:val="Hyperlink"/>
          </w:rPr>
          <w:t>Request for feedback and comments</w:t>
        </w:r>
        <w:r>
          <w:rPr>
            <w:webHidden/>
          </w:rPr>
          <w:tab/>
        </w:r>
        <w:r>
          <w:rPr>
            <w:webHidden/>
          </w:rPr>
          <w:fldChar w:fldCharType="begin"/>
        </w:r>
        <w:r>
          <w:rPr>
            <w:webHidden/>
          </w:rPr>
          <w:instrText xml:space="preserve"> PAGEREF _Toc58252734 \h </w:instrText>
        </w:r>
        <w:r>
          <w:rPr>
            <w:webHidden/>
          </w:rPr>
        </w:r>
        <w:r>
          <w:rPr>
            <w:webHidden/>
          </w:rPr>
          <w:fldChar w:fldCharType="separate"/>
        </w:r>
        <w:r>
          <w:rPr>
            <w:webHidden/>
          </w:rPr>
          <w:t>1</w:t>
        </w:r>
        <w:r>
          <w:rPr>
            <w:webHidden/>
          </w:rPr>
          <w:fldChar w:fldCharType="end"/>
        </w:r>
      </w:hyperlink>
    </w:p>
    <w:p w:rsidR="00FE2AB0" w:rsidRDefault="00FE2AB0">
      <w:pPr>
        <w:pStyle w:val="TOC2"/>
        <w:rPr>
          <w:rFonts w:asciiTheme="minorHAnsi" w:eastAsiaTheme="minorEastAsia" w:hAnsiTheme="minorHAnsi" w:cstheme="minorBidi"/>
          <w:color w:val="auto"/>
          <w:szCs w:val="22"/>
        </w:rPr>
      </w:pPr>
      <w:hyperlink w:anchor="_Toc58252735" w:history="1">
        <w:r w:rsidRPr="002C2F97">
          <w:rPr>
            <w:rStyle w:val="Hyperlink"/>
          </w:rPr>
          <w:t>Purpose</w:t>
        </w:r>
        <w:r>
          <w:rPr>
            <w:webHidden/>
          </w:rPr>
          <w:tab/>
        </w:r>
        <w:r>
          <w:rPr>
            <w:webHidden/>
          </w:rPr>
          <w:fldChar w:fldCharType="begin"/>
        </w:r>
        <w:r>
          <w:rPr>
            <w:webHidden/>
          </w:rPr>
          <w:instrText xml:space="preserve"> PAGEREF _Toc58252735 \h </w:instrText>
        </w:r>
        <w:r>
          <w:rPr>
            <w:webHidden/>
          </w:rPr>
        </w:r>
        <w:r>
          <w:rPr>
            <w:webHidden/>
          </w:rPr>
          <w:fldChar w:fldCharType="separate"/>
        </w:r>
        <w:r>
          <w:rPr>
            <w:webHidden/>
          </w:rPr>
          <w:t>2</w:t>
        </w:r>
        <w:r>
          <w:rPr>
            <w:webHidden/>
          </w:rPr>
          <w:fldChar w:fldCharType="end"/>
        </w:r>
      </w:hyperlink>
    </w:p>
    <w:p w:rsidR="00FE2AB0" w:rsidRDefault="00FE2AB0">
      <w:pPr>
        <w:pStyle w:val="TOC2"/>
        <w:rPr>
          <w:rFonts w:asciiTheme="minorHAnsi" w:eastAsiaTheme="minorEastAsia" w:hAnsiTheme="minorHAnsi" w:cstheme="minorBidi"/>
          <w:color w:val="auto"/>
          <w:szCs w:val="22"/>
        </w:rPr>
      </w:pPr>
      <w:hyperlink w:anchor="_Toc58252736" w:history="1">
        <w:r w:rsidRPr="002C2F97">
          <w:rPr>
            <w:rStyle w:val="Hyperlink"/>
          </w:rPr>
          <w:t>Background</w:t>
        </w:r>
        <w:r>
          <w:rPr>
            <w:webHidden/>
          </w:rPr>
          <w:tab/>
        </w:r>
        <w:r>
          <w:rPr>
            <w:webHidden/>
          </w:rPr>
          <w:fldChar w:fldCharType="begin"/>
        </w:r>
        <w:r>
          <w:rPr>
            <w:webHidden/>
          </w:rPr>
          <w:instrText xml:space="preserve"> PAGEREF _Toc58252736 \h </w:instrText>
        </w:r>
        <w:r>
          <w:rPr>
            <w:webHidden/>
          </w:rPr>
        </w:r>
        <w:r>
          <w:rPr>
            <w:webHidden/>
          </w:rPr>
          <w:fldChar w:fldCharType="separate"/>
        </w:r>
        <w:r>
          <w:rPr>
            <w:webHidden/>
          </w:rPr>
          <w:t>2</w:t>
        </w:r>
        <w:r>
          <w:rPr>
            <w:webHidden/>
          </w:rPr>
          <w:fldChar w:fldCharType="end"/>
        </w:r>
      </w:hyperlink>
    </w:p>
    <w:p w:rsidR="00FE2AB0" w:rsidRDefault="00FE2AB0">
      <w:pPr>
        <w:pStyle w:val="TOC2"/>
        <w:rPr>
          <w:rFonts w:asciiTheme="minorHAnsi" w:eastAsiaTheme="minorEastAsia" w:hAnsiTheme="minorHAnsi" w:cstheme="minorBidi"/>
          <w:color w:val="auto"/>
          <w:szCs w:val="22"/>
        </w:rPr>
      </w:pPr>
      <w:hyperlink w:anchor="_Toc58252737" w:history="1">
        <w:r w:rsidRPr="002C2F97">
          <w:rPr>
            <w:rStyle w:val="Hyperlink"/>
          </w:rPr>
          <w:t>Terms of reference</w:t>
        </w:r>
        <w:r>
          <w:rPr>
            <w:webHidden/>
          </w:rPr>
          <w:tab/>
        </w:r>
        <w:r>
          <w:rPr>
            <w:webHidden/>
          </w:rPr>
          <w:fldChar w:fldCharType="begin"/>
        </w:r>
        <w:r>
          <w:rPr>
            <w:webHidden/>
          </w:rPr>
          <w:instrText xml:space="preserve"> PAGEREF _Toc58252737 \h </w:instrText>
        </w:r>
        <w:r>
          <w:rPr>
            <w:webHidden/>
          </w:rPr>
        </w:r>
        <w:r>
          <w:rPr>
            <w:webHidden/>
          </w:rPr>
          <w:fldChar w:fldCharType="separate"/>
        </w:r>
        <w:r>
          <w:rPr>
            <w:webHidden/>
          </w:rPr>
          <w:t>3</w:t>
        </w:r>
        <w:r>
          <w:rPr>
            <w:webHidden/>
          </w:rPr>
          <w:fldChar w:fldCharType="end"/>
        </w:r>
      </w:hyperlink>
    </w:p>
    <w:p w:rsidR="00FE2AB0" w:rsidRDefault="00FE2AB0">
      <w:pPr>
        <w:pStyle w:val="TOC2"/>
        <w:rPr>
          <w:rFonts w:asciiTheme="minorHAnsi" w:eastAsiaTheme="minorEastAsia" w:hAnsiTheme="minorHAnsi" w:cstheme="minorBidi"/>
          <w:color w:val="auto"/>
          <w:szCs w:val="22"/>
        </w:rPr>
      </w:pPr>
      <w:hyperlink w:anchor="_Toc58252738" w:history="1">
        <w:r w:rsidRPr="002C2F97">
          <w:rPr>
            <w:rStyle w:val="Hyperlink"/>
          </w:rPr>
          <w:t>The housing market in Australia</w:t>
        </w:r>
        <w:r>
          <w:rPr>
            <w:webHidden/>
          </w:rPr>
          <w:tab/>
        </w:r>
        <w:r>
          <w:rPr>
            <w:webHidden/>
          </w:rPr>
          <w:fldChar w:fldCharType="begin"/>
        </w:r>
        <w:r>
          <w:rPr>
            <w:webHidden/>
          </w:rPr>
          <w:instrText xml:space="preserve"> PAGEREF _Toc58252738 \h </w:instrText>
        </w:r>
        <w:r>
          <w:rPr>
            <w:webHidden/>
          </w:rPr>
        </w:r>
        <w:r>
          <w:rPr>
            <w:webHidden/>
          </w:rPr>
          <w:fldChar w:fldCharType="separate"/>
        </w:r>
        <w:r>
          <w:rPr>
            <w:webHidden/>
          </w:rPr>
          <w:t>4</w:t>
        </w:r>
        <w:r>
          <w:rPr>
            <w:webHidden/>
          </w:rPr>
          <w:fldChar w:fldCharType="end"/>
        </w:r>
      </w:hyperlink>
    </w:p>
    <w:p w:rsidR="00FE2AB0" w:rsidRDefault="00FE2AB0">
      <w:pPr>
        <w:pStyle w:val="TOC2"/>
        <w:rPr>
          <w:rFonts w:asciiTheme="minorHAnsi" w:eastAsiaTheme="minorEastAsia" w:hAnsiTheme="minorHAnsi" w:cstheme="minorBidi"/>
          <w:color w:val="auto"/>
          <w:szCs w:val="22"/>
        </w:rPr>
      </w:pPr>
      <w:hyperlink w:anchor="_Toc58252739" w:history="1">
        <w:r w:rsidRPr="002C2F97">
          <w:rPr>
            <w:rStyle w:val="Hyperlink"/>
          </w:rPr>
          <w:t>Why NHFIC was created</w:t>
        </w:r>
        <w:r>
          <w:rPr>
            <w:webHidden/>
          </w:rPr>
          <w:tab/>
        </w:r>
        <w:r>
          <w:rPr>
            <w:webHidden/>
          </w:rPr>
          <w:fldChar w:fldCharType="begin"/>
        </w:r>
        <w:r>
          <w:rPr>
            <w:webHidden/>
          </w:rPr>
          <w:instrText xml:space="preserve"> PAGEREF _Toc58252739 \h </w:instrText>
        </w:r>
        <w:r>
          <w:rPr>
            <w:webHidden/>
          </w:rPr>
        </w:r>
        <w:r>
          <w:rPr>
            <w:webHidden/>
          </w:rPr>
          <w:fldChar w:fldCharType="separate"/>
        </w:r>
        <w:r>
          <w:rPr>
            <w:webHidden/>
          </w:rPr>
          <w:t>5</w:t>
        </w:r>
        <w:r>
          <w:rPr>
            <w:webHidden/>
          </w:rPr>
          <w:fldChar w:fldCharType="end"/>
        </w:r>
      </w:hyperlink>
    </w:p>
    <w:p w:rsidR="00FE2AB0" w:rsidRDefault="00FE2AB0">
      <w:pPr>
        <w:pStyle w:val="TOC2"/>
        <w:rPr>
          <w:rFonts w:asciiTheme="minorHAnsi" w:eastAsiaTheme="minorEastAsia" w:hAnsiTheme="minorHAnsi" w:cstheme="minorBidi"/>
          <w:color w:val="auto"/>
          <w:szCs w:val="22"/>
        </w:rPr>
      </w:pPr>
      <w:hyperlink w:anchor="_Toc58252740" w:history="1">
        <w:r w:rsidRPr="002C2F97">
          <w:rPr>
            <w:rStyle w:val="Hyperlink"/>
          </w:rPr>
          <w:t>NHFIC’s key functions</w:t>
        </w:r>
        <w:r>
          <w:rPr>
            <w:webHidden/>
          </w:rPr>
          <w:tab/>
        </w:r>
        <w:r>
          <w:rPr>
            <w:webHidden/>
          </w:rPr>
          <w:fldChar w:fldCharType="begin"/>
        </w:r>
        <w:r>
          <w:rPr>
            <w:webHidden/>
          </w:rPr>
          <w:instrText xml:space="preserve"> PAGEREF _Toc58252740 \h </w:instrText>
        </w:r>
        <w:r>
          <w:rPr>
            <w:webHidden/>
          </w:rPr>
        </w:r>
        <w:r>
          <w:rPr>
            <w:webHidden/>
          </w:rPr>
          <w:fldChar w:fldCharType="separate"/>
        </w:r>
        <w:r>
          <w:rPr>
            <w:webHidden/>
          </w:rPr>
          <w:t>5</w:t>
        </w:r>
        <w:r>
          <w:rPr>
            <w:webHidden/>
          </w:rPr>
          <w:fldChar w:fldCharType="end"/>
        </w:r>
      </w:hyperlink>
    </w:p>
    <w:p w:rsidR="00FE2AB0" w:rsidRDefault="00FE2AB0">
      <w:pPr>
        <w:pStyle w:val="TOC2"/>
        <w:rPr>
          <w:rFonts w:asciiTheme="minorHAnsi" w:eastAsiaTheme="minorEastAsia" w:hAnsiTheme="minorHAnsi" w:cstheme="minorBidi"/>
          <w:color w:val="auto"/>
          <w:szCs w:val="22"/>
        </w:rPr>
      </w:pPr>
      <w:hyperlink w:anchor="_Toc58252741" w:history="1">
        <w:r w:rsidRPr="002C2F97">
          <w:rPr>
            <w:rStyle w:val="Hyperlink"/>
          </w:rPr>
          <w:t>Key consultation points for the Review</w:t>
        </w:r>
        <w:r>
          <w:rPr>
            <w:webHidden/>
          </w:rPr>
          <w:tab/>
        </w:r>
        <w:r>
          <w:rPr>
            <w:webHidden/>
          </w:rPr>
          <w:fldChar w:fldCharType="begin"/>
        </w:r>
        <w:r>
          <w:rPr>
            <w:webHidden/>
          </w:rPr>
          <w:instrText xml:space="preserve"> PAGEREF _Toc58252741 \h </w:instrText>
        </w:r>
        <w:r>
          <w:rPr>
            <w:webHidden/>
          </w:rPr>
        </w:r>
        <w:r>
          <w:rPr>
            <w:webHidden/>
          </w:rPr>
          <w:fldChar w:fldCharType="separate"/>
        </w:r>
        <w:r>
          <w:rPr>
            <w:webHidden/>
          </w:rPr>
          <w:t>6</w:t>
        </w:r>
        <w:r>
          <w:rPr>
            <w:webHidden/>
          </w:rPr>
          <w:fldChar w:fldCharType="end"/>
        </w:r>
      </w:hyperlink>
    </w:p>
    <w:p w:rsidR="00FE2AB0" w:rsidRDefault="00FE2AB0">
      <w:pPr>
        <w:pStyle w:val="TOC3"/>
        <w:rPr>
          <w:rFonts w:asciiTheme="minorHAnsi" w:eastAsiaTheme="minorEastAsia" w:hAnsiTheme="minorHAnsi" w:cstheme="minorBidi"/>
          <w:color w:val="auto"/>
          <w:szCs w:val="22"/>
        </w:rPr>
      </w:pPr>
      <w:hyperlink w:anchor="_Toc58252742" w:history="1">
        <w:r w:rsidRPr="002C2F97">
          <w:rPr>
            <w:rStyle w:val="Hyperlink"/>
          </w:rPr>
          <w:t>Impact of NHFIC on the Community Housing Provider Sector</w:t>
        </w:r>
        <w:r>
          <w:rPr>
            <w:webHidden/>
          </w:rPr>
          <w:tab/>
        </w:r>
        <w:r>
          <w:rPr>
            <w:webHidden/>
          </w:rPr>
          <w:fldChar w:fldCharType="begin"/>
        </w:r>
        <w:r>
          <w:rPr>
            <w:webHidden/>
          </w:rPr>
          <w:instrText xml:space="preserve"> PAGEREF _Toc58252742 \h </w:instrText>
        </w:r>
        <w:r>
          <w:rPr>
            <w:webHidden/>
          </w:rPr>
        </w:r>
        <w:r>
          <w:rPr>
            <w:webHidden/>
          </w:rPr>
          <w:fldChar w:fldCharType="separate"/>
        </w:r>
        <w:r>
          <w:rPr>
            <w:webHidden/>
          </w:rPr>
          <w:t>6</w:t>
        </w:r>
        <w:r>
          <w:rPr>
            <w:webHidden/>
          </w:rPr>
          <w:fldChar w:fldCharType="end"/>
        </w:r>
      </w:hyperlink>
    </w:p>
    <w:p w:rsidR="00FE2AB0" w:rsidRDefault="00FE2AB0">
      <w:pPr>
        <w:pStyle w:val="TOC3"/>
        <w:rPr>
          <w:rFonts w:asciiTheme="minorHAnsi" w:eastAsiaTheme="minorEastAsia" w:hAnsiTheme="minorHAnsi" w:cstheme="minorBidi"/>
          <w:color w:val="auto"/>
          <w:szCs w:val="22"/>
        </w:rPr>
      </w:pPr>
      <w:hyperlink w:anchor="_Toc58252743" w:history="1">
        <w:r w:rsidRPr="002C2F97">
          <w:rPr>
            <w:rStyle w:val="Hyperlink"/>
          </w:rPr>
          <w:t>The role of NHFIC in housing supply</w:t>
        </w:r>
        <w:r>
          <w:rPr>
            <w:webHidden/>
          </w:rPr>
          <w:tab/>
        </w:r>
        <w:r>
          <w:rPr>
            <w:webHidden/>
          </w:rPr>
          <w:fldChar w:fldCharType="begin"/>
        </w:r>
        <w:r>
          <w:rPr>
            <w:webHidden/>
          </w:rPr>
          <w:instrText xml:space="preserve"> PAGEREF _Toc58252743 \h </w:instrText>
        </w:r>
        <w:r>
          <w:rPr>
            <w:webHidden/>
          </w:rPr>
        </w:r>
        <w:r>
          <w:rPr>
            <w:webHidden/>
          </w:rPr>
          <w:fldChar w:fldCharType="separate"/>
        </w:r>
        <w:r>
          <w:rPr>
            <w:webHidden/>
          </w:rPr>
          <w:t>7</w:t>
        </w:r>
        <w:r>
          <w:rPr>
            <w:webHidden/>
          </w:rPr>
          <w:fldChar w:fldCharType="end"/>
        </w:r>
      </w:hyperlink>
    </w:p>
    <w:p w:rsidR="00FE2AB0" w:rsidRDefault="00FE2AB0">
      <w:pPr>
        <w:pStyle w:val="TOC3"/>
        <w:rPr>
          <w:rFonts w:asciiTheme="minorHAnsi" w:eastAsiaTheme="minorEastAsia" w:hAnsiTheme="minorHAnsi" w:cstheme="minorBidi"/>
          <w:color w:val="auto"/>
          <w:szCs w:val="22"/>
        </w:rPr>
      </w:pPr>
      <w:hyperlink w:anchor="_Toc58252744" w:history="1">
        <w:r w:rsidRPr="002C2F97">
          <w:rPr>
            <w:rStyle w:val="Hyperlink"/>
          </w:rPr>
          <w:t>The role of NHFIC in increasing home ownership</w:t>
        </w:r>
        <w:r>
          <w:rPr>
            <w:webHidden/>
          </w:rPr>
          <w:tab/>
        </w:r>
        <w:r>
          <w:rPr>
            <w:webHidden/>
          </w:rPr>
          <w:fldChar w:fldCharType="begin"/>
        </w:r>
        <w:r>
          <w:rPr>
            <w:webHidden/>
          </w:rPr>
          <w:instrText xml:space="preserve"> PAGEREF _Toc58252744 \h </w:instrText>
        </w:r>
        <w:r>
          <w:rPr>
            <w:webHidden/>
          </w:rPr>
        </w:r>
        <w:r>
          <w:rPr>
            <w:webHidden/>
          </w:rPr>
          <w:fldChar w:fldCharType="separate"/>
        </w:r>
        <w:r>
          <w:rPr>
            <w:webHidden/>
          </w:rPr>
          <w:t>8</w:t>
        </w:r>
        <w:r>
          <w:rPr>
            <w:webHidden/>
          </w:rPr>
          <w:fldChar w:fldCharType="end"/>
        </w:r>
      </w:hyperlink>
    </w:p>
    <w:p w:rsidR="00FE2AB0" w:rsidRDefault="00FE2AB0">
      <w:pPr>
        <w:pStyle w:val="TOC3"/>
        <w:rPr>
          <w:rFonts w:asciiTheme="minorHAnsi" w:eastAsiaTheme="minorEastAsia" w:hAnsiTheme="minorHAnsi" w:cstheme="minorBidi"/>
          <w:color w:val="auto"/>
          <w:szCs w:val="22"/>
        </w:rPr>
      </w:pPr>
      <w:hyperlink w:anchor="_Toc58252745" w:history="1">
        <w:r w:rsidRPr="002C2F97">
          <w:rPr>
            <w:rStyle w:val="Hyperlink"/>
          </w:rPr>
          <w:t>The role of NHFIC research</w:t>
        </w:r>
        <w:r>
          <w:rPr>
            <w:webHidden/>
          </w:rPr>
          <w:tab/>
        </w:r>
        <w:r>
          <w:rPr>
            <w:webHidden/>
          </w:rPr>
          <w:fldChar w:fldCharType="begin"/>
        </w:r>
        <w:r>
          <w:rPr>
            <w:webHidden/>
          </w:rPr>
          <w:instrText xml:space="preserve"> PAGEREF _Toc58252745 \h </w:instrText>
        </w:r>
        <w:r>
          <w:rPr>
            <w:webHidden/>
          </w:rPr>
        </w:r>
        <w:r>
          <w:rPr>
            <w:webHidden/>
          </w:rPr>
          <w:fldChar w:fldCharType="separate"/>
        </w:r>
        <w:r>
          <w:rPr>
            <w:webHidden/>
          </w:rPr>
          <w:t>8</w:t>
        </w:r>
        <w:r>
          <w:rPr>
            <w:webHidden/>
          </w:rPr>
          <w:fldChar w:fldCharType="end"/>
        </w:r>
      </w:hyperlink>
    </w:p>
    <w:p w:rsidR="00FE2AB0" w:rsidRDefault="00FE2AB0">
      <w:pPr>
        <w:pStyle w:val="TOC3"/>
        <w:rPr>
          <w:rFonts w:asciiTheme="minorHAnsi" w:eastAsiaTheme="minorEastAsia" w:hAnsiTheme="minorHAnsi" w:cstheme="minorBidi"/>
          <w:color w:val="auto"/>
          <w:szCs w:val="22"/>
        </w:rPr>
      </w:pPr>
      <w:hyperlink w:anchor="_Toc58252746" w:history="1">
        <w:r w:rsidRPr="002C2F97">
          <w:rPr>
            <w:rStyle w:val="Hyperlink"/>
          </w:rPr>
          <w:t>The operation and governance of NHFIC</w:t>
        </w:r>
        <w:r>
          <w:rPr>
            <w:webHidden/>
          </w:rPr>
          <w:tab/>
        </w:r>
        <w:r>
          <w:rPr>
            <w:webHidden/>
          </w:rPr>
          <w:fldChar w:fldCharType="begin"/>
        </w:r>
        <w:r>
          <w:rPr>
            <w:webHidden/>
          </w:rPr>
          <w:instrText xml:space="preserve"> PAGEREF _Toc58252746 \h </w:instrText>
        </w:r>
        <w:r>
          <w:rPr>
            <w:webHidden/>
          </w:rPr>
        </w:r>
        <w:r>
          <w:rPr>
            <w:webHidden/>
          </w:rPr>
          <w:fldChar w:fldCharType="separate"/>
        </w:r>
        <w:r>
          <w:rPr>
            <w:webHidden/>
          </w:rPr>
          <w:t>8</w:t>
        </w:r>
        <w:r>
          <w:rPr>
            <w:webHidden/>
          </w:rPr>
          <w:fldChar w:fldCharType="end"/>
        </w:r>
      </w:hyperlink>
    </w:p>
    <w:p w:rsidR="00FE2AB0" w:rsidRDefault="00FE2AB0">
      <w:pPr>
        <w:pStyle w:val="TOC3"/>
        <w:rPr>
          <w:rFonts w:asciiTheme="minorHAnsi" w:eastAsiaTheme="minorEastAsia" w:hAnsiTheme="minorHAnsi" w:cstheme="minorBidi"/>
          <w:color w:val="auto"/>
          <w:szCs w:val="22"/>
        </w:rPr>
      </w:pPr>
      <w:hyperlink w:anchor="_Toc58252747" w:history="1">
        <w:r w:rsidRPr="002C2F97">
          <w:rPr>
            <w:rStyle w:val="Hyperlink"/>
          </w:rPr>
          <w:t>Other issues</w:t>
        </w:r>
        <w:r>
          <w:rPr>
            <w:webHidden/>
          </w:rPr>
          <w:tab/>
        </w:r>
        <w:r>
          <w:rPr>
            <w:webHidden/>
          </w:rPr>
          <w:fldChar w:fldCharType="begin"/>
        </w:r>
        <w:r>
          <w:rPr>
            <w:webHidden/>
          </w:rPr>
          <w:instrText xml:space="preserve"> PAGEREF _Toc58252747 \h </w:instrText>
        </w:r>
        <w:r>
          <w:rPr>
            <w:webHidden/>
          </w:rPr>
        </w:r>
        <w:r>
          <w:rPr>
            <w:webHidden/>
          </w:rPr>
          <w:fldChar w:fldCharType="separate"/>
        </w:r>
        <w:r>
          <w:rPr>
            <w:webHidden/>
          </w:rPr>
          <w:t>9</w:t>
        </w:r>
        <w:r>
          <w:rPr>
            <w:webHidden/>
          </w:rPr>
          <w:fldChar w:fldCharType="end"/>
        </w:r>
      </w:hyperlink>
    </w:p>
    <w:p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rsidR="000E0B74" w:rsidRDefault="000E0B74" w:rsidP="00354FBB">
      <w:pPr>
        <w:pStyle w:val="Heading1"/>
      </w:pPr>
      <w:bookmarkStart w:id="8" w:name="_Toc56587646"/>
      <w:bookmarkStart w:id="9" w:name="_Toc56684821"/>
      <w:bookmarkStart w:id="10" w:name="_Toc57283499"/>
      <w:bookmarkStart w:id="11" w:name="_Toc57283734"/>
      <w:bookmarkStart w:id="12" w:name="_Toc57305077"/>
      <w:bookmarkStart w:id="13" w:name="_Toc57305263"/>
      <w:bookmarkStart w:id="14" w:name="_Toc57377423"/>
      <w:bookmarkStart w:id="15" w:name="_Toc432067103"/>
      <w:bookmarkStart w:id="16" w:name="_Toc58252733"/>
      <w:r>
        <w:t>Consultation Process</w:t>
      </w:r>
      <w:bookmarkEnd w:id="8"/>
      <w:bookmarkEnd w:id="9"/>
      <w:bookmarkEnd w:id="10"/>
      <w:bookmarkEnd w:id="11"/>
      <w:bookmarkEnd w:id="12"/>
      <w:bookmarkEnd w:id="13"/>
      <w:bookmarkEnd w:id="14"/>
      <w:bookmarkEnd w:id="16"/>
    </w:p>
    <w:p w:rsidR="000E0B74" w:rsidRDefault="000E0B74" w:rsidP="000E0B74">
      <w:pPr>
        <w:pStyle w:val="Heading2"/>
      </w:pPr>
      <w:bookmarkStart w:id="17" w:name="_Toc57283500"/>
      <w:bookmarkStart w:id="18" w:name="_Toc57283735"/>
      <w:bookmarkStart w:id="19" w:name="_Toc57305078"/>
      <w:bookmarkStart w:id="20" w:name="_Toc57377424"/>
      <w:bookmarkStart w:id="21" w:name="_Toc56587647"/>
      <w:bookmarkStart w:id="22" w:name="_Toc56684822"/>
      <w:bookmarkStart w:id="23" w:name="_Toc57305264"/>
      <w:bookmarkStart w:id="24" w:name="_Toc58252734"/>
      <w:r>
        <w:t>Request for feedback and comments</w:t>
      </w:r>
      <w:bookmarkEnd w:id="17"/>
      <w:bookmarkEnd w:id="18"/>
      <w:bookmarkEnd w:id="19"/>
      <w:bookmarkEnd w:id="20"/>
      <w:bookmarkEnd w:id="24"/>
      <w:r w:rsidR="00B761C0">
        <w:t xml:space="preserve"> </w:t>
      </w:r>
      <w:bookmarkEnd w:id="21"/>
      <w:bookmarkEnd w:id="22"/>
      <w:bookmarkEnd w:id="23"/>
    </w:p>
    <w:p w:rsidR="00B85010" w:rsidRDefault="0061043F" w:rsidP="00A867BB">
      <w:pPr>
        <w:rPr>
          <w:color w:val="1F497D"/>
        </w:rPr>
      </w:pPr>
      <w:r>
        <w:t xml:space="preserve">Interested parties are invited to comment on the issues raised in this paper by </w:t>
      </w:r>
      <w:r w:rsidR="00893672" w:rsidRPr="00CC766E">
        <w:t>Wednesday 6 January</w:t>
      </w:r>
      <w:r w:rsidR="000F6C2A" w:rsidRPr="00CC766E">
        <w:t xml:space="preserve"> 2021</w:t>
      </w:r>
      <w:r>
        <w:t>. Submissions may be lodged electronically or by post.</w:t>
      </w:r>
    </w:p>
    <w:p w:rsidR="00B85010" w:rsidRPr="00A867BB" w:rsidRDefault="00B85010" w:rsidP="00A867BB">
      <w:r w:rsidRPr="00A867BB">
        <w:t>While submissions may be lodged electronically or by post, electronic lodgement is preferred. For accessibility reasons, please submit responses sent via email in a Word or RTF format. An additional PDF version may also be submitted.</w:t>
      </w:r>
    </w:p>
    <w:p w:rsidR="00B85010" w:rsidRPr="00A867BB" w:rsidRDefault="00B85010" w:rsidP="00A867BB">
      <w:r w:rsidRPr="00A867BB">
        <w:t>All information (including name and address details) contained in submissions will be made available to the public on the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w:t>
      </w:r>
    </w:p>
    <w:p w:rsidR="00B85010" w:rsidRPr="00A867BB" w:rsidRDefault="00B85010" w:rsidP="00A867BB">
      <w:r w:rsidRPr="00A867BB">
        <w:t>Legal requirements, such as those imposed by the Freedom of Information Act 1982, may affect the confidentiality of your submission.</w:t>
      </w:r>
    </w:p>
    <w:p w:rsidR="00B85010" w:rsidRPr="00A867BB" w:rsidRDefault="00B85010" w:rsidP="00A867BB">
      <w:r w:rsidRPr="00A867BB">
        <w:t>View our </w:t>
      </w:r>
      <w:hyperlink r:id="rId23" w:history="1">
        <w:r w:rsidRPr="00A867BB">
          <w:rPr>
            <w:color w:val="0070C0"/>
            <w:u w:val="single"/>
          </w:rPr>
          <w:t>submission guidelines</w:t>
        </w:r>
      </w:hyperlink>
      <w:r w:rsidRPr="00A867BB">
        <w:t> for further information.</w:t>
      </w:r>
    </w:p>
    <w:p w:rsidR="0061043F" w:rsidRPr="00A867BB" w:rsidRDefault="0061043F" w:rsidP="00B85010">
      <w:pPr>
        <w:rPr>
          <w:rFonts w:cs="Calibri"/>
          <w:color w:val="00827F" w:themeColor="accent3"/>
          <w:kern w:val="32"/>
          <w:sz w:val="28"/>
          <w:szCs w:val="26"/>
        </w:rPr>
      </w:pPr>
      <w:bookmarkStart w:id="25" w:name="_Toc56587649"/>
      <w:bookmarkStart w:id="26" w:name="_Toc56684824"/>
      <w:r w:rsidRPr="00A867BB">
        <w:rPr>
          <w:rFonts w:cs="Calibri"/>
          <w:color w:val="00827F" w:themeColor="accent3"/>
          <w:kern w:val="32"/>
          <w:sz w:val="28"/>
          <w:szCs w:val="26"/>
        </w:rPr>
        <w:t>Further consultation process during the Review</w:t>
      </w:r>
      <w:bookmarkEnd w:id="25"/>
      <w:bookmarkEnd w:id="26"/>
    </w:p>
    <w:p w:rsidR="0061043F" w:rsidRDefault="0061043F" w:rsidP="000E0B74">
      <w:r>
        <w:t xml:space="preserve">The Review of the </w:t>
      </w:r>
      <w:r w:rsidR="007F5670">
        <w:t xml:space="preserve">operation of the </w:t>
      </w:r>
      <w:r w:rsidRPr="00A867BB">
        <w:rPr>
          <w:i/>
        </w:rPr>
        <w:t>National Housing Finance and Investment Corporation Act 2018</w:t>
      </w:r>
      <w:r>
        <w:t xml:space="preserve"> will consult broadly in developing the report and recommendations. This may involve conducting targeted </w:t>
      </w:r>
      <w:r w:rsidR="007F5670">
        <w:t xml:space="preserve">consultation </w:t>
      </w:r>
      <w:r>
        <w:t xml:space="preserve">with interested </w:t>
      </w:r>
      <w:r w:rsidR="007F5670">
        <w:t xml:space="preserve">parties </w:t>
      </w:r>
      <w:r>
        <w:t>on specific issues where the Review requires more information or to solicit further views.</w:t>
      </w:r>
    </w:p>
    <w:p w:rsidR="000E0B74" w:rsidRDefault="000E0B74" w:rsidP="00257AEE">
      <w:pPr>
        <w:pStyle w:val="Heading3noTOC"/>
      </w:pPr>
      <w:r>
        <w:t xml:space="preserve">Closing date for </w:t>
      </w:r>
      <w:r w:rsidRPr="00AE05F1">
        <w:t xml:space="preserve">submissions: </w:t>
      </w:r>
      <w:r w:rsidR="00261414" w:rsidRPr="00CC766E">
        <w:t>6 January 202</w:t>
      </w:r>
      <w:r w:rsidR="000F6C2A" w:rsidRPr="00CC766E">
        <w:t>1</w:t>
      </w:r>
      <w:r w:rsidRPr="00CC766E">
        <w:t xml:space="preserve"> </w:t>
      </w:r>
    </w:p>
    <w:tbl>
      <w:tblPr>
        <w:tblStyle w:val="TableGrid"/>
        <w:tblW w:w="0" w:type="auto"/>
        <w:tblLook w:val="04A0" w:firstRow="1" w:lastRow="0" w:firstColumn="1" w:lastColumn="0" w:noHBand="0" w:noVBand="1"/>
      </w:tblPr>
      <w:tblGrid>
        <w:gridCol w:w="1515"/>
        <w:gridCol w:w="7555"/>
      </w:tblGrid>
      <w:tr w:rsidR="000E0B74" w:rsidRPr="00B85F47" w:rsidTr="00B85F47">
        <w:tc>
          <w:tcPr>
            <w:tcW w:w="1526" w:type="dxa"/>
            <w:shd w:val="clear" w:color="auto" w:fill="auto"/>
          </w:tcPr>
          <w:p w:rsidR="000E0B74" w:rsidRPr="00B85F47" w:rsidRDefault="000E0B74" w:rsidP="0017089D">
            <w:pPr>
              <w:rPr>
                <w:sz w:val="22"/>
                <w:szCs w:val="22"/>
              </w:rPr>
            </w:pPr>
            <w:r w:rsidRPr="00B85F47">
              <w:rPr>
                <w:sz w:val="22"/>
                <w:szCs w:val="22"/>
              </w:rPr>
              <w:t>Email</w:t>
            </w:r>
          </w:p>
        </w:tc>
        <w:tc>
          <w:tcPr>
            <w:tcW w:w="7654" w:type="dxa"/>
            <w:shd w:val="clear" w:color="auto" w:fill="auto"/>
          </w:tcPr>
          <w:p w:rsidR="000E0B74" w:rsidRPr="00B85F47" w:rsidRDefault="006D36E0" w:rsidP="00516785">
            <w:pPr>
              <w:rPr>
                <w:sz w:val="22"/>
                <w:szCs w:val="22"/>
              </w:rPr>
            </w:pPr>
            <w:r w:rsidRPr="006D36E0">
              <w:rPr>
                <w:rFonts w:cs="Arial"/>
                <w:sz w:val="22"/>
                <w:szCs w:val="22"/>
              </w:rPr>
              <w:t>NHFICSecretariat@treasury.gov.au</w:t>
            </w:r>
          </w:p>
        </w:tc>
      </w:tr>
      <w:tr w:rsidR="000E0B74" w:rsidRPr="00B85F47" w:rsidTr="006D36E0">
        <w:trPr>
          <w:trHeight w:val="1022"/>
        </w:trPr>
        <w:tc>
          <w:tcPr>
            <w:tcW w:w="1526" w:type="dxa"/>
            <w:shd w:val="clear" w:color="auto" w:fill="auto"/>
          </w:tcPr>
          <w:p w:rsidR="000E0B74" w:rsidRPr="00B85F47" w:rsidRDefault="000E0B74" w:rsidP="0017089D">
            <w:pPr>
              <w:rPr>
                <w:sz w:val="22"/>
                <w:szCs w:val="22"/>
              </w:rPr>
            </w:pPr>
            <w:r w:rsidRPr="00B85F47">
              <w:rPr>
                <w:sz w:val="22"/>
                <w:szCs w:val="22"/>
              </w:rPr>
              <w:t>Mail</w:t>
            </w:r>
          </w:p>
          <w:p w:rsidR="008D7F38" w:rsidRPr="00B85F47" w:rsidRDefault="008D7F38" w:rsidP="0017089D">
            <w:pPr>
              <w:rPr>
                <w:sz w:val="22"/>
                <w:szCs w:val="22"/>
              </w:rPr>
            </w:pPr>
          </w:p>
          <w:p w:rsidR="008D7F38" w:rsidRPr="00B85F47" w:rsidRDefault="008D7F38" w:rsidP="0017089D">
            <w:pPr>
              <w:rPr>
                <w:sz w:val="22"/>
                <w:szCs w:val="22"/>
              </w:rPr>
            </w:pPr>
          </w:p>
        </w:tc>
        <w:tc>
          <w:tcPr>
            <w:tcW w:w="7654" w:type="dxa"/>
            <w:shd w:val="clear" w:color="auto" w:fill="auto"/>
          </w:tcPr>
          <w:p w:rsidR="006D36E0" w:rsidRDefault="006D36E0" w:rsidP="0017089D">
            <w:pPr>
              <w:pStyle w:val="SingleParagraph"/>
              <w:rPr>
                <w:rFonts w:cs="Arial"/>
                <w:sz w:val="22"/>
                <w:szCs w:val="22"/>
              </w:rPr>
            </w:pPr>
            <w:r>
              <w:rPr>
                <w:rFonts w:cs="Arial"/>
                <w:sz w:val="22"/>
                <w:szCs w:val="22"/>
              </w:rPr>
              <w:t>Manager</w:t>
            </w:r>
          </w:p>
          <w:p w:rsidR="000E0B74" w:rsidRPr="00B85F47" w:rsidRDefault="006D36E0" w:rsidP="0017089D">
            <w:pPr>
              <w:pStyle w:val="SingleParagraph"/>
              <w:rPr>
                <w:rFonts w:cs="Arial"/>
                <w:sz w:val="22"/>
                <w:szCs w:val="22"/>
              </w:rPr>
            </w:pPr>
            <w:r w:rsidRPr="006D36E0">
              <w:rPr>
                <w:rFonts w:cs="Arial"/>
                <w:sz w:val="22"/>
                <w:szCs w:val="22"/>
              </w:rPr>
              <w:t xml:space="preserve">NHFIC </w:t>
            </w:r>
            <w:r w:rsidR="00C56953">
              <w:rPr>
                <w:rFonts w:cs="Arial"/>
                <w:sz w:val="22"/>
                <w:szCs w:val="22"/>
              </w:rPr>
              <w:t xml:space="preserve">Act </w:t>
            </w:r>
            <w:r w:rsidRPr="006D36E0">
              <w:rPr>
                <w:rFonts w:cs="Arial"/>
                <w:sz w:val="22"/>
                <w:szCs w:val="22"/>
              </w:rPr>
              <w:t>Review Secretariat</w:t>
            </w:r>
          </w:p>
          <w:p w:rsidR="000E0B74" w:rsidRPr="00B85F47" w:rsidRDefault="000E0B74" w:rsidP="0017089D">
            <w:pPr>
              <w:pStyle w:val="SingleParagraph"/>
              <w:rPr>
                <w:rFonts w:cs="Arial"/>
                <w:sz w:val="22"/>
                <w:szCs w:val="22"/>
              </w:rPr>
            </w:pPr>
            <w:r w:rsidRPr="00B85F47">
              <w:rPr>
                <w:rFonts w:cs="Arial"/>
                <w:sz w:val="22"/>
                <w:szCs w:val="22"/>
              </w:rPr>
              <w:t>The Treasury</w:t>
            </w:r>
          </w:p>
          <w:p w:rsidR="000E0B74" w:rsidRPr="00B85F47" w:rsidRDefault="000E0B74" w:rsidP="0017089D">
            <w:pPr>
              <w:pStyle w:val="SingleParagraph"/>
              <w:rPr>
                <w:rFonts w:cs="Arial"/>
                <w:sz w:val="22"/>
                <w:szCs w:val="22"/>
              </w:rPr>
            </w:pPr>
            <w:r w:rsidRPr="00B85F47">
              <w:rPr>
                <w:rFonts w:cs="Arial"/>
                <w:sz w:val="22"/>
                <w:szCs w:val="22"/>
              </w:rPr>
              <w:t>Langton Crescent</w:t>
            </w:r>
          </w:p>
          <w:p w:rsidR="000E0B74" w:rsidRPr="00B85F47" w:rsidRDefault="000E0B74" w:rsidP="0017089D">
            <w:pPr>
              <w:pStyle w:val="SingleParagraph"/>
              <w:rPr>
                <w:sz w:val="22"/>
                <w:szCs w:val="22"/>
              </w:rPr>
            </w:pPr>
            <w:r w:rsidRPr="00B85F47">
              <w:rPr>
                <w:sz w:val="22"/>
                <w:szCs w:val="22"/>
              </w:rPr>
              <w:t>PARKES ACT 2600</w:t>
            </w:r>
            <w:r w:rsidR="00181505">
              <w:rPr>
                <w:sz w:val="22"/>
                <w:szCs w:val="22"/>
              </w:rPr>
              <w:t xml:space="preserve"> </w:t>
            </w:r>
          </w:p>
        </w:tc>
      </w:tr>
      <w:tr w:rsidR="000E0B74" w:rsidRPr="00B85F47" w:rsidTr="00B85F47">
        <w:tc>
          <w:tcPr>
            <w:tcW w:w="1526" w:type="dxa"/>
            <w:shd w:val="clear" w:color="auto" w:fill="auto"/>
          </w:tcPr>
          <w:p w:rsidR="000E0B74" w:rsidRPr="00B85F47" w:rsidRDefault="000E0B74" w:rsidP="0017089D">
            <w:pPr>
              <w:rPr>
                <w:sz w:val="22"/>
                <w:szCs w:val="22"/>
              </w:rPr>
            </w:pPr>
            <w:r w:rsidRPr="00B85F47">
              <w:rPr>
                <w:sz w:val="22"/>
                <w:szCs w:val="22"/>
              </w:rPr>
              <w:t>Enquiries</w:t>
            </w:r>
          </w:p>
        </w:tc>
        <w:tc>
          <w:tcPr>
            <w:tcW w:w="7654" w:type="dxa"/>
            <w:shd w:val="clear" w:color="auto" w:fill="auto"/>
          </w:tcPr>
          <w:p w:rsidR="000E0B74" w:rsidRPr="00B85F47" w:rsidRDefault="000E0B74" w:rsidP="0017089D">
            <w:pPr>
              <w:rPr>
                <w:sz w:val="22"/>
                <w:szCs w:val="22"/>
              </w:rPr>
            </w:pPr>
            <w:r w:rsidRPr="00B85F47">
              <w:rPr>
                <w:rFonts w:cs="Arial"/>
                <w:sz w:val="22"/>
                <w:szCs w:val="22"/>
              </w:rPr>
              <w:t xml:space="preserve">Enquiries can be directed to </w:t>
            </w:r>
            <w:r w:rsidR="006D36E0" w:rsidRPr="006D36E0">
              <w:rPr>
                <w:rFonts w:cs="Arial"/>
                <w:sz w:val="22"/>
                <w:szCs w:val="22"/>
              </w:rPr>
              <w:t>Will Devlin</w:t>
            </w:r>
          </w:p>
        </w:tc>
      </w:tr>
      <w:tr w:rsidR="000E0B74" w:rsidRPr="00B85F47" w:rsidTr="00B85F47">
        <w:tc>
          <w:tcPr>
            <w:tcW w:w="1526" w:type="dxa"/>
            <w:shd w:val="clear" w:color="auto" w:fill="auto"/>
          </w:tcPr>
          <w:p w:rsidR="000E0B74" w:rsidRPr="00B85F47" w:rsidRDefault="000E0B74" w:rsidP="0017089D">
            <w:pPr>
              <w:rPr>
                <w:sz w:val="22"/>
                <w:szCs w:val="22"/>
              </w:rPr>
            </w:pPr>
            <w:r w:rsidRPr="00B85F47">
              <w:rPr>
                <w:sz w:val="22"/>
                <w:szCs w:val="22"/>
              </w:rPr>
              <w:t>Phone</w:t>
            </w:r>
          </w:p>
        </w:tc>
        <w:tc>
          <w:tcPr>
            <w:tcW w:w="7654" w:type="dxa"/>
            <w:shd w:val="clear" w:color="auto" w:fill="auto"/>
          </w:tcPr>
          <w:p w:rsidR="000E0B74" w:rsidRPr="00B85F47" w:rsidRDefault="000E0B74" w:rsidP="0017089D">
            <w:pPr>
              <w:rPr>
                <w:sz w:val="22"/>
                <w:szCs w:val="22"/>
              </w:rPr>
            </w:pPr>
            <w:r w:rsidRPr="00B85F47">
              <w:rPr>
                <w:rFonts w:cs="Arial"/>
                <w:sz w:val="22"/>
                <w:szCs w:val="22"/>
              </w:rPr>
              <w:t xml:space="preserve">02 6263 </w:t>
            </w:r>
            <w:r w:rsidR="006D36E0" w:rsidRPr="006D36E0">
              <w:rPr>
                <w:rFonts w:cs="Arial"/>
                <w:sz w:val="22"/>
                <w:szCs w:val="22"/>
              </w:rPr>
              <w:t>2763</w:t>
            </w:r>
          </w:p>
        </w:tc>
      </w:tr>
      <w:bookmarkEnd w:id="15"/>
    </w:tbl>
    <w:p w:rsidR="00E10D39" w:rsidRDefault="00E10D39" w:rsidP="0007102C"/>
    <w:p w:rsidR="008D48B8" w:rsidRPr="00FB7EA6" w:rsidRDefault="008D48B8" w:rsidP="008D48B8">
      <w:pPr>
        <w:rPr>
          <w:b/>
        </w:rPr>
      </w:pPr>
      <w:r w:rsidRPr="00FB7EA6">
        <w:rPr>
          <w:b/>
        </w:rPr>
        <w:t>Unless you indicate that you would like all or part of your submission to remain in confidence, it will also be available to the public on the Commonwealth Treasury website.</w:t>
      </w:r>
    </w:p>
    <w:p w:rsidR="008D7F38" w:rsidRPr="008D7F38" w:rsidRDefault="008D7F38" w:rsidP="008D7F38"/>
    <w:p w:rsidR="00E10D39" w:rsidRDefault="00E10D39">
      <w:pPr>
        <w:spacing w:before="0" w:after="160" w:line="259" w:lineRule="auto"/>
        <w:rPr>
          <w:rFonts w:cs="Arial"/>
          <w:color w:val="004A7F"/>
          <w:kern w:val="32"/>
          <w:sz w:val="48"/>
          <w:szCs w:val="36"/>
        </w:rPr>
      </w:pPr>
      <w:r>
        <w:br w:type="page"/>
      </w:r>
    </w:p>
    <w:p w:rsidR="0082211D" w:rsidRDefault="0082211D" w:rsidP="0082211D">
      <w:pPr>
        <w:pStyle w:val="Heading2"/>
      </w:pPr>
      <w:bookmarkStart w:id="27" w:name="_Toc57283501"/>
      <w:bookmarkStart w:id="28" w:name="_Toc57283736"/>
      <w:bookmarkStart w:id="29" w:name="_Toc57305079"/>
      <w:bookmarkStart w:id="30" w:name="_Toc57305265"/>
      <w:bookmarkStart w:id="31" w:name="_Toc57377425"/>
      <w:bookmarkStart w:id="32" w:name="_Toc306887371"/>
      <w:bookmarkStart w:id="33" w:name="_Toc432064635"/>
      <w:bookmarkStart w:id="34" w:name="_Toc56587650"/>
      <w:bookmarkStart w:id="35" w:name="_Toc56684825"/>
      <w:bookmarkStart w:id="36" w:name="_Toc58252735"/>
      <w:r>
        <w:t>Purpose</w:t>
      </w:r>
      <w:bookmarkEnd w:id="27"/>
      <w:bookmarkEnd w:id="28"/>
      <w:bookmarkEnd w:id="29"/>
      <w:bookmarkEnd w:id="30"/>
      <w:bookmarkEnd w:id="31"/>
      <w:bookmarkEnd w:id="36"/>
    </w:p>
    <w:p w:rsidR="0082211D" w:rsidRDefault="0082211D" w:rsidP="0082211D">
      <w:r>
        <w:t xml:space="preserve">This Issues Paper provides </w:t>
      </w:r>
      <w:r w:rsidR="001C7B9B">
        <w:t xml:space="preserve">the </w:t>
      </w:r>
      <w:r>
        <w:t>context and background for the Review</w:t>
      </w:r>
      <w:r w:rsidR="008A1754">
        <w:t xml:space="preserve"> of the operation of the </w:t>
      </w:r>
      <w:r w:rsidR="008A1754" w:rsidRPr="00AC26D5">
        <w:rPr>
          <w:i/>
        </w:rPr>
        <w:t>National Housing Finance and Investment Corporation Act 2018</w:t>
      </w:r>
      <w:r w:rsidR="008A1754">
        <w:t xml:space="preserve"> (the Review)</w:t>
      </w:r>
      <w:r>
        <w:t>, including the policy developments that led to</w:t>
      </w:r>
      <w:r w:rsidR="00BB5099">
        <w:t xml:space="preserve"> the establishment of the </w:t>
      </w:r>
      <w:r w:rsidR="001B582E">
        <w:t>National Housing Finance and Investment Corporation (</w:t>
      </w:r>
      <w:r w:rsidR="00BB5099">
        <w:t>NHFIC</w:t>
      </w:r>
      <w:r w:rsidR="001B582E">
        <w:t>)</w:t>
      </w:r>
      <w:r w:rsidR="001C7B9B">
        <w:t xml:space="preserve">. Treasury </w:t>
      </w:r>
      <w:r>
        <w:t xml:space="preserve">invites interested parties to make submissions on the key areas of interest for the Review. </w:t>
      </w:r>
    </w:p>
    <w:p w:rsidR="0082211D" w:rsidRDefault="0082211D" w:rsidP="0082211D">
      <w:r>
        <w:t xml:space="preserve">Submissions to the Issues Paper, together with other consultation conducted during the course of the Review, will be used to inform the preparation of a Final Report to Government. </w:t>
      </w:r>
      <w:r w:rsidR="0025200E">
        <w:t>The Final Report will make recommendations as to</w:t>
      </w:r>
      <w:r>
        <w:t xml:space="preserve"> </w:t>
      </w:r>
      <w:r w:rsidRPr="004E4599">
        <w:t xml:space="preserve">whether </w:t>
      </w:r>
      <w:r>
        <w:t xml:space="preserve">any </w:t>
      </w:r>
      <w:r w:rsidRPr="004E4599">
        <w:t xml:space="preserve">changes to the operation of the </w:t>
      </w:r>
      <w:r w:rsidR="001D44C4">
        <w:rPr>
          <w:i/>
        </w:rPr>
        <w:t>National Housing Finance and Investment Corporation Act 2018</w:t>
      </w:r>
      <w:r w:rsidR="001D44C4">
        <w:t xml:space="preserve"> </w:t>
      </w:r>
      <w:r w:rsidR="00396726">
        <w:t xml:space="preserve">(the NHFIC Act) </w:t>
      </w:r>
      <w:r w:rsidR="0025200E">
        <w:t>should be considered</w:t>
      </w:r>
      <w:r>
        <w:t xml:space="preserve">. </w:t>
      </w:r>
    </w:p>
    <w:p w:rsidR="000E0B74" w:rsidRDefault="000E0B74" w:rsidP="00A867BB">
      <w:pPr>
        <w:pStyle w:val="Heading2"/>
        <w:spacing w:before="0"/>
      </w:pPr>
      <w:bookmarkStart w:id="37" w:name="_Toc57283502"/>
      <w:bookmarkStart w:id="38" w:name="_Toc57283737"/>
      <w:bookmarkStart w:id="39" w:name="_Toc57305080"/>
      <w:bookmarkStart w:id="40" w:name="_Toc57305266"/>
      <w:bookmarkStart w:id="41" w:name="_Toc57377426"/>
      <w:bookmarkStart w:id="42" w:name="_Toc58252736"/>
      <w:r>
        <w:t>Background</w:t>
      </w:r>
      <w:bookmarkEnd w:id="32"/>
      <w:bookmarkEnd w:id="33"/>
      <w:bookmarkEnd w:id="34"/>
      <w:bookmarkEnd w:id="35"/>
      <w:bookmarkEnd w:id="37"/>
      <w:bookmarkEnd w:id="38"/>
      <w:bookmarkEnd w:id="39"/>
      <w:bookmarkEnd w:id="40"/>
      <w:bookmarkEnd w:id="41"/>
      <w:bookmarkEnd w:id="42"/>
    </w:p>
    <w:p w:rsidR="00771B45" w:rsidRDefault="004B47AA" w:rsidP="004B47AA">
      <w:r>
        <w:t xml:space="preserve">As part of the </w:t>
      </w:r>
      <w:r>
        <w:rPr>
          <w:i/>
        </w:rPr>
        <w:t xml:space="preserve">Reducing Pressure on Housing Affordability </w:t>
      </w:r>
      <w:r>
        <w:t>plan announced i</w:t>
      </w:r>
      <w:r w:rsidRPr="00B62D6A">
        <w:t xml:space="preserve">n the 2017–18 Budget, the Government announced </w:t>
      </w:r>
      <w:r>
        <w:t xml:space="preserve">the establishment of </w:t>
      </w:r>
      <w:r w:rsidRPr="00B62D6A">
        <w:t>NHFIC</w:t>
      </w:r>
      <w:r>
        <w:t xml:space="preserve">, </w:t>
      </w:r>
      <w:r w:rsidRPr="00B62D6A">
        <w:t xml:space="preserve">a new corporate Commonwealth entity dedicated to </w:t>
      </w:r>
      <w:r>
        <w:t xml:space="preserve">improving housing outcomes for Australians. </w:t>
      </w:r>
    </w:p>
    <w:p w:rsidR="004B47AA" w:rsidRPr="005B7222" w:rsidRDefault="004B47AA" w:rsidP="004B47AA">
      <w:r>
        <w:t>NHFIC was established by the NHFIC Act and commenced</w:t>
      </w:r>
      <w:r w:rsidR="00D15987">
        <w:t xml:space="preserve"> operation</w:t>
      </w:r>
      <w:r>
        <w:t xml:space="preserve"> on 1 July 2018. The objective of the NHFIC Act is to establish NHFIC to </w:t>
      </w:r>
      <w:r w:rsidRPr="005B7222">
        <w:t xml:space="preserve">improve housing outcomes </w:t>
      </w:r>
      <w:r>
        <w:t>for Australians</w:t>
      </w:r>
      <w:r w:rsidRPr="005B7222">
        <w:t xml:space="preserve"> by</w:t>
      </w:r>
      <w:r>
        <w:t>:</w:t>
      </w:r>
    </w:p>
    <w:p w:rsidR="004B47AA" w:rsidRPr="005B7222" w:rsidRDefault="004B47AA" w:rsidP="004B47AA">
      <w:pPr>
        <w:pStyle w:val="Bullet"/>
        <w:numPr>
          <w:ilvl w:val="0"/>
          <w:numId w:val="16"/>
        </w:numPr>
      </w:pPr>
      <w:r w:rsidRPr="005B7222">
        <w:t>strengthening efforts to increase the supply of housing;</w:t>
      </w:r>
    </w:p>
    <w:p w:rsidR="004B47AA" w:rsidRPr="005B7222" w:rsidRDefault="004B47AA" w:rsidP="004B47AA">
      <w:pPr>
        <w:pStyle w:val="Bullet"/>
        <w:numPr>
          <w:ilvl w:val="0"/>
          <w:numId w:val="16"/>
        </w:numPr>
      </w:pPr>
      <w:r w:rsidRPr="005B7222">
        <w:t>en</w:t>
      </w:r>
      <w:r>
        <w:t>couraging investment in housing</w:t>
      </w:r>
      <w:r w:rsidRPr="005B7222">
        <w:t xml:space="preserve"> </w:t>
      </w:r>
      <w:r>
        <w:t>(</w:t>
      </w:r>
      <w:r w:rsidRPr="005B7222">
        <w:t>particularly in the social or affordable housing sector</w:t>
      </w:r>
      <w:r>
        <w:t>)</w:t>
      </w:r>
      <w:r w:rsidRPr="005B7222">
        <w:t xml:space="preserve">; </w:t>
      </w:r>
    </w:p>
    <w:p w:rsidR="004B47AA" w:rsidRPr="005A1C7A" w:rsidRDefault="004B47AA" w:rsidP="004B47AA">
      <w:pPr>
        <w:pStyle w:val="Bullet"/>
        <w:numPr>
          <w:ilvl w:val="0"/>
          <w:numId w:val="16"/>
        </w:numPr>
      </w:pPr>
      <w:r w:rsidRPr="005A1C7A">
        <w:t xml:space="preserve">providing finance, grants or investments that complement, leverage or support Commonwealth, </w:t>
      </w:r>
      <w:r w:rsidR="00096508">
        <w:t>s</w:t>
      </w:r>
      <w:r w:rsidRPr="005A1C7A">
        <w:t xml:space="preserve">tate or </w:t>
      </w:r>
      <w:r w:rsidR="00096508">
        <w:t>t</w:t>
      </w:r>
      <w:r w:rsidRPr="005A1C7A">
        <w:t xml:space="preserve">erritory activities relating to housing; </w:t>
      </w:r>
    </w:p>
    <w:p w:rsidR="004B47AA" w:rsidRDefault="004B47AA" w:rsidP="004B47AA">
      <w:pPr>
        <w:pStyle w:val="Bullet"/>
        <w:numPr>
          <w:ilvl w:val="0"/>
          <w:numId w:val="16"/>
        </w:numPr>
      </w:pPr>
      <w:r w:rsidRPr="005A1C7A">
        <w:t>contributing to the development of the scale, efficiency and effectiveness of the commun</w:t>
      </w:r>
      <w:r>
        <w:t>ity housing sector in Australia; and</w:t>
      </w:r>
    </w:p>
    <w:p w:rsidR="004B47AA" w:rsidRPr="005A1C7A" w:rsidRDefault="004B47AA" w:rsidP="004B47AA">
      <w:pPr>
        <w:pStyle w:val="Bullet"/>
        <w:numPr>
          <w:ilvl w:val="0"/>
          <w:numId w:val="16"/>
        </w:numPr>
      </w:pPr>
      <w:proofErr w:type="gramStart"/>
      <w:r>
        <w:t>assisting</w:t>
      </w:r>
      <w:proofErr w:type="gramEnd"/>
      <w:r>
        <w:t xml:space="preserve"> earlier access to the housing market by first home buyers. </w:t>
      </w:r>
    </w:p>
    <w:p w:rsidR="00634510" w:rsidRDefault="003634BC" w:rsidP="00274A19">
      <w:pPr>
        <w:spacing w:before="360"/>
      </w:pPr>
      <w:r>
        <w:t xml:space="preserve">Section 57 of the NHFIC </w:t>
      </w:r>
      <w:r w:rsidR="0057092F">
        <w:t xml:space="preserve">Act </w:t>
      </w:r>
      <w:r>
        <w:t>requires the Minister to cause a review of the operation of the Act</w:t>
      </w:r>
      <w:r w:rsidR="00D15987">
        <w:t>,</w:t>
      </w:r>
      <w:r>
        <w:t xml:space="preserve"> to be undertaken as soon as possible after 30 June 2020.</w:t>
      </w:r>
      <w:r w:rsidR="0055585C">
        <w:t xml:space="preserve"> </w:t>
      </w:r>
      <w:r w:rsidR="00634510">
        <w:t>Additionally, section 57</w:t>
      </w:r>
      <w:r w:rsidR="00AC76A6">
        <w:t xml:space="preserve">A requires the Minister to cause </w:t>
      </w:r>
      <w:r w:rsidR="00F44461">
        <w:t xml:space="preserve">a review of NHFIC’s activities assisting additional first </w:t>
      </w:r>
      <w:r w:rsidR="009A5D52">
        <w:t xml:space="preserve">home buyers to commence </w:t>
      </w:r>
      <w:r w:rsidR="00464467">
        <w:t>by</w:t>
      </w:r>
      <w:r w:rsidR="009A5D52">
        <w:t xml:space="preserve"> 2021. This Review will gather information to fulfil the requirements of </w:t>
      </w:r>
      <w:r w:rsidR="00D15987">
        <w:t xml:space="preserve">both </w:t>
      </w:r>
      <w:r w:rsidR="009A5D52">
        <w:t xml:space="preserve">sections 57 and 57A. </w:t>
      </w:r>
    </w:p>
    <w:p w:rsidR="003B639E" w:rsidRPr="005A1C7A" w:rsidRDefault="0055585C" w:rsidP="00877D20">
      <w:r>
        <w:t xml:space="preserve">On </w:t>
      </w:r>
      <w:r w:rsidR="00E47A5A" w:rsidRPr="00A867BB">
        <w:t>19</w:t>
      </w:r>
      <w:r>
        <w:t xml:space="preserve"> November</w:t>
      </w:r>
      <w:r w:rsidR="006E13FA">
        <w:t xml:space="preserve"> 2020</w:t>
      </w:r>
      <w:r>
        <w:t xml:space="preserve">, the Minister for Housing </w:t>
      </w:r>
      <w:r w:rsidR="006E13FA">
        <w:t xml:space="preserve">and Assistant Treasurer, the Hon Michael </w:t>
      </w:r>
      <w:proofErr w:type="spellStart"/>
      <w:r w:rsidR="006E13FA">
        <w:t>Sukkar</w:t>
      </w:r>
      <w:proofErr w:type="spellEnd"/>
      <w:r w:rsidR="006E13FA">
        <w:t xml:space="preserve"> MP,</w:t>
      </w:r>
      <w:r>
        <w:t xml:space="preserve"> </w:t>
      </w:r>
      <w:r w:rsidR="00E47A5A">
        <w:t xml:space="preserve">appointed </w:t>
      </w:r>
      <w:r>
        <w:t>Mr Chris Leptos AM</w:t>
      </w:r>
      <w:r w:rsidR="006E13FA">
        <w:t xml:space="preserve"> </w:t>
      </w:r>
      <w:r w:rsidR="00E47A5A">
        <w:t>to lead the Review,</w:t>
      </w:r>
      <w:r w:rsidR="006E13FA">
        <w:t xml:space="preserve"> supported by a secretariat in Treasury</w:t>
      </w:r>
      <w:r>
        <w:t xml:space="preserve">. </w:t>
      </w:r>
    </w:p>
    <w:p w:rsidR="003E2BC6" w:rsidRDefault="000F564B" w:rsidP="00CD61C8">
      <w:bookmarkStart w:id="43" w:name="_Toc306887372"/>
      <w:bookmarkStart w:id="44" w:name="_Toc432064636"/>
      <w:r>
        <w:t xml:space="preserve">NHFIC is required to perform its functions in accordance with the NHFIC Act and directions given by the Minister through </w:t>
      </w:r>
      <w:r w:rsidR="004863EC">
        <w:t xml:space="preserve">the </w:t>
      </w:r>
      <w:r w:rsidR="004863EC">
        <w:rPr>
          <w:i/>
        </w:rPr>
        <w:t>National Housing Finance and Investment Corporation Investment Mandate Direction 2018</w:t>
      </w:r>
      <w:r w:rsidR="004863EC">
        <w:t xml:space="preserve"> (Investment Mandate)</w:t>
      </w:r>
      <w:r>
        <w:t xml:space="preserve">. </w:t>
      </w:r>
      <w:r w:rsidR="00771B45">
        <w:t xml:space="preserve">The Investment Mandate sets out </w:t>
      </w:r>
      <w:r w:rsidR="00615132">
        <w:t>the Government’s expectations about the performance of NHFIC’s functions</w:t>
      </w:r>
      <w:r w:rsidR="00632B43">
        <w:t xml:space="preserve"> including matters such as the strategies and policies</w:t>
      </w:r>
      <w:r w:rsidR="00464467">
        <w:t xml:space="preserve"> that</w:t>
      </w:r>
      <w:r w:rsidR="00632B43">
        <w:t xml:space="preserve"> the Board must observe, decision-making criteria, and risk and return on investments.</w:t>
      </w:r>
    </w:p>
    <w:p w:rsidR="004A1E4A" w:rsidRDefault="004A1E4A">
      <w:pPr>
        <w:spacing w:before="0" w:after="160" w:line="259" w:lineRule="auto"/>
        <w:rPr>
          <w:rFonts w:cs="Arial"/>
          <w:iCs/>
          <w:color w:val="002C47"/>
          <w:kern w:val="32"/>
          <w:sz w:val="36"/>
          <w:szCs w:val="28"/>
        </w:rPr>
      </w:pPr>
      <w:bookmarkStart w:id="45" w:name="_Toc56587651"/>
      <w:bookmarkStart w:id="46" w:name="_Toc56684826"/>
      <w:r>
        <w:br w:type="page"/>
      </w:r>
    </w:p>
    <w:p w:rsidR="000E0B74" w:rsidRDefault="00FC0417" w:rsidP="000E0B74">
      <w:pPr>
        <w:pStyle w:val="Heading2"/>
      </w:pPr>
      <w:bookmarkStart w:id="47" w:name="_Toc306887373"/>
      <w:bookmarkStart w:id="48" w:name="_Toc432064637"/>
      <w:bookmarkStart w:id="49" w:name="_Toc57283503"/>
      <w:bookmarkStart w:id="50" w:name="_Toc57283738"/>
      <w:bookmarkStart w:id="51" w:name="_Toc57305081"/>
      <w:bookmarkStart w:id="52" w:name="_Toc57305267"/>
      <w:bookmarkStart w:id="53" w:name="_Toc57377427"/>
      <w:bookmarkStart w:id="54" w:name="_Toc56587652"/>
      <w:bookmarkStart w:id="55" w:name="_Toc56684827"/>
      <w:bookmarkStart w:id="56" w:name="_Toc58252737"/>
      <w:bookmarkEnd w:id="43"/>
      <w:bookmarkEnd w:id="44"/>
      <w:bookmarkEnd w:id="45"/>
      <w:bookmarkEnd w:id="46"/>
      <w:bookmarkEnd w:id="47"/>
      <w:bookmarkEnd w:id="48"/>
      <w:r w:rsidRPr="00FC0417">
        <w:t xml:space="preserve">Terms of </w:t>
      </w:r>
      <w:r w:rsidR="00FE220C">
        <w:t>r</w:t>
      </w:r>
      <w:r w:rsidRPr="00FC0417">
        <w:t>eference</w:t>
      </w:r>
      <w:bookmarkEnd w:id="49"/>
      <w:bookmarkEnd w:id="50"/>
      <w:bookmarkEnd w:id="51"/>
      <w:bookmarkEnd w:id="52"/>
      <w:bookmarkEnd w:id="53"/>
      <w:bookmarkEnd w:id="56"/>
      <w:r w:rsidRPr="00FC0417">
        <w:t xml:space="preserve"> </w:t>
      </w:r>
      <w:bookmarkEnd w:id="54"/>
      <w:bookmarkEnd w:id="55"/>
    </w:p>
    <w:p w:rsidR="00FC0417" w:rsidRPr="00DE2F82" w:rsidRDefault="00355B39" w:rsidP="00FE0567">
      <w:pPr>
        <w:spacing w:before="0"/>
      </w:pPr>
      <w:r>
        <w:t>The R</w:t>
      </w:r>
      <w:r w:rsidR="00FC0417" w:rsidRPr="00DE2F82">
        <w:t xml:space="preserve">eview will consider the following: </w:t>
      </w:r>
    </w:p>
    <w:p w:rsidR="00FC0417" w:rsidRPr="0014288F" w:rsidRDefault="00FC0417" w:rsidP="00B31527">
      <w:pPr>
        <w:pStyle w:val="ListParagraph"/>
        <w:numPr>
          <w:ilvl w:val="0"/>
          <w:numId w:val="18"/>
        </w:numPr>
        <w:spacing w:before="120" w:after="120" w:line="240" w:lineRule="auto"/>
        <w:ind w:left="357" w:hanging="357"/>
        <w:rPr>
          <w:b/>
        </w:rPr>
      </w:pPr>
      <w:r w:rsidRPr="0014288F">
        <w:rPr>
          <w:b/>
        </w:rPr>
        <w:t>The impact of the National Housing Finance and Investment Corporation (NHFIC) on the Community Housing Provider (CHP) Sector</w:t>
      </w:r>
    </w:p>
    <w:p w:rsidR="00FC0417" w:rsidRPr="00DE2F82" w:rsidRDefault="00FC0417" w:rsidP="004D5B9B">
      <w:pPr>
        <w:spacing w:before="0" w:after="60"/>
      </w:pPr>
      <w:r w:rsidRPr="00DE2F82">
        <w:t>The review will assess the impact of NHFIC’s programs on the CHP sector, including by examining the impact of NHFIC on:</w:t>
      </w:r>
    </w:p>
    <w:p w:rsidR="00FC0417" w:rsidRPr="00DE2F82" w:rsidRDefault="00FC0417" w:rsidP="004D5B9B">
      <w:pPr>
        <w:numPr>
          <w:ilvl w:val="0"/>
          <w:numId w:val="17"/>
        </w:numPr>
        <w:spacing w:before="0" w:after="60"/>
      </w:pPr>
      <w:r w:rsidRPr="00DE2F82">
        <w:t xml:space="preserve">the CHP sector’s access to finance – including whether NHFIC has generated a more efficient source of funds, reduced refinancing risks, and reduced borrowing costs; </w:t>
      </w:r>
    </w:p>
    <w:p w:rsidR="00FC0417" w:rsidRPr="00DE2F82" w:rsidRDefault="00FC0417" w:rsidP="004D5B9B">
      <w:pPr>
        <w:numPr>
          <w:ilvl w:val="0"/>
          <w:numId w:val="17"/>
        </w:numPr>
        <w:spacing w:before="0" w:after="60"/>
      </w:pPr>
      <w:r w:rsidRPr="00DE2F82">
        <w:t xml:space="preserve">the scale and prominence of CHP sector delivery of sub-market rental housing – including through partnerships with the private sector and institutional investors; </w:t>
      </w:r>
    </w:p>
    <w:p w:rsidR="00FC0417" w:rsidRPr="00DE2F82" w:rsidRDefault="00FC0417" w:rsidP="004D5B9B">
      <w:pPr>
        <w:numPr>
          <w:ilvl w:val="0"/>
          <w:numId w:val="17"/>
        </w:numPr>
        <w:spacing w:before="0" w:after="60"/>
      </w:pPr>
      <w:r w:rsidRPr="00DE2F82">
        <w:t>improving the attractiveness of affordable housing as an asset class for private investment; and</w:t>
      </w:r>
    </w:p>
    <w:p w:rsidR="00FC0417" w:rsidRPr="00DE2F82" w:rsidRDefault="00FC0417" w:rsidP="004D5B9B">
      <w:pPr>
        <w:numPr>
          <w:ilvl w:val="0"/>
          <w:numId w:val="17"/>
        </w:numPr>
        <w:spacing w:before="0" w:after="60"/>
        <w:rPr>
          <w:b/>
        </w:rPr>
      </w:pPr>
      <w:proofErr w:type="gramStart"/>
      <w:r w:rsidRPr="00DE2F82">
        <w:t>the</w:t>
      </w:r>
      <w:proofErr w:type="gramEnd"/>
      <w:r w:rsidRPr="00DE2F82">
        <w:t xml:space="preserve"> financial capacity of the CHP sector through the provision of professional advisory services (via the Capacity Building Program) – including in relation to NHFIC applications, business planning, property development, risk management and financing.</w:t>
      </w:r>
    </w:p>
    <w:p w:rsidR="00FC0417" w:rsidRPr="00DE2F82" w:rsidRDefault="00FC0417" w:rsidP="00B31527">
      <w:pPr>
        <w:pStyle w:val="ListParagraph"/>
        <w:numPr>
          <w:ilvl w:val="0"/>
          <w:numId w:val="18"/>
        </w:numPr>
        <w:spacing w:before="120" w:after="120" w:line="240" w:lineRule="auto"/>
        <w:ind w:left="357" w:hanging="357"/>
      </w:pPr>
      <w:r w:rsidRPr="0014288F">
        <w:rPr>
          <w:b/>
        </w:rPr>
        <w:t>The Role of NHFIC in Housing Supply</w:t>
      </w:r>
    </w:p>
    <w:p w:rsidR="00FC0417" w:rsidRPr="00DE2F82" w:rsidRDefault="00FC0417" w:rsidP="004D5B9B">
      <w:pPr>
        <w:spacing w:before="0" w:after="60"/>
      </w:pPr>
      <w:r w:rsidRPr="00DE2F82">
        <w:t>The review will consider the role of NHFIC in increasing housing supply, including:</w:t>
      </w:r>
    </w:p>
    <w:p w:rsidR="00FC0417" w:rsidRPr="00DE2F82" w:rsidRDefault="00FC0417" w:rsidP="004D5B9B">
      <w:pPr>
        <w:numPr>
          <w:ilvl w:val="0"/>
          <w:numId w:val="17"/>
        </w:numPr>
        <w:spacing w:before="0" w:after="60"/>
      </w:pPr>
      <w:r w:rsidRPr="00DE2F82">
        <w:t xml:space="preserve">the appropriateness of NHFIC’s financing,  including NHFIC’s ability to complement, leverage or support Commonwealth, </w:t>
      </w:r>
      <w:r w:rsidR="00096508">
        <w:t>s</w:t>
      </w:r>
      <w:r w:rsidRPr="00DE2F82">
        <w:t xml:space="preserve">tate or </w:t>
      </w:r>
      <w:r w:rsidR="00096508">
        <w:t>t</w:t>
      </w:r>
      <w:r w:rsidRPr="00DE2F82">
        <w:t xml:space="preserve">erritory activities relating to housing that otherwise would not have occurred; </w:t>
      </w:r>
    </w:p>
    <w:p w:rsidR="00FC0417" w:rsidRPr="00DE2F82" w:rsidRDefault="00FC0417" w:rsidP="004D5B9B">
      <w:pPr>
        <w:numPr>
          <w:ilvl w:val="0"/>
          <w:numId w:val="17"/>
        </w:numPr>
        <w:spacing w:before="0" w:after="60"/>
      </w:pPr>
      <w:r w:rsidRPr="00DE2F82">
        <w:t xml:space="preserve">NHFIC’s role in facilitating additional investment in housing, including social and affordable housing; </w:t>
      </w:r>
    </w:p>
    <w:p w:rsidR="00FC0417" w:rsidRPr="00DE2F82" w:rsidRDefault="00FC0417" w:rsidP="004D5B9B">
      <w:pPr>
        <w:numPr>
          <w:ilvl w:val="0"/>
          <w:numId w:val="17"/>
        </w:numPr>
        <w:spacing w:before="0" w:after="60"/>
      </w:pPr>
      <w:r w:rsidRPr="00DE2F82">
        <w:t xml:space="preserve">whether the scope of the definition of eligible project proponents and eligible projects for NHFIC financing outlined under the Investment Mandate is effective; and  </w:t>
      </w:r>
    </w:p>
    <w:p w:rsidR="00FC0417" w:rsidRPr="00DE2F82" w:rsidRDefault="00FC0417" w:rsidP="004D5B9B">
      <w:pPr>
        <w:numPr>
          <w:ilvl w:val="0"/>
          <w:numId w:val="17"/>
        </w:numPr>
        <w:spacing w:before="0" w:after="60"/>
      </w:pPr>
      <w:proofErr w:type="gramStart"/>
      <w:r w:rsidRPr="00DE2F82">
        <w:t>the</w:t>
      </w:r>
      <w:proofErr w:type="gramEnd"/>
      <w:r w:rsidRPr="00DE2F82">
        <w:t xml:space="preserve"> suitability of the government guarantee for NHFIC’s liabilities, including its bond issuances. </w:t>
      </w:r>
    </w:p>
    <w:p w:rsidR="00FC0417" w:rsidRPr="00DE2F82" w:rsidRDefault="00FC0417" w:rsidP="00B31527">
      <w:pPr>
        <w:pStyle w:val="OutlineNumbered1"/>
        <w:numPr>
          <w:ilvl w:val="0"/>
          <w:numId w:val="19"/>
        </w:numPr>
        <w:spacing w:before="120"/>
        <w:ind w:left="522" w:hanging="522"/>
        <w:rPr>
          <w:b/>
        </w:rPr>
      </w:pPr>
      <w:r w:rsidRPr="00DE2F82">
        <w:rPr>
          <w:b/>
        </w:rPr>
        <w:t xml:space="preserve">The Role of NHFIC in Increasing Homeownership </w:t>
      </w:r>
    </w:p>
    <w:p w:rsidR="00FC0417" w:rsidRPr="00DE2F82" w:rsidRDefault="00FC0417" w:rsidP="004D5B9B">
      <w:pPr>
        <w:spacing w:before="0" w:after="60"/>
      </w:pPr>
      <w:r w:rsidRPr="00DE2F82">
        <w:t xml:space="preserve">The review will consider the effectiveness of the First Home Loan Deposit Scheme in facilitating earlier access to the housing market for first home buyers. </w:t>
      </w:r>
    </w:p>
    <w:p w:rsidR="00FC0417" w:rsidRPr="00DE2F82" w:rsidRDefault="00FC0417" w:rsidP="00B31527">
      <w:pPr>
        <w:pStyle w:val="OutlineNumbered1"/>
        <w:numPr>
          <w:ilvl w:val="0"/>
          <w:numId w:val="19"/>
        </w:numPr>
        <w:spacing w:before="120"/>
        <w:ind w:left="522" w:hanging="522"/>
        <w:rPr>
          <w:b/>
        </w:rPr>
      </w:pPr>
      <w:r w:rsidRPr="00DE2F82">
        <w:rPr>
          <w:b/>
        </w:rPr>
        <w:t xml:space="preserve">The Role of NHFIC Research </w:t>
      </w:r>
    </w:p>
    <w:p w:rsidR="00FC0417" w:rsidRPr="00DE2F82" w:rsidRDefault="00FC0417" w:rsidP="004D5B9B">
      <w:pPr>
        <w:spacing w:before="0" w:after="60"/>
      </w:pPr>
      <w:r w:rsidRPr="00DE2F82">
        <w:t>The review will consider the effectiveness of NHFIC in undertaking research into housing affordability.</w:t>
      </w:r>
    </w:p>
    <w:p w:rsidR="00FC0417" w:rsidRPr="00DE2F82" w:rsidRDefault="00FC0417" w:rsidP="00B31527">
      <w:pPr>
        <w:pStyle w:val="OutlineNumbered1"/>
        <w:numPr>
          <w:ilvl w:val="0"/>
          <w:numId w:val="19"/>
        </w:numPr>
        <w:spacing w:before="120"/>
        <w:ind w:left="522" w:hanging="522"/>
        <w:rPr>
          <w:b/>
        </w:rPr>
      </w:pPr>
      <w:r w:rsidRPr="00DE2F82">
        <w:rPr>
          <w:b/>
        </w:rPr>
        <w:t>The Governance and Operation of NHFIC</w:t>
      </w:r>
    </w:p>
    <w:p w:rsidR="00FC0417" w:rsidRPr="00DE2F82" w:rsidRDefault="00FC0417" w:rsidP="00221FB3">
      <w:pPr>
        <w:spacing w:before="0" w:after="60"/>
      </w:pPr>
      <w:r w:rsidRPr="00DE2F82">
        <w:t>The review will assess NHFIC’s financial and corporate governance arrangements as detailed in the Act including by considering:</w:t>
      </w:r>
    </w:p>
    <w:p w:rsidR="00FC0417" w:rsidRPr="00DE2F82" w:rsidRDefault="00FC0417" w:rsidP="00221FB3">
      <w:pPr>
        <w:pStyle w:val="Bullet"/>
        <w:numPr>
          <w:ilvl w:val="0"/>
          <w:numId w:val="15"/>
        </w:numPr>
        <w:spacing w:after="60"/>
      </w:pPr>
      <w:r w:rsidRPr="00DE2F82">
        <w:t xml:space="preserve">the feasibility of NHFIC (or its parts) self-funding its operational costs; </w:t>
      </w:r>
    </w:p>
    <w:p w:rsidR="00FC0417" w:rsidRPr="00DE2F82" w:rsidRDefault="00FC0417" w:rsidP="00221FB3">
      <w:pPr>
        <w:pStyle w:val="Bullet"/>
        <w:numPr>
          <w:ilvl w:val="0"/>
          <w:numId w:val="15"/>
        </w:numPr>
        <w:spacing w:after="60"/>
      </w:pPr>
      <w:r w:rsidRPr="00DE2F82">
        <w:t xml:space="preserve">Section 49 of the NHFIC Act which provides for the payment of annual dividends to the Commonwealth; </w:t>
      </w:r>
    </w:p>
    <w:p w:rsidR="00FC0417" w:rsidRPr="00DE2F82" w:rsidRDefault="00FC0417" w:rsidP="00221FB3">
      <w:pPr>
        <w:pStyle w:val="Bullet"/>
        <w:numPr>
          <w:ilvl w:val="0"/>
          <w:numId w:val="15"/>
        </w:numPr>
        <w:spacing w:after="60"/>
      </w:pPr>
      <w:r w:rsidRPr="00DE2F82">
        <w:t xml:space="preserve">Section 48 of the NHFIC Act which provides for the maintenance of adequate capital and reserves; and </w:t>
      </w:r>
    </w:p>
    <w:p w:rsidR="00FC0417" w:rsidRPr="00DE2F82" w:rsidRDefault="00FC0417" w:rsidP="00221FB3">
      <w:pPr>
        <w:pStyle w:val="Bullet"/>
        <w:numPr>
          <w:ilvl w:val="0"/>
          <w:numId w:val="15"/>
        </w:numPr>
        <w:spacing w:after="60"/>
      </w:pPr>
      <w:r w:rsidRPr="00DE2F82">
        <w:t>the effectiveness of current governance and reporting arrangements, including the role of the NHFIC Board and CEO, in enabling NHFIC to execute its functions pursuant to section 8 of the NHFIC Act.</w:t>
      </w:r>
    </w:p>
    <w:p w:rsidR="00FC0417" w:rsidRPr="00DE2F82" w:rsidRDefault="00FC0417" w:rsidP="00B31527">
      <w:pPr>
        <w:pStyle w:val="OutlineNumbered1"/>
        <w:numPr>
          <w:ilvl w:val="0"/>
          <w:numId w:val="19"/>
        </w:numPr>
        <w:spacing w:before="120"/>
        <w:ind w:left="522" w:hanging="522"/>
        <w:rPr>
          <w:b/>
        </w:rPr>
      </w:pPr>
      <w:r w:rsidRPr="00DE2F82">
        <w:rPr>
          <w:b/>
        </w:rPr>
        <w:t xml:space="preserve">Other </w:t>
      </w:r>
    </w:p>
    <w:p w:rsidR="00FC0417" w:rsidRDefault="00FC0417" w:rsidP="00221FB3">
      <w:pPr>
        <w:spacing w:before="0" w:after="60"/>
      </w:pPr>
      <w:r w:rsidRPr="00DE2F82">
        <w:t>The review will consider other matters relevant to the operation of the NHFIC Act, as appropriate.</w:t>
      </w:r>
      <w:r>
        <w:br w:type="page"/>
      </w:r>
    </w:p>
    <w:p w:rsidR="00CD4A5D" w:rsidRDefault="007577A4">
      <w:pPr>
        <w:pStyle w:val="Heading2"/>
      </w:pPr>
      <w:bookmarkStart w:id="57" w:name="_Toc57305082"/>
      <w:bookmarkStart w:id="58" w:name="_Toc57305268"/>
      <w:bookmarkStart w:id="59" w:name="_Toc57283504"/>
      <w:bookmarkStart w:id="60" w:name="_Toc57283739"/>
      <w:bookmarkStart w:id="61" w:name="_Toc57377428"/>
      <w:bookmarkStart w:id="62" w:name="_Toc56587653"/>
      <w:bookmarkStart w:id="63" w:name="_Toc56684828"/>
      <w:bookmarkStart w:id="64" w:name="_Toc58252738"/>
      <w:r>
        <w:t xml:space="preserve">The </w:t>
      </w:r>
      <w:r w:rsidR="003D57B1">
        <w:t>h</w:t>
      </w:r>
      <w:r w:rsidR="00BD06D9">
        <w:t xml:space="preserve">ousing </w:t>
      </w:r>
      <w:r w:rsidR="003D57B1">
        <w:t>m</w:t>
      </w:r>
      <w:r>
        <w:t xml:space="preserve">arket </w:t>
      </w:r>
      <w:bookmarkEnd w:id="57"/>
      <w:bookmarkEnd w:id="58"/>
      <w:bookmarkEnd w:id="59"/>
      <w:bookmarkEnd w:id="60"/>
      <w:r w:rsidR="0015199D">
        <w:t>in Australia</w:t>
      </w:r>
      <w:bookmarkEnd w:id="61"/>
      <w:bookmarkEnd w:id="64"/>
    </w:p>
    <w:p w:rsidR="007577A4" w:rsidRDefault="003D57B1" w:rsidP="007577A4">
      <w:r>
        <w:t>T</w:t>
      </w:r>
      <w:r w:rsidR="007577A4">
        <w:t>here are four main types of housing in Australia</w:t>
      </w:r>
      <w:r w:rsidR="00882622">
        <w:t xml:space="preserve"> (see Figure 1)</w:t>
      </w:r>
      <w:r w:rsidR="007577A4">
        <w:t>:</w:t>
      </w:r>
    </w:p>
    <w:p w:rsidR="007577A4" w:rsidRDefault="007577A4" w:rsidP="007577A4">
      <w:pPr>
        <w:pStyle w:val="Bullet"/>
      </w:pPr>
      <w:r w:rsidRPr="00274A19">
        <w:rPr>
          <w:b/>
        </w:rPr>
        <w:t>owner-occupied properties</w:t>
      </w:r>
      <w:r>
        <w:t xml:space="preserve"> (either with or without a mortgage); </w:t>
      </w:r>
    </w:p>
    <w:p w:rsidR="007577A4" w:rsidRDefault="007577A4" w:rsidP="007577A4">
      <w:pPr>
        <w:pStyle w:val="Bullet"/>
      </w:pPr>
      <w:r w:rsidRPr="00274A19">
        <w:rPr>
          <w:b/>
        </w:rPr>
        <w:t>private rentals</w:t>
      </w:r>
      <w:r w:rsidR="00EF7496">
        <w:rPr>
          <w:b/>
        </w:rPr>
        <w:t xml:space="preserve"> </w:t>
      </w:r>
      <w:r w:rsidR="00EF7496" w:rsidRPr="00274A19">
        <w:t xml:space="preserve">(including those that are assisted by government support </w:t>
      </w:r>
      <w:r w:rsidR="00EF7496">
        <w:t>programs, such as Commonwealth Rent Assistance</w:t>
      </w:r>
      <w:r w:rsidR="00EF7496" w:rsidRPr="00274A19">
        <w:t>)</w:t>
      </w:r>
      <w:r>
        <w:t xml:space="preserve">; </w:t>
      </w:r>
    </w:p>
    <w:p w:rsidR="007577A4" w:rsidRDefault="007577A4" w:rsidP="007577A4">
      <w:pPr>
        <w:pStyle w:val="Bullet"/>
      </w:pPr>
      <w:r w:rsidRPr="00274A19">
        <w:rPr>
          <w:b/>
        </w:rPr>
        <w:t>social housing</w:t>
      </w:r>
      <w:r>
        <w:t xml:space="preserve"> (comprising both community housing and public housing</w:t>
      </w:r>
      <w:r w:rsidR="00EF7496">
        <w:t xml:space="preserve">, where rents </w:t>
      </w:r>
      <w:r w:rsidR="00E275BB">
        <w:t xml:space="preserve">are subsidised and </w:t>
      </w:r>
      <w:r w:rsidR="00EF7496">
        <w:t>are set as either a percentage of tenant income or relative to an average market rent benchmark</w:t>
      </w:r>
      <w:r>
        <w:t>); and</w:t>
      </w:r>
    </w:p>
    <w:p w:rsidR="007577A4" w:rsidRDefault="007577A4" w:rsidP="007577A4">
      <w:pPr>
        <w:pStyle w:val="Bullet"/>
      </w:pPr>
      <w:proofErr w:type="gramStart"/>
      <w:r w:rsidRPr="00274A19">
        <w:rPr>
          <w:b/>
        </w:rPr>
        <w:t>crisis</w:t>
      </w:r>
      <w:proofErr w:type="gramEnd"/>
      <w:r w:rsidRPr="00274A19">
        <w:rPr>
          <w:b/>
        </w:rPr>
        <w:t xml:space="preserve"> housing</w:t>
      </w:r>
      <w:r w:rsidR="00EF7496">
        <w:rPr>
          <w:b/>
        </w:rPr>
        <w:t xml:space="preserve"> </w:t>
      </w:r>
      <w:r w:rsidR="00EF7496" w:rsidRPr="00274A19">
        <w:t>(</w:t>
      </w:r>
      <w:r w:rsidR="00EF7496" w:rsidRPr="006F1872">
        <w:rPr>
          <w:rFonts w:asciiTheme="minorHAnsi" w:hAnsiTheme="minorHAnsi"/>
          <w:szCs w:val="22"/>
        </w:rPr>
        <w:t>provided by homelessness service providers to a broad range of household types as a last resort measure</w:t>
      </w:r>
      <w:r w:rsidR="00EF7496">
        <w:rPr>
          <w:rFonts w:asciiTheme="minorHAnsi" w:hAnsiTheme="minorHAnsi"/>
          <w:szCs w:val="22"/>
        </w:rPr>
        <w:t>)</w:t>
      </w:r>
      <w:r>
        <w:t>.</w:t>
      </w:r>
    </w:p>
    <w:p w:rsidR="00127259" w:rsidRDefault="00994190" w:rsidP="006F1872">
      <w:pPr>
        <w:pStyle w:val="Bullet"/>
        <w:numPr>
          <w:ilvl w:val="0"/>
          <w:numId w:val="0"/>
        </w:numPr>
      </w:pPr>
      <w:r>
        <w:t xml:space="preserve">A term </w:t>
      </w:r>
      <w:r w:rsidR="00094F4E">
        <w:t>that is commonly used in public discourse</w:t>
      </w:r>
      <w:r>
        <w:t xml:space="preserve"> is “affordable housing”. While it is somewhat imprecisely defined, the Review regards affordable housing </w:t>
      </w:r>
      <w:r w:rsidR="00C405FD">
        <w:t xml:space="preserve">as </w:t>
      </w:r>
      <w:r w:rsidR="00094F4E">
        <w:t xml:space="preserve">housing that is accessible to households on low to moderate incomes without placing them in undue financial stress. Broadly this encompasses </w:t>
      </w:r>
      <w:r w:rsidR="00996DE6">
        <w:t xml:space="preserve">subsidised rental housing </w:t>
      </w:r>
      <w:r w:rsidR="001C47B6">
        <w:t xml:space="preserve">– </w:t>
      </w:r>
      <w:r w:rsidR="00996DE6">
        <w:t>which includes social housing</w:t>
      </w:r>
      <w:r w:rsidR="00DD4A1B">
        <w:t xml:space="preserve"> </w:t>
      </w:r>
      <w:r w:rsidR="00996DE6">
        <w:t>and that part of the</w:t>
      </w:r>
      <w:r w:rsidR="00DD4A1B">
        <w:t xml:space="preserve"> private rental market </w:t>
      </w:r>
      <w:r w:rsidR="00996DE6">
        <w:t xml:space="preserve">that is supported by government assistance payments – and </w:t>
      </w:r>
      <w:r w:rsidR="001C47B6">
        <w:t xml:space="preserve">assisted home ownership </w:t>
      </w:r>
      <w:r w:rsidR="003922C5">
        <w:t xml:space="preserve">(see Figure 1). </w:t>
      </w:r>
    </w:p>
    <w:p w:rsidR="00332C36" w:rsidRDefault="00332C36" w:rsidP="00332C36">
      <w:pPr>
        <w:pStyle w:val="Heading4"/>
      </w:pPr>
      <w:r w:rsidRPr="00A867BB">
        <w:t>Figure 1</w:t>
      </w:r>
      <w:r>
        <w:t>:</w:t>
      </w:r>
      <w:r w:rsidRPr="0041154E">
        <w:t xml:space="preserve"> </w:t>
      </w:r>
      <w:r>
        <w:t>Defining ‘affordable housing’ and interactions across the</w:t>
      </w:r>
      <w:r w:rsidRPr="0041154E">
        <w:t xml:space="preserve"> </w:t>
      </w:r>
      <w:r>
        <w:t>housing</w:t>
      </w:r>
      <w:r w:rsidRPr="00A867BB">
        <w:t xml:space="preserve"> </w:t>
      </w:r>
      <w:r>
        <w:t>sector</w:t>
      </w:r>
    </w:p>
    <w:p w:rsidR="00332C36" w:rsidRPr="001C7B9B" w:rsidRDefault="00FE2AB0" w:rsidP="00E91F4C">
      <w:r>
        <w:pict w14:anchorId="5319C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81.9pt;height:291.75pt;mso-position-horizontal-relative:text;mso-position-vertical-relative:text;mso-width-relative:page;mso-height-relative:page" wrapcoords="-36 0 -36 21553 21600 21553 21600 0 -36 0">
            <v:imagedata r:id="rId24" o:title="Issues paper - housing diagram-01"/>
          </v:shape>
        </w:pict>
      </w:r>
    </w:p>
    <w:p w:rsidR="000311DD" w:rsidRPr="00E91F4C" w:rsidRDefault="00F12410" w:rsidP="00E91F4C">
      <w:pPr>
        <w:ind w:left="360"/>
        <w:jc w:val="both"/>
        <w:rPr>
          <w:sz w:val="20"/>
        </w:rPr>
      </w:pPr>
      <w:bookmarkStart w:id="65" w:name="_Toc57305083"/>
      <w:bookmarkStart w:id="66" w:name="_Toc57305269"/>
      <w:bookmarkStart w:id="67" w:name="_Toc57377430"/>
      <w:r w:rsidRPr="00F91029">
        <w:rPr>
          <w:i/>
          <w:sz w:val="18"/>
        </w:rPr>
        <w:t xml:space="preserve">Note: diagram for illustrative purposes only and does not accurately reflect the proportional size of each </w:t>
      </w:r>
      <w:r w:rsidR="00816D99" w:rsidRPr="00F91029">
        <w:rPr>
          <w:i/>
          <w:sz w:val="18"/>
        </w:rPr>
        <w:t>housing type</w:t>
      </w:r>
      <w:r>
        <w:rPr>
          <w:sz w:val="18"/>
        </w:rPr>
        <w:t xml:space="preserve">. </w:t>
      </w:r>
    </w:p>
    <w:p w:rsidR="00332C36" w:rsidRDefault="00332C36" w:rsidP="000311DD">
      <w:pPr>
        <w:ind w:left="360"/>
      </w:pPr>
    </w:p>
    <w:p w:rsidR="00C41A6B" w:rsidRDefault="00C41A6B">
      <w:pPr>
        <w:spacing w:before="0" w:after="160" w:line="259" w:lineRule="auto"/>
        <w:rPr>
          <w:rFonts w:cs="Arial"/>
          <w:iCs/>
          <w:color w:val="002C47"/>
          <w:kern w:val="32"/>
          <w:sz w:val="36"/>
          <w:szCs w:val="28"/>
        </w:rPr>
      </w:pPr>
      <w:r>
        <w:br w:type="page"/>
      </w:r>
    </w:p>
    <w:p w:rsidR="005732B9" w:rsidRDefault="005732B9" w:rsidP="00A867BB">
      <w:pPr>
        <w:pStyle w:val="Heading2"/>
      </w:pPr>
      <w:bookmarkStart w:id="68" w:name="_Toc58252739"/>
      <w:r>
        <w:t>Why NHFIC was created</w:t>
      </w:r>
      <w:bookmarkEnd w:id="65"/>
      <w:bookmarkEnd w:id="66"/>
      <w:bookmarkEnd w:id="67"/>
      <w:bookmarkEnd w:id="68"/>
    </w:p>
    <w:p w:rsidR="00D31957" w:rsidRDefault="00AE5BDF" w:rsidP="00B90AA5">
      <w:r>
        <w:t>I</w:t>
      </w:r>
      <w:r w:rsidR="002F10EF">
        <w:t xml:space="preserve">n 2015 </w:t>
      </w:r>
      <w:r w:rsidR="00D31957">
        <w:t>the Council on Federal Financial Relations requested further work be undertaken on housing affordability with a focus on solutions to improve the supply and provision of social housing.</w:t>
      </w:r>
    </w:p>
    <w:p w:rsidR="00FF5CE5" w:rsidRDefault="007E1317" w:rsidP="00B90AA5">
      <w:r>
        <w:t>In 2016, t</w:t>
      </w:r>
      <w:r w:rsidR="006502D7">
        <w:t>he Affordable Housing Working Group</w:t>
      </w:r>
      <w:r w:rsidR="00364551">
        <w:t xml:space="preserve"> (‘the Working Group’)</w:t>
      </w:r>
      <w:r w:rsidR="006502D7">
        <w:t xml:space="preserve">, comprised of Commonwealth and state and territory government officials, was established to investigate innovative solutions to improve the availability of affordable </w:t>
      </w:r>
      <w:r w:rsidR="00375623">
        <w:t xml:space="preserve">rental </w:t>
      </w:r>
      <w:r w:rsidR="006502D7">
        <w:t>housing</w:t>
      </w:r>
      <w:r w:rsidR="00375623">
        <w:t xml:space="preserve">. </w:t>
      </w:r>
      <w:r>
        <w:t>T</w:t>
      </w:r>
      <w:r w:rsidR="005C3413">
        <w:t>he Working Group’s</w:t>
      </w:r>
      <w:r w:rsidR="00F45E35">
        <w:t xml:space="preserve"> </w:t>
      </w:r>
      <w:r w:rsidR="005C3413">
        <w:t>2016</w:t>
      </w:r>
      <w:r w:rsidR="00F45E35">
        <w:t xml:space="preserve"> report, “Innovative Financing Models to Improve the Supply of Affordable Housing”</w:t>
      </w:r>
      <w:r>
        <w:t xml:space="preserve">, </w:t>
      </w:r>
      <w:r w:rsidR="00364551">
        <w:t xml:space="preserve">recognised that access to private and institutional investment at scale for the purposes of affordable housing was one of the major challenges in the Australian housing system. </w:t>
      </w:r>
    </w:p>
    <w:p w:rsidR="00364551" w:rsidRDefault="00364551" w:rsidP="00B90AA5">
      <w:r>
        <w:t>The Working Group</w:t>
      </w:r>
      <w:r w:rsidR="00464467">
        <w:t xml:space="preserve"> report also</w:t>
      </w:r>
      <w:r>
        <w:t xml:space="preserve"> </w:t>
      </w:r>
      <w:r w:rsidR="00D10936">
        <w:t>identified</w:t>
      </w:r>
      <w:r w:rsidR="00F45E35">
        <w:t xml:space="preserve"> </w:t>
      </w:r>
      <w:r w:rsidR="008764C4">
        <w:t>an</w:t>
      </w:r>
      <w:r w:rsidR="00D10936">
        <w:t xml:space="preserve"> </w:t>
      </w:r>
      <w:r w:rsidR="008764C4">
        <w:t>“affordable housing</w:t>
      </w:r>
      <w:r w:rsidR="00D10936">
        <w:t xml:space="preserve"> bond aggregator</w:t>
      </w:r>
      <w:r w:rsidR="008764C4">
        <w:t>”</w:t>
      </w:r>
      <w:r w:rsidR="00D10936">
        <w:t xml:space="preserve"> </w:t>
      </w:r>
      <w:r w:rsidR="00F87457">
        <w:t xml:space="preserve">as </w:t>
      </w:r>
      <w:r>
        <w:t>a viable</w:t>
      </w:r>
      <w:r w:rsidR="00F87457">
        <w:t xml:space="preserve"> model</w:t>
      </w:r>
      <w:r w:rsidR="00EA2341">
        <w:t xml:space="preserve"> </w:t>
      </w:r>
      <w:r w:rsidR="008764C4">
        <w:t>that would</w:t>
      </w:r>
      <w:r>
        <w:t>:</w:t>
      </w:r>
    </w:p>
    <w:p w:rsidR="00EA2341" w:rsidRDefault="008764C4" w:rsidP="00A775CB">
      <w:pPr>
        <w:pStyle w:val="Bullet"/>
      </w:pPr>
      <w:r>
        <w:t>facilitate</w:t>
      </w:r>
      <w:r w:rsidR="00EA2341">
        <w:t xml:space="preserve"> access to cheaper and longer-term finance for community and affordable housing providers, enabling providers to refinance their existing borrowings and finance new developments;</w:t>
      </w:r>
    </w:p>
    <w:p w:rsidR="00EA2341" w:rsidRDefault="00EA2341" w:rsidP="00A775CB">
      <w:pPr>
        <w:pStyle w:val="Bullet"/>
      </w:pPr>
      <w:r>
        <w:t>creat</w:t>
      </w:r>
      <w:r w:rsidR="008764C4">
        <w:t>e</w:t>
      </w:r>
      <w:r>
        <w:t xml:space="preserve"> a market for private investment in affordable housing that both normalises and expands flows of capital into the sector; and</w:t>
      </w:r>
    </w:p>
    <w:p w:rsidR="00364551" w:rsidRDefault="00EA2341" w:rsidP="00A775CB">
      <w:pPr>
        <w:pStyle w:val="Bullet"/>
      </w:pPr>
      <w:r>
        <w:t xml:space="preserve">address the barriers of return and liquidity by providing an instrument that is understood by sophisticated investors as a fixed income investment with the ability to be traded in a secondary market.  </w:t>
      </w:r>
    </w:p>
    <w:p w:rsidR="00204016" w:rsidRDefault="005C3413" w:rsidP="00B90AA5">
      <w:r>
        <w:t xml:space="preserve">In the 2017-18 Budget, the Government announced the establishment of NHFIC </w:t>
      </w:r>
      <w:r w:rsidR="00464467">
        <w:t>for the purposes of</w:t>
      </w:r>
      <w:r>
        <w:t xml:space="preserve"> operat</w:t>
      </w:r>
      <w:r w:rsidR="00464467">
        <w:t>ing</w:t>
      </w:r>
      <w:r>
        <w:t xml:space="preserve"> both </w:t>
      </w:r>
      <w:r w:rsidR="008764C4">
        <w:t>an Affordable Housing B</w:t>
      </w:r>
      <w:r>
        <w:t xml:space="preserve">ond </w:t>
      </w:r>
      <w:r w:rsidR="008764C4">
        <w:t>A</w:t>
      </w:r>
      <w:r>
        <w:t xml:space="preserve">ggregator </w:t>
      </w:r>
      <w:r w:rsidR="00464467">
        <w:t xml:space="preserve">(the bond aggregator) </w:t>
      </w:r>
      <w:r>
        <w:t xml:space="preserve">and </w:t>
      </w:r>
      <w:r w:rsidR="008764C4">
        <w:t>a</w:t>
      </w:r>
      <w:r>
        <w:t xml:space="preserve"> National Housing Infrastructure Facility (</w:t>
      </w:r>
      <w:r w:rsidR="00464467">
        <w:t xml:space="preserve">NAIF – </w:t>
      </w:r>
      <w:r>
        <w:t xml:space="preserve">a facility to provide financial assistance for infrastructure that supports new housing, particularly affordable housing). </w:t>
      </w:r>
      <w:r w:rsidR="00E277A4">
        <w:t xml:space="preserve">The administration of these two functions by one entity was designed to </w:t>
      </w:r>
      <w:r w:rsidR="00702530">
        <w:t>ensure</w:t>
      </w:r>
      <w:r w:rsidR="00E277A4">
        <w:t xml:space="preserve"> policy alignment and create</w:t>
      </w:r>
      <w:r w:rsidR="00702530">
        <w:t xml:space="preserve"> administrative efficiencies</w:t>
      </w:r>
      <w:r w:rsidR="00F45E35">
        <w:t>.</w:t>
      </w:r>
    </w:p>
    <w:p w:rsidR="003B639E" w:rsidRDefault="00CD4A5D" w:rsidP="00FC0417">
      <w:pPr>
        <w:pStyle w:val="Heading2"/>
      </w:pPr>
      <w:bookmarkStart w:id="69" w:name="_Toc57283507"/>
      <w:bookmarkStart w:id="70" w:name="_Toc57283742"/>
      <w:bookmarkStart w:id="71" w:name="_Toc57305086"/>
      <w:bookmarkStart w:id="72" w:name="_Toc57305272"/>
      <w:bookmarkStart w:id="73" w:name="_Toc57377432"/>
      <w:bookmarkStart w:id="74" w:name="_Toc58252740"/>
      <w:bookmarkEnd w:id="62"/>
      <w:bookmarkEnd w:id="63"/>
      <w:r>
        <w:t>NHFIC’s key functions</w:t>
      </w:r>
      <w:bookmarkEnd w:id="69"/>
      <w:bookmarkEnd w:id="70"/>
      <w:bookmarkEnd w:id="71"/>
      <w:bookmarkEnd w:id="72"/>
      <w:bookmarkEnd w:id="73"/>
      <w:bookmarkEnd w:id="74"/>
    </w:p>
    <w:p w:rsidR="003B639E" w:rsidRDefault="003B639E" w:rsidP="003B639E">
      <w:r>
        <w:t>NHFIC seeks to achieve its statutory objectives by administering the Affordable Housing B</w:t>
      </w:r>
      <w:r w:rsidRPr="00B62D6A">
        <w:t xml:space="preserve">ond </w:t>
      </w:r>
      <w:r>
        <w:t xml:space="preserve">Aggregator (the </w:t>
      </w:r>
      <w:r w:rsidR="009542C6">
        <w:t>b</w:t>
      </w:r>
      <w:r>
        <w:t xml:space="preserve">ond </w:t>
      </w:r>
      <w:r w:rsidR="009542C6">
        <w:t>a</w:t>
      </w:r>
      <w:r w:rsidRPr="00B62D6A">
        <w:t>ggregator</w:t>
      </w:r>
      <w:r>
        <w:t xml:space="preserve">), </w:t>
      </w:r>
      <w:r w:rsidR="00C37305">
        <w:t>the</w:t>
      </w:r>
      <w:r>
        <w:t xml:space="preserve"> </w:t>
      </w:r>
      <w:r w:rsidRPr="00B62D6A">
        <w:t>National Housing Infrastructure Facility (</w:t>
      </w:r>
      <w:r w:rsidR="00C37305">
        <w:t>NHIF</w:t>
      </w:r>
      <w:r w:rsidRPr="00B62D6A">
        <w:t>)</w:t>
      </w:r>
      <w:r>
        <w:t xml:space="preserve">, and by undertaking capacity building activities for registered community housing providers (CHPs). </w:t>
      </w:r>
    </w:p>
    <w:p w:rsidR="003B639E" w:rsidRDefault="003B639E" w:rsidP="003B639E">
      <w:r>
        <w:t>In October 2019, NHFIC’s activities were expanded when the NHFIC Act was amended to establish the First Home Loan Deposit Scheme and a new research function to examine housing supply, demand and affordability in Australia</w:t>
      </w:r>
      <w:r w:rsidR="006B0768">
        <w:t xml:space="preserve"> (see Figure 2)</w:t>
      </w:r>
      <w:r>
        <w:t xml:space="preserve">. </w:t>
      </w:r>
    </w:p>
    <w:p w:rsidR="00397889" w:rsidRDefault="00397889" w:rsidP="00274A19">
      <w:pPr>
        <w:pStyle w:val="Heading4"/>
      </w:pPr>
      <w:bookmarkStart w:id="75" w:name="_Toc57305087"/>
      <w:bookmarkStart w:id="76" w:name="_Toc57305273"/>
      <w:bookmarkStart w:id="77" w:name="_Toc57377433"/>
      <w:r>
        <w:t>Figure 2: The functions of NHFIC</w:t>
      </w:r>
      <w:bookmarkEnd w:id="75"/>
      <w:bookmarkEnd w:id="76"/>
      <w:bookmarkEnd w:id="77"/>
    </w:p>
    <w:p w:rsidR="003B639E" w:rsidRDefault="003B639E" w:rsidP="003B639E">
      <w:r>
        <w:rPr>
          <w:rFonts w:asciiTheme="majorHAnsi" w:eastAsiaTheme="majorEastAsia" w:hAnsiTheme="majorHAnsi" w:cstheme="majorBidi"/>
          <w:noProof/>
          <w:color w:val="001523" w:themeColor="accent1" w:themeShade="7F"/>
          <w:sz w:val="24"/>
          <w:szCs w:val="24"/>
        </w:rPr>
        <w:drawing>
          <wp:inline distT="0" distB="0" distL="0" distR="0" wp14:anchorId="67F42219" wp14:editId="1BCD098D">
            <wp:extent cx="5759450" cy="1411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1411982"/>
                    </a:xfrm>
                    <a:prstGeom prst="rect">
                      <a:avLst/>
                    </a:prstGeom>
                    <a:noFill/>
                  </pic:spPr>
                </pic:pic>
              </a:graphicData>
            </a:graphic>
          </wp:inline>
        </w:drawing>
      </w:r>
    </w:p>
    <w:p w:rsidR="00FC0417" w:rsidRDefault="00FC0417" w:rsidP="00FC0417">
      <w:pPr>
        <w:pStyle w:val="Heading2"/>
      </w:pPr>
      <w:bookmarkStart w:id="78" w:name="_Toc56587654"/>
      <w:bookmarkStart w:id="79" w:name="_Toc56684829"/>
      <w:bookmarkStart w:id="80" w:name="_Toc57283599"/>
      <w:bookmarkStart w:id="81" w:name="_Toc57283743"/>
      <w:bookmarkStart w:id="82" w:name="_Toc57298837"/>
      <w:bookmarkStart w:id="83" w:name="_Toc57305088"/>
      <w:bookmarkStart w:id="84" w:name="_Toc57305274"/>
      <w:bookmarkStart w:id="85" w:name="_Toc57377434"/>
      <w:bookmarkStart w:id="86" w:name="_Toc58252741"/>
      <w:r>
        <w:t xml:space="preserve">Key </w:t>
      </w:r>
      <w:r w:rsidR="00397889">
        <w:t>c</w:t>
      </w:r>
      <w:r>
        <w:t xml:space="preserve">onsultation </w:t>
      </w:r>
      <w:r w:rsidR="00397889">
        <w:t>p</w:t>
      </w:r>
      <w:r>
        <w:t>oints</w:t>
      </w:r>
      <w:bookmarkEnd w:id="78"/>
      <w:bookmarkEnd w:id="79"/>
      <w:bookmarkEnd w:id="80"/>
      <w:bookmarkEnd w:id="81"/>
      <w:bookmarkEnd w:id="82"/>
      <w:r w:rsidR="00397889">
        <w:t xml:space="preserve"> for the Review</w:t>
      </w:r>
      <w:bookmarkEnd w:id="83"/>
      <w:bookmarkEnd w:id="84"/>
      <w:bookmarkEnd w:id="85"/>
      <w:bookmarkEnd w:id="86"/>
    </w:p>
    <w:p w:rsidR="00877D20" w:rsidRPr="00532D40" w:rsidRDefault="00532D40" w:rsidP="00877D20">
      <w:pPr>
        <w:spacing w:after="160" w:line="259" w:lineRule="auto"/>
      </w:pPr>
      <w:r>
        <w:rPr>
          <w:bCs/>
          <w:szCs w:val="22"/>
        </w:rPr>
        <w:t>The Review</w:t>
      </w:r>
      <w:r w:rsidRPr="00AF38C2">
        <w:rPr>
          <w:bCs/>
          <w:szCs w:val="22"/>
        </w:rPr>
        <w:t xml:space="preserve"> </w:t>
      </w:r>
      <w:r w:rsidR="00877D20" w:rsidRPr="00AF38C2">
        <w:rPr>
          <w:bCs/>
          <w:szCs w:val="22"/>
        </w:rPr>
        <w:t>invite</w:t>
      </w:r>
      <w:r>
        <w:rPr>
          <w:bCs/>
          <w:szCs w:val="22"/>
        </w:rPr>
        <w:t>s</w:t>
      </w:r>
      <w:r w:rsidR="00877D20" w:rsidRPr="00AF38C2">
        <w:rPr>
          <w:bCs/>
          <w:szCs w:val="22"/>
        </w:rPr>
        <w:t xml:space="preserve"> interested parties to make submissions on any or all issues raised by this Issues Paper or the Terms of Reference</w:t>
      </w:r>
      <w:r w:rsidR="00877D20" w:rsidRPr="00AF38C2">
        <w:rPr>
          <w:szCs w:val="22"/>
        </w:rPr>
        <w:t>.</w:t>
      </w:r>
      <w:r>
        <w:rPr>
          <w:bCs/>
          <w:szCs w:val="22"/>
        </w:rPr>
        <w:t xml:space="preserve"> The following </w:t>
      </w:r>
      <w:r w:rsidR="00074202">
        <w:rPr>
          <w:bCs/>
          <w:szCs w:val="22"/>
        </w:rPr>
        <w:t>sections</w:t>
      </w:r>
      <w:r>
        <w:rPr>
          <w:bCs/>
          <w:szCs w:val="22"/>
        </w:rPr>
        <w:t xml:space="preserve"> set out</w:t>
      </w:r>
      <w:r w:rsidR="00397889" w:rsidDel="00BA4A77">
        <w:rPr>
          <w:bCs/>
          <w:szCs w:val="22"/>
        </w:rPr>
        <w:t xml:space="preserve"> </w:t>
      </w:r>
      <w:r w:rsidR="00397889">
        <w:rPr>
          <w:bCs/>
          <w:szCs w:val="22"/>
        </w:rPr>
        <w:t xml:space="preserve">the </w:t>
      </w:r>
      <w:r w:rsidR="006A7D30">
        <w:rPr>
          <w:bCs/>
          <w:szCs w:val="22"/>
        </w:rPr>
        <w:t>key areas of interest for the Review in the preparation of its final report.</w:t>
      </w:r>
    </w:p>
    <w:p w:rsidR="006F1872" w:rsidRDefault="006F1872" w:rsidP="006F1872">
      <w:pPr>
        <w:pStyle w:val="Heading3"/>
      </w:pPr>
      <w:bookmarkStart w:id="87" w:name="_Toc56587655"/>
      <w:bookmarkStart w:id="88" w:name="_Toc56684830"/>
      <w:bookmarkStart w:id="89" w:name="_Toc57283509"/>
      <w:bookmarkStart w:id="90" w:name="_Toc57283744"/>
      <w:bookmarkStart w:id="91" w:name="_Toc57305089"/>
      <w:bookmarkStart w:id="92" w:name="_Toc57305275"/>
      <w:bookmarkStart w:id="93" w:name="_Toc57377435"/>
      <w:bookmarkStart w:id="94" w:name="_Toc58252742"/>
      <w:r>
        <w:t>Impact of NHFIC on the Community Housing Provider Sector</w:t>
      </w:r>
      <w:bookmarkEnd w:id="94"/>
      <w:r>
        <w:t xml:space="preserve"> </w:t>
      </w:r>
    </w:p>
    <w:bookmarkEnd w:id="87"/>
    <w:bookmarkEnd w:id="88"/>
    <w:bookmarkEnd w:id="89"/>
    <w:bookmarkEnd w:id="90"/>
    <w:bookmarkEnd w:id="91"/>
    <w:bookmarkEnd w:id="92"/>
    <w:bookmarkEnd w:id="93"/>
    <w:p w:rsidR="0004733A" w:rsidRDefault="0004733A" w:rsidP="0004733A">
      <w:pPr>
        <w:pStyle w:val="Heading5"/>
      </w:pPr>
      <w:r>
        <w:t>NHFIC’s Affordable Housing Bond Aggregator</w:t>
      </w:r>
    </w:p>
    <w:p w:rsidR="00CE094F" w:rsidRDefault="006151B1" w:rsidP="001F7541">
      <w:r>
        <w:t xml:space="preserve">One of the key challenges facing the CHP sector is the ability to access </w:t>
      </w:r>
      <w:r w:rsidR="006E6A21">
        <w:t>cheap</w:t>
      </w:r>
      <w:r>
        <w:t xml:space="preserve">, long-term </w:t>
      </w:r>
      <w:r w:rsidR="006E6A21">
        <w:t>financing</w:t>
      </w:r>
      <w:r>
        <w:t xml:space="preserve">. </w:t>
      </w:r>
      <w:r w:rsidR="00015CED">
        <w:t>The bond aggregator aims to provide eligible CHPs with lower cost and longer</w:t>
      </w:r>
      <w:r w:rsidR="0059386B">
        <w:t>-</w:t>
      </w:r>
      <w:r w:rsidR="00015CED">
        <w:t xml:space="preserve">term </w:t>
      </w:r>
      <w:r w:rsidR="0059386B">
        <w:t>financing</w:t>
      </w:r>
      <w:r w:rsidR="00FD270F">
        <w:t xml:space="preserve"> than would otherwise be available to them</w:t>
      </w:r>
      <w:r w:rsidR="005D3C74">
        <w:t xml:space="preserve"> </w:t>
      </w:r>
      <w:r w:rsidR="00397889">
        <w:t>(</w:t>
      </w:r>
      <w:r w:rsidR="005D3C74">
        <w:t>from, for instance, commercial lenders</w:t>
      </w:r>
      <w:r w:rsidR="00397889">
        <w:t>)</w:t>
      </w:r>
      <w:r w:rsidR="00FD270F">
        <w:t xml:space="preserve">. It makes loans to eligible CHPs and finances those loans via the issuance of bonds to institutional investors. Because the </w:t>
      </w:r>
      <w:r w:rsidR="00396B5E">
        <w:t>loan</w:t>
      </w:r>
      <w:r w:rsidR="00FD270F">
        <w:t xml:space="preserve"> requirements of any single CHP is not </w:t>
      </w:r>
      <w:r w:rsidR="005D3C74">
        <w:t xml:space="preserve">likely to be </w:t>
      </w:r>
      <w:r w:rsidR="00FD270F">
        <w:t xml:space="preserve">of sufficient size to issue bonds in their own right, the bond aggregator </w:t>
      </w:r>
      <w:r>
        <w:t xml:space="preserve">seeks to build scale efficiencies in the sector by </w:t>
      </w:r>
      <w:r w:rsidR="00015CED">
        <w:t xml:space="preserve">aggregating </w:t>
      </w:r>
      <w:r>
        <w:t>CHPs’</w:t>
      </w:r>
      <w:r w:rsidR="00015CED">
        <w:t xml:space="preserve"> collective </w:t>
      </w:r>
      <w:r w:rsidR="00396B5E">
        <w:t>borrowing</w:t>
      </w:r>
      <w:r w:rsidR="00015CED">
        <w:t xml:space="preserve"> needs and </w:t>
      </w:r>
      <w:r>
        <w:t>issuing bonds on their behalf</w:t>
      </w:r>
      <w:r w:rsidR="00CE094F" w:rsidRPr="00CE094F">
        <w:t>.</w:t>
      </w:r>
    </w:p>
    <w:p w:rsidR="00C8722A" w:rsidRDefault="00C8722A" w:rsidP="00C8722A">
      <w:r w:rsidRPr="00EF6F20">
        <w:t xml:space="preserve">It is anticipated that the loans </w:t>
      </w:r>
      <w:r w:rsidRPr="002F406C">
        <w:t xml:space="preserve">under the bond aggregator </w:t>
      </w:r>
      <w:r>
        <w:t xml:space="preserve">provided to date </w:t>
      </w:r>
      <w:r w:rsidRPr="00EF6F20">
        <w:t>will collectively save CHPs around $200 million in interest payments over the term of the loans.</w:t>
      </w:r>
      <w:r>
        <w:t xml:space="preserve"> NHFIC’s </w:t>
      </w:r>
      <w:hyperlink r:id="rId26" w:history="1">
        <w:r w:rsidRPr="00A867BB">
          <w:rPr>
            <w:rStyle w:val="Hyperlink"/>
            <w:color w:val="0070C0"/>
            <w:u w:val="single"/>
          </w:rPr>
          <w:t>Social Bond reports</w:t>
        </w:r>
      </w:hyperlink>
      <w:r>
        <w:t xml:space="preserve"> detail the loans to CHPs that have been financed from NHFIC’s bond issuances to date and the uses of these funds.</w:t>
      </w:r>
    </w:p>
    <w:p w:rsidR="00153223" w:rsidRDefault="00153223" w:rsidP="00A867BB">
      <w:r>
        <w:t xml:space="preserve">The operations of the </w:t>
      </w:r>
      <w:r w:rsidR="00BD62BE">
        <w:t>b</w:t>
      </w:r>
      <w:r>
        <w:t xml:space="preserve">ond </w:t>
      </w:r>
      <w:r w:rsidR="00BD62BE">
        <w:t>a</w:t>
      </w:r>
      <w:r>
        <w:t xml:space="preserve">ggregator are supported by </w:t>
      </w:r>
      <w:r w:rsidR="0059290B">
        <w:t xml:space="preserve">a </w:t>
      </w:r>
      <w:r>
        <w:t>$1 billion Special Account</w:t>
      </w:r>
      <w:r w:rsidR="00BE4DF1">
        <w:t>. This</w:t>
      </w:r>
      <w:r>
        <w:t xml:space="preserve"> allows NHFIC to draw down on a line of credit</w:t>
      </w:r>
      <w:r w:rsidR="00BE4DF1">
        <w:t>,</w:t>
      </w:r>
      <w:r>
        <w:t xml:space="preserve"> </w:t>
      </w:r>
      <w:r w:rsidR="00AA6384">
        <w:t>provid</w:t>
      </w:r>
      <w:r w:rsidR="00BE4DF1">
        <w:t>ing</w:t>
      </w:r>
      <w:r w:rsidR="00AA6384">
        <w:t xml:space="preserve"> a warehouse facility to advance loans to CHPs before </w:t>
      </w:r>
      <w:r w:rsidR="00DE7D5A">
        <w:t xml:space="preserve">a </w:t>
      </w:r>
      <w:r w:rsidR="00AA6384">
        <w:t xml:space="preserve">sufficient </w:t>
      </w:r>
      <w:r w:rsidR="00E12D8F">
        <w:t>volume of loans has been made</w:t>
      </w:r>
      <w:r w:rsidR="00AA6384">
        <w:t xml:space="preserve"> to enable a bond issuance. </w:t>
      </w:r>
      <w:r w:rsidR="00BE4DF1">
        <w:t xml:space="preserve">When NHFIC repays an amount it has borrowed, the amount is credited to the Special </w:t>
      </w:r>
      <w:r w:rsidR="00551289">
        <w:t xml:space="preserve">Account and is available to be redrawn. </w:t>
      </w:r>
    </w:p>
    <w:p w:rsidR="00C8722A" w:rsidRDefault="00C8722A" w:rsidP="00C8722A">
      <w:r>
        <w:t>Consistent with the terms of reference, the Review invites interested parties to comment on the effectiveness of the Bond Aggregator, giving consideration to the impact of NHFIC on:</w:t>
      </w:r>
    </w:p>
    <w:p w:rsidR="001532B6" w:rsidRPr="00DE2F82" w:rsidRDefault="001532B6" w:rsidP="001532B6">
      <w:pPr>
        <w:numPr>
          <w:ilvl w:val="0"/>
          <w:numId w:val="17"/>
        </w:numPr>
        <w:spacing w:before="0" w:after="60"/>
      </w:pPr>
      <w:r w:rsidRPr="00DE2F82">
        <w:t xml:space="preserve">the CHP sector’s access to finance – including whether NHFIC has generated a more efficient source of funds, reduced refinancing risks, and reduced borrowing costs; </w:t>
      </w:r>
      <w:r>
        <w:t>and</w:t>
      </w:r>
    </w:p>
    <w:p w:rsidR="001532B6" w:rsidRDefault="001532B6" w:rsidP="006F1872">
      <w:pPr>
        <w:numPr>
          <w:ilvl w:val="0"/>
          <w:numId w:val="17"/>
        </w:numPr>
        <w:spacing w:before="0" w:after="60"/>
      </w:pPr>
      <w:r w:rsidRPr="00DE2F82">
        <w:t>the scale and prominence of CHP sector delivery of sub-market rental housing – including through partnerships with the private sect</w:t>
      </w:r>
      <w:r>
        <w:t>or and institutional investors.</w:t>
      </w:r>
    </w:p>
    <w:p w:rsidR="006708AA" w:rsidRDefault="0004733A" w:rsidP="00274A19">
      <w:pPr>
        <w:pStyle w:val="Heading5"/>
        <w:spacing w:before="240"/>
      </w:pPr>
      <w:r>
        <w:t xml:space="preserve">NHFIC’s </w:t>
      </w:r>
      <w:r w:rsidR="00D3191C">
        <w:t>Capacity Building Program</w:t>
      </w:r>
      <w:r w:rsidR="00EE458C">
        <w:t xml:space="preserve"> Grants</w:t>
      </w:r>
    </w:p>
    <w:p w:rsidR="00D32683" w:rsidRDefault="00D32683" w:rsidP="00EE458C">
      <w:r>
        <w:t>NHFIC’s</w:t>
      </w:r>
      <w:r w:rsidR="00EE458C">
        <w:t xml:space="preserve"> Capacity Building Program </w:t>
      </w:r>
      <w:r>
        <w:t xml:space="preserve">Grants enable eligible CHPs to access tailored assistance from a panel of approved professional advisory service providers to help with applications for funding from either the </w:t>
      </w:r>
      <w:r w:rsidR="00763F9C">
        <w:t>b</w:t>
      </w:r>
      <w:r>
        <w:t xml:space="preserve">ond </w:t>
      </w:r>
      <w:r w:rsidR="00763F9C">
        <w:t>a</w:t>
      </w:r>
      <w:r>
        <w:t xml:space="preserve">ggregator or the NHIF. </w:t>
      </w:r>
      <w:r w:rsidR="00DC5BDE">
        <w:t xml:space="preserve">Grants of up to $20,000 are available under the program, which </w:t>
      </w:r>
      <w:r w:rsidR="004C2432">
        <w:t xml:space="preserve">is administered by </w:t>
      </w:r>
      <w:r w:rsidR="00DC5BDE">
        <w:t xml:space="preserve">the Community Housing Industry Association on NHFIC’s behalf. </w:t>
      </w:r>
    </w:p>
    <w:p w:rsidR="0011169F" w:rsidRDefault="00DC5BDE" w:rsidP="00EE458C">
      <w:r>
        <w:t xml:space="preserve">The program </w:t>
      </w:r>
      <w:r w:rsidR="00EE458C">
        <w:t xml:space="preserve">seeks to develop the financial and management capability of registered CHPs. </w:t>
      </w:r>
      <w:r w:rsidR="00BA1804" w:rsidRPr="00BA1804">
        <w:t>A cap of $1.5 million applies to the amount th</w:t>
      </w:r>
      <w:r w:rsidR="00763F9C">
        <w:t>at</w:t>
      </w:r>
      <w:r w:rsidR="00BA1804" w:rsidRPr="00BA1804">
        <w:t xml:space="preserve"> NHFIC can spend on capacity building activities.</w:t>
      </w:r>
      <w:r w:rsidR="00B928B5">
        <w:t xml:space="preserve"> </w:t>
      </w:r>
    </w:p>
    <w:p w:rsidR="00C8722A" w:rsidRDefault="00C8722A" w:rsidP="00C8722A">
      <w:r>
        <w:t>Consistent with the terms of reference, the Review invites interested parties to comment on the effectiveness of the Capacity Building Program Grants. The Review will examine the impact of NHFIC on:</w:t>
      </w:r>
    </w:p>
    <w:p w:rsidR="007B0C60" w:rsidRPr="006F1872" w:rsidRDefault="0041067F" w:rsidP="006F1872">
      <w:pPr>
        <w:numPr>
          <w:ilvl w:val="0"/>
          <w:numId w:val="17"/>
        </w:numPr>
        <w:spacing w:before="0" w:after="60"/>
        <w:rPr>
          <w:b/>
        </w:rPr>
      </w:pPr>
      <w:r w:rsidRPr="00DE2F82">
        <w:t>the financial capacity of the CHP sector through the provision of professional advisory services (via the Capacity Building Program) – including in relation to NHFIC applications, business planning, property development, risk management and financing.</w:t>
      </w:r>
    </w:p>
    <w:p w:rsidR="00FC0417" w:rsidRDefault="00FC0417" w:rsidP="00FC0417">
      <w:pPr>
        <w:pStyle w:val="Heading3"/>
      </w:pPr>
      <w:bookmarkStart w:id="95" w:name="_Toc56587656"/>
      <w:bookmarkStart w:id="96" w:name="_Toc56684831"/>
      <w:bookmarkStart w:id="97" w:name="_Toc57283510"/>
      <w:bookmarkStart w:id="98" w:name="_Toc57283745"/>
      <w:bookmarkStart w:id="99" w:name="_Toc57305090"/>
      <w:bookmarkStart w:id="100" w:name="_Toc57305276"/>
      <w:bookmarkStart w:id="101" w:name="_Toc57377436"/>
      <w:bookmarkStart w:id="102" w:name="_Toc58252743"/>
      <w:r>
        <w:t xml:space="preserve">The role of NHFIC in </w:t>
      </w:r>
      <w:r w:rsidR="00FE220C">
        <w:t>h</w:t>
      </w:r>
      <w:r>
        <w:t xml:space="preserve">ousing </w:t>
      </w:r>
      <w:r w:rsidR="00FE220C">
        <w:t>s</w:t>
      </w:r>
      <w:r>
        <w:t>upply</w:t>
      </w:r>
      <w:bookmarkEnd w:id="95"/>
      <w:bookmarkEnd w:id="96"/>
      <w:bookmarkEnd w:id="97"/>
      <w:bookmarkEnd w:id="98"/>
      <w:bookmarkEnd w:id="99"/>
      <w:bookmarkEnd w:id="100"/>
      <w:bookmarkEnd w:id="101"/>
      <w:bookmarkEnd w:id="102"/>
    </w:p>
    <w:p w:rsidR="0022259C" w:rsidRDefault="0022259C" w:rsidP="0022259C">
      <w:pPr>
        <w:pStyle w:val="Heading5"/>
      </w:pPr>
      <w:r>
        <w:t>NHFIC’s National Housing Infrastructure Facility</w:t>
      </w:r>
    </w:p>
    <w:p w:rsidR="000954AF" w:rsidRDefault="00FD3672" w:rsidP="000954AF">
      <w:pPr>
        <w:pStyle w:val="Bullet"/>
        <w:numPr>
          <w:ilvl w:val="0"/>
          <w:numId w:val="0"/>
        </w:numPr>
        <w:spacing w:after="160" w:line="259" w:lineRule="auto"/>
      </w:pPr>
      <w:r>
        <w:t xml:space="preserve">The NHIF is </w:t>
      </w:r>
      <w:r w:rsidR="007B505A">
        <w:t xml:space="preserve">a $1 billion facility </w:t>
      </w:r>
      <w:r w:rsidR="002C02DF">
        <w:t>that provides finance</w:t>
      </w:r>
      <w:r w:rsidR="002112DD">
        <w:t xml:space="preserve"> </w:t>
      </w:r>
      <w:r w:rsidR="002C02DF">
        <w:t xml:space="preserve">for eligible infrastructure projects </w:t>
      </w:r>
      <w:r w:rsidR="00453E92">
        <w:t>to</w:t>
      </w:r>
      <w:r w:rsidR="002C02DF">
        <w:t xml:space="preserve"> unlock </w:t>
      </w:r>
      <w:r w:rsidR="00453E92">
        <w:t>the supply of new</w:t>
      </w:r>
      <w:r w:rsidR="002C02DF">
        <w:t xml:space="preserve"> housing</w:t>
      </w:r>
      <w:r w:rsidR="00453E92">
        <w:t>,</w:t>
      </w:r>
      <w:r w:rsidR="002C02DF">
        <w:t xml:space="preserve"> particularly affordable housing.</w:t>
      </w:r>
      <w:r w:rsidR="007638C6">
        <w:t xml:space="preserve"> </w:t>
      </w:r>
      <w:r w:rsidR="000954AF" w:rsidRPr="00DF0684">
        <w:t>The purpose of the NHIF is to overcome impediments to the provision of housing that are due to the lack of necessary infrastructure. It does this by providing finance for eligible infrastructure projects that would not otherwise have proceeded, or that would only have proceeded at a much later date</w:t>
      </w:r>
      <w:r w:rsidR="000954AF">
        <w:t>.</w:t>
      </w:r>
    </w:p>
    <w:p w:rsidR="00134194" w:rsidRDefault="00A678E0" w:rsidP="00A027AE">
      <w:pPr>
        <w:pStyle w:val="Bullet"/>
        <w:numPr>
          <w:ilvl w:val="0"/>
          <w:numId w:val="0"/>
        </w:numPr>
        <w:spacing w:after="160" w:line="259" w:lineRule="auto"/>
      </w:pPr>
      <w:r w:rsidRPr="008A3859">
        <w:t>The NHIF offers both concessional loans and grant funding for new or upgraded infrastructure needed for new housing, such as roads, water, sewerage, electrical, communications, and remediation.</w:t>
      </w:r>
      <w:r w:rsidR="000954AF">
        <w:t xml:space="preserve"> </w:t>
      </w:r>
    </w:p>
    <w:p w:rsidR="00C8722A" w:rsidRDefault="00C8722A" w:rsidP="00C8722A">
      <w:pPr>
        <w:pStyle w:val="Bullet"/>
        <w:numPr>
          <w:ilvl w:val="0"/>
          <w:numId w:val="0"/>
        </w:numPr>
        <w:spacing w:after="160" w:line="259" w:lineRule="auto"/>
      </w:pPr>
      <w:r>
        <w:t xml:space="preserve">Consistent with the terms of reference, the Review invites submissions to comment on the effectiveness of the NHIF, considering: </w:t>
      </w:r>
    </w:p>
    <w:p w:rsidR="00C8722A" w:rsidRDefault="00C8722A" w:rsidP="00C8722A">
      <w:pPr>
        <w:numPr>
          <w:ilvl w:val="0"/>
          <w:numId w:val="17"/>
        </w:numPr>
        <w:spacing w:before="0" w:after="60"/>
      </w:pPr>
      <w:r>
        <w:t xml:space="preserve">whether it is providing a useful complement to other Commonwealth, State or Territory activities to boost housing supply; and </w:t>
      </w:r>
    </w:p>
    <w:p w:rsidR="00C8722A" w:rsidRDefault="00C8722A" w:rsidP="00C8722A">
      <w:pPr>
        <w:numPr>
          <w:ilvl w:val="0"/>
          <w:numId w:val="17"/>
        </w:numPr>
        <w:spacing w:before="0" w:after="60"/>
      </w:pPr>
      <w:r w:rsidRPr="00DE2F82">
        <w:t>whether the scope of the definition of eligible project proponents and eligible projects for NHFIC financing outlined under the Investment Mandate is effective</w:t>
      </w:r>
      <w:r>
        <w:t xml:space="preserve">. </w:t>
      </w:r>
    </w:p>
    <w:p w:rsidR="005E5245" w:rsidRDefault="00AF49E3" w:rsidP="00EB0503">
      <w:pPr>
        <w:pStyle w:val="Heading5"/>
      </w:pPr>
      <w:r>
        <w:t>Increasing private investment in housing</w:t>
      </w:r>
    </w:p>
    <w:p w:rsidR="003D6A21" w:rsidRDefault="009F0E3E" w:rsidP="003D6A21">
      <w:pPr>
        <w:rPr>
          <w:rFonts w:eastAsiaTheme="minorHAnsi"/>
        </w:rPr>
      </w:pPr>
      <w:r>
        <w:rPr>
          <w:rFonts w:eastAsiaTheme="minorHAnsi"/>
        </w:rPr>
        <w:t xml:space="preserve">The Government’s intention is </w:t>
      </w:r>
      <w:r w:rsidR="003D6A21">
        <w:rPr>
          <w:rFonts w:eastAsiaTheme="minorHAnsi"/>
        </w:rPr>
        <w:t xml:space="preserve">for </w:t>
      </w:r>
      <w:r w:rsidR="003D6A21" w:rsidRPr="00927AE0">
        <w:rPr>
          <w:rFonts w:eastAsiaTheme="minorHAnsi"/>
        </w:rPr>
        <w:t xml:space="preserve">the </w:t>
      </w:r>
      <w:r w:rsidR="007E6FEA">
        <w:rPr>
          <w:rFonts w:eastAsiaTheme="minorHAnsi"/>
        </w:rPr>
        <w:t>b</w:t>
      </w:r>
      <w:r w:rsidR="003D6A21" w:rsidRPr="00927AE0">
        <w:rPr>
          <w:rFonts w:eastAsiaTheme="minorHAnsi"/>
        </w:rPr>
        <w:t xml:space="preserve">ond </w:t>
      </w:r>
      <w:r w:rsidR="007E6FEA">
        <w:rPr>
          <w:rFonts w:eastAsiaTheme="minorHAnsi"/>
        </w:rPr>
        <w:t>a</w:t>
      </w:r>
      <w:r w:rsidR="003D6A21" w:rsidRPr="00927AE0">
        <w:rPr>
          <w:rFonts w:eastAsiaTheme="minorHAnsi"/>
        </w:rPr>
        <w:t xml:space="preserve">ggregator and </w:t>
      </w:r>
      <w:r w:rsidR="003D6A21">
        <w:rPr>
          <w:rFonts w:eastAsiaTheme="minorHAnsi"/>
        </w:rPr>
        <w:t xml:space="preserve">the </w:t>
      </w:r>
      <w:r>
        <w:rPr>
          <w:rFonts w:eastAsiaTheme="minorHAnsi"/>
        </w:rPr>
        <w:t>NHIF</w:t>
      </w:r>
      <w:r w:rsidR="003D6A21" w:rsidRPr="00927AE0">
        <w:rPr>
          <w:rFonts w:eastAsiaTheme="minorHAnsi"/>
        </w:rPr>
        <w:t xml:space="preserve"> </w:t>
      </w:r>
      <w:r w:rsidR="003D6A21">
        <w:rPr>
          <w:rFonts w:eastAsiaTheme="minorHAnsi"/>
        </w:rPr>
        <w:t xml:space="preserve">to </w:t>
      </w:r>
      <w:r w:rsidR="003D6A21" w:rsidRPr="00927AE0">
        <w:rPr>
          <w:rFonts w:eastAsiaTheme="minorHAnsi"/>
        </w:rPr>
        <w:t xml:space="preserve">operate in conjunction </w:t>
      </w:r>
      <w:r w:rsidR="006B1757" w:rsidRPr="00927AE0">
        <w:rPr>
          <w:rFonts w:eastAsiaTheme="minorHAnsi"/>
        </w:rPr>
        <w:t xml:space="preserve">with </w:t>
      </w:r>
      <w:r w:rsidR="006B1757">
        <w:t xml:space="preserve">and </w:t>
      </w:r>
      <w:r w:rsidR="006B1757">
        <w:rPr>
          <w:rFonts w:eastAsiaTheme="minorHAnsi"/>
        </w:rPr>
        <w:t xml:space="preserve">complement </w:t>
      </w:r>
      <w:r w:rsidR="003D6A21" w:rsidRPr="00927AE0">
        <w:rPr>
          <w:rFonts w:eastAsiaTheme="minorHAnsi"/>
        </w:rPr>
        <w:t>commercial lenders and</w:t>
      </w:r>
      <w:r w:rsidR="00FB0FFB">
        <w:rPr>
          <w:rFonts w:eastAsiaTheme="minorHAnsi"/>
        </w:rPr>
        <w:t xml:space="preserve"> </w:t>
      </w:r>
      <w:r w:rsidR="00C8722A">
        <w:rPr>
          <w:rFonts w:eastAsiaTheme="minorHAnsi"/>
        </w:rPr>
        <w:t>S</w:t>
      </w:r>
      <w:r w:rsidR="00FB0FFB">
        <w:rPr>
          <w:rFonts w:eastAsiaTheme="minorHAnsi"/>
        </w:rPr>
        <w:t xml:space="preserve">tate and </w:t>
      </w:r>
      <w:r w:rsidR="00C8722A">
        <w:rPr>
          <w:rFonts w:eastAsiaTheme="minorHAnsi"/>
        </w:rPr>
        <w:t>T</w:t>
      </w:r>
      <w:r w:rsidR="003D6A21">
        <w:rPr>
          <w:rFonts w:eastAsiaTheme="minorHAnsi"/>
        </w:rPr>
        <w:t xml:space="preserve">erritory </w:t>
      </w:r>
      <w:r w:rsidR="003D6A21">
        <w:t xml:space="preserve">government initiatives. </w:t>
      </w:r>
      <w:r w:rsidR="00F22222">
        <w:t>The stated policy intent is</w:t>
      </w:r>
      <w:r w:rsidR="003D6A21">
        <w:rPr>
          <w:rFonts w:eastAsiaTheme="minorHAnsi"/>
        </w:rPr>
        <w:t xml:space="preserve"> that </w:t>
      </w:r>
      <w:r w:rsidR="003D6A21">
        <w:t>NHFIC</w:t>
      </w:r>
      <w:r w:rsidR="003D6A21">
        <w:rPr>
          <w:rFonts w:eastAsiaTheme="minorHAnsi"/>
        </w:rPr>
        <w:t xml:space="preserve"> </w:t>
      </w:r>
      <w:r w:rsidR="003D6A21" w:rsidRPr="00B013FD">
        <w:rPr>
          <w:rFonts w:eastAsiaTheme="minorHAnsi"/>
        </w:rPr>
        <w:t>financing</w:t>
      </w:r>
      <w:r w:rsidR="003D6A21" w:rsidRPr="00927AE0">
        <w:rPr>
          <w:rFonts w:eastAsiaTheme="minorHAnsi"/>
        </w:rPr>
        <w:t xml:space="preserve"> is additional to that </w:t>
      </w:r>
      <w:r w:rsidR="00A52E09">
        <w:rPr>
          <w:rFonts w:eastAsiaTheme="minorHAnsi"/>
        </w:rPr>
        <w:t xml:space="preserve">which is </w:t>
      </w:r>
      <w:r w:rsidR="003D6A21" w:rsidRPr="00927AE0">
        <w:rPr>
          <w:rFonts w:eastAsiaTheme="minorHAnsi"/>
        </w:rPr>
        <w:t xml:space="preserve">otherwise available, rather than replacing finance available from other sources. </w:t>
      </w:r>
    </w:p>
    <w:p w:rsidR="00ED1542" w:rsidRDefault="00ED1542" w:rsidP="003D6A21">
      <w:r>
        <w:t>Since its establishment, NHFIC has raised nearly $1.2 billion across three social bonds, making it the biggest issuer of social bonds in Australia.</w:t>
      </w:r>
      <w:r w:rsidR="003729AA">
        <w:t xml:space="preserve"> </w:t>
      </w:r>
      <w:r w:rsidR="00E379A1">
        <w:t>Each of NHFIC’s three bond issuances to date have been around 3-4 time</w:t>
      </w:r>
      <w:r w:rsidR="004F0284">
        <w:t>s</w:t>
      </w:r>
      <w:r w:rsidR="00E379A1">
        <w:t xml:space="preserve"> oversubscribed</w:t>
      </w:r>
      <w:r w:rsidR="00C8722A">
        <w:t>.</w:t>
      </w:r>
      <w:r w:rsidR="00E379A1">
        <w:t xml:space="preserve"> </w:t>
      </w:r>
    </w:p>
    <w:p w:rsidR="00C8722A" w:rsidRDefault="00C8722A" w:rsidP="00C8722A">
      <w:pPr>
        <w:rPr>
          <w:rFonts w:eastAsiaTheme="minorHAnsi"/>
        </w:rPr>
      </w:pPr>
      <w:r w:rsidRPr="000133D7">
        <w:rPr>
          <w:rFonts w:eastAsiaTheme="minorHAnsi"/>
        </w:rPr>
        <w:t>The stated policy intent is that NHFIC</w:t>
      </w:r>
      <w:r w:rsidRPr="000133D7" w:rsidDel="000133D7">
        <w:rPr>
          <w:rFonts w:eastAsiaTheme="minorHAnsi"/>
        </w:rPr>
        <w:t xml:space="preserve"> </w:t>
      </w:r>
      <w:r>
        <w:rPr>
          <w:rFonts w:eastAsiaTheme="minorHAnsi"/>
        </w:rPr>
        <w:t xml:space="preserve">improve the attractiveness of affordable housing as an asset class for private investment. </w:t>
      </w:r>
    </w:p>
    <w:p w:rsidR="00C8722A" w:rsidRDefault="00C8722A" w:rsidP="00C8722A">
      <w:pPr>
        <w:pStyle w:val="Bullet"/>
        <w:numPr>
          <w:ilvl w:val="0"/>
          <w:numId w:val="0"/>
        </w:numPr>
        <w:spacing w:after="160" w:line="259" w:lineRule="auto"/>
      </w:pPr>
      <w:r>
        <w:t>Consistent with the terms of reference, the Review invites submissions regarding the effectiveness of NHFIC in attracting private investment in housing. In particular, the Review will consider:</w:t>
      </w:r>
    </w:p>
    <w:p w:rsidR="006407E5" w:rsidRPr="006F1872" w:rsidRDefault="006407E5" w:rsidP="006407E5">
      <w:pPr>
        <w:numPr>
          <w:ilvl w:val="0"/>
          <w:numId w:val="17"/>
        </w:numPr>
        <w:spacing w:before="0" w:after="60"/>
        <w:rPr>
          <w:b/>
        </w:rPr>
      </w:pPr>
      <w:r w:rsidRPr="00DE2F82">
        <w:t xml:space="preserve">the </w:t>
      </w:r>
      <w:r>
        <w:t xml:space="preserve">impact of NHFIC on </w:t>
      </w:r>
      <w:r w:rsidRPr="00DE2F82">
        <w:t>improving the attractiveness of affordable housing as an asset class for private investment;</w:t>
      </w:r>
      <w:r>
        <w:t xml:space="preserve"> and</w:t>
      </w:r>
    </w:p>
    <w:p w:rsidR="006407E5" w:rsidRPr="006F1872" w:rsidRDefault="006407E5">
      <w:pPr>
        <w:numPr>
          <w:ilvl w:val="0"/>
          <w:numId w:val="17"/>
        </w:numPr>
        <w:spacing w:before="0" w:after="60"/>
      </w:pPr>
      <w:r w:rsidRPr="00DE2F82">
        <w:t>NHFIC’s role in facilitating additional investment in housing, including social and affordable housing</w:t>
      </w:r>
      <w:r>
        <w:t xml:space="preserve">. </w:t>
      </w:r>
    </w:p>
    <w:p w:rsidR="00EB0503" w:rsidRDefault="00EB0503" w:rsidP="00EB0503">
      <w:pPr>
        <w:pStyle w:val="Heading5"/>
      </w:pPr>
      <w:r>
        <w:t>The Government’s guarantee of NHFIC’s liabilities</w:t>
      </w:r>
    </w:p>
    <w:p w:rsidR="00E8339B" w:rsidRDefault="005863C4" w:rsidP="00E8339B">
      <w:pPr>
        <w:rPr>
          <w:rFonts w:eastAsia="Arial"/>
        </w:rPr>
      </w:pPr>
      <w:r w:rsidRPr="00522E41">
        <w:t xml:space="preserve">Under </w:t>
      </w:r>
      <w:r w:rsidR="00EE1BEC">
        <w:t xml:space="preserve">Section 51 of </w:t>
      </w:r>
      <w:r w:rsidRPr="00522E41">
        <w:t>the NHFIC Act, the Commonwealth guarantees NHFIC’s liabilities under any contract entered into before 1 July 2023 (or later day determined by the Minister by legislative instrument).</w:t>
      </w:r>
      <w:r w:rsidR="00E8339B" w:rsidRPr="00E8339B">
        <w:t xml:space="preserve"> </w:t>
      </w:r>
      <w:r w:rsidR="00E8339B">
        <w:t>The Investment Mandate imposes a $3 billion cap on</w:t>
      </w:r>
      <w:r w:rsidR="00E8339B">
        <w:rPr>
          <w:rFonts w:eastAsia="Arial"/>
        </w:rPr>
        <w:t xml:space="preserve"> the sum of NHFIC’s guaranteed liabilities and amount drawn from its line of credit facility.</w:t>
      </w:r>
      <w:r w:rsidR="00E8339B" w:rsidRPr="00E8339B">
        <w:rPr>
          <w:rFonts w:eastAsia="Arial"/>
        </w:rPr>
        <w:t xml:space="preserve"> </w:t>
      </w:r>
      <w:r w:rsidR="00E8339B">
        <w:rPr>
          <w:rFonts w:eastAsia="Arial"/>
        </w:rPr>
        <w:t>The Liability Cap includes amounts issued through NHFIC bonds.</w:t>
      </w:r>
    </w:p>
    <w:p w:rsidR="008838BF" w:rsidRDefault="008838BF" w:rsidP="008838BF">
      <w:r>
        <w:t xml:space="preserve">The intent of the legislated Commonwealth guarantee of NHFIC’s liabilities is to support market confidence and strengthen NHFIC’s ability to improve housing outcomes. </w:t>
      </w:r>
    </w:p>
    <w:p w:rsidR="008838BF" w:rsidRDefault="008838BF" w:rsidP="008838BF">
      <w:r>
        <w:t xml:space="preserve">The guarantee also recognises that the ability of CHPs to use their assets as security for loans is often complicated by </w:t>
      </w:r>
      <w:r w:rsidR="007F4364">
        <w:t>s</w:t>
      </w:r>
      <w:r>
        <w:t xml:space="preserve">tate and </w:t>
      </w:r>
      <w:r w:rsidR="007F4364">
        <w:t>t</w:t>
      </w:r>
      <w:r>
        <w:t>erritory interests in the underlying assets. A guarantee was intended to mitigate much of this uncertainty for investors, lowering borrowing costs for NHFIC that can then be passed through to eligible CHPs.</w:t>
      </w:r>
    </w:p>
    <w:p w:rsidR="00C8722A" w:rsidRDefault="00C8722A" w:rsidP="00C8722A">
      <w:pPr>
        <w:pStyle w:val="Bullet"/>
        <w:numPr>
          <w:ilvl w:val="0"/>
          <w:numId w:val="0"/>
        </w:numPr>
        <w:spacing w:after="160" w:line="259" w:lineRule="auto"/>
      </w:pPr>
      <w:r>
        <w:t xml:space="preserve">Consistent with the terms of reference, the Review invites submissions to comment on the suitability of the liability guarantee and the associated Liability Cap, considering its resulting impact on the CHP sector, Commonwealth’s finances and the functioning of private capital markets. </w:t>
      </w:r>
    </w:p>
    <w:p w:rsidR="00FC0417" w:rsidRDefault="00C834DA" w:rsidP="00FC0417">
      <w:pPr>
        <w:pStyle w:val="Heading3"/>
      </w:pPr>
      <w:bookmarkStart w:id="103" w:name="_Toc57283511"/>
      <w:bookmarkStart w:id="104" w:name="_Toc57283746"/>
      <w:bookmarkStart w:id="105" w:name="_Toc57305091"/>
      <w:bookmarkStart w:id="106" w:name="_Toc56587657"/>
      <w:bookmarkStart w:id="107" w:name="_Toc56684832"/>
      <w:bookmarkStart w:id="108" w:name="_Toc57305277"/>
      <w:bookmarkStart w:id="109" w:name="_Toc57377437"/>
      <w:bookmarkStart w:id="110" w:name="_Toc58252744"/>
      <w:r>
        <w:t>The r</w:t>
      </w:r>
      <w:r w:rsidR="00FC0417">
        <w:t xml:space="preserve">ole of NHFIC in </w:t>
      </w:r>
      <w:r>
        <w:t>i</w:t>
      </w:r>
      <w:r w:rsidR="00FC0417">
        <w:t xml:space="preserve">ncreasing </w:t>
      </w:r>
      <w:r>
        <w:t>h</w:t>
      </w:r>
      <w:r w:rsidR="00FC0417">
        <w:t>ome</w:t>
      </w:r>
      <w:r w:rsidR="00D17CBC">
        <w:t xml:space="preserve"> </w:t>
      </w:r>
      <w:r w:rsidR="00FC0417">
        <w:t>ownership</w:t>
      </w:r>
      <w:bookmarkEnd w:id="103"/>
      <w:bookmarkEnd w:id="104"/>
      <w:bookmarkEnd w:id="105"/>
      <w:bookmarkEnd w:id="106"/>
      <w:bookmarkEnd w:id="107"/>
      <w:bookmarkEnd w:id="108"/>
      <w:bookmarkEnd w:id="109"/>
      <w:bookmarkEnd w:id="110"/>
    </w:p>
    <w:p w:rsidR="00063043" w:rsidRDefault="00063043" w:rsidP="00872CE6">
      <w:r>
        <w:t>NHFIC administers the Government’s First Home Loan Deposit Scheme (</w:t>
      </w:r>
      <w:r w:rsidR="00C834DA">
        <w:t>the Scheme</w:t>
      </w:r>
      <w:r>
        <w:t>)</w:t>
      </w:r>
      <w:r w:rsidR="00FC2AAF">
        <w:t xml:space="preserve"> whi</w:t>
      </w:r>
      <w:r w:rsidR="002D3741">
        <w:t xml:space="preserve">ch was established following </w:t>
      </w:r>
      <w:r w:rsidR="007C6903">
        <w:t xml:space="preserve">the </w:t>
      </w:r>
      <w:r w:rsidR="002D3741">
        <w:t>2019 amendment to the NHFIC Act</w:t>
      </w:r>
      <w:r w:rsidR="00FC2AAF">
        <w:t xml:space="preserve">. </w:t>
      </w:r>
      <w:r w:rsidR="00C834DA">
        <w:t>The Scheme</w:t>
      </w:r>
      <w:r>
        <w:t xml:space="preserve"> enables </w:t>
      </w:r>
      <w:r w:rsidR="00C834DA">
        <w:t xml:space="preserve">eligible first </w:t>
      </w:r>
      <w:r w:rsidR="00C0463B">
        <w:t>home</w:t>
      </w:r>
      <w:r>
        <w:t xml:space="preserve"> </w:t>
      </w:r>
      <w:r w:rsidR="000711A0">
        <w:t xml:space="preserve">buyers </w:t>
      </w:r>
      <w:r>
        <w:t xml:space="preserve">to build or purchase a new home with a deposit of </w:t>
      </w:r>
      <w:r w:rsidR="0049457C">
        <w:t>as little as 5 per</w:t>
      </w:r>
      <w:r>
        <w:t xml:space="preserve"> cent</w:t>
      </w:r>
      <w:r w:rsidR="006C6A2C">
        <w:t xml:space="preserve">. </w:t>
      </w:r>
      <w:r w:rsidR="00872CE6">
        <w:t>NHFIC does this by guaranteeing</w:t>
      </w:r>
      <w:r w:rsidRPr="00063043">
        <w:t xml:space="preserve"> </w:t>
      </w:r>
      <w:r w:rsidR="00872CE6">
        <w:t xml:space="preserve">up </w:t>
      </w:r>
      <w:r w:rsidRPr="00063043">
        <w:t>to 15 per</w:t>
      </w:r>
      <w:r w:rsidR="002D3741">
        <w:t xml:space="preserve"> </w:t>
      </w:r>
      <w:r w:rsidRPr="00063043">
        <w:t xml:space="preserve">cent of the value of </w:t>
      </w:r>
      <w:r w:rsidR="002D3741">
        <w:t xml:space="preserve">a </w:t>
      </w:r>
      <w:r w:rsidR="00773FDC">
        <w:t xml:space="preserve">dwelling </w:t>
      </w:r>
      <w:r w:rsidRPr="00063043">
        <w:t>that is financed by an eligible home loan</w:t>
      </w:r>
      <w:r w:rsidR="00C834DA">
        <w:t>, thus allowing first home buyers to enter the housing market earlier than may otherwise be the case, and without needing to incur the cost of lenders mortgage insurance (LMI)</w:t>
      </w:r>
      <w:r w:rsidRPr="00063043">
        <w:t>.</w:t>
      </w:r>
      <w:r w:rsidR="002D3741">
        <w:t xml:space="preserve"> </w:t>
      </w:r>
      <w:r w:rsidR="00773FDC">
        <w:t>F</w:t>
      </w:r>
      <w:r w:rsidR="002D3741">
        <w:t>irst home buyers</w:t>
      </w:r>
      <w:r w:rsidR="00872CE6">
        <w:t xml:space="preserve"> must </w:t>
      </w:r>
      <w:r w:rsidR="002D3741">
        <w:t>apply through one of</w:t>
      </w:r>
      <w:r w:rsidR="00872CE6">
        <w:t xml:space="preserve"> 27 participating lenders across Australia, which include</w:t>
      </w:r>
      <w:r w:rsidR="00342370">
        <w:t>s</w:t>
      </w:r>
      <w:r w:rsidR="00872CE6">
        <w:t xml:space="preserve"> both major and minor </w:t>
      </w:r>
      <w:r w:rsidR="00BC48C2">
        <w:t>lenders</w:t>
      </w:r>
      <w:r w:rsidR="00872CE6">
        <w:t xml:space="preserve">. </w:t>
      </w:r>
      <w:r w:rsidR="006C6A2C" w:rsidRPr="00687996">
        <w:t>The Scheme is limited to 10,000 guarantees per financial year.</w:t>
      </w:r>
    </w:p>
    <w:p w:rsidR="00A21C3E" w:rsidRDefault="00872CE6" w:rsidP="00872CE6">
      <w:r>
        <w:t>NHFIC issued the first 10,000 guarantees</w:t>
      </w:r>
      <w:r w:rsidR="00C0463B">
        <w:t xml:space="preserve"> on 1 January 2020</w:t>
      </w:r>
      <w:r w:rsidR="0064639F">
        <w:t xml:space="preserve"> and </w:t>
      </w:r>
      <w:r w:rsidR="006C6A2C">
        <w:t xml:space="preserve">all places </w:t>
      </w:r>
      <w:r w:rsidR="005A4F41">
        <w:t>were</w:t>
      </w:r>
      <w:r w:rsidR="006C6A2C">
        <w:t xml:space="preserve"> allocated by 30 June 2020. The second tranche of </w:t>
      </w:r>
      <w:r w:rsidR="00D90942">
        <w:t>10,000</w:t>
      </w:r>
      <w:r w:rsidR="006C6A2C">
        <w:t xml:space="preserve"> guarantees was released on 1 July 2020</w:t>
      </w:r>
      <w:r w:rsidR="00C8722A">
        <w:t>.</w:t>
      </w:r>
    </w:p>
    <w:p w:rsidR="00687996" w:rsidRDefault="00687996" w:rsidP="007E67C7">
      <w:r w:rsidRPr="00687996">
        <w:t xml:space="preserve">In the 2020-21 Budget, the Government announced </w:t>
      </w:r>
      <w:r w:rsidR="001D7868">
        <w:t>that it would make available</w:t>
      </w:r>
      <w:r w:rsidRPr="00687996">
        <w:t xml:space="preserve"> an additional 10,000 </w:t>
      </w:r>
      <w:r w:rsidR="001D7868">
        <w:t>guarantees</w:t>
      </w:r>
      <w:r w:rsidRPr="00687996">
        <w:t xml:space="preserve"> for the 2020-21 financial year for eligible first home buyers building or purchasing </w:t>
      </w:r>
      <w:r w:rsidRPr="00A867BB">
        <w:rPr>
          <w:i/>
        </w:rPr>
        <w:t>new</w:t>
      </w:r>
      <w:r w:rsidRPr="00687996">
        <w:t xml:space="preserve"> homes. These add</w:t>
      </w:r>
      <w:r>
        <w:t xml:space="preserve">itional </w:t>
      </w:r>
      <w:r w:rsidR="001D7868">
        <w:t>guarantees are also subject to</w:t>
      </w:r>
      <w:r w:rsidR="00342370">
        <w:t xml:space="preserve"> </w:t>
      </w:r>
      <w:r w:rsidR="001D7868">
        <w:t xml:space="preserve">higher </w:t>
      </w:r>
      <w:r w:rsidR="00342370">
        <w:t>dwelling price caps</w:t>
      </w:r>
      <w:r w:rsidR="001D7868">
        <w:t>.</w:t>
      </w:r>
      <w:r w:rsidR="00342370">
        <w:t xml:space="preserve"> </w:t>
      </w:r>
    </w:p>
    <w:p w:rsidR="00687996" w:rsidRDefault="00687996" w:rsidP="007E67C7">
      <w:r>
        <w:t>Under section 57</w:t>
      </w:r>
      <w:r w:rsidR="00342370">
        <w:t>A</w:t>
      </w:r>
      <w:r>
        <w:t xml:space="preserve"> of the NHFIC Act, a review of NHFIC’s assistance to first home buyers is required to commence </w:t>
      </w:r>
      <w:r w:rsidR="001D7868">
        <w:t>within 15 months from the date when the first guarantee was issued under the Scheme</w:t>
      </w:r>
      <w:r>
        <w:t>.</w:t>
      </w:r>
    </w:p>
    <w:p w:rsidR="00D51997" w:rsidRDefault="00E66972" w:rsidP="00A867BB">
      <w:r>
        <w:t>Consistent with the terms of reference, t</w:t>
      </w:r>
      <w:r w:rsidR="00403B02">
        <w:t xml:space="preserve">he Review invites submissions </w:t>
      </w:r>
      <w:r>
        <w:t>to comment on</w:t>
      </w:r>
      <w:r w:rsidR="00D51997">
        <w:t>:</w:t>
      </w:r>
      <w:r>
        <w:t xml:space="preserve"> </w:t>
      </w:r>
    </w:p>
    <w:p w:rsidR="00C8722A" w:rsidRDefault="00C8722A" w:rsidP="00C8722A">
      <w:pPr>
        <w:pStyle w:val="Bullet"/>
        <w:numPr>
          <w:ilvl w:val="0"/>
          <w:numId w:val="15"/>
        </w:numPr>
        <w:spacing w:after="60"/>
      </w:pPr>
      <w:r>
        <w:t>the effectiveness of the Scheme in facilitating earlier access to the market for first home buyers.</w:t>
      </w:r>
    </w:p>
    <w:p w:rsidR="00FC0417" w:rsidRDefault="00FC0417" w:rsidP="00FC0417">
      <w:pPr>
        <w:pStyle w:val="Heading3"/>
      </w:pPr>
      <w:bookmarkStart w:id="111" w:name="_Toc57283512"/>
      <w:bookmarkStart w:id="112" w:name="_Toc57283747"/>
      <w:bookmarkStart w:id="113" w:name="_Toc57305092"/>
      <w:bookmarkStart w:id="114" w:name="_Toc56587658"/>
      <w:bookmarkStart w:id="115" w:name="_Toc56684833"/>
      <w:bookmarkStart w:id="116" w:name="_Toc57305278"/>
      <w:bookmarkStart w:id="117" w:name="_Toc57377438"/>
      <w:bookmarkStart w:id="118" w:name="_Toc58252745"/>
      <w:r>
        <w:t xml:space="preserve">The role of NHFIC </w:t>
      </w:r>
      <w:r w:rsidR="00FE220C">
        <w:t>r</w:t>
      </w:r>
      <w:r>
        <w:t>esearch</w:t>
      </w:r>
      <w:bookmarkEnd w:id="111"/>
      <w:bookmarkEnd w:id="112"/>
      <w:bookmarkEnd w:id="113"/>
      <w:bookmarkEnd w:id="114"/>
      <w:bookmarkEnd w:id="115"/>
      <w:bookmarkEnd w:id="116"/>
      <w:bookmarkEnd w:id="117"/>
      <w:bookmarkEnd w:id="118"/>
    </w:p>
    <w:p w:rsidR="00445700" w:rsidRDefault="0055503B" w:rsidP="00005AC6">
      <w:r>
        <w:t xml:space="preserve">NHFIC’s research function was established </w:t>
      </w:r>
      <w:r w:rsidR="006C7DEB">
        <w:t xml:space="preserve">as part of </w:t>
      </w:r>
      <w:r w:rsidR="009C7863">
        <w:t xml:space="preserve">the </w:t>
      </w:r>
      <w:r>
        <w:t xml:space="preserve">2019 amendment to the </w:t>
      </w:r>
      <w:r w:rsidR="00960EC6">
        <w:t>Act</w:t>
      </w:r>
      <w:r w:rsidR="006C7DEB">
        <w:t xml:space="preserve"> that established the First Home Loan Deposit Scheme</w:t>
      </w:r>
      <w:r w:rsidR="00960EC6">
        <w:t>.</w:t>
      </w:r>
      <w:r w:rsidR="00646543">
        <w:t xml:space="preserve"> </w:t>
      </w:r>
      <w:r w:rsidR="005E5885">
        <w:t xml:space="preserve">Under </w:t>
      </w:r>
      <w:r w:rsidR="00445700">
        <w:t xml:space="preserve">the </w:t>
      </w:r>
      <w:r w:rsidR="005E5885">
        <w:t>Act,</w:t>
      </w:r>
      <w:r w:rsidR="00445700">
        <w:t xml:space="preserve"> NHFIC </w:t>
      </w:r>
      <w:r w:rsidR="005E5885">
        <w:t xml:space="preserve">is required to </w:t>
      </w:r>
      <w:r w:rsidR="00445700">
        <w:t>undertake research into housing affordability in Australia</w:t>
      </w:r>
      <w:r w:rsidR="005E5885">
        <w:t xml:space="preserve">. This function is </w:t>
      </w:r>
      <w:r w:rsidR="00B15FBD">
        <w:t>explained</w:t>
      </w:r>
      <w:r w:rsidR="005E5885">
        <w:t xml:space="preserve"> in the Investment Mandate, which states that NHFIC’s research function will support the monitoring of </w:t>
      </w:r>
      <w:r w:rsidR="00445700">
        <w:t xml:space="preserve">housing </w:t>
      </w:r>
      <w:r w:rsidR="005E5885">
        <w:t xml:space="preserve">demand, </w:t>
      </w:r>
      <w:r w:rsidR="00445700">
        <w:t xml:space="preserve">supply and </w:t>
      </w:r>
      <w:r w:rsidR="005E5885">
        <w:t>affordability in Australia by highlighting</w:t>
      </w:r>
      <w:r w:rsidR="00445700">
        <w:t xml:space="preserve"> current and </w:t>
      </w:r>
      <w:r w:rsidR="005E5885">
        <w:t>potential future gaps between</w:t>
      </w:r>
      <w:r w:rsidR="00445700">
        <w:t xml:space="preserve"> housing supply and demand, </w:t>
      </w:r>
      <w:r w:rsidR="005E5885">
        <w:t>while also complementing</w:t>
      </w:r>
      <w:r w:rsidR="00445700">
        <w:t xml:space="preserve"> existing </w:t>
      </w:r>
      <w:r w:rsidR="005E5885">
        <w:t>housing-related</w:t>
      </w:r>
      <w:r w:rsidR="00445700">
        <w:t xml:space="preserve"> research.</w:t>
      </w:r>
      <w:r w:rsidR="00126BB1">
        <w:t xml:space="preserve"> NHFIC may also undertake research on its own </w:t>
      </w:r>
      <w:r w:rsidR="00126BB1" w:rsidRPr="00126BB1">
        <w:t xml:space="preserve">initiative </w:t>
      </w:r>
      <w:r w:rsidR="00126BB1">
        <w:t>and undertake specific research requested by the Minister</w:t>
      </w:r>
      <w:r w:rsidR="007060FD">
        <w:t>, as per the Investment Mandate</w:t>
      </w:r>
      <w:r w:rsidR="00126BB1">
        <w:t>.</w:t>
      </w:r>
      <w:r w:rsidR="001D11DF">
        <w:t xml:space="preserve"> </w:t>
      </w:r>
    </w:p>
    <w:p w:rsidR="00C8722A" w:rsidRDefault="00C8722A" w:rsidP="00C8722A">
      <w:r>
        <w:t xml:space="preserve">Consistent with the terms of reference, the Review invites submissions to comment on the effectiveness of NHFIC’s research function in advancing our national understanding of housing affordability in Australia. </w:t>
      </w:r>
    </w:p>
    <w:p w:rsidR="00FC0417" w:rsidRDefault="00FC0417" w:rsidP="00FC0417">
      <w:pPr>
        <w:pStyle w:val="Heading3"/>
      </w:pPr>
      <w:bookmarkStart w:id="119" w:name="_Toc56587659"/>
      <w:bookmarkStart w:id="120" w:name="_Toc56684834"/>
      <w:bookmarkStart w:id="121" w:name="_Toc57283513"/>
      <w:bookmarkStart w:id="122" w:name="_Toc57283748"/>
      <w:bookmarkStart w:id="123" w:name="_Toc57305093"/>
      <w:bookmarkStart w:id="124" w:name="_Toc57305279"/>
      <w:bookmarkStart w:id="125" w:name="_Toc57377439"/>
      <w:bookmarkStart w:id="126" w:name="_Toc58252746"/>
      <w:r>
        <w:t xml:space="preserve">The </w:t>
      </w:r>
      <w:r w:rsidR="00FE220C">
        <w:t>o</w:t>
      </w:r>
      <w:r>
        <w:t xml:space="preserve">peration </w:t>
      </w:r>
      <w:r w:rsidR="000217D9">
        <w:t xml:space="preserve">and </w:t>
      </w:r>
      <w:r w:rsidR="00FE220C">
        <w:t>g</w:t>
      </w:r>
      <w:r w:rsidR="000217D9">
        <w:t xml:space="preserve">overnance </w:t>
      </w:r>
      <w:r>
        <w:t>of NHFIC</w:t>
      </w:r>
      <w:bookmarkEnd w:id="119"/>
      <w:bookmarkEnd w:id="120"/>
      <w:bookmarkEnd w:id="121"/>
      <w:bookmarkEnd w:id="122"/>
      <w:bookmarkEnd w:id="123"/>
      <w:bookmarkEnd w:id="124"/>
      <w:bookmarkEnd w:id="125"/>
      <w:bookmarkEnd w:id="126"/>
    </w:p>
    <w:p w:rsidR="00141B07" w:rsidRDefault="00141B07" w:rsidP="008D7816">
      <w:pPr>
        <w:pStyle w:val="Bullet"/>
        <w:numPr>
          <w:ilvl w:val="0"/>
          <w:numId w:val="0"/>
        </w:numPr>
        <w:spacing w:after="160" w:line="259" w:lineRule="auto"/>
      </w:pPr>
      <w:r>
        <w:t>The</w:t>
      </w:r>
      <w:r w:rsidR="00BF0BE0">
        <w:t xml:space="preserve"> NHFIC</w:t>
      </w:r>
      <w:r>
        <w:t xml:space="preserve"> Act established NHFIC as a corporate Commonwealth entity</w:t>
      </w:r>
      <w:r w:rsidR="008D7816">
        <w:t xml:space="preserve">, governed by an independent Board. The </w:t>
      </w:r>
      <w:r w:rsidR="002B5A33">
        <w:t xml:space="preserve">Government </w:t>
      </w:r>
      <w:r w:rsidR="00E502AA">
        <w:t xml:space="preserve">sets its expectations about the performance of NHFIC’s functions through the Investment Mandate (a non-disallowable legislative instrument) issued by the Minister. </w:t>
      </w:r>
    </w:p>
    <w:p w:rsidR="00A25479" w:rsidRDefault="00A25479" w:rsidP="00A25479">
      <w:pPr>
        <w:pStyle w:val="Heading5"/>
      </w:pPr>
      <w:r>
        <w:t xml:space="preserve">NHFIC’s </w:t>
      </w:r>
      <w:r w:rsidR="00FE220C">
        <w:t>o</w:t>
      </w:r>
      <w:r>
        <w:t xml:space="preserve">perational </w:t>
      </w:r>
      <w:r w:rsidR="00FE220C">
        <w:t>f</w:t>
      </w:r>
      <w:r>
        <w:t xml:space="preserve">unding </w:t>
      </w:r>
    </w:p>
    <w:p w:rsidR="00225339" w:rsidRDefault="00BF0BE0" w:rsidP="008D7816">
      <w:pPr>
        <w:pStyle w:val="Bullet"/>
        <w:numPr>
          <w:ilvl w:val="0"/>
          <w:numId w:val="0"/>
        </w:numPr>
        <w:spacing w:after="160" w:line="259" w:lineRule="auto"/>
      </w:pPr>
      <w:r>
        <w:t>T</w:t>
      </w:r>
      <w:r w:rsidR="004C480E">
        <w:t xml:space="preserve">he </w:t>
      </w:r>
      <w:r>
        <w:t>NHFIC Act</w:t>
      </w:r>
      <w:r w:rsidR="00EE2682">
        <w:t xml:space="preserve"> and Investment Mandate require</w:t>
      </w:r>
      <w:r>
        <w:t xml:space="preserve"> the </w:t>
      </w:r>
      <w:r w:rsidR="004C480E">
        <w:t xml:space="preserve">NHFIC Board to target an average return on its loans to registered </w:t>
      </w:r>
      <w:r w:rsidR="00EE2682">
        <w:t>CHPs</w:t>
      </w:r>
      <w:r w:rsidR="001F7033">
        <w:t xml:space="preserve"> that allows it to cover the operating costs of the </w:t>
      </w:r>
      <w:r w:rsidR="004A4825">
        <w:t>b</w:t>
      </w:r>
      <w:r w:rsidR="001F7033">
        <w:t xml:space="preserve">ond </w:t>
      </w:r>
      <w:r w:rsidR="004A4825">
        <w:t>a</w:t>
      </w:r>
      <w:r w:rsidR="001F7033">
        <w:t xml:space="preserve">ggregator and </w:t>
      </w:r>
      <w:r w:rsidR="00FB041F">
        <w:t>to maintain</w:t>
      </w:r>
      <w:r w:rsidR="001F7033">
        <w:t xml:space="preserve"> adequate capital </w:t>
      </w:r>
      <w:r w:rsidR="007C49B4">
        <w:t xml:space="preserve">and </w:t>
      </w:r>
      <w:r w:rsidR="001F7033">
        <w:t>reserve</w:t>
      </w:r>
      <w:r w:rsidR="007C49B4">
        <w:t>s</w:t>
      </w:r>
      <w:r w:rsidR="00FB041F">
        <w:t xml:space="preserve">. </w:t>
      </w:r>
      <w:r w:rsidR="006C3635">
        <w:t xml:space="preserve">The NHFIC Act also allows for </w:t>
      </w:r>
      <w:r w:rsidR="006C5D78">
        <w:t xml:space="preserve">the payment of annual dividends by NHFIC to the Commonwealth. </w:t>
      </w:r>
    </w:p>
    <w:p w:rsidR="00C8722A" w:rsidRDefault="00C8722A" w:rsidP="00C8722A">
      <w:pPr>
        <w:pStyle w:val="Bullet"/>
        <w:numPr>
          <w:ilvl w:val="0"/>
          <w:numId w:val="0"/>
        </w:numPr>
        <w:spacing w:after="160" w:line="259" w:lineRule="auto"/>
      </w:pPr>
      <w:r>
        <w:t xml:space="preserve">The Review will consider the effectiveness of NHFIC in meeting these requirements. </w:t>
      </w:r>
    </w:p>
    <w:p w:rsidR="000217D9" w:rsidRDefault="000217D9" w:rsidP="000217D9">
      <w:pPr>
        <w:pStyle w:val="Heading5"/>
      </w:pPr>
      <w:bookmarkStart w:id="127" w:name="_Toc56684835"/>
      <w:r>
        <w:t>Governance</w:t>
      </w:r>
    </w:p>
    <w:p w:rsidR="000217D9" w:rsidRDefault="000217D9" w:rsidP="000217D9">
      <w:r>
        <w:t xml:space="preserve">The Review will consider </w:t>
      </w:r>
      <w:r w:rsidRPr="00A25479">
        <w:t xml:space="preserve">the effectiveness of </w:t>
      </w:r>
      <w:r>
        <w:t>NHFIC’s</w:t>
      </w:r>
      <w:r w:rsidRPr="00A25479">
        <w:t xml:space="preserve"> governance and reporting arrangements, including the role of the NHFIC Board and CEO</w:t>
      </w:r>
      <w:r>
        <w:t xml:space="preserve">. </w:t>
      </w:r>
    </w:p>
    <w:p w:rsidR="000217D9" w:rsidRDefault="000217D9" w:rsidP="000217D9">
      <w:r>
        <w:t xml:space="preserve">The Review notes that the Australian National Audit Office is currently conducting an audit of the administration of NHFIC </w:t>
      </w:r>
      <w:r w:rsidR="00640CB8">
        <w:t>and</w:t>
      </w:r>
      <w:r>
        <w:t xml:space="preserve"> is due to table its report in January 2021. The findings of this audit will be considered as part of the Review. </w:t>
      </w:r>
    </w:p>
    <w:p w:rsidR="006B2573" w:rsidRDefault="00832ACF" w:rsidP="00832ACF">
      <w:pPr>
        <w:pStyle w:val="Heading3"/>
      </w:pPr>
      <w:bookmarkStart w:id="128" w:name="_Toc57283514"/>
      <w:bookmarkStart w:id="129" w:name="_Toc57283749"/>
      <w:bookmarkStart w:id="130" w:name="_Toc57305094"/>
      <w:bookmarkStart w:id="131" w:name="_Toc57305280"/>
      <w:bookmarkStart w:id="132" w:name="_Toc57377440"/>
      <w:bookmarkStart w:id="133" w:name="_Toc58252747"/>
      <w:r>
        <w:t>Other issues</w:t>
      </w:r>
      <w:bookmarkEnd w:id="127"/>
      <w:bookmarkEnd w:id="128"/>
      <w:bookmarkEnd w:id="129"/>
      <w:bookmarkEnd w:id="130"/>
      <w:bookmarkEnd w:id="131"/>
      <w:bookmarkEnd w:id="132"/>
      <w:bookmarkEnd w:id="133"/>
    </w:p>
    <w:p w:rsidR="00832ACF" w:rsidRPr="00832ACF" w:rsidRDefault="00832ACF" w:rsidP="00832ACF">
      <w:r>
        <w:t xml:space="preserve">The Review welcomes views on </w:t>
      </w:r>
      <w:r w:rsidR="005F44BA">
        <w:t xml:space="preserve">any </w:t>
      </w:r>
      <w:r>
        <w:t xml:space="preserve">other matters relevant to the operation of the </w:t>
      </w:r>
      <w:r w:rsidR="00F9379B">
        <w:t xml:space="preserve">NHFIC Act. </w:t>
      </w:r>
    </w:p>
    <w:sectPr w:rsidR="00832ACF" w:rsidRPr="00832ACF" w:rsidSect="00E1136B">
      <w:headerReference w:type="even" r:id="rId27"/>
      <w:headerReference w:type="default" r:id="rId28"/>
      <w:footerReference w:type="even" r:id="rId29"/>
      <w:footerReference w:type="default" r:id="rId30"/>
      <w:headerReference w:type="first" r:id="rId31"/>
      <w:footerReference w:type="first" r:id="rId32"/>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250" w:rsidRDefault="00F24250">
      <w:pPr>
        <w:spacing w:before="0" w:after="0"/>
      </w:pPr>
      <w:r>
        <w:separator/>
      </w:r>
    </w:p>
  </w:endnote>
  <w:endnote w:type="continuationSeparator" w:id="0">
    <w:p w:rsidR="00F24250" w:rsidRDefault="00F24250">
      <w:pPr>
        <w:spacing w:before="0" w:after="0"/>
      </w:pPr>
      <w:r>
        <w:continuationSeparator/>
      </w:r>
    </w:p>
  </w:endnote>
  <w:endnote w:type="continuationNotice" w:id="1">
    <w:p w:rsidR="00F24250" w:rsidRDefault="00F2425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Pr="00E1136B" w:rsidRDefault="00A23142" w:rsidP="00E1136B">
    <w:pPr>
      <w:pStyle w:val="Footer"/>
    </w:pPr>
    <w:r>
      <w:fldChar w:fldCharType="begin"/>
    </w:r>
    <w:r>
      <w:instrText xml:space="preserve"> PAGE   \* MERGEFORMAT </w:instrText>
    </w:r>
    <w:r>
      <w:fldChar w:fldCharType="separate"/>
    </w:r>
    <w:r w:rsidR="00FE2AB0">
      <w:rPr>
        <w:noProof/>
      </w:rPr>
      <w:t>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Pr="00E77C89" w:rsidRDefault="00A23142" w:rsidP="0017089D">
    <w:r>
      <w:fldChar w:fldCharType="begin"/>
    </w:r>
    <w:r>
      <w:instrText xml:space="preserve"> PAGE  \* Arabic  \* MERGEFORMAT </w:instrText>
    </w:r>
    <w:r>
      <w:fldChar w:fldCharType="separate"/>
    </w:r>
    <w: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Pr="00E77C89" w:rsidRDefault="00A23142" w:rsidP="0017089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Pr="00E1136B" w:rsidRDefault="00A23142" w:rsidP="00E1136B">
    <w:pPr>
      <w:pStyle w:val="Footer"/>
    </w:pPr>
    <w:r>
      <w:fldChar w:fldCharType="begin"/>
    </w:r>
    <w:r>
      <w:instrText xml:space="preserve"> PAGE   \* MERGEFORMAT </w:instrText>
    </w:r>
    <w:r>
      <w:fldChar w:fldCharType="separate"/>
    </w:r>
    <w:r w:rsidR="00E2280E">
      <w:rPr>
        <w:noProof/>
      </w:rPr>
      <w:t>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Default="00A23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250" w:rsidRDefault="00F24250">
      <w:pPr>
        <w:spacing w:before="0" w:after="0"/>
      </w:pPr>
      <w:r>
        <w:separator/>
      </w:r>
    </w:p>
  </w:footnote>
  <w:footnote w:type="continuationSeparator" w:id="0">
    <w:p w:rsidR="00F24250" w:rsidRDefault="00F24250">
      <w:pPr>
        <w:spacing w:before="0" w:after="0"/>
      </w:pPr>
      <w:r>
        <w:continuationSeparator/>
      </w:r>
    </w:p>
  </w:footnote>
  <w:footnote w:type="continuationNotice" w:id="1">
    <w:p w:rsidR="00F24250" w:rsidRDefault="00F2425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Default="00A23142">
    <w:pPr>
      <w:pStyle w:val="Header"/>
    </w:pPr>
    <w:r>
      <w:rPr>
        <w:noProof/>
      </w:rPr>
      <w:drawing>
        <wp:anchor distT="0" distB="0" distL="114300" distR="114300" simplePos="0" relativeHeight="251658240" behindDoc="1" locked="0" layoutInCell="1" allowOverlap="1" wp14:anchorId="7CB6806A" wp14:editId="00696EB4">
          <wp:simplePos x="0" y="0"/>
          <wp:positionH relativeFrom="page">
            <wp:align>center</wp:align>
          </wp:positionH>
          <wp:positionV relativeFrom="page">
            <wp:posOffset>180340</wp:posOffset>
          </wp:positionV>
          <wp:extent cx="7200000" cy="10184400"/>
          <wp:effectExtent l="0" t="0" r="127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Pr="001F3912" w:rsidRDefault="00A23142"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Pr="001F3912" w:rsidRDefault="00A23142" w:rsidP="0017089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Pr="001F3912" w:rsidRDefault="00A23142" w:rsidP="0017089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Pr="001F3912" w:rsidRDefault="00F85C67" w:rsidP="001606CF">
    <w:pPr>
      <w:pStyle w:val="Header"/>
    </w:pPr>
    <w:fldSimple w:instr=" STYLEREF  Title  \* MERGEFORMAT ">
      <w:r w:rsidR="00E2280E">
        <w:rPr>
          <w:noProof/>
        </w:rPr>
        <w:t>Review of the operation of the National Housing Finance and Investment Corporation Act 2018</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142" w:rsidRDefault="00A23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6E5D4A"/>
    <w:multiLevelType w:val="multilevel"/>
    <w:tmpl w:val="9C026AF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B32622"/>
    <w:multiLevelType w:val="multilevel"/>
    <w:tmpl w:val="3F30767C"/>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1A0283"/>
    <w:multiLevelType w:val="hybridMultilevel"/>
    <w:tmpl w:val="FDC4EC1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9E44ECD"/>
    <w:multiLevelType w:val="multilevel"/>
    <w:tmpl w:val="8A66F95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5775407"/>
    <w:multiLevelType w:val="hybridMultilevel"/>
    <w:tmpl w:val="CF6260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054011"/>
    <w:multiLevelType w:val="multilevel"/>
    <w:tmpl w:val="DAE2B0F6"/>
    <w:lvl w:ilvl="0">
      <w:start w:val="3"/>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86"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2B025C"/>
    <w:multiLevelType w:val="multilevel"/>
    <w:tmpl w:val="49D2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0D2021"/>
    <w:multiLevelType w:val="multilevel"/>
    <w:tmpl w:val="72F8140E"/>
    <w:numStyleLink w:val="OutlineList"/>
  </w:abstractNum>
  <w:abstractNum w:abstractNumId="17" w15:restartNumberingAfterBreak="0">
    <w:nsid w:val="5D5259E3"/>
    <w:multiLevelType w:val="hybridMultilevel"/>
    <w:tmpl w:val="CF58044E"/>
    <w:lvl w:ilvl="0" w:tplc="7D56C0F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AB1582A"/>
    <w:multiLevelType w:val="multilevel"/>
    <w:tmpl w:val="2BD848FA"/>
    <w:lvl w:ilvl="0">
      <w:start w:val="1"/>
      <w:numFmt w:val="lowerLetter"/>
      <w:lvlText w:val="%1)"/>
      <w:lvlJc w:val="left"/>
      <w:pPr>
        <w:tabs>
          <w:tab w:val="num" w:pos="520"/>
        </w:tabs>
        <w:ind w:left="520" w:hanging="520"/>
      </w:p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9701616"/>
    <w:multiLevelType w:val="multilevel"/>
    <w:tmpl w:val="4E14B13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0"/>
  </w:num>
  <w:num w:numId="2">
    <w:abstractNumId w:val="0"/>
  </w:num>
  <w:num w:numId="3">
    <w:abstractNumId w:val="12"/>
  </w:num>
  <w:num w:numId="4">
    <w:abstractNumId w:val="2"/>
  </w:num>
  <w:num w:numId="5">
    <w:abstractNumId w:val="4"/>
  </w:num>
  <w:num w:numId="6">
    <w:abstractNumId w:val="16"/>
  </w:num>
  <w:num w:numId="7">
    <w:abstractNumId w:val="11"/>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5"/>
  </w:num>
  <w:num w:numId="9">
    <w:abstractNumId w:val="1"/>
  </w:num>
  <w:num w:numId="10">
    <w:abstractNumId w:val="8"/>
  </w:num>
  <w:num w:numId="11">
    <w:abstractNumId w:val="20"/>
  </w:num>
  <w:num w:numId="12">
    <w:abstractNumId w:val="16"/>
  </w:num>
  <w:num w:numId="13">
    <w:abstractNumId w:val="8"/>
  </w:num>
  <w:num w:numId="14">
    <w:abstractNumId w:val="11"/>
  </w:num>
  <w:num w:numId="15">
    <w:abstractNumId w:val="6"/>
  </w:num>
  <w:num w:numId="16">
    <w:abstractNumId w:val="18"/>
  </w:num>
  <w:num w:numId="17">
    <w:abstractNumId w:val="3"/>
  </w:num>
  <w:num w:numId="18">
    <w:abstractNumId w:val="17"/>
  </w:num>
  <w:num w:numId="19">
    <w:abstractNumId w:val="14"/>
  </w:num>
  <w:num w:numId="20">
    <w:abstractNumId w:val="13"/>
  </w:num>
  <w:num w:numId="21">
    <w:abstractNumId w:val="19"/>
  </w:num>
  <w:num w:numId="22">
    <w:abstractNumId w:val="7"/>
  </w:num>
  <w:num w:numId="23">
    <w:abstractNumId w:val="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5EE"/>
    <w:rsid w:val="000007D8"/>
    <w:rsid w:val="000019FE"/>
    <w:rsid w:val="0000261C"/>
    <w:rsid w:val="00002D5E"/>
    <w:rsid w:val="000038A6"/>
    <w:rsid w:val="00003C0C"/>
    <w:rsid w:val="000040BC"/>
    <w:rsid w:val="00005AC6"/>
    <w:rsid w:val="00010A29"/>
    <w:rsid w:val="00011725"/>
    <w:rsid w:val="00012C62"/>
    <w:rsid w:val="00015045"/>
    <w:rsid w:val="0001540B"/>
    <w:rsid w:val="00015CED"/>
    <w:rsid w:val="000165CC"/>
    <w:rsid w:val="000217D9"/>
    <w:rsid w:val="00021992"/>
    <w:rsid w:val="000229EA"/>
    <w:rsid w:val="0002304B"/>
    <w:rsid w:val="0002544D"/>
    <w:rsid w:val="000259FD"/>
    <w:rsid w:val="00026C7A"/>
    <w:rsid w:val="00027213"/>
    <w:rsid w:val="000273F9"/>
    <w:rsid w:val="000306E5"/>
    <w:rsid w:val="00030830"/>
    <w:rsid w:val="000311DD"/>
    <w:rsid w:val="00032236"/>
    <w:rsid w:val="00032847"/>
    <w:rsid w:val="00034504"/>
    <w:rsid w:val="000376E4"/>
    <w:rsid w:val="00040B09"/>
    <w:rsid w:val="00040D9D"/>
    <w:rsid w:val="000412EF"/>
    <w:rsid w:val="0004186E"/>
    <w:rsid w:val="00041A8B"/>
    <w:rsid w:val="0004274D"/>
    <w:rsid w:val="00043154"/>
    <w:rsid w:val="000433AE"/>
    <w:rsid w:val="00043670"/>
    <w:rsid w:val="00044717"/>
    <w:rsid w:val="00044C0A"/>
    <w:rsid w:val="0004501D"/>
    <w:rsid w:val="000454D2"/>
    <w:rsid w:val="00046273"/>
    <w:rsid w:val="0004733A"/>
    <w:rsid w:val="00047865"/>
    <w:rsid w:val="000522C9"/>
    <w:rsid w:val="000533FB"/>
    <w:rsid w:val="00056880"/>
    <w:rsid w:val="00057292"/>
    <w:rsid w:val="00057C74"/>
    <w:rsid w:val="00057CC8"/>
    <w:rsid w:val="000609DD"/>
    <w:rsid w:val="00063043"/>
    <w:rsid w:val="00066194"/>
    <w:rsid w:val="000675D1"/>
    <w:rsid w:val="0007072F"/>
    <w:rsid w:val="0007102C"/>
    <w:rsid w:val="0007105E"/>
    <w:rsid w:val="000711A0"/>
    <w:rsid w:val="00071FBB"/>
    <w:rsid w:val="00072352"/>
    <w:rsid w:val="00073521"/>
    <w:rsid w:val="000735FA"/>
    <w:rsid w:val="00074202"/>
    <w:rsid w:val="00074EC2"/>
    <w:rsid w:val="0007556D"/>
    <w:rsid w:val="00075EE0"/>
    <w:rsid w:val="00076B94"/>
    <w:rsid w:val="000775DE"/>
    <w:rsid w:val="0008242F"/>
    <w:rsid w:val="000846EF"/>
    <w:rsid w:val="000848FB"/>
    <w:rsid w:val="00085683"/>
    <w:rsid w:val="000858F2"/>
    <w:rsid w:val="00086CEB"/>
    <w:rsid w:val="00087FAF"/>
    <w:rsid w:val="000948D9"/>
    <w:rsid w:val="00094F4E"/>
    <w:rsid w:val="000954AF"/>
    <w:rsid w:val="00096508"/>
    <w:rsid w:val="000A3D71"/>
    <w:rsid w:val="000A4DED"/>
    <w:rsid w:val="000A6BD4"/>
    <w:rsid w:val="000A6EE8"/>
    <w:rsid w:val="000B1AF1"/>
    <w:rsid w:val="000B55D8"/>
    <w:rsid w:val="000B5D78"/>
    <w:rsid w:val="000B5FD6"/>
    <w:rsid w:val="000B7B7A"/>
    <w:rsid w:val="000C0F38"/>
    <w:rsid w:val="000C5F40"/>
    <w:rsid w:val="000D0E9E"/>
    <w:rsid w:val="000D180E"/>
    <w:rsid w:val="000D1E9E"/>
    <w:rsid w:val="000D3A5F"/>
    <w:rsid w:val="000D4F8D"/>
    <w:rsid w:val="000D799D"/>
    <w:rsid w:val="000E0B74"/>
    <w:rsid w:val="000E0C61"/>
    <w:rsid w:val="000E430F"/>
    <w:rsid w:val="000E74E0"/>
    <w:rsid w:val="000E779D"/>
    <w:rsid w:val="000E7D15"/>
    <w:rsid w:val="000F0088"/>
    <w:rsid w:val="000F0271"/>
    <w:rsid w:val="000F0BF8"/>
    <w:rsid w:val="000F0E9D"/>
    <w:rsid w:val="000F3077"/>
    <w:rsid w:val="000F3BDE"/>
    <w:rsid w:val="000F44FC"/>
    <w:rsid w:val="000F4A15"/>
    <w:rsid w:val="000F50C7"/>
    <w:rsid w:val="000F564B"/>
    <w:rsid w:val="000F5885"/>
    <w:rsid w:val="000F6C2A"/>
    <w:rsid w:val="000F7517"/>
    <w:rsid w:val="001006E0"/>
    <w:rsid w:val="001008AC"/>
    <w:rsid w:val="00101EC7"/>
    <w:rsid w:val="001058D2"/>
    <w:rsid w:val="001064E7"/>
    <w:rsid w:val="0010695E"/>
    <w:rsid w:val="0010798D"/>
    <w:rsid w:val="001101B6"/>
    <w:rsid w:val="0011169F"/>
    <w:rsid w:val="0011521D"/>
    <w:rsid w:val="00116A58"/>
    <w:rsid w:val="00125A9F"/>
    <w:rsid w:val="00126BB1"/>
    <w:rsid w:val="00127259"/>
    <w:rsid w:val="00130282"/>
    <w:rsid w:val="001311AA"/>
    <w:rsid w:val="001323F0"/>
    <w:rsid w:val="00133143"/>
    <w:rsid w:val="0013342B"/>
    <w:rsid w:val="00134194"/>
    <w:rsid w:val="00135510"/>
    <w:rsid w:val="00135E35"/>
    <w:rsid w:val="00136F8C"/>
    <w:rsid w:val="00137614"/>
    <w:rsid w:val="0013761A"/>
    <w:rsid w:val="00137719"/>
    <w:rsid w:val="0014091C"/>
    <w:rsid w:val="00141524"/>
    <w:rsid w:val="0014190D"/>
    <w:rsid w:val="00141B07"/>
    <w:rsid w:val="00146E91"/>
    <w:rsid w:val="00147ADB"/>
    <w:rsid w:val="0015199D"/>
    <w:rsid w:val="0015247C"/>
    <w:rsid w:val="00153223"/>
    <w:rsid w:val="001532B6"/>
    <w:rsid w:val="00153D0C"/>
    <w:rsid w:val="001544D2"/>
    <w:rsid w:val="00155143"/>
    <w:rsid w:val="00160560"/>
    <w:rsid w:val="001606CF"/>
    <w:rsid w:val="0016078C"/>
    <w:rsid w:val="0016128D"/>
    <w:rsid w:val="001612E3"/>
    <w:rsid w:val="00165D46"/>
    <w:rsid w:val="00166046"/>
    <w:rsid w:val="001667BD"/>
    <w:rsid w:val="00167B0B"/>
    <w:rsid w:val="0017089D"/>
    <w:rsid w:val="00171D41"/>
    <w:rsid w:val="001771A2"/>
    <w:rsid w:val="00180018"/>
    <w:rsid w:val="0018062E"/>
    <w:rsid w:val="00180879"/>
    <w:rsid w:val="00181505"/>
    <w:rsid w:val="001909B7"/>
    <w:rsid w:val="0019101A"/>
    <w:rsid w:val="0019418B"/>
    <w:rsid w:val="001949E1"/>
    <w:rsid w:val="00196810"/>
    <w:rsid w:val="001A00B6"/>
    <w:rsid w:val="001A0CF0"/>
    <w:rsid w:val="001A0F4E"/>
    <w:rsid w:val="001A10E5"/>
    <w:rsid w:val="001A3113"/>
    <w:rsid w:val="001A5756"/>
    <w:rsid w:val="001B08F0"/>
    <w:rsid w:val="001B1263"/>
    <w:rsid w:val="001B1BF0"/>
    <w:rsid w:val="001B23EE"/>
    <w:rsid w:val="001B29E1"/>
    <w:rsid w:val="001B3F27"/>
    <w:rsid w:val="001B582E"/>
    <w:rsid w:val="001B583B"/>
    <w:rsid w:val="001B74D7"/>
    <w:rsid w:val="001C0FAC"/>
    <w:rsid w:val="001C1C51"/>
    <w:rsid w:val="001C358D"/>
    <w:rsid w:val="001C3B72"/>
    <w:rsid w:val="001C3BAA"/>
    <w:rsid w:val="001C47B6"/>
    <w:rsid w:val="001C65CE"/>
    <w:rsid w:val="001C7B9B"/>
    <w:rsid w:val="001D0F3F"/>
    <w:rsid w:val="001D10A4"/>
    <w:rsid w:val="001D11DF"/>
    <w:rsid w:val="001D1877"/>
    <w:rsid w:val="001D1B5A"/>
    <w:rsid w:val="001D44C4"/>
    <w:rsid w:val="001D4EAA"/>
    <w:rsid w:val="001D621A"/>
    <w:rsid w:val="001D626A"/>
    <w:rsid w:val="001D6AF4"/>
    <w:rsid w:val="001D7868"/>
    <w:rsid w:val="001E0461"/>
    <w:rsid w:val="001E2324"/>
    <w:rsid w:val="001E4DB4"/>
    <w:rsid w:val="001E7EB2"/>
    <w:rsid w:val="001F11D5"/>
    <w:rsid w:val="001F379C"/>
    <w:rsid w:val="001F4683"/>
    <w:rsid w:val="001F53E6"/>
    <w:rsid w:val="001F7033"/>
    <w:rsid w:val="001F7541"/>
    <w:rsid w:val="00201101"/>
    <w:rsid w:val="002011AA"/>
    <w:rsid w:val="00204016"/>
    <w:rsid w:val="00205FF9"/>
    <w:rsid w:val="002067EA"/>
    <w:rsid w:val="002112DD"/>
    <w:rsid w:val="00213970"/>
    <w:rsid w:val="002213C5"/>
    <w:rsid w:val="0022190E"/>
    <w:rsid w:val="00221FB3"/>
    <w:rsid w:val="00222176"/>
    <w:rsid w:val="0022259C"/>
    <w:rsid w:val="002246DC"/>
    <w:rsid w:val="00224D87"/>
    <w:rsid w:val="00225339"/>
    <w:rsid w:val="002259F5"/>
    <w:rsid w:val="00226947"/>
    <w:rsid w:val="0022735C"/>
    <w:rsid w:val="00227E15"/>
    <w:rsid w:val="00227EF9"/>
    <w:rsid w:val="00231049"/>
    <w:rsid w:val="002314D2"/>
    <w:rsid w:val="00231F56"/>
    <w:rsid w:val="00233258"/>
    <w:rsid w:val="0023458F"/>
    <w:rsid w:val="002346DE"/>
    <w:rsid w:val="00236C26"/>
    <w:rsid w:val="00236C5C"/>
    <w:rsid w:val="00236DCB"/>
    <w:rsid w:val="002372A6"/>
    <w:rsid w:val="00241ACE"/>
    <w:rsid w:val="002457AC"/>
    <w:rsid w:val="00245E71"/>
    <w:rsid w:val="002462AE"/>
    <w:rsid w:val="00246DE7"/>
    <w:rsid w:val="0025044B"/>
    <w:rsid w:val="0025067A"/>
    <w:rsid w:val="00250A74"/>
    <w:rsid w:val="0025200E"/>
    <w:rsid w:val="00254CBA"/>
    <w:rsid w:val="00255A3D"/>
    <w:rsid w:val="00257AEE"/>
    <w:rsid w:val="00261414"/>
    <w:rsid w:val="0026256E"/>
    <w:rsid w:val="002629A6"/>
    <w:rsid w:val="00263B6C"/>
    <w:rsid w:val="00263EF4"/>
    <w:rsid w:val="0026498A"/>
    <w:rsid w:val="00264ACC"/>
    <w:rsid w:val="0026731F"/>
    <w:rsid w:val="002679E0"/>
    <w:rsid w:val="00272A1F"/>
    <w:rsid w:val="002733A3"/>
    <w:rsid w:val="00273726"/>
    <w:rsid w:val="002742AA"/>
    <w:rsid w:val="002749A2"/>
    <w:rsid w:val="00274A19"/>
    <w:rsid w:val="002750B9"/>
    <w:rsid w:val="0027590B"/>
    <w:rsid w:val="00276C13"/>
    <w:rsid w:val="002775D5"/>
    <w:rsid w:val="00280EF7"/>
    <w:rsid w:val="00281058"/>
    <w:rsid w:val="00281358"/>
    <w:rsid w:val="00282876"/>
    <w:rsid w:val="00283539"/>
    <w:rsid w:val="00283CA2"/>
    <w:rsid w:val="00285969"/>
    <w:rsid w:val="00285BA4"/>
    <w:rsid w:val="00285D6F"/>
    <w:rsid w:val="00285E29"/>
    <w:rsid w:val="00287C0F"/>
    <w:rsid w:val="0029028F"/>
    <w:rsid w:val="00291E42"/>
    <w:rsid w:val="002925DC"/>
    <w:rsid w:val="002940EC"/>
    <w:rsid w:val="00294721"/>
    <w:rsid w:val="00294B53"/>
    <w:rsid w:val="002A0266"/>
    <w:rsid w:val="002A08DE"/>
    <w:rsid w:val="002A09F9"/>
    <w:rsid w:val="002A4165"/>
    <w:rsid w:val="002A43C7"/>
    <w:rsid w:val="002A4703"/>
    <w:rsid w:val="002B1EDF"/>
    <w:rsid w:val="002B23E5"/>
    <w:rsid w:val="002B2D10"/>
    <w:rsid w:val="002B3829"/>
    <w:rsid w:val="002B4D4D"/>
    <w:rsid w:val="002B5A33"/>
    <w:rsid w:val="002B5C39"/>
    <w:rsid w:val="002B6C5A"/>
    <w:rsid w:val="002B774B"/>
    <w:rsid w:val="002C02DF"/>
    <w:rsid w:val="002C2677"/>
    <w:rsid w:val="002C2D99"/>
    <w:rsid w:val="002C450D"/>
    <w:rsid w:val="002C4CF8"/>
    <w:rsid w:val="002C519F"/>
    <w:rsid w:val="002C536E"/>
    <w:rsid w:val="002C5816"/>
    <w:rsid w:val="002C63E7"/>
    <w:rsid w:val="002C68B4"/>
    <w:rsid w:val="002C722E"/>
    <w:rsid w:val="002C7550"/>
    <w:rsid w:val="002D3741"/>
    <w:rsid w:val="002D488F"/>
    <w:rsid w:val="002E3D60"/>
    <w:rsid w:val="002E4742"/>
    <w:rsid w:val="002E4862"/>
    <w:rsid w:val="002E494D"/>
    <w:rsid w:val="002E7264"/>
    <w:rsid w:val="002F0B49"/>
    <w:rsid w:val="002F10EF"/>
    <w:rsid w:val="002F1F08"/>
    <w:rsid w:val="002F339F"/>
    <w:rsid w:val="002F3F7D"/>
    <w:rsid w:val="002F5E57"/>
    <w:rsid w:val="002F617F"/>
    <w:rsid w:val="002F7B93"/>
    <w:rsid w:val="00301697"/>
    <w:rsid w:val="00302593"/>
    <w:rsid w:val="00304409"/>
    <w:rsid w:val="00304850"/>
    <w:rsid w:val="00305E7B"/>
    <w:rsid w:val="003122F4"/>
    <w:rsid w:val="00317C21"/>
    <w:rsid w:val="003242B9"/>
    <w:rsid w:val="003268D5"/>
    <w:rsid w:val="00326F95"/>
    <w:rsid w:val="00332C36"/>
    <w:rsid w:val="003350AE"/>
    <w:rsid w:val="00336BF5"/>
    <w:rsid w:val="00340B0B"/>
    <w:rsid w:val="00340D49"/>
    <w:rsid w:val="003419E8"/>
    <w:rsid w:val="00342370"/>
    <w:rsid w:val="003426C0"/>
    <w:rsid w:val="00343FC5"/>
    <w:rsid w:val="0034414E"/>
    <w:rsid w:val="00344779"/>
    <w:rsid w:val="00344FBF"/>
    <w:rsid w:val="0034536F"/>
    <w:rsid w:val="0034567A"/>
    <w:rsid w:val="0035161A"/>
    <w:rsid w:val="00353552"/>
    <w:rsid w:val="00354D27"/>
    <w:rsid w:val="00354FBB"/>
    <w:rsid w:val="00355B39"/>
    <w:rsid w:val="00355ED4"/>
    <w:rsid w:val="00356B80"/>
    <w:rsid w:val="003634BC"/>
    <w:rsid w:val="00364551"/>
    <w:rsid w:val="00364F13"/>
    <w:rsid w:val="0036510A"/>
    <w:rsid w:val="00365ECD"/>
    <w:rsid w:val="0036609E"/>
    <w:rsid w:val="00367A79"/>
    <w:rsid w:val="00371A3C"/>
    <w:rsid w:val="00372568"/>
    <w:rsid w:val="003729AA"/>
    <w:rsid w:val="00373253"/>
    <w:rsid w:val="00373E91"/>
    <w:rsid w:val="00375623"/>
    <w:rsid w:val="00376F37"/>
    <w:rsid w:val="0037723F"/>
    <w:rsid w:val="003825A2"/>
    <w:rsid w:val="003839F0"/>
    <w:rsid w:val="00384A6B"/>
    <w:rsid w:val="003858A6"/>
    <w:rsid w:val="00385DBA"/>
    <w:rsid w:val="00391659"/>
    <w:rsid w:val="00391C30"/>
    <w:rsid w:val="003922C5"/>
    <w:rsid w:val="00392DCC"/>
    <w:rsid w:val="00393A02"/>
    <w:rsid w:val="0039578F"/>
    <w:rsid w:val="00396726"/>
    <w:rsid w:val="00396B5E"/>
    <w:rsid w:val="00397889"/>
    <w:rsid w:val="003A416A"/>
    <w:rsid w:val="003A5007"/>
    <w:rsid w:val="003A5549"/>
    <w:rsid w:val="003A62C9"/>
    <w:rsid w:val="003B0B1F"/>
    <w:rsid w:val="003B1344"/>
    <w:rsid w:val="003B2F53"/>
    <w:rsid w:val="003B305E"/>
    <w:rsid w:val="003B30B2"/>
    <w:rsid w:val="003B479B"/>
    <w:rsid w:val="003B60B9"/>
    <w:rsid w:val="003B639E"/>
    <w:rsid w:val="003C34BA"/>
    <w:rsid w:val="003C3BEA"/>
    <w:rsid w:val="003C4357"/>
    <w:rsid w:val="003C5A8F"/>
    <w:rsid w:val="003C76CB"/>
    <w:rsid w:val="003C7A76"/>
    <w:rsid w:val="003D0265"/>
    <w:rsid w:val="003D0A73"/>
    <w:rsid w:val="003D0B7B"/>
    <w:rsid w:val="003D1DF3"/>
    <w:rsid w:val="003D381E"/>
    <w:rsid w:val="003D57B1"/>
    <w:rsid w:val="003D6081"/>
    <w:rsid w:val="003D6163"/>
    <w:rsid w:val="003D6A21"/>
    <w:rsid w:val="003D729E"/>
    <w:rsid w:val="003E2BC6"/>
    <w:rsid w:val="003E38B0"/>
    <w:rsid w:val="003E3C25"/>
    <w:rsid w:val="003E4A4F"/>
    <w:rsid w:val="003E4D87"/>
    <w:rsid w:val="003E71EA"/>
    <w:rsid w:val="003F0400"/>
    <w:rsid w:val="003F46AE"/>
    <w:rsid w:val="003F705C"/>
    <w:rsid w:val="003F71F2"/>
    <w:rsid w:val="00400B0B"/>
    <w:rsid w:val="00401A2F"/>
    <w:rsid w:val="00402D0A"/>
    <w:rsid w:val="00402E4A"/>
    <w:rsid w:val="004034A3"/>
    <w:rsid w:val="00403B02"/>
    <w:rsid w:val="00403D98"/>
    <w:rsid w:val="00406AD9"/>
    <w:rsid w:val="0040730D"/>
    <w:rsid w:val="0041067F"/>
    <w:rsid w:val="004109AE"/>
    <w:rsid w:val="0041154E"/>
    <w:rsid w:val="004149E4"/>
    <w:rsid w:val="00414A42"/>
    <w:rsid w:val="00416762"/>
    <w:rsid w:val="00416A90"/>
    <w:rsid w:val="00421351"/>
    <w:rsid w:val="00423F1F"/>
    <w:rsid w:val="004267A1"/>
    <w:rsid w:val="00426F9C"/>
    <w:rsid w:val="00430C2D"/>
    <w:rsid w:val="00433C34"/>
    <w:rsid w:val="004416AA"/>
    <w:rsid w:val="00445265"/>
    <w:rsid w:val="00445700"/>
    <w:rsid w:val="004471F6"/>
    <w:rsid w:val="00453E92"/>
    <w:rsid w:val="00454178"/>
    <w:rsid w:val="004559CE"/>
    <w:rsid w:val="00460083"/>
    <w:rsid w:val="0046281B"/>
    <w:rsid w:val="00464467"/>
    <w:rsid w:val="00465805"/>
    <w:rsid w:val="004663FC"/>
    <w:rsid w:val="00466F7D"/>
    <w:rsid w:val="0046767E"/>
    <w:rsid w:val="004702A1"/>
    <w:rsid w:val="004734A7"/>
    <w:rsid w:val="0047561A"/>
    <w:rsid w:val="00475B7B"/>
    <w:rsid w:val="00475F4D"/>
    <w:rsid w:val="00482469"/>
    <w:rsid w:val="0048286C"/>
    <w:rsid w:val="00482AD1"/>
    <w:rsid w:val="00483049"/>
    <w:rsid w:val="00485C07"/>
    <w:rsid w:val="004863EC"/>
    <w:rsid w:val="004901E9"/>
    <w:rsid w:val="00490247"/>
    <w:rsid w:val="00490617"/>
    <w:rsid w:val="00490C8F"/>
    <w:rsid w:val="0049163E"/>
    <w:rsid w:val="004919A9"/>
    <w:rsid w:val="00491AF6"/>
    <w:rsid w:val="00492339"/>
    <w:rsid w:val="00492F7B"/>
    <w:rsid w:val="00492FCB"/>
    <w:rsid w:val="004937CF"/>
    <w:rsid w:val="004938D1"/>
    <w:rsid w:val="0049457C"/>
    <w:rsid w:val="00494F61"/>
    <w:rsid w:val="00494F85"/>
    <w:rsid w:val="004951A8"/>
    <w:rsid w:val="00495DAA"/>
    <w:rsid w:val="00497006"/>
    <w:rsid w:val="00497339"/>
    <w:rsid w:val="004A077D"/>
    <w:rsid w:val="004A1E4A"/>
    <w:rsid w:val="004A4825"/>
    <w:rsid w:val="004A718B"/>
    <w:rsid w:val="004A7BC2"/>
    <w:rsid w:val="004B2426"/>
    <w:rsid w:val="004B45C1"/>
    <w:rsid w:val="004B47AA"/>
    <w:rsid w:val="004B66E1"/>
    <w:rsid w:val="004B6DE6"/>
    <w:rsid w:val="004C01B4"/>
    <w:rsid w:val="004C2432"/>
    <w:rsid w:val="004C480E"/>
    <w:rsid w:val="004C7126"/>
    <w:rsid w:val="004C7BB6"/>
    <w:rsid w:val="004D00DF"/>
    <w:rsid w:val="004D0BDA"/>
    <w:rsid w:val="004D0C9A"/>
    <w:rsid w:val="004D16FD"/>
    <w:rsid w:val="004D1BC1"/>
    <w:rsid w:val="004D28B2"/>
    <w:rsid w:val="004D4204"/>
    <w:rsid w:val="004D4D78"/>
    <w:rsid w:val="004D5B9B"/>
    <w:rsid w:val="004D60A2"/>
    <w:rsid w:val="004D634B"/>
    <w:rsid w:val="004D6AEC"/>
    <w:rsid w:val="004E1684"/>
    <w:rsid w:val="004E2680"/>
    <w:rsid w:val="004E3FC3"/>
    <w:rsid w:val="004E4599"/>
    <w:rsid w:val="004F0284"/>
    <w:rsid w:val="004F0492"/>
    <w:rsid w:val="004F1164"/>
    <w:rsid w:val="004F1CBE"/>
    <w:rsid w:val="004F261E"/>
    <w:rsid w:val="004F3753"/>
    <w:rsid w:val="004F411C"/>
    <w:rsid w:val="004F55B8"/>
    <w:rsid w:val="004F5697"/>
    <w:rsid w:val="004F6A9E"/>
    <w:rsid w:val="005010B9"/>
    <w:rsid w:val="0050158B"/>
    <w:rsid w:val="00502EDE"/>
    <w:rsid w:val="00505388"/>
    <w:rsid w:val="005062A8"/>
    <w:rsid w:val="0050677E"/>
    <w:rsid w:val="00506F76"/>
    <w:rsid w:val="00511980"/>
    <w:rsid w:val="00511ABA"/>
    <w:rsid w:val="00511D78"/>
    <w:rsid w:val="00512094"/>
    <w:rsid w:val="00512E5B"/>
    <w:rsid w:val="005144B5"/>
    <w:rsid w:val="00515A16"/>
    <w:rsid w:val="00516785"/>
    <w:rsid w:val="00517836"/>
    <w:rsid w:val="00520BD7"/>
    <w:rsid w:val="00522E41"/>
    <w:rsid w:val="005236DA"/>
    <w:rsid w:val="0052419D"/>
    <w:rsid w:val="005241A7"/>
    <w:rsid w:val="005270B2"/>
    <w:rsid w:val="00527F1B"/>
    <w:rsid w:val="005301F8"/>
    <w:rsid w:val="005312FC"/>
    <w:rsid w:val="0053264B"/>
    <w:rsid w:val="00532D40"/>
    <w:rsid w:val="00534ABA"/>
    <w:rsid w:val="00534F0F"/>
    <w:rsid w:val="0053603D"/>
    <w:rsid w:val="00541383"/>
    <w:rsid w:val="00544CD1"/>
    <w:rsid w:val="00544EDB"/>
    <w:rsid w:val="00545416"/>
    <w:rsid w:val="00546C16"/>
    <w:rsid w:val="0054718A"/>
    <w:rsid w:val="005504E0"/>
    <w:rsid w:val="005504ED"/>
    <w:rsid w:val="00551289"/>
    <w:rsid w:val="00551AE8"/>
    <w:rsid w:val="00553F6C"/>
    <w:rsid w:val="00554A76"/>
    <w:rsid w:val="0055503B"/>
    <w:rsid w:val="0055585C"/>
    <w:rsid w:val="0055610B"/>
    <w:rsid w:val="00556281"/>
    <w:rsid w:val="00557524"/>
    <w:rsid w:val="00562CC9"/>
    <w:rsid w:val="005634A6"/>
    <w:rsid w:val="00565508"/>
    <w:rsid w:val="00566BDB"/>
    <w:rsid w:val="0057092F"/>
    <w:rsid w:val="00570CBB"/>
    <w:rsid w:val="00572044"/>
    <w:rsid w:val="005732B9"/>
    <w:rsid w:val="00575D8E"/>
    <w:rsid w:val="00581D22"/>
    <w:rsid w:val="00583F7A"/>
    <w:rsid w:val="00584424"/>
    <w:rsid w:val="005863C4"/>
    <w:rsid w:val="005868DE"/>
    <w:rsid w:val="00590119"/>
    <w:rsid w:val="0059290B"/>
    <w:rsid w:val="0059386B"/>
    <w:rsid w:val="005957C7"/>
    <w:rsid w:val="005A439B"/>
    <w:rsid w:val="005A48C6"/>
    <w:rsid w:val="005A4908"/>
    <w:rsid w:val="005A4F41"/>
    <w:rsid w:val="005A56DF"/>
    <w:rsid w:val="005A5AC6"/>
    <w:rsid w:val="005A6B6C"/>
    <w:rsid w:val="005B058E"/>
    <w:rsid w:val="005B08AA"/>
    <w:rsid w:val="005B7B1B"/>
    <w:rsid w:val="005C14B5"/>
    <w:rsid w:val="005C2C27"/>
    <w:rsid w:val="005C3413"/>
    <w:rsid w:val="005C3B21"/>
    <w:rsid w:val="005C412E"/>
    <w:rsid w:val="005C62E2"/>
    <w:rsid w:val="005C66EB"/>
    <w:rsid w:val="005D2134"/>
    <w:rsid w:val="005D3C74"/>
    <w:rsid w:val="005D43D5"/>
    <w:rsid w:val="005D6DD9"/>
    <w:rsid w:val="005D6DEE"/>
    <w:rsid w:val="005E286D"/>
    <w:rsid w:val="005E5245"/>
    <w:rsid w:val="005E5561"/>
    <w:rsid w:val="005E5885"/>
    <w:rsid w:val="005E612F"/>
    <w:rsid w:val="005E6A2A"/>
    <w:rsid w:val="005E6FCE"/>
    <w:rsid w:val="005E732B"/>
    <w:rsid w:val="005E7B96"/>
    <w:rsid w:val="005F44BA"/>
    <w:rsid w:val="005F5BA5"/>
    <w:rsid w:val="005F74E8"/>
    <w:rsid w:val="00601A1C"/>
    <w:rsid w:val="0060216E"/>
    <w:rsid w:val="0060417E"/>
    <w:rsid w:val="0060595B"/>
    <w:rsid w:val="00605AFD"/>
    <w:rsid w:val="00606DB9"/>
    <w:rsid w:val="00607C7C"/>
    <w:rsid w:val="00607F3C"/>
    <w:rsid w:val="0061043F"/>
    <w:rsid w:val="006123D4"/>
    <w:rsid w:val="00613658"/>
    <w:rsid w:val="006136CB"/>
    <w:rsid w:val="00615132"/>
    <w:rsid w:val="006151B1"/>
    <w:rsid w:val="0062161B"/>
    <w:rsid w:val="00621F68"/>
    <w:rsid w:val="006265C1"/>
    <w:rsid w:val="006272AA"/>
    <w:rsid w:val="00627B6C"/>
    <w:rsid w:val="00632B43"/>
    <w:rsid w:val="00633768"/>
    <w:rsid w:val="00634510"/>
    <w:rsid w:val="00634711"/>
    <w:rsid w:val="0063542B"/>
    <w:rsid w:val="006356DC"/>
    <w:rsid w:val="00635D6E"/>
    <w:rsid w:val="00636A95"/>
    <w:rsid w:val="00637C14"/>
    <w:rsid w:val="006407E5"/>
    <w:rsid w:val="00640909"/>
    <w:rsid w:val="00640CB8"/>
    <w:rsid w:val="00641194"/>
    <w:rsid w:val="006458B3"/>
    <w:rsid w:val="0064639F"/>
    <w:rsid w:val="00646543"/>
    <w:rsid w:val="00647AEA"/>
    <w:rsid w:val="006502D7"/>
    <w:rsid w:val="00650BB2"/>
    <w:rsid w:val="0065133B"/>
    <w:rsid w:val="006515D4"/>
    <w:rsid w:val="00652472"/>
    <w:rsid w:val="00653350"/>
    <w:rsid w:val="00654CA5"/>
    <w:rsid w:val="00654FBD"/>
    <w:rsid w:val="00656356"/>
    <w:rsid w:val="006568F8"/>
    <w:rsid w:val="0065784E"/>
    <w:rsid w:val="00660774"/>
    <w:rsid w:val="006607A8"/>
    <w:rsid w:val="00661E83"/>
    <w:rsid w:val="00661FB2"/>
    <w:rsid w:val="00664736"/>
    <w:rsid w:val="00665B69"/>
    <w:rsid w:val="0066660D"/>
    <w:rsid w:val="006708AA"/>
    <w:rsid w:val="006716B3"/>
    <w:rsid w:val="00671794"/>
    <w:rsid w:val="00671D35"/>
    <w:rsid w:val="006729DD"/>
    <w:rsid w:val="00672EEB"/>
    <w:rsid w:val="00674234"/>
    <w:rsid w:val="006755BF"/>
    <w:rsid w:val="006756E5"/>
    <w:rsid w:val="00677C8D"/>
    <w:rsid w:val="00680601"/>
    <w:rsid w:val="00681364"/>
    <w:rsid w:val="006814BF"/>
    <w:rsid w:val="006841F3"/>
    <w:rsid w:val="00684D92"/>
    <w:rsid w:val="00686165"/>
    <w:rsid w:val="00687996"/>
    <w:rsid w:val="00690498"/>
    <w:rsid w:val="00691BEE"/>
    <w:rsid w:val="00691CB5"/>
    <w:rsid w:val="006922EF"/>
    <w:rsid w:val="00692667"/>
    <w:rsid w:val="00694E54"/>
    <w:rsid w:val="00694E57"/>
    <w:rsid w:val="00696A73"/>
    <w:rsid w:val="00697C5B"/>
    <w:rsid w:val="006A3DC2"/>
    <w:rsid w:val="006A410D"/>
    <w:rsid w:val="006A5038"/>
    <w:rsid w:val="006A6EE1"/>
    <w:rsid w:val="006A7784"/>
    <w:rsid w:val="006A7C39"/>
    <w:rsid w:val="006A7D30"/>
    <w:rsid w:val="006B0768"/>
    <w:rsid w:val="006B1757"/>
    <w:rsid w:val="006B2573"/>
    <w:rsid w:val="006B38FF"/>
    <w:rsid w:val="006B42B2"/>
    <w:rsid w:val="006B4763"/>
    <w:rsid w:val="006B5E7C"/>
    <w:rsid w:val="006B6C98"/>
    <w:rsid w:val="006B70C8"/>
    <w:rsid w:val="006C0ADF"/>
    <w:rsid w:val="006C3635"/>
    <w:rsid w:val="006C59F0"/>
    <w:rsid w:val="006C5D6B"/>
    <w:rsid w:val="006C5D78"/>
    <w:rsid w:val="006C645D"/>
    <w:rsid w:val="006C66FA"/>
    <w:rsid w:val="006C6A2C"/>
    <w:rsid w:val="006C7358"/>
    <w:rsid w:val="006C7939"/>
    <w:rsid w:val="006C7A4A"/>
    <w:rsid w:val="006C7DEB"/>
    <w:rsid w:val="006D0748"/>
    <w:rsid w:val="006D24A1"/>
    <w:rsid w:val="006D2ECF"/>
    <w:rsid w:val="006D36E0"/>
    <w:rsid w:val="006D40BC"/>
    <w:rsid w:val="006D42C7"/>
    <w:rsid w:val="006D45C6"/>
    <w:rsid w:val="006E0C62"/>
    <w:rsid w:val="006E13FA"/>
    <w:rsid w:val="006E3CC3"/>
    <w:rsid w:val="006E63A3"/>
    <w:rsid w:val="006E6A21"/>
    <w:rsid w:val="006F0FF2"/>
    <w:rsid w:val="006F161A"/>
    <w:rsid w:val="006F168C"/>
    <w:rsid w:val="006F1872"/>
    <w:rsid w:val="006F3AE7"/>
    <w:rsid w:val="006F5AB1"/>
    <w:rsid w:val="006F5D88"/>
    <w:rsid w:val="006F656C"/>
    <w:rsid w:val="006F72BE"/>
    <w:rsid w:val="006F7D54"/>
    <w:rsid w:val="00700B39"/>
    <w:rsid w:val="00702530"/>
    <w:rsid w:val="00703FB9"/>
    <w:rsid w:val="0070400B"/>
    <w:rsid w:val="00705CC6"/>
    <w:rsid w:val="00705CEA"/>
    <w:rsid w:val="007060FD"/>
    <w:rsid w:val="00706937"/>
    <w:rsid w:val="00707014"/>
    <w:rsid w:val="007101A9"/>
    <w:rsid w:val="00710993"/>
    <w:rsid w:val="00710D9B"/>
    <w:rsid w:val="00711F62"/>
    <w:rsid w:val="00714237"/>
    <w:rsid w:val="007160A1"/>
    <w:rsid w:val="00716771"/>
    <w:rsid w:val="00717DB6"/>
    <w:rsid w:val="007236E8"/>
    <w:rsid w:val="00723E23"/>
    <w:rsid w:val="007311D2"/>
    <w:rsid w:val="007311DF"/>
    <w:rsid w:val="007312BB"/>
    <w:rsid w:val="007316D9"/>
    <w:rsid w:val="00732D75"/>
    <w:rsid w:val="0073407B"/>
    <w:rsid w:val="00736441"/>
    <w:rsid w:val="00740246"/>
    <w:rsid w:val="007407E9"/>
    <w:rsid w:val="00743887"/>
    <w:rsid w:val="00744604"/>
    <w:rsid w:val="00745A87"/>
    <w:rsid w:val="007461AC"/>
    <w:rsid w:val="00750E43"/>
    <w:rsid w:val="00751275"/>
    <w:rsid w:val="00751D70"/>
    <w:rsid w:val="007522E6"/>
    <w:rsid w:val="007547F2"/>
    <w:rsid w:val="007577A4"/>
    <w:rsid w:val="00757847"/>
    <w:rsid w:val="00760211"/>
    <w:rsid w:val="007616FB"/>
    <w:rsid w:val="00761BC2"/>
    <w:rsid w:val="007635C8"/>
    <w:rsid w:val="007638C6"/>
    <w:rsid w:val="00763F9C"/>
    <w:rsid w:val="00765E5B"/>
    <w:rsid w:val="00766F4E"/>
    <w:rsid w:val="00766F76"/>
    <w:rsid w:val="00770ECD"/>
    <w:rsid w:val="00771B45"/>
    <w:rsid w:val="00771C18"/>
    <w:rsid w:val="007723E7"/>
    <w:rsid w:val="0077354B"/>
    <w:rsid w:val="007739DC"/>
    <w:rsid w:val="00773FDC"/>
    <w:rsid w:val="007778BD"/>
    <w:rsid w:val="00780CE1"/>
    <w:rsid w:val="00781C3D"/>
    <w:rsid w:val="007837D7"/>
    <w:rsid w:val="0078509F"/>
    <w:rsid w:val="00787BEA"/>
    <w:rsid w:val="00787CE0"/>
    <w:rsid w:val="00790B62"/>
    <w:rsid w:val="007917B6"/>
    <w:rsid w:val="007918C3"/>
    <w:rsid w:val="0079191A"/>
    <w:rsid w:val="00794499"/>
    <w:rsid w:val="007A2D23"/>
    <w:rsid w:val="007A7A94"/>
    <w:rsid w:val="007B0C60"/>
    <w:rsid w:val="007B2ACB"/>
    <w:rsid w:val="007B505A"/>
    <w:rsid w:val="007B5C8E"/>
    <w:rsid w:val="007B78C5"/>
    <w:rsid w:val="007C035F"/>
    <w:rsid w:val="007C0635"/>
    <w:rsid w:val="007C1B0C"/>
    <w:rsid w:val="007C2645"/>
    <w:rsid w:val="007C279A"/>
    <w:rsid w:val="007C3D73"/>
    <w:rsid w:val="007C49B4"/>
    <w:rsid w:val="007C6903"/>
    <w:rsid w:val="007D1B62"/>
    <w:rsid w:val="007D1E33"/>
    <w:rsid w:val="007D266B"/>
    <w:rsid w:val="007D2BE6"/>
    <w:rsid w:val="007D3D03"/>
    <w:rsid w:val="007D3EA0"/>
    <w:rsid w:val="007D5522"/>
    <w:rsid w:val="007D5AA6"/>
    <w:rsid w:val="007D67BB"/>
    <w:rsid w:val="007D6FC9"/>
    <w:rsid w:val="007D72A6"/>
    <w:rsid w:val="007D7301"/>
    <w:rsid w:val="007D7435"/>
    <w:rsid w:val="007E1317"/>
    <w:rsid w:val="007E2AB9"/>
    <w:rsid w:val="007E2EDA"/>
    <w:rsid w:val="007E3BC4"/>
    <w:rsid w:val="007E5F68"/>
    <w:rsid w:val="007E6456"/>
    <w:rsid w:val="007E67C7"/>
    <w:rsid w:val="007E6FEA"/>
    <w:rsid w:val="007F1076"/>
    <w:rsid w:val="007F4364"/>
    <w:rsid w:val="007F48DA"/>
    <w:rsid w:val="007F5670"/>
    <w:rsid w:val="007F69BA"/>
    <w:rsid w:val="007F6B60"/>
    <w:rsid w:val="00803135"/>
    <w:rsid w:val="00804409"/>
    <w:rsid w:val="0080528E"/>
    <w:rsid w:val="00811639"/>
    <w:rsid w:val="0081487A"/>
    <w:rsid w:val="00815C85"/>
    <w:rsid w:val="00815D4C"/>
    <w:rsid w:val="0081689D"/>
    <w:rsid w:val="00816D99"/>
    <w:rsid w:val="00821444"/>
    <w:rsid w:val="008217DB"/>
    <w:rsid w:val="0082211D"/>
    <w:rsid w:val="00822A4B"/>
    <w:rsid w:val="00824C7C"/>
    <w:rsid w:val="008261E9"/>
    <w:rsid w:val="008266D8"/>
    <w:rsid w:val="00830380"/>
    <w:rsid w:val="00831C5D"/>
    <w:rsid w:val="00832ACF"/>
    <w:rsid w:val="008330F4"/>
    <w:rsid w:val="00834243"/>
    <w:rsid w:val="0083730C"/>
    <w:rsid w:val="00842AEC"/>
    <w:rsid w:val="00845199"/>
    <w:rsid w:val="00846620"/>
    <w:rsid w:val="00847191"/>
    <w:rsid w:val="00850DE0"/>
    <w:rsid w:val="00854715"/>
    <w:rsid w:val="008549F9"/>
    <w:rsid w:val="008553B5"/>
    <w:rsid w:val="00855618"/>
    <w:rsid w:val="008559B0"/>
    <w:rsid w:val="00857969"/>
    <w:rsid w:val="00860517"/>
    <w:rsid w:val="00861560"/>
    <w:rsid w:val="0086372E"/>
    <w:rsid w:val="0086376E"/>
    <w:rsid w:val="00867EC0"/>
    <w:rsid w:val="00871B36"/>
    <w:rsid w:val="00872CE6"/>
    <w:rsid w:val="008758FA"/>
    <w:rsid w:val="008759EB"/>
    <w:rsid w:val="008764C4"/>
    <w:rsid w:val="00876B25"/>
    <w:rsid w:val="00877424"/>
    <w:rsid w:val="00877D20"/>
    <w:rsid w:val="008808B6"/>
    <w:rsid w:val="00880BF0"/>
    <w:rsid w:val="00882622"/>
    <w:rsid w:val="008838BF"/>
    <w:rsid w:val="008847DC"/>
    <w:rsid w:val="0088536C"/>
    <w:rsid w:val="008864A2"/>
    <w:rsid w:val="008876B1"/>
    <w:rsid w:val="00887D65"/>
    <w:rsid w:val="008913D0"/>
    <w:rsid w:val="00891B3C"/>
    <w:rsid w:val="00893599"/>
    <w:rsid w:val="00893672"/>
    <w:rsid w:val="00894880"/>
    <w:rsid w:val="0089553B"/>
    <w:rsid w:val="008957A8"/>
    <w:rsid w:val="00897F0F"/>
    <w:rsid w:val="008A09F5"/>
    <w:rsid w:val="008A1187"/>
    <w:rsid w:val="008A165A"/>
    <w:rsid w:val="008A1754"/>
    <w:rsid w:val="008A1949"/>
    <w:rsid w:val="008A313F"/>
    <w:rsid w:val="008A3859"/>
    <w:rsid w:val="008A4581"/>
    <w:rsid w:val="008A66C1"/>
    <w:rsid w:val="008A74B3"/>
    <w:rsid w:val="008A77D8"/>
    <w:rsid w:val="008A7C77"/>
    <w:rsid w:val="008B009B"/>
    <w:rsid w:val="008B0A40"/>
    <w:rsid w:val="008B0CB0"/>
    <w:rsid w:val="008B1499"/>
    <w:rsid w:val="008B66DB"/>
    <w:rsid w:val="008B69BC"/>
    <w:rsid w:val="008B6B11"/>
    <w:rsid w:val="008C0DDF"/>
    <w:rsid w:val="008C1644"/>
    <w:rsid w:val="008C4C03"/>
    <w:rsid w:val="008C5665"/>
    <w:rsid w:val="008D0C56"/>
    <w:rsid w:val="008D114B"/>
    <w:rsid w:val="008D1705"/>
    <w:rsid w:val="008D1B03"/>
    <w:rsid w:val="008D3083"/>
    <w:rsid w:val="008D339F"/>
    <w:rsid w:val="008D48B8"/>
    <w:rsid w:val="008D60BE"/>
    <w:rsid w:val="008D6594"/>
    <w:rsid w:val="008D6BED"/>
    <w:rsid w:val="008D7816"/>
    <w:rsid w:val="008D7F38"/>
    <w:rsid w:val="008E0338"/>
    <w:rsid w:val="008E315D"/>
    <w:rsid w:val="008E3F51"/>
    <w:rsid w:val="008E6292"/>
    <w:rsid w:val="008E7B3F"/>
    <w:rsid w:val="008E7C39"/>
    <w:rsid w:val="008F315D"/>
    <w:rsid w:val="008F5B7B"/>
    <w:rsid w:val="008F5F84"/>
    <w:rsid w:val="008F6A27"/>
    <w:rsid w:val="008F7473"/>
    <w:rsid w:val="008F78E3"/>
    <w:rsid w:val="0090005E"/>
    <w:rsid w:val="00900D39"/>
    <w:rsid w:val="0090180A"/>
    <w:rsid w:val="00902786"/>
    <w:rsid w:val="00902948"/>
    <w:rsid w:val="00903EDF"/>
    <w:rsid w:val="0090413F"/>
    <w:rsid w:val="009048E9"/>
    <w:rsid w:val="00904D4D"/>
    <w:rsid w:val="00905BE1"/>
    <w:rsid w:val="00911BCE"/>
    <w:rsid w:val="009120D1"/>
    <w:rsid w:val="009155D6"/>
    <w:rsid w:val="009161A7"/>
    <w:rsid w:val="009167A3"/>
    <w:rsid w:val="00920153"/>
    <w:rsid w:val="009230FD"/>
    <w:rsid w:val="0092459E"/>
    <w:rsid w:val="009246E3"/>
    <w:rsid w:val="009255EE"/>
    <w:rsid w:val="00925AA5"/>
    <w:rsid w:val="00935A3F"/>
    <w:rsid w:val="00940066"/>
    <w:rsid w:val="0094019D"/>
    <w:rsid w:val="00941858"/>
    <w:rsid w:val="00942C11"/>
    <w:rsid w:val="00943D40"/>
    <w:rsid w:val="00945694"/>
    <w:rsid w:val="0095237E"/>
    <w:rsid w:val="00952618"/>
    <w:rsid w:val="009542C6"/>
    <w:rsid w:val="009552CA"/>
    <w:rsid w:val="00956B2E"/>
    <w:rsid w:val="009572D8"/>
    <w:rsid w:val="00960EC6"/>
    <w:rsid w:val="00961E03"/>
    <w:rsid w:val="009629F7"/>
    <w:rsid w:val="00962A51"/>
    <w:rsid w:val="00964EDA"/>
    <w:rsid w:val="00965334"/>
    <w:rsid w:val="00967188"/>
    <w:rsid w:val="0097144D"/>
    <w:rsid w:val="00972211"/>
    <w:rsid w:val="009732EC"/>
    <w:rsid w:val="00973BD4"/>
    <w:rsid w:val="00974BAD"/>
    <w:rsid w:val="009774A0"/>
    <w:rsid w:val="009807E3"/>
    <w:rsid w:val="00980906"/>
    <w:rsid w:val="0098203B"/>
    <w:rsid w:val="009821CE"/>
    <w:rsid w:val="009852CF"/>
    <w:rsid w:val="0098558B"/>
    <w:rsid w:val="0099009F"/>
    <w:rsid w:val="009917B7"/>
    <w:rsid w:val="00991E1C"/>
    <w:rsid w:val="00994190"/>
    <w:rsid w:val="00994C80"/>
    <w:rsid w:val="00996DE6"/>
    <w:rsid w:val="00997248"/>
    <w:rsid w:val="009975B2"/>
    <w:rsid w:val="009A2784"/>
    <w:rsid w:val="009A2B24"/>
    <w:rsid w:val="009A341E"/>
    <w:rsid w:val="009A3674"/>
    <w:rsid w:val="009A4F39"/>
    <w:rsid w:val="009A5D52"/>
    <w:rsid w:val="009A5D6A"/>
    <w:rsid w:val="009A658F"/>
    <w:rsid w:val="009A668A"/>
    <w:rsid w:val="009A7FA8"/>
    <w:rsid w:val="009B1AE7"/>
    <w:rsid w:val="009B514B"/>
    <w:rsid w:val="009B5479"/>
    <w:rsid w:val="009B5988"/>
    <w:rsid w:val="009B6841"/>
    <w:rsid w:val="009B7C8A"/>
    <w:rsid w:val="009B7D81"/>
    <w:rsid w:val="009C0C6F"/>
    <w:rsid w:val="009C1482"/>
    <w:rsid w:val="009C3507"/>
    <w:rsid w:val="009C417F"/>
    <w:rsid w:val="009C4953"/>
    <w:rsid w:val="009C4FAC"/>
    <w:rsid w:val="009C591A"/>
    <w:rsid w:val="009C6072"/>
    <w:rsid w:val="009C765F"/>
    <w:rsid w:val="009C7863"/>
    <w:rsid w:val="009C79A8"/>
    <w:rsid w:val="009D049A"/>
    <w:rsid w:val="009D0DDC"/>
    <w:rsid w:val="009D25B9"/>
    <w:rsid w:val="009D298D"/>
    <w:rsid w:val="009D5581"/>
    <w:rsid w:val="009E57C8"/>
    <w:rsid w:val="009E5818"/>
    <w:rsid w:val="009E6317"/>
    <w:rsid w:val="009F0E3E"/>
    <w:rsid w:val="009F14E0"/>
    <w:rsid w:val="009F1814"/>
    <w:rsid w:val="009F2421"/>
    <w:rsid w:val="009F2ACD"/>
    <w:rsid w:val="009F4FA4"/>
    <w:rsid w:val="009F6E2C"/>
    <w:rsid w:val="00A027AE"/>
    <w:rsid w:val="00A02AB8"/>
    <w:rsid w:val="00A07C7B"/>
    <w:rsid w:val="00A102E3"/>
    <w:rsid w:val="00A110E3"/>
    <w:rsid w:val="00A11F4F"/>
    <w:rsid w:val="00A124EE"/>
    <w:rsid w:val="00A126A2"/>
    <w:rsid w:val="00A13B39"/>
    <w:rsid w:val="00A15534"/>
    <w:rsid w:val="00A16E03"/>
    <w:rsid w:val="00A20C19"/>
    <w:rsid w:val="00A21C3E"/>
    <w:rsid w:val="00A224A4"/>
    <w:rsid w:val="00A23142"/>
    <w:rsid w:val="00A232D8"/>
    <w:rsid w:val="00A23927"/>
    <w:rsid w:val="00A25479"/>
    <w:rsid w:val="00A25EA1"/>
    <w:rsid w:val="00A260CD"/>
    <w:rsid w:val="00A27F95"/>
    <w:rsid w:val="00A3151D"/>
    <w:rsid w:val="00A31BA4"/>
    <w:rsid w:val="00A31F34"/>
    <w:rsid w:val="00A32461"/>
    <w:rsid w:val="00A35C4F"/>
    <w:rsid w:val="00A3749B"/>
    <w:rsid w:val="00A37A26"/>
    <w:rsid w:val="00A405EE"/>
    <w:rsid w:val="00A45B5E"/>
    <w:rsid w:val="00A45C0E"/>
    <w:rsid w:val="00A51431"/>
    <w:rsid w:val="00A52E09"/>
    <w:rsid w:val="00A535BB"/>
    <w:rsid w:val="00A56581"/>
    <w:rsid w:val="00A568CE"/>
    <w:rsid w:val="00A57DBC"/>
    <w:rsid w:val="00A62E42"/>
    <w:rsid w:val="00A63CEA"/>
    <w:rsid w:val="00A647A3"/>
    <w:rsid w:val="00A64A71"/>
    <w:rsid w:val="00A64EFA"/>
    <w:rsid w:val="00A66555"/>
    <w:rsid w:val="00A6759C"/>
    <w:rsid w:val="00A678E0"/>
    <w:rsid w:val="00A67C17"/>
    <w:rsid w:val="00A7041F"/>
    <w:rsid w:val="00A70C68"/>
    <w:rsid w:val="00A70EFF"/>
    <w:rsid w:val="00A7246B"/>
    <w:rsid w:val="00A76348"/>
    <w:rsid w:val="00A77021"/>
    <w:rsid w:val="00A775CB"/>
    <w:rsid w:val="00A828C2"/>
    <w:rsid w:val="00A83598"/>
    <w:rsid w:val="00A83E40"/>
    <w:rsid w:val="00A83ED3"/>
    <w:rsid w:val="00A85E99"/>
    <w:rsid w:val="00A867BB"/>
    <w:rsid w:val="00A90140"/>
    <w:rsid w:val="00A90351"/>
    <w:rsid w:val="00A90838"/>
    <w:rsid w:val="00A920FB"/>
    <w:rsid w:val="00A9557B"/>
    <w:rsid w:val="00AA0104"/>
    <w:rsid w:val="00AA0C77"/>
    <w:rsid w:val="00AA4D0E"/>
    <w:rsid w:val="00AA51DC"/>
    <w:rsid w:val="00AA5635"/>
    <w:rsid w:val="00AA6384"/>
    <w:rsid w:val="00AA6CF5"/>
    <w:rsid w:val="00AA75EB"/>
    <w:rsid w:val="00AB09BB"/>
    <w:rsid w:val="00AB17A8"/>
    <w:rsid w:val="00AB31AE"/>
    <w:rsid w:val="00AB6AFE"/>
    <w:rsid w:val="00AC009F"/>
    <w:rsid w:val="00AC1B33"/>
    <w:rsid w:val="00AC26D5"/>
    <w:rsid w:val="00AC49A1"/>
    <w:rsid w:val="00AC598A"/>
    <w:rsid w:val="00AC62BA"/>
    <w:rsid w:val="00AC76A6"/>
    <w:rsid w:val="00AD030C"/>
    <w:rsid w:val="00AD0EC1"/>
    <w:rsid w:val="00AD171E"/>
    <w:rsid w:val="00AD3F4C"/>
    <w:rsid w:val="00AD54E5"/>
    <w:rsid w:val="00AE0417"/>
    <w:rsid w:val="00AE05F1"/>
    <w:rsid w:val="00AE2F90"/>
    <w:rsid w:val="00AE3A42"/>
    <w:rsid w:val="00AE4BF3"/>
    <w:rsid w:val="00AE53B0"/>
    <w:rsid w:val="00AE5BDF"/>
    <w:rsid w:val="00AE6E92"/>
    <w:rsid w:val="00AE7BAB"/>
    <w:rsid w:val="00AF38C2"/>
    <w:rsid w:val="00AF3BD4"/>
    <w:rsid w:val="00AF47BC"/>
    <w:rsid w:val="00AF49E3"/>
    <w:rsid w:val="00AF5797"/>
    <w:rsid w:val="00AF6D69"/>
    <w:rsid w:val="00AF7B7A"/>
    <w:rsid w:val="00B00295"/>
    <w:rsid w:val="00B019F8"/>
    <w:rsid w:val="00B0252C"/>
    <w:rsid w:val="00B03F31"/>
    <w:rsid w:val="00B04755"/>
    <w:rsid w:val="00B132AB"/>
    <w:rsid w:val="00B15FBD"/>
    <w:rsid w:val="00B163A9"/>
    <w:rsid w:val="00B165ED"/>
    <w:rsid w:val="00B1711E"/>
    <w:rsid w:val="00B17D5D"/>
    <w:rsid w:val="00B20580"/>
    <w:rsid w:val="00B2072D"/>
    <w:rsid w:val="00B27726"/>
    <w:rsid w:val="00B3149D"/>
    <w:rsid w:val="00B31527"/>
    <w:rsid w:val="00B337D5"/>
    <w:rsid w:val="00B3556B"/>
    <w:rsid w:val="00B365D9"/>
    <w:rsid w:val="00B36654"/>
    <w:rsid w:val="00B40F54"/>
    <w:rsid w:val="00B412F1"/>
    <w:rsid w:val="00B41454"/>
    <w:rsid w:val="00B44747"/>
    <w:rsid w:val="00B4653C"/>
    <w:rsid w:val="00B519F0"/>
    <w:rsid w:val="00B5239C"/>
    <w:rsid w:val="00B531DA"/>
    <w:rsid w:val="00B532D8"/>
    <w:rsid w:val="00B54444"/>
    <w:rsid w:val="00B577DE"/>
    <w:rsid w:val="00B64034"/>
    <w:rsid w:val="00B6437C"/>
    <w:rsid w:val="00B66611"/>
    <w:rsid w:val="00B70090"/>
    <w:rsid w:val="00B73A73"/>
    <w:rsid w:val="00B73EE6"/>
    <w:rsid w:val="00B75AA1"/>
    <w:rsid w:val="00B75D71"/>
    <w:rsid w:val="00B761C0"/>
    <w:rsid w:val="00B770FF"/>
    <w:rsid w:val="00B77A32"/>
    <w:rsid w:val="00B80EEE"/>
    <w:rsid w:val="00B81BDD"/>
    <w:rsid w:val="00B8232E"/>
    <w:rsid w:val="00B829D7"/>
    <w:rsid w:val="00B82CF5"/>
    <w:rsid w:val="00B82EF9"/>
    <w:rsid w:val="00B8427B"/>
    <w:rsid w:val="00B85010"/>
    <w:rsid w:val="00B852F5"/>
    <w:rsid w:val="00B85393"/>
    <w:rsid w:val="00B85F47"/>
    <w:rsid w:val="00B86589"/>
    <w:rsid w:val="00B86CBC"/>
    <w:rsid w:val="00B87927"/>
    <w:rsid w:val="00B87E69"/>
    <w:rsid w:val="00B90AA5"/>
    <w:rsid w:val="00B92619"/>
    <w:rsid w:val="00B928B5"/>
    <w:rsid w:val="00B92E19"/>
    <w:rsid w:val="00B95527"/>
    <w:rsid w:val="00B95639"/>
    <w:rsid w:val="00B977D9"/>
    <w:rsid w:val="00B979B5"/>
    <w:rsid w:val="00BA1804"/>
    <w:rsid w:val="00BA26EA"/>
    <w:rsid w:val="00BA4789"/>
    <w:rsid w:val="00BA4A77"/>
    <w:rsid w:val="00BA4D28"/>
    <w:rsid w:val="00BA5F0E"/>
    <w:rsid w:val="00BA6982"/>
    <w:rsid w:val="00BA6F0B"/>
    <w:rsid w:val="00BB0935"/>
    <w:rsid w:val="00BB0B4E"/>
    <w:rsid w:val="00BB5099"/>
    <w:rsid w:val="00BB5B32"/>
    <w:rsid w:val="00BB5F56"/>
    <w:rsid w:val="00BB647D"/>
    <w:rsid w:val="00BB7C74"/>
    <w:rsid w:val="00BC18B2"/>
    <w:rsid w:val="00BC18B4"/>
    <w:rsid w:val="00BC223A"/>
    <w:rsid w:val="00BC2763"/>
    <w:rsid w:val="00BC312A"/>
    <w:rsid w:val="00BC3134"/>
    <w:rsid w:val="00BC3310"/>
    <w:rsid w:val="00BC48C2"/>
    <w:rsid w:val="00BC5233"/>
    <w:rsid w:val="00BD06D9"/>
    <w:rsid w:val="00BD0971"/>
    <w:rsid w:val="00BD09BC"/>
    <w:rsid w:val="00BD2144"/>
    <w:rsid w:val="00BD2D23"/>
    <w:rsid w:val="00BD49AF"/>
    <w:rsid w:val="00BD4AC9"/>
    <w:rsid w:val="00BD5650"/>
    <w:rsid w:val="00BD62BE"/>
    <w:rsid w:val="00BD66CD"/>
    <w:rsid w:val="00BD7621"/>
    <w:rsid w:val="00BE4DF1"/>
    <w:rsid w:val="00BE7B10"/>
    <w:rsid w:val="00BF0BE0"/>
    <w:rsid w:val="00BF2C97"/>
    <w:rsid w:val="00BF34E6"/>
    <w:rsid w:val="00BF45CC"/>
    <w:rsid w:val="00C00267"/>
    <w:rsid w:val="00C00F1E"/>
    <w:rsid w:val="00C01339"/>
    <w:rsid w:val="00C01504"/>
    <w:rsid w:val="00C03C6E"/>
    <w:rsid w:val="00C0463B"/>
    <w:rsid w:val="00C050DC"/>
    <w:rsid w:val="00C05BEE"/>
    <w:rsid w:val="00C0634F"/>
    <w:rsid w:val="00C10D03"/>
    <w:rsid w:val="00C11360"/>
    <w:rsid w:val="00C13351"/>
    <w:rsid w:val="00C13F29"/>
    <w:rsid w:val="00C14C33"/>
    <w:rsid w:val="00C16810"/>
    <w:rsid w:val="00C2041D"/>
    <w:rsid w:val="00C20595"/>
    <w:rsid w:val="00C21C1E"/>
    <w:rsid w:val="00C22D76"/>
    <w:rsid w:val="00C23556"/>
    <w:rsid w:val="00C25D89"/>
    <w:rsid w:val="00C2686E"/>
    <w:rsid w:val="00C273EA"/>
    <w:rsid w:val="00C27926"/>
    <w:rsid w:val="00C30297"/>
    <w:rsid w:val="00C34E8A"/>
    <w:rsid w:val="00C35F2E"/>
    <w:rsid w:val="00C37305"/>
    <w:rsid w:val="00C37979"/>
    <w:rsid w:val="00C405FD"/>
    <w:rsid w:val="00C41624"/>
    <w:rsid w:val="00C41A6B"/>
    <w:rsid w:val="00C41FA9"/>
    <w:rsid w:val="00C43E4F"/>
    <w:rsid w:val="00C44089"/>
    <w:rsid w:val="00C5079D"/>
    <w:rsid w:val="00C51663"/>
    <w:rsid w:val="00C51750"/>
    <w:rsid w:val="00C5259A"/>
    <w:rsid w:val="00C5302B"/>
    <w:rsid w:val="00C54E4E"/>
    <w:rsid w:val="00C5545A"/>
    <w:rsid w:val="00C56953"/>
    <w:rsid w:val="00C60F79"/>
    <w:rsid w:val="00C62A2B"/>
    <w:rsid w:val="00C6308B"/>
    <w:rsid w:val="00C663AB"/>
    <w:rsid w:val="00C67BF2"/>
    <w:rsid w:val="00C70E3B"/>
    <w:rsid w:val="00C72857"/>
    <w:rsid w:val="00C745FD"/>
    <w:rsid w:val="00C802EE"/>
    <w:rsid w:val="00C817D6"/>
    <w:rsid w:val="00C82A28"/>
    <w:rsid w:val="00C834DA"/>
    <w:rsid w:val="00C84147"/>
    <w:rsid w:val="00C8419B"/>
    <w:rsid w:val="00C85314"/>
    <w:rsid w:val="00C8722A"/>
    <w:rsid w:val="00C872B5"/>
    <w:rsid w:val="00C934B4"/>
    <w:rsid w:val="00C93B55"/>
    <w:rsid w:val="00C94F09"/>
    <w:rsid w:val="00C95B3D"/>
    <w:rsid w:val="00C960D0"/>
    <w:rsid w:val="00C9655C"/>
    <w:rsid w:val="00C97D3F"/>
    <w:rsid w:val="00CA0398"/>
    <w:rsid w:val="00CA07E7"/>
    <w:rsid w:val="00CA0A8F"/>
    <w:rsid w:val="00CA0FAE"/>
    <w:rsid w:val="00CA1741"/>
    <w:rsid w:val="00CA1CEC"/>
    <w:rsid w:val="00CA3775"/>
    <w:rsid w:val="00CA41F0"/>
    <w:rsid w:val="00CA46D6"/>
    <w:rsid w:val="00CA4BC0"/>
    <w:rsid w:val="00CB250B"/>
    <w:rsid w:val="00CB25E2"/>
    <w:rsid w:val="00CB2BEA"/>
    <w:rsid w:val="00CB66BA"/>
    <w:rsid w:val="00CC03AE"/>
    <w:rsid w:val="00CC21C7"/>
    <w:rsid w:val="00CC4255"/>
    <w:rsid w:val="00CC559D"/>
    <w:rsid w:val="00CC5D3A"/>
    <w:rsid w:val="00CC766E"/>
    <w:rsid w:val="00CD1798"/>
    <w:rsid w:val="00CD3B98"/>
    <w:rsid w:val="00CD4A5D"/>
    <w:rsid w:val="00CD5345"/>
    <w:rsid w:val="00CD61C8"/>
    <w:rsid w:val="00CD654B"/>
    <w:rsid w:val="00CD6BD4"/>
    <w:rsid w:val="00CD7086"/>
    <w:rsid w:val="00CE094F"/>
    <w:rsid w:val="00CE17C6"/>
    <w:rsid w:val="00CE2201"/>
    <w:rsid w:val="00CE223E"/>
    <w:rsid w:val="00CE26B9"/>
    <w:rsid w:val="00CE4A22"/>
    <w:rsid w:val="00CE55F2"/>
    <w:rsid w:val="00CE5B0C"/>
    <w:rsid w:val="00CE742A"/>
    <w:rsid w:val="00CF0503"/>
    <w:rsid w:val="00CF17D2"/>
    <w:rsid w:val="00CF195A"/>
    <w:rsid w:val="00CF305E"/>
    <w:rsid w:val="00CF4BE2"/>
    <w:rsid w:val="00CF5F02"/>
    <w:rsid w:val="00CF674F"/>
    <w:rsid w:val="00D00C43"/>
    <w:rsid w:val="00D01FE2"/>
    <w:rsid w:val="00D03535"/>
    <w:rsid w:val="00D03B57"/>
    <w:rsid w:val="00D03ECC"/>
    <w:rsid w:val="00D06912"/>
    <w:rsid w:val="00D06938"/>
    <w:rsid w:val="00D06B8C"/>
    <w:rsid w:val="00D07601"/>
    <w:rsid w:val="00D07DAB"/>
    <w:rsid w:val="00D07F12"/>
    <w:rsid w:val="00D105BB"/>
    <w:rsid w:val="00D10936"/>
    <w:rsid w:val="00D11485"/>
    <w:rsid w:val="00D11BDB"/>
    <w:rsid w:val="00D135F1"/>
    <w:rsid w:val="00D145F5"/>
    <w:rsid w:val="00D1464E"/>
    <w:rsid w:val="00D14E16"/>
    <w:rsid w:val="00D153E0"/>
    <w:rsid w:val="00D15987"/>
    <w:rsid w:val="00D17CBC"/>
    <w:rsid w:val="00D20A36"/>
    <w:rsid w:val="00D21A23"/>
    <w:rsid w:val="00D22C3C"/>
    <w:rsid w:val="00D275D4"/>
    <w:rsid w:val="00D2769F"/>
    <w:rsid w:val="00D3191C"/>
    <w:rsid w:val="00D31957"/>
    <w:rsid w:val="00D31CD0"/>
    <w:rsid w:val="00D32683"/>
    <w:rsid w:val="00D34680"/>
    <w:rsid w:val="00D355F0"/>
    <w:rsid w:val="00D36BC3"/>
    <w:rsid w:val="00D36FB2"/>
    <w:rsid w:val="00D377ED"/>
    <w:rsid w:val="00D42F0F"/>
    <w:rsid w:val="00D444D0"/>
    <w:rsid w:val="00D446EA"/>
    <w:rsid w:val="00D45AF8"/>
    <w:rsid w:val="00D460F1"/>
    <w:rsid w:val="00D470A8"/>
    <w:rsid w:val="00D51997"/>
    <w:rsid w:val="00D51C05"/>
    <w:rsid w:val="00D53B27"/>
    <w:rsid w:val="00D55AF2"/>
    <w:rsid w:val="00D5699A"/>
    <w:rsid w:val="00D60EAE"/>
    <w:rsid w:val="00D637C9"/>
    <w:rsid w:val="00D64175"/>
    <w:rsid w:val="00D64E2E"/>
    <w:rsid w:val="00D65189"/>
    <w:rsid w:val="00D66706"/>
    <w:rsid w:val="00D66B53"/>
    <w:rsid w:val="00D671D5"/>
    <w:rsid w:val="00D67FD9"/>
    <w:rsid w:val="00D70BC1"/>
    <w:rsid w:val="00D729C0"/>
    <w:rsid w:val="00D77FDC"/>
    <w:rsid w:val="00D80295"/>
    <w:rsid w:val="00D82E8C"/>
    <w:rsid w:val="00D83B5B"/>
    <w:rsid w:val="00D83BD9"/>
    <w:rsid w:val="00D83C47"/>
    <w:rsid w:val="00D86195"/>
    <w:rsid w:val="00D875F2"/>
    <w:rsid w:val="00D878B0"/>
    <w:rsid w:val="00D90942"/>
    <w:rsid w:val="00D92769"/>
    <w:rsid w:val="00D948C4"/>
    <w:rsid w:val="00D95FB9"/>
    <w:rsid w:val="00D97696"/>
    <w:rsid w:val="00DA1ED8"/>
    <w:rsid w:val="00DA2072"/>
    <w:rsid w:val="00DA21D8"/>
    <w:rsid w:val="00DA2A6C"/>
    <w:rsid w:val="00DA39EF"/>
    <w:rsid w:val="00DA3E2A"/>
    <w:rsid w:val="00DA4141"/>
    <w:rsid w:val="00DA4ECA"/>
    <w:rsid w:val="00DA5916"/>
    <w:rsid w:val="00DA5AB5"/>
    <w:rsid w:val="00DA67E0"/>
    <w:rsid w:val="00DA686B"/>
    <w:rsid w:val="00DA79E8"/>
    <w:rsid w:val="00DA7F60"/>
    <w:rsid w:val="00DB088E"/>
    <w:rsid w:val="00DB39A0"/>
    <w:rsid w:val="00DB4EC6"/>
    <w:rsid w:val="00DB5621"/>
    <w:rsid w:val="00DB5B58"/>
    <w:rsid w:val="00DB6A4A"/>
    <w:rsid w:val="00DB6D28"/>
    <w:rsid w:val="00DB6FBB"/>
    <w:rsid w:val="00DB7BF1"/>
    <w:rsid w:val="00DB7F09"/>
    <w:rsid w:val="00DC00E8"/>
    <w:rsid w:val="00DC06C9"/>
    <w:rsid w:val="00DC5BDE"/>
    <w:rsid w:val="00DC72EF"/>
    <w:rsid w:val="00DC746C"/>
    <w:rsid w:val="00DD0C66"/>
    <w:rsid w:val="00DD16AE"/>
    <w:rsid w:val="00DD1970"/>
    <w:rsid w:val="00DD4A1B"/>
    <w:rsid w:val="00DD539B"/>
    <w:rsid w:val="00DD56F8"/>
    <w:rsid w:val="00DD5875"/>
    <w:rsid w:val="00DE7928"/>
    <w:rsid w:val="00DE7B46"/>
    <w:rsid w:val="00DE7D5A"/>
    <w:rsid w:val="00DF28B9"/>
    <w:rsid w:val="00DF516C"/>
    <w:rsid w:val="00DF5C77"/>
    <w:rsid w:val="00DF7B3A"/>
    <w:rsid w:val="00E005BE"/>
    <w:rsid w:val="00E0132D"/>
    <w:rsid w:val="00E02C1E"/>
    <w:rsid w:val="00E10D39"/>
    <w:rsid w:val="00E1136B"/>
    <w:rsid w:val="00E116A2"/>
    <w:rsid w:val="00E12D17"/>
    <w:rsid w:val="00E12D8F"/>
    <w:rsid w:val="00E1528C"/>
    <w:rsid w:val="00E1628B"/>
    <w:rsid w:val="00E16934"/>
    <w:rsid w:val="00E17CB0"/>
    <w:rsid w:val="00E21994"/>
    <w:rsid w:val="00E227AB"/>
    <w:rsid w:val="00E2280E"/>
    <w:rsid w:val="00E22D51"/>
    <w:rsid w:val="00E23676"/>
    <w:rsid w:val="00E248B8"/>
    <w:rsid w:val="00E260CE"/>
    <w:rsid w:val="00E275BB"/>
    <w:rsid w:val="00E277A4"/>
    <w:rsid w:val="00E27AD0"/>
    <w:rsid w:val="00E305B9"/>
    <w:rsid w:val="00E31BD3"/>
    <w:rsid w:val="00E35FA1"/>
    <w:rsid w:val="00E366F6"/>
    <w:rsid w:val="00E37699"/>
    <w:rsid w:val="00E379A1"/>
    <w:rsid w:val="00E40DAF"/>
    <w:rsid w:val="00E41C9E"/>
    <w:rsid w:val="00E423E6"/>
    <w:rsid w:val="00E43855"/>
    <w:rsid w:val="00E44D9B"/>
    <w:rsid w:val="00E47A5A"/>
    <w:rsid w:val="00E502AA"/>
    <w:rsid w:val="00E50325"/>
    <w:rsid w:val="00E50E7C"/>
    <w:rsid w:val="00E51545"/>
    <w:rsid w:val="00E51E54"/>
    <w:rsid w:val="00E52592"/>
    <w:rsid w:val="00E52B1D"/>
    <w:rsid w:val="00E535F0"/>
    <w:rsid w:val="00E53FE8"/>
    <w:rsid w:val="00E55326"/>
    <w:rsid w:val="00E553AD"/>
    <w:rsid w:val="00E558E6"/>
    <w:rsid w:val="00E61D14"/>
    <w:rsid w:val="00E6324D"/>
    <w:rsid w:val="00E65348"/>
    <w:rsid w:val="00E66972"/>
    <w:rsid w:val="00E672E8"/>
    <w:rsid w:val="00E711D7"/>
    <w:rsid w:val="00E733A2"/>
    <w:rsid w:val="00E75BDC"/>
    <w:rsid w:val="00E75C41"/>
    <w:rsid w:val="00E75EAC"/>
    <w:rsid w:val="00E769D6"/>
    <w:rsid w:val="00E76E72"/>
    <w:rsid w:val="00E80495"/>
    <w:rsid w:val="00E82121"/>
    <w:rsid w:val="00E82EB9"/>
    <w:rsid w:val="00E8339B"/>
    <w:rsid w:val="00E8415A"/>
    <w:rsid w:val="00E84493"/>
    <w:rsid w:val="00E86737"/>
    <w:rsid w:val="00E902B0"/>
    <w:rsid w:val="00E902E8"/>
    <w:rsid w:val="00E90AA7"/>
    <w:rsid w:val="00E91F4C"/>
    <w:rsid w:val="00E92437"/>
    <w:rsid w:val="00E9677E"/>
    <w:rsid w:val="00E973E4"/>
    <w:rsid w:val="00EA0376"/>
    <w:rsid w:val="00EA04A8"/>
    <w:rsid w:val="00EA0998"/>
    <w:rsid w:val="00EA2341"/>
    <w:rsid w:val="00EA404E"/>
    <w:rsid w:val="00EA4DDC"/>
    <w:rsid w:val="00EA53A0"/>
    <w:rsid w:val="00EA634E"/>
    <w:rsid w:val="00EA6B54"/>
    <w:rsid w:val="00EA7E57"/>
    <w:rsid w:val="00EB030F"/>
    <w:rsid w:val="00EB0503"/>
    <w:rsid w:val="00EB10A1"/>
    <w:rsid w:val="00EB1DCD"/>
    <w:rsid w:val="00EB4630"/>
    <w:rsid w:val="00EB48B7"/>
    <w:rsid w:val="00EB5D8B"/>
    <w:rsid w:val="00EB673F"/>
    <w:rsid w:val="00EB7C07"/>
    <w:rsid w:val="00EC1003"/>
    <w:rsid w:val="00EC17C4"/>
    <w:rsid w:val="00EC673F"/>
    <w:rsid w:val="00EC6B16"/>
    <w:rsid w:val="00EC7AD2"/>
    <w:rsid w:val="00ED02AC"/>
    <w:rsid w:val="00ED1542"/>
    <w:rsid w:val="00ED3B88"/>
    <w:rsid w:val="00ED4DAC"/>
    <w:rsid w:val="00ED5D33"/>
    <w:rsid w:val="00ED632A"/>
    <w:rsid w:val="00ED723E"/>
    <w:rsid w:val="00ED7482"/>
    <w:rsid w:val="00ED760F"/>
    <w:rsid w:val="00EE064E"/>
    <w:rsid w:val="00EE1BEC"/>
    <w:rsid w:val="00EE1E58"/>
    <w:rsid w:val="00EE2682"/>
    <w:rsid w:val="00EE26BD"/>
    <w:rsid w:val="00EE2B8B"/>
    <w:rsid w:val="00EE458C"/>
    <w:rsid w:val="00EE677F"/>
    <w:rsid w:val="00EE733B"/>
    <w:rsid w:val="00EE7903"/>
    <w:rsid w:val="00EE7E80"/>
    <w:rsid w:val="00EF3787"/>
    <w:rsid w:val="00EF6F20"/>
    <w:rsid w:val="00EF7496"/>
    <w:rsid w:val="00EF76B5"/>
    <w:rsid w:val="00EF79EF"/>
    <w:rsid w:val="00EF7D80"/>
    <w:rsid w:val="00EF7E18"/>
    <w:rsid w:val="00F0082D"/>
    <w:rsid w:val="00F022CD"/>
    <w:rsid w:val="00F03A61"/>
    <w:rsid w:val="00F05341"/>
    <w:rsid w:val="00F07C90"/>
    <w:rsid w:val="00F07F97"/>
    <w:rsid w:val="00F122CC"/>
    <w:rsid w:val="00F12410"/>
    <w:rsid w:val="00F13618"/>
    <w:rsid w:val="00F13F56"/>
    <w:rsid w:val="00F15013"/>
    <w:rsid w:val="00F151B1"/>
    <w:rsid w:val="00F20469"/>
    <w:rsid w:val="00F21700"/>
    <w:rsid w:val="00F21FE1"/>
    <w:rsid w:val="00F22222"/>
    <w:rsid w:val="00F24250"/>
    <w:rsid w:val="00F25E77"/>
    <w:rsid w:val="00F27258"/>
    <w:rsid w:val="00F2799A"/>
    <w:rsid w:val="00F30477"/>
    <w:rsid w:val="00F338C1"/>
    <w:rsid w:val="00F35317"/>
    <w:rsid w:val="00F37D42"/>
    <w:rsid w:val="00F411DE"/>
    <w:rsid w:val="00F41CB4"/>
    <w:rsid w:val="00F42424"/>
    <w:rsid w:val="00F4366D"/>
    <w:rsid w:val="00F43B7F"/>
    <w:rsid w:val="00F44461"/>
    <w:rsid w:val="00F454C0"/>
    <w:rsid w:val="00F45E35"/>
    <w:rsid w:val="00F46220"/>
    <w:rsid w:val="00F50FCB"/>
    <w:rsid w:val="00F549C4"/>
    <w:rsid w:val="00F54D32"/>
    <w:rsid w:val="00F5500E"/>
    <w:rsid w:val="00F55649"/>
    <w:rsid w:val="00F5694F"/>
    <w:rsid w:val="00F57354"/>
    <w:rsid w:val="00F574BC"/>
    <w:rsid w:val="00F57AE6"/>
    <w:rsid w:val="00F60DDD"/>
    <w:rsid w:val="00F60E0E"/>
    <w:rsid w:val="00F6144D"/>
    <w:rsid w:val="00F64897"/>
    <w:rsid w:val="00F65ACE"/>
    <w:rsid w:val="00F66B9F"/>
    <w:rsid w:val="00F66F30"/>
    <w:rsid w:val="00F6735B"/>
    <w:rsid w:val="00F67C23"/>
    <w:rsid w:val="00F71782"/>
    <w:rsid w:val="00F71A0E"/>
    <w:rsid w:val="00F71AA7"/>
    <w:rsid w:val="00F7280C"/>
    <w:rsid w:val="00F746F9"/>
    <w:rsid w:val="00F77730"/>
    <w:rsid w:val="00F839FF"/>
    <w:rsid w:val="00F84D63"/>
    <w:rsid w:val="00F85C67"/>
    <w:rsid w:val="00F85D1D"/>
    <w:rsid w:val="00F8607A"/>
    <w:rsid w:val="00F8665A"/>
    <w:rsid w:val="00F87457"/>
    <w:rsid w:val="00F87C2A"/>
    <w:rsid w:val="00F91029"/>
    <w:rsid w:val="00F92279"/>
    <w:rsid w:val="00F93401"/>
    <w:rsid w:val="00F9379B"/>
    <w:rsid w:val="00F94AD5"/>
    <w:rsid w:val="00F95A70"/>
    <w:rsid w:val="00F977FF"/>
    <w:rsid w:val="00FA0872"/>
    <w:rsid w:val="00FA0CBA"/>
    <w:rsid w:val="00FA1117"/>
    <w:rsid w:val="00FA210C"/>
    <w:rsid w:val="00FA2645"/>
    <w:rsid w:val="00FA311F"/>
    <w:rsid w:val="00FA3BD3"/>
    <w:rsid w:val="00FA5E27"/>
    <w:rsid w:val="00FA6379"/>
    <w:rsid w:val="00FA741F"/>
    <w:rsid w:val="00FB041F"/>
    <w:rsid w:val="00FB0FFB"/>
    <w:rsid w:val="00FB24C8"/>
    <w:rsid w:val="00FB4E49"/>
    <w:rsid w:val="00FB64AA"/>
    <w:rsid w:val="00FB68B5"/>
    <w:rsid w:val="00FB746E"/>
    <w:rsid w:val="00FB7F62"/>
    <w:rsid w:val="00FC0417"/>
    <w:rsid w:val="00FC1BC1"/>
    <w:rsid w:val="00FC1D6C"/>
    <w:rsid w:val="00FC2AAF"/>
    <w:rsid w:val="00FC4186"/>
    <w:rsid w:val="00FC4469"/>
    <w:rsid w:val="00FC519B"/>
    <w:rsid w:val="00FC5F93"/>
    <w:rsid w:val="00FC6ADA"/>
    <w:rsid w:val="00FD167C"/>
    <w:rsid w:val="00FD21C0"/>
    <w:rsid w:val="00FD270F"/>
    <w:rsid w:val="00FD3672"/>
    <w:rsid w:val="00FD3DE0"/>
    <w:rsid w:val="00FD50C6"/>
    <w:rsid w:val="00FD5B3D"/>
    <w:rsid w:val="00FD7476"/>
    <w:rsid w:val="00FE0567"/>
    <w:rsid w:val="00FE1425"/>
    <w:rsid w:val="00FE219E"/>
    <w:rsid w:val="00FE220C"/>
    <w:rsid w:val="00FE2AB0"/>
    <w:rsid w:val="00FE2B86"/>
    <w:rsid w:val="00FE4654"/>
    <w:rsid w:val="00FE49E2"/>
    <w:rsid w:val="00FE62A7"/>
    <w:rsid w:val="00FE7924"/>
    <w:rsid w:val="00FF1C15"/>
    <w:rsid w:val="00FF3922"/>
    <w:rsid w:val="00FF4DB7"/>
    <w:rsid w:val="00FF5CE5"/>
    <w:rsid w:val="00FF61EC"/>
    <w:rsid w:val="00FF7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27A27"/>
  <w15:docId w15:val="{72370995-1BFA-406D-B6A5-A5A3839B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354FBB"/>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26F95"/>
    <w:pPr>
      <w:spacing w:before="120"/>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54FBB"/>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26F95"/>
    <w:rPr>
      <w:rFonts w:ascii="Calibri" w:eastAsia="Times New Roman" w:hAnsi="Calibri" w:cs="Arial"/>
      <w:b/>
      <w:iCs/>
      <w:color w:val="002C47"/>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354FBB"/>
    <w:pPr>
      <w:keepNext/>
      <w:spacing w:before="240"/>
    </w:pPr>
    <w:rPr>
      <w:b/>
      <w:color w:val="00827F" w:themeColor="accent3"/>
      <w:sz w:val="26"/>
      <w:szCs w:val="26"/>
    </w:rPr>
  </w:style>
  <w:style w:type="paragraph" w:customStyle="1" w:styleId="BoxText">
    <w:name w:val="Box Text"/>
    <w:basedOn w:val="Normal"/>
    <w:rsid w:val="000E0B74"/>
  </w:style>
  <w:style w:type="paragraph" w:customStyle="1" w:styleId="Bullet">
    <w:name w:val="Bullet"/>
    <w:aliases w:val="b,b1,Body,b + line,level 1,Bullet + line"/>
    <w:basedOn w:val="Normal"/>
    <w:link w:val="BulletChar"/>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CE5B0C"/>
    <w:rPr>
      <w:color w:val="3A6FAF"/>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aliases w:val="b + line Char Char,b Char,b Char Char,b1 Char,b + line Char,Body Char,level 1 Char,Number Char,Bullet + line Char,Bullets Char,L Char,List Paragraph Char,List Paragraph1 Char,List Paragraph11 Char,Recommendation Char,List Paragraph2 Char"/>
    <w:basedOn w:val="DefaultParagraphFont"/>
    <w:link w:val="Bullet"/>
    <w:qFormat/>
    <w:rsid w:val="004B47AA"/>
    <w:rPr>
      <w:rFonts w:ascii="Calibri" w:eastAsia="Times New Roman" w:hAnsi="Calibri" w:cs="Times New Roman"/>
      <w:szCs w:val="20"/>
      <w:lang w:eastAsia="en-AU"/>
    </w:rPr>
  </w:style>
  <w:style w:type="paragraph" w:styleId="ListParagraph">
    <w:name w:val="List Paragraph"/>
    <w:basedOn w:val="Normal"/>
    <w:uiPriority w:val="34"/>
    <w:qFormat/>
    <w:rsid w:val="00FC0417"/>
    <w:pPr>
      <w:spacing w:before="0" w:after="160" w:line="259" w:lineRule="auto"/>
      <w:ind w:left="720"/>
      <w:contextualSpacing/>
    </w:pPr>
    <w:rPr>
      <w:rFonts w:asciiTheme="minorHAnsi" w:eastAsiaTheme="minorHAnsi" w:hAnsiTheme="minorHAnsi" w:cstheme="minorBidi"/>
      <w:szCs w:val="22"/>
      <w:lang w:eastAsia="en-US"/>
    </w:rPr>
  </w:style>
  <w:style w:type="character" w:customStyle="1" w:styleId="OutlineNumbered1Char">
    <w:name w:val="Outline Numbered 1 Char"/>
    <w:basedOn w:val="DefaultParagraphFont"/>
    <w:link w:val="OutlineNumbered1"/>
    <w:rsid w:val="00FC0417"/>
    <w:rPr>
      <w:rFonts w:ascii="Calibri" w:eastAsia="Times New Roman" w:hAnsi="Calibri" w:cs="Times New Roman"/>
      <w:szCs w:val="20"/>
      <w:lang w:eastAsia="en-AU"/>
    </w:rPr>
  </w:style>
  <w:style w:type="character" w:customStyle="1" w:styleId="DashChar">
    <w:name w:val="Dash Char"/>
    <w:basedOn w:val="DefaultParagraphFont"/>
    <w:link w:val="Dash"/>
    <w:rsid w:val="00FC0417"/>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F4366D"/>
    <w:rPr>
      <w:sz w:val="16"/>
      <w:szCs w:val="16"/>
    </w:rPr>
  </w:style>
  <w:style w:type="paragraph" w:styleId="CommentText">
    <w:name w:val="annotation text"/>
    <w:basedOn w:val="Normal"/>
    <w:link w:val="CommentTextChar"/>
    <w:uiPriority w:val="99"/>
    <w:semiHidden/>
    <w:unhideWhenUsed/>
    <w:rsid w:val="00F4366D"/>
    <w:rPr>
      <w:sz w:val="20"/>
    </w:rPr>
  </w:style>
  <w:style w:type="character" w:customStyle="1" w:styleId="CommentTextChar">
    <w:name w:val="Comment Text Char"/>
    <w:basedOn w:val="DefaultParagraphFont"/>
    <w:link w:val="CommentText"/>
    <w:uiPriority w:val="99"/>
    <w:semiHidden/>
    <w:rsid w:val="00F4366D"/>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4366D"/>
    <w:rPr>
      <w:b/>
      <w:bCs/>
    </w:rPr>
  </w:style>
  <w:style w:type="character" w:customStyle="1" w:styleId="CommentSubjectChar">
    <w:name w:val="Comment Subject Char"/>
    <w:basedOn w:val="CommentTextChar"/>
    <w:link w:val="CommentSubject"/>
    <w:uiPriority w:val="99"/>
    <w:semiHidden/>
    <w:rsid w:val="00F4366D"/>
    <w:rPr>
      <w:rFonts w:ascii="Calibri" w:eastAsia="Times New Roman" w:hAnsi="Calibri" w:cs="Times New Roman"/>
      <w:b/>
      <w:bCs/>
      <w:sz w:val="20"/>
      <w:szCs w:val="20"/>
      <w:lang w:eastAsia="en-AU"/>
    </w:rPr>
  </w:style>
  <w:style w:type="character" w:styleId="FollowedHyperlink">
    <w:name w:val="FollowedHyperlink"/>
    <w:basedOn w:val="DefaultParagraphFont"/>
    <w:uiPriority w:val="99"/>
    <w:semiHidden/>
    <w:unhideWhenUsed/>
    <w:rsid w:val="001D10A4"/>
    <w:rPr>
      <w:color w:val="E61E26" w:themeColor="followedHyperlink"/>
      <w:u w:val="single"/>
    </w:rPr>
  </w:style>
  <w:style w:type="paragraph" w:styleId="Caption">
    <w:name w:val="caption"/>
    <w:basedOn w:val="Normal"/>
    <w:next w:val="Normal"/>
    <w:uiPriority w:val="35"/>
    <w:unhideWhenUsed/>
    <w:qFormat/>
    <w:rsid w:val="00DB4EC6"/>
    <w:pPr>
      <w:spacing w:before="0" w:after="200"/>
    </w:pPr>
    <w:rPr>
      <w:i/>
      <w:iCs/>
      <w:color w:val="F06252" w:themeColor="text2"/>
      <w:sz w:val="18"/>
      <w:szCs w:val="18"/>
    </w:rPr>
  </w:style>
  <w:style w:type="paragraph" w:styleId="Revision">
    <w:name w:val="Revision"/>
    <w:hidden/>
    <w:uiPriority w:val="99"/>
    <w:semiHidden/>
    <w:rsid w:val="00DE7D5A"/>
    <w:pPr>
      <w:spacing w:after="0" w:line="240" w:lineRule="auto"/>
    </w:pPr>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5729">
      <w:bodyDiv w:val="1"/>
      <w:marLeft w:val="0"/>
      <w:marRight w:val="0"/>
      <w:marTop w:val="0"/>
      <w:marBottom w:val="0"/>
      <w:divBdr>
        <w:top w:val="none" w:sz="0" w:space="0" w:color="auto"/>
        <w:left w:val="none" w:sz="0" w:space="0" w:color="auto"/>
        <w:bottom w:val="none" w:sz="0" w:space="0" w:color="auto"/>
        <w:right w:val="none" w:sz="0" w:space="0" w:color="auto"/>
      </w:divBdr>
    </w:div>
    <w:div w:id="249705409">
      <w:bodyDiv w:val="1"/>
      <w:marLeft w:val="0"/>
      <w:marRight w:val="0"/>
      <w:marTop w:val="0"/>
      <w:marBottom w:val="0"/>
      <w:divBdr>
        <w:top w:val="none" w:sz="0" w:space="0" w:color="auto"/>
        <w:left w:val="none" w:sz="0" w:space="0" w:color="auto"/>
        <w:bottom w:val="none" w:sz="0" w:space="0" w:color="auto"/>
        <w:right w:val="none" w:sz="0" w:space="0" w:color="auto"/>
      </w:divBdr>
    </w:div>
    <w:div w:id="422841267">
      <w:bodyDiv w:val="1"/>
      <w:marLeft w:val="0"/>
      <w:marRight w:val="0"/>
      <w:marTop w:val="0"/>
      <w:marBottom w:val="0"/>
      <w:divBdr>
        <w:top w:val="none" w:sz="0" w:space="0" w:color="auto"/>
        <w:left w:val="none" w:sz="0" w:space="0" w:color="auto"/>
        <w:bottom w:val="none" w:sz="0" w:space="0" w:color="auto"/>
        <w:right w:val="none" w:sz="0" w:space="0" w:color="auto"/>
      </w:divBdr>
    </w:div>
    <w:div w:id="638267972">
      <w:bodyDiv w:val="1"/>
      <w:marLeft w:val="0"/>
      <w:marRight w:val="0"/>
      <w:marTop w:val="0"/>
      <w:marBottom w:val="0"/>
      <w:divBdr>
        <w:top w:val="none" w:sz="0" w:space="0" w:color="auto"/>
        <w:left w:val="none" w:sz="0" w:space="0" w:color="auto"/>
        <w:bottom w:val="none" w:sz="0" w:space="0" w:color="auto"/>
        <w:right w:val="none" w:sz="0" w:space="0" w:color="auto"/>
      </w:divBdr>
    </w:div>
    <w:div w:id="989554533">
      <w:bodyDiv w:val="1"/>
      <w:marLeft w:val="0"/>
      <w:marRight w:val="0"/>
      <w:marTop w:val="0"/>
      <w:marBottom w:val="0"/>
      <w:divBdr>
        <w:top w:val="none" w:sz="0" w:space="0" w:color="auto"/>
        <w:left w:val="none" w:sz="0" w:space="0" w:color="auto"/>
        <w:bottom w:val="none" w:sz="0" w:space="0" w:color="auto"/>
        <w:right w:val="none" w:sz="0" w:space="0" w:color="auto"/>
      </w:divBdr>
      <w:divsChild>
        <w:div w:id="728773494">
          <w:marLeft w:val="0"/>
          <w:marRight w:val="0"/>
          <w:marTop w:val="0"/>
          <w:marBottom w:val="0"/>
          <w:divBdr>
            <w:top w:val="none" w:sz="0" w:space="0" w:color="auto"/>
            <w:left w:val="none" w:sz="0" w:space="0" w:color="auto"/>
            <w:bottom w:val="none" w:sz="0" w:space="0" w:color="auto"/>
            <w:right w:val="none" w:sz="0" w:space="0" w:color="auto"/>
          </w:divBdr>
          <w:divsChild>
            <w:div w:id="297225342">
              <w:marLeft w:val="0"/>
              <w:marRight w:val="0"/>
              <w:marTop w:val="0"/>
              <w:marBottom w:val="0"/>
              <w:divBdr>
                <w:top w:val="none" w:sz="0" w:space="0" w:color="auto"/>
                <w:left w:val="none" w:sz="0" w:space="0" w:color="auto"/>
                <w:bottom w:val="none" w:sz="0" w:space="0" w:color="auto"/>
                <w:right w:val="none" w:sz="0" w:space="0" w:color="auto"/>
              </w:divBdr>
              <w:divsChild>
                <w:div w:id="196823175">
                  <w:marLeft w:val="0"/>
                  <w:marRight w:val="0"/>
                  <w:marTop w:val="0"/>
                  <w:marBottom w:val="0"/>
                  <w:divBdr>
                    <w:top w:val="none" w:sz="0" w:space="0" w:color="auto"/>
                    <w:left w:val="none" w:sz="0" w:space="0" w:color="auto"/>
                    <w:bottom w:val="none" w:sz="0" w:space="0" w:color="auto"/>
                    <w:right w:val="none" w:sz="0" w:space="0" w:color="auto"/>
                  </w:divBdr>
                  <w:divsChild>
                    <w:div w:id="535310343">
                      <w:marLeft w:val="0"/>
                      <w:marRight w:val="0"/>
                      <w:marTop w:val="0"/>
                      <w:marBottom w:val="0"/>
                      <w:divBdr>
                        <w:top w:val="none" w:sz="0" w:space="0" w:color="auto"/>
                        <w:left w:val="none" w:sz="0" w:space="0" w:color="auto"/>
                        <w:bottom w:val="none" w:sz="0" w:space="0" w:color="auto"/>
                        <w:right w:val="none" w:sz="0" w:space="0" w:color="auto"/>
                      </w:divBdr>
                      <w:divsChild>
                        <w:div w:id="536629591">
                          <w:marLeft w:val="0"/>
                          <w:marRight w:val="0"/>
                          <w:marTop w:val="0"/>
                          <w:marBottom w:val="0"/>
                          <w:divBdr>
                            <w:top w:val="none" w:sz="0" w:space="0" w:color="auto"/>
                            <w:left w:val="none" w:sz="0" w:space="0" w:color="auto"/>
                            <w:bottom w:val="none" w:sz="0" w:space="0" w:color="auto"/>
                            <w:right w:val="none" w:sz="0" w:space="0" w:color="auto"/>
                          </w:divBdr>
                          <w:divsChild>
                            <w:div w:id="344290793">
                              <w:marLeft w:val="0"/>
                              <w:marRight w:val="0"/>
                              <w:marTop w:val="0"/>
                              <w:marBottom w:val="0"/>
                              <w:divBdr>
                                <w:top w:val="none" w:sz="0" w:space="0" w:color="auto"/>
                                <w:left w:val="none" w:sz="0" w:space="0" w:color="auto"/>
                                <w:bottom w:val="none" w:sz="0" w:space="0" w:color="auto"/>
                                <w:right w:val="none" w:sz="0" w:space="0" w:color="auto"/>
                              </w:divBdr>
                              <w:divsChild>
                                <w:div w:id="465852693">
                                  <w:marLeft w:val="0"/>
                                  <w:marRight w:val="0"/>
                                  <w:marTop w:val="0"/>
                                  <w:marBottom w:val="0"/>
                                  <w:divBdr>
                                    <w:top w:val="none" w:sz="0" w:space="0" w:color="auto"/>
                                    <w:left w:val="none" w:sz="0" w:space="0" w:color="auto"/>
                                    <w:bottom w:val="none" w:sz="0" w:space="0" w:color="auto"/>
                                    <w:right w:val="none" w:sz="0" w:space="0" w:color="auto"/>
                                  </w:divBdr>
                                  <w:divsChild>
                                    <w:div w:id="46416524">
                                      <w:marLeft w:val="0"/>
                                      <w:marRight w:val="0"/>
                                      <w:marTop w:val="0"/>
                                      <w:marBottom w:val="0"/>
                                      <w:divBdr>
                                        <w:top w:val="none" w:sz="0" w:space="0" w:color="auto"/>
                                        <w:left w:val="none" w:sz="0" w:space="0" w:color="auto"/>
                                        <w:bottom w:val="none" w:sz="0" w:space="0" w:color="auto"/>
                                        <w:right w:val="none" w:sz="0" w:space="0" w:color="auto"/>
                                      </w:divBdr>
                                      <w:divsChild>
                                        <w:div w:id="1358846402">
                                          <w:marLeft w:val="0"/>
                                          <w:marRight w:val="0"/>
                                          <w:marTop w:val="0"/>
                                          <w:marBottom w:val="0"/>
                                          <w:divBdr>
                                            <w:top w:val="none" w:sz="0" w:space="0" w:color="auto"/>
                                            <w:left w:val="none" w:sz="0" w:space="0" w:color="auto"/>
                                            <w:bottom w:val="none" w:sz="0" w:space="0" w:color="auto"/>
                                            <w:right w:val="none" w:sz="0" w:space="0" w:color="auto"/>
                                          </w:divBdr>
                                          <w:divsChild>
                                            <w:div w:id="1298606835">
                                              <w:marLeft w:val="0"/>
                                              <w:marRight w:val="0"/>
                                              <w:marTop w:val="0"/>
                                              <w:marBottom w:val="0"/>
                                              <w:divBdr>
                                                <w:top w:val="none" w:sz="0" w:space="0" w:color="auto"/>
                                                <w:left w:val="none" w:sz="0" w:space="0" w:color="auto"/>
                                                <w:bottom w:val="none" w:sz="0" w:space="0" w:color="auto"/>
                                                <w:right w:val="none" w:sz="0" w:space="0" w:color="auto"/>
                                              </w:divBdr>
                                              <w:divsChild>
                                                <w:div w:id="1136994872">
                                                  <w:marLeft w:val="0"/>
                                                  <w:marRight w:val="0"/>
                                                  <w:marTop w:val="0"/>
                                                  <w:marBottom w:val="0"/>
                                                  <w:divBdr>
                                                    <w:top w:val="none" w:sz="0" w:space="0" w:color="auto"/>
                                                    <w:left w:val="none" w:sz="0" w:space="0" w:color="auto"/>
                                                    <w:bottom w:val="none" w:sz="0" w:space="0" w:color="auto"/>
                                                    <w:right w:val="none" w:sz="0" w:space="0" w:color="auto"/>
                                                  </w:divBdr>
                                                  <w:divsChild>
                                                    <w:div w:id="680621606">
                                                      <w:marLeft w:val="0"/>
                                                      <w:marRight w:val="0"/>
                                                      <w:marTop w:val="0"/>
                                                      <w:marBottom w:val="0"/>
                                                      <w:divBdr>
                                                        <w:top w:val="none" w:sz="0" w:space="0" w:color="auto"/>
                                                        <w:left w:val="none" w:sz="0" w:space="0" w:color="auto"/>
                                                        <w:bottom w:val="none" w:sz="0" w:space="0" w:color="auto"/>
                                                        <w:right w:val="none" w:sz="0" w:space="0" w:color="auto"/>
                                                      </w:divBdr>
                                                      <w:divsChild>
                                                        <w:div w:id="14480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125074">
      <w:bodyDiv w:val="1"/>
      <w:marLeft w:val="0"/>
      <w:marRight w:val="0"/>
      <w:marTop w:val="0"/>
      <w:marBottom w:val="0"/>
      <w:divBdr>
        <w:top w:val="none" w:sz="0" w:space="0" w:color="auto"/>
        <w:left w:val="none" w:sz="0" w:space="0" w:color="auto"/>
        <w:bottom w:val="none" w:sz="0" w:space="0" w:color="auto"/>
        <w:right w:val="none" w:sz="0" w:space="0" w:color="auto"/>
      </w:divBdr>
    </w:div>
    <w:div w:id="1087309695">
      <w:bodyDiv w:val="1"/>
      <w:marLeft w:val="0"/>
      <w:marRight w:val="0"/>
      <w:marTop w:val="0"/>
      <w:marBottom w:val="0"/>
      <w:divBdr>
        <w:top w:val="none" w:sz="0" w:space="0" w:color="auto"/>
        <w:left w:val="none" w:sz="0" w:space="0" w:color="auto"/>
        <w:bottom w:val="none" w:sz="0" w:space="0" w:color="auto"/>
        <w:right w:val="none" w:sz="0" w:space="0" w:color="auto"/>
      </w:divBdr>
    </w:div>
    <w:div w:id="1417169795">
      <w:bodyDiv w:val="1"/>
      <w:marLeft w:val="0"/>
      <w:marRight w:val="0"/>
      <w:marTop w:val="0"/>
      <w:marBottom w:val="0"/>
      <w:divBdr>
        <w:top w:val="none" w:sz="0" w:space="0" w:color="auto"/>
        <w:left w:val="none" w:sz="0" w:space="0" w:color="auto"/>
        <w:bottom w:val="none" w:sz="0" w:space="0" w:color="auto"/>
        <w:right w:val="none" w:sz="0" w:space="0" w:color="auto"/>
      </w:divBdr>
    </w:div>
    <w:div w:id="1540970466">
      <w:bodyDiv w:val="1"/>
      <w:marLeft w:val="0"/>
      <w:marRight w:val="0"/>
      <w:marTop w:val="0"/>
      <w:marBottom w:val="0"/>
      <w:divBdr>
        <w:top w:val="none" w:sz="0" w:space="0" w:color="auto"/>
        <w:left w:val="none" w:sz="0" w:space="0" w:color="auto"/>
        <w:bottom w:val="none" w:sz="0" w:space="0" w:color="auto"/>
        <w:right w:val="none" w:sz="0" w:space="0" w:color="auto"/>
      </w:divBdr>
    </w:div>
    <w:div w:id="169846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creativecommons.org/licenses/by/3.0/au/deed.en" TargetMode="External"/><Relationship Id="rId26" Type="http://schemas.openxmlformats.org/officeDocument/2006/relationships/hyperlink" Target="https://www.nhfic.gov.au/what-we-do/investor-relations/social-bonds/"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wmf"/><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eader" Target="head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hyperlink" Target="https://treasury.gov.au/submission-guidelines" TargetMode="External"/><Relationship Id="rId28"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8C939C4C7631664591E4B2408A6EC687" ma:contentTypeVersion="34055" ma:contentTypeDescription=" " ma:contentTypeScope="" ma:versionID="7594c07d21695a5c18e537bc23f60299">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b6c89c95214b513071ca8031b82e54f8"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3:n748a1c17def4c93b413435c48ea641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n748a1c17def4c93b413435c48ea6417" ma:index="18" nillable="true" ma:taxonomy="true" ma:internalName="n748a1c17def4c93b413435c48ea6417" ma:taxonomyFieldName="TSY_x0020_Topic" ma:displayName="TSY Topic" ma:readOnly="false" ma:fieldId="{7748a1c1-7def-4c93-b413-435c48ea6417}"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n748a1c17def4c93b413435c48ea6417 xmlns="e544e5cc-ab70-42e1-849e-1a0f8bb1f4ef">
      <Terms xmlns="http://schemas.microsoft.com/office/infopath/2007/PartnerControls"/>
    </n748a1c17def4c93b413435c48ea6417>
    <TaxCatchAll xmlns="0f563589-9cf9-4143-b1eb-fb0534803d38">
      <Value>2</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0f563589-9cf9-4143-b1eb-fb0534803d38">2020FG-73-20785</_dlc_DocId>
    <_dlc_DocIdUrl xmlns="0f563589-9cf9-4143-b1eb-fb0534803d38">
      <Url>http://tweb/sites/fg/spd/_layouts/15/DocIdRedir.aspx?ID=2020FG-73-20785</Url>
      <Description>2020FG-73-20785</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A3300-333B-4CCD-9DB0-4CC5C4270CBB}">
  <ds:schemaRefs>
    <ds:schemaRef ds:uri="http://schemas.microsoft.com/sharepoint/events"/>
  </ds:schemaRefs>
</ds:datastoreItem>
</file>

<file path=customXml/itemProps2.xml><?xml version="1.0" encoding="utf-8"?>
<ds:datastoreItem xmlns:ds="http://schemas.openxmlformats.org/officeDocument/2006/customXml" ds:itemID="{9B0DC6C4-854C-4207-9502-0D7A4895E2E5}">
  <ds:schemaRefs>
    <ds:schemaRef ds:uri="office.server.policy"/>
  </ds:schemaRefs>
</ds:datastoreItem>
</file>

<file path=customXml/itemProps3.xml><?xml version="1.0" encoding="utf-8"?>
<ds:datastoreItem xmlns:ds="http://schemas.openxmlformats.org/officeDocument/2006/customXml" ds:itemID="{CF17DB55-99B7-481A-8178-6ACD37E863FE}">
  <ds:schemaRefs>
    <ds:schemaRef ds:uri="http://schemas.microsoft.com/sharepoint/v3/contenttype/forms"/>
  </ds:schemaRefs>
</ds:datastoreItem>
</file>

<file path=customXml/itemProps4.xml><?xml version="1.0" encoding="utf-8"?>
<ds:datastoreItem xmlns:ds="http://schemas.openxmlformats.org/officeDocument/2006/customXml" ds:itemID="{613F21C5-BC53-4E8A-A689-113AAD7F2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E6200A-1995-479B-9B33-59019292C958}">
  <ds:schemaRefs>
    <ds:schemaRef ds:uri="http://schemas.microsoft.com/office/2006/metadata/properties"/>
    <ds:schemaRef ds:uri="http://schemas.microsoft.com/office/infopath/2007/PartnerControls"/>
    <ds:schemaRef ds:uri="http://schemas.microsoft.com/sharepoint/v4"/>
    <ds:schemaRef ds:uri="e544e5cc-ab70-42e1-849e-1a0f8bb1f4ef"/>
    <ds:schemaRef ds:uri="0f563589-9cf9-4143-b1eb-fb0534803d38"/>
  </ds:schemaRefs>
</ds:datastoreItem>
</file>

<file path=customXml/itemProps6.xml><?xml version="1.0" encoding="utf-8"?>
<ds:datastoreItem xmlns:ds="http://schemas.openxmlformats.org/officeDocument/2006/customXml" ds:itemID="{1D350450-78E5-455E-AA9B-149E3A577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2</TotalTime>
  <Pages>1</Pages>
  <Words>3845</Words>
  <Characters>21921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25715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Treasury</dc:creator>
  <cp:keywords/>
  <dc:description/>
  <cp:lastModifiedBy>Zewe, Conrad</cp:lastModifiedBy>
  <cp:revision>6</cp:revision>
  <cp:lastPrinted>2020-12-07T04:41:00Z</cp:lastPrinted>
  <dcterms:created xsi:type="dcterms:W3CDTF">2020-12-07T04:47:00Z</dcterms:created>
  <dcterms:modified xsi:type="dcterms:W3CDTF">2020-12-07T05:58:00Z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0x010100348D01E61E107C4DA4B97E380EA20D47008C939C4C7631664591E4B2408A6EC687</vt:lpwstr>
  </property>
  <property fmtid="{D5CDD505-2E9C-101B-9397-08002B2CF9AE}" pid="3" name="TSY Topic">
    <vt:lpwstr/>
  </property>
  <property fmtid="{D5CDD505-2E9C-101B-9397-08002B2CF9AE}" pid="4" name="TSYRecordClass">
    <vt:lpwstr>2;#TSY RA-8748 - Retain as national archives|243f2231-dbfc-4282-b24a-c9b768286bd0</vt:lpwstr>
  </property>
  <property fmtid="{D5CDD505-2E9C-101B-9397-08002B2CF9AE}" pid="5" name="_dlc_DocIdItemGuid">
    <vt:lpwstr>b31947fa-89db-422e-b212-2829c0ea3b90</vt:lpwstr>
  </property>
</Properties>
</file>