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0B7520" w14:textId="282168AD" w:rsidR="003A4C1B" w:rsidRDefault="0090716A" w:rsidP="004215F5">
      <w:pPr>
        <w:pStyle w:val="Bullet"/>
        <w:numPr>
          <w:ilvl w:val="0"/>
          <w:numId w:val="0"/>
        </w:numPr>
        <w:ind w:left="520"/>
      </w:pPr>
      <w:bookmarkStart w:id="0" w:name="_GoBack"/>
      <w:bookmarkEnd w:id="0"/>
      <w:r>
        <w:rPr>
          <w:noProof/>
          <w:color w:val="000000"/>
          <w:sz w:val="32"/>
          <w:szCs w:val="32"/>
        </w:rPr>
        <w:drawing>
          <wp:anchor distT="0" distB="0" distL="114300" distR="114300" simplePos="0" relativeHeight="251658241" behindDoc="0" locked="0" layoutInCell="1" allowOverlap="1" wp14:anchorId="1A3C2B53" wp14:editId="14A0016F">
            <wp:simplePos x="0" y="0"/>
            <wp:positionH relativeFrom="page">
              <wp:align>left</wp:align>
            </wp:positionH>
            <wp:positionV relativeFrom="paragraph">
              <wp:posOffset>-904663</wp:posOffset>
            </wp:positionV>
            <wp:extent cx="7577667" cy="10718180"/>
            <wp:effectExtent l="0" t="0" r="4445"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dget2020_Glossy_SPD_cov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0830" cy="10722654"/>
                    </a:xfrm>
                    <a:prstGeom prst="rect">
                      <a:avLst/>
                    </a:prstGeom>
                  </pic:spPr>
                </pic:pic>
              </a:graphicData>
            </a:graphic>
            <wp14:sizeRelH relativeFrom="page">
              <wp14:pctWidth>0</wp14:pctWidth>
            </wp14:sizeRelH>
            <wp14:sizeRelV relativeFrom="page">
              <wp14:pctHeight>0</wp14:pctHeight>
            </wp14:sizeRelV>
          </wp:anchor>
        </w:drawing>
      </w:r>
    </w:p>
    <w:p w14:paraId="3C993381" w14:textId="77777777" w:rsidR="003A4C1B" w:rsidRDefault="003A4C1B">
      <w:pPr>
        <w:keepNext/>
        <w:pBdr>
          <w:top w:val="nil"/>
          <w:left w:val="nil"/>
          <w:bottom w:val="nil"/>
          <w:right w:val="nil"/>
          <w:between w:val="nil"/>
        </w:pBdr>
        <w:spacing w:before="0" w:after="1200"/>
        <w:jc w:val="right"/>
        <w:rPr>
          <w:color w:val="000000"/>
          <w:sz w:val="20"/>
        </w:rPr>
      </w:pPr>
    </w:p>
    <w:p w14:paraId="5C599E79" w14:textId="77777777" w:rsidR="003A4C1B" w:rsidRDefault="00205DE0">
      <w:pPr>
        <w:pStyle w:val="Title"/>
      </w:pPr>
      <w:r>
        <w:t>Your Future, Your Super</w:t>
      </w:r>
    </w:p>
    <w:p w14:paraId="75217427" w14:textId="77777777" w:rsidR="003A4C1B" w:rsidRDefault="00205DE0">
      <w:pPr>
        <w:pStyle w:val="Subtitle"/>
      </w:pPr>
      <w:r>
        <w:rPr>
          <w:b/>
        </w:rPr>
        <w:t>Reforms to make your super work harder for you</w:t>
      </w:r>
    </w:p>
    <w:p w14:paraId="1F71E119" w14:textId="04681605" w:rsidR="003A4C1B" w:rsidRDefault="00205DE0">
      <w:pPr>
        <w:keepNext/>
        <w:pBdr>
          <w:top w:val="nil"/>
          <w:left w:val="nil"/>
          <w:bottom w:val="nil"/>
          <w:right w:val="nil"/>
          <w:between w:val="nil"/>
        </w:pBdr>
        <w:spacing w:before="0" w:after="360"/>
        <w:rPr>
          <w:color w:val="000000"/>
          <w:sz w:val="32"/>
          <w:szCs w:val="32"/>
        </w:rPr>
      </w:pPr>
      <w:r>
        <w:rPr>
          <w:color w:val="000000"/>
          <w:sz w:val="32"/>
          <w:szCs w:val="32"/>
        </w:rPr>
        <w:t>October 2020</w:t>
      </w:r>
    </w:p>
    <w:p w14:paraId="6ED54955" w14:textId="77777777" w:rsidR="003A4C1B" w:rsidRDefault="003A4C1B">
      <w:pPr>
        <w:keepNext/>
        <w:pBdr>
          <w:top w:val="nil"/>
          <w:left w:val="nil"/>
          <w:bottom w:val="nil"/>
          <w:right w:val="nil"/>
          <w:between w:val="nil"/>
        </w:pBdr>
        <w:spacing w:before="0" w:after="360"/>
        <w:rPr>
          <w:rFonts w:ascii="Rockwell" w:eastAsia="Rockwell" w:hAnsi="Rockwell" w:cs="Rockwell"/>
          <w:color w:val="000000"/>
          <w:sz w:val="32"/>
          <w:szCs w:val="32"/>
        </w:rPr>
      </w:pPr>
    </w:p>
    <w:p w14:paraId="34A2C1B1" w14:textId="4F25FEE3" w:rsidR="003A4C1B" w:rsidRDefault="008D7B51">
      <w:pPr>
        <w:spacing w:before="0" w:after="160" w:line="259" w:lineRule="auto"/>
      </w:pPr>
      <w:r>
        <w:rPr>
          <w:rFonts w:ascii="Rockwell" w:eastAsia="Rockwell" w:hAnsi="Rockwell" w:cs="Rockwell"/>
          <w:color w:val="000000"/>
          <w:sz w:val="32"/>
          <w:szCs w:val="32"/>
        </w:rPr>
        <w:br w:type="column"/>
      </w:r>
      <w:r w:rsidR="00AE6AB8">
        <w:rPr>
          <w:noProof/>
        </w:rPr>
        <w:lastRenderedPageBreak/>
        <w:drawing>
          <wp:anchor distT="0" distB="0" distL="114300" distR="114300" simplePos="0" relativeHeight="251658240" behindDoc="0" locked="0" layoutInCell="1" allowOverlap="1" wp14:anchorId="1D0ED00F" wp14:editId="5A4B671C">
            <wp:simplePos x="0" y="0"/>
            <wp:positionH relativeFrom="margin">
              <wp:posOffset>-582930</wp:posOffset>
            </wp:positionH>
            <wp:positionV relativeFrom="paragraph">
              <wp:posOffset>-887730</wp:posOffset>
            </wp:positionV>
            <wp:extent cx="6929967" cy="9802045"/>
            <wp:effectExtent l="0" t="0" r="4445"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dget2020_Glossy_SPD_p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36956" cy="9811931"/>
                    </a:xfrm>
                    <a:prstGeom prst="rect">
                      <a:avLst/>
                    </a:prstGeom>
                  </pic:spPr>
                </pic:pic>
              </a:graphicData>
            </a:graphic>
            <wp14:sizeRelH relativeFrom="page">
              <wp14:pctWidth>0</wp14:pctWidth>
            </wp14:sizeRelH>
            <wp14:sizeRelV relativeFrom="page">
              <wp14:pctHeight>0</wp14:pctHeight>
            </wp14:sizeRelV>
          </wp:anchor>
        </w:drawing>
      </w:r>
      <w:r>
        <w:rPr>
          <w:rFonts w:ascii="Rockwell" w:eastAsia="Rockwell" w:hAnsi="Rockwell" w:cs="Rockwell"/>
          <w:color w:val="000000"/>
          <w:sz w:val="32"/>
          <w:szCs w:val="32"/>
        </w:rPr>
        <w:t>What is the super system costing you?</w:t>
      </w:r>
      <w:r>
        <w:br w:type="column"/>
      </w:r>
      <w:r w:rsidR="0090716A">
        <w:rPr>
          <w:noProof/>
        </w:rPr>
        <w:lastRenderedPageBreak/>
        <w:drawing>
          <wp:anchor distT="0" distB="0" distL="114300" distR="114300" simplePos="0" relativeHeight="251658242" behindDoc="0" locked="0" layoutInCell="1" allowOverlap="1" wp14:anchorId="1B7E26D6" wp14:editId="09372FD3">
            <wp:simplePos x="0" y="0"/>
            <wp:positionH relativeFrom="page">
              <wp:align>right</wp:align>
            </wp:positionH>
            <wp:positionV relativeFrom="paragraph">
              <wp:posOffset>-896197</wp:posOffset>
            </wp:positionV>
            <wp:extent cx="7581900" cy="10724167"/>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dget2020_Glossy_SPD_internal cove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81900" cy="10724167"/>
                    </a:xfrm>
                    <a:prstGeom prst="rect">
                      <a:avLst/>
                    </a:prstGeom>
                  </pic:spPr>
                </pic:pic>
              </a:graphicData>
            </a:graphic>
            <wp14:sizeRelH relativeFrom="page">
              <wp14:pctWidth>0</wp14:pctWidth>
            </wp14:sizeRelH>
            <wp14:sizeRelV relativeFrom="page">
              <wp14:pctHeight>0</wp14:pctHeight>
            </wp14:sizeRelV>
          </wp:anchor>
        </w:drawing>
      </w:r>
      <w:r>
        <w:t>Your Future, Your Super</w:t>
      </w:r>
      <w:r w:rsidR="00205DE0">
        <w:br w:type="page"/>
      </w:r>
    </w:p>
    <w:p w14:paraId="62ED66E2" w14:textId="586A2855" w:rsidR="003A4C1B" w:rsidRDefault="00205DE0">
      <w:pPr>
        <w:spacing w:before="0" w:after="160" w:line="259" w:lineRule="auto"/>
      </w:pPr>
      <w:r>
        <w:lastRenderedPageBreak/>
        <w:t xml:space="preserve">© Commonwealth of Australia </w:t>
      </w:r>
      <w:r w:rsidR="0090716A" w:rsidRPr="0090716A">
        <w:t>2020</w:t>
      </w:r>
    </w:p>
    <w:p w14:paraId="2A864CA9" w14:textId="2A53D0E8" w:rsidR="006510B8" w:rsidRDefault="006510B8">
      <w:pPr>
        <w:tabs>
          <w:tab w:val="left" w:pos="1650"/>
        </w:tabs>
        <w:spacing w:before="240"/>
      </w:pPr>
      <w:r>
        <w:t>ISBN 978-1-925832-18-1</w:t>
      </w:r>
    </w:p>
    <w:p w14:paraId="4890E629" w14:textId="0593A9A1" w:rsidR="003A4C1B" w:rsidRDefault="00205DE0">
      <w:pPr>
        <w:tabs>
          <w:tab w:val="left" w:pos="1650"/>
        </w:tabs>
        <w:spacing w:before="240"/>
        <w:rPr>
          <w:sz w:val="24"/>
          <w:szCs w:val="24"/>
        </w:rPr>
      </w:pPr>
      <w:r>
        <w:t>This publication is available for your use under a</w:t>
      </w:r>
      <w:r>
        <w:rPr>
          <w:sz w:val="24"/>
          <w:szCs w:val="24"/>
        </w:rPr>
        <w:t xml:space="preserve"> </w:t>
      </w:r>
      <w:hyperlink r:id="rId17">
        <w:r>
          <w:rPr>
            <w:color w:val="3A6FAF"/>
          </w:rPr>
          <w:t>Creative Commons Attribution 3.0 Australia</w:t>
        </w:r>
      </w:hyperlink>
      <w:r>
        <w:rPr>
          <w:sz w:val="24"/>
          <w:szCs w:val="24"/>
        </w:rPr>
        <w:t xml:space="preserve"> </w:t>
      </w:r>
      <w:r>
        <w:t>licence, with the exception of the Commonwealth Coat of Arms, the Treasury logo, photographs, images, signatures and where otherwise stated. The full licence terms are available from</w:t>
      </w:r>
      <w:r>
        <w:rPr>
          <w:sz w:val="24"/>
          <w:szCs w:val="24"/>
        </w:rPr>
        <w:t xml:space="preserve"> </w:t>
      </w:r>
      <w:hyperlink r:id="rId18">
        <w:r>
          <w:rPr>
            <w:color w:val="3A6FAF"/>
          </w:rPr>
          <w:t>http://creativecommons.org/licenses/by/3.0/au/legalcode</w:t>
        </w:r>
      </w:hyperlink>
      <w:r>
        <w:rPr>
          <w:color w:val="3A6FAF"/>
        </w:rPr>
        <w:t>.</w:t>
      </w:r>
      <w:r>
        <w:rPr>
          <w:sz w:val="24"/>
          <w:szCs w:val="24"/>
        </w:rPr>
        <w:t xml:space="preserve"> </w:t>
      </w:r>
    </w:p>
    <w:p w14:paraId="79DA889C" w14:textId="77777777" w:rsidR="003A4C1B" w:rsidRDefault="00205DE0">
      <w:pPr>
        <w:keepNext/>
        <w:pBdr>
          <w:top w:val="nil"/>
          <w:left w:val="nil"/>
          <w:bottom w:val="nil"/>
          <w:right w:val="nil"/>
          <w:between w:val="nil"/>
        </w:pBdr>
        <w:spacing w:before="0" w:after="0"/>
        <w:rPr>
          <w:color w:val="004A7F"/>
          <w:sz w:val="20"/>
        </w:rPr>
      </w:pPr>
      <w:r>
        <w:rPr>
          <w:noProof/>
          <w:color w:val="004A7F"/>
          <w:sz w:val="20"/>
        </w:rPr>
        <w:drawing>
          <wp:inline distT="0" distB="0" distL="0" distR="0" wp14:anchorId="6D0E1716" wp14:editId="5098A59F">
            <wp:extent cx="809625" cy="285750"/>
            <wp:effectExtent l="0" t="0" r="0" b="0"/>
            <wp:docPr id="34" name="image11.png" descr="Creative Commons attribution licence 3.0 icon. "/>
            <wp:cNvGraphicFramePr/>
            <a:graphic xmlns:a="http://schemas.openxmlformats.org/drawingml/2006/main">
              <a:graphicData uri="http://schemas.openxmlformats.org/drawingml/2006/picture">
                <pic:pic xmlns:pic="http://schemas.openxmlformats.org/drawingml/2006/picture">
                  <pic:nvPicPr>
                    <pic:cNvPr id="0" name="image11.png" descr="Creative Commons attribution licence 3.0 icon. "/>
                    <pic:cNvPicPr preferRelativeResize="0"/>
                  </pic:nvPicPr>
                  <pic:blipFill>
                    <a:blip r:embed="rId19"/>
                    <a:srcRect/>
                    <a:stretch>
                      <a:fillRect/>
                    </a:stretch>
                  </pic:blipFill>
                  <pic:spPr>
                    <a:xfrm>
                      <a:off x="0" y="0"/>
                      <a:ext cx="809625" cy="285750"/>
                    </a:xfrm>
                    <a:prstGeom prst="rect">
                      <a:avLst/>
                    </a:prstGeom>
                    <a:ln/>
                  </pic:spPr>
                </pic:pic>
              </a:graphicData>
            </a:graphic>
          </wp:inline>
        </w:drawing>
      </w:r>
    </w:p>
    <w:p w14:paraId="4FB7C115" w14:textId="77777777" w:rsidR="003A4C1B" w:rsidRDefault="00205DE0">
      <w:pPr>
        <w:tabs>
          <w:tab w:val="left" w:pos="1650"/>
        </w:tabs>
        <w:spacing w:before="240"/>
      </w:pPr>
      <w:r>
        <w:t>Use of Treasury material under a</w:t>
      </w:r>
      <w:r>
        <w:rPr>
          <w:sz w:val="24"/>
          <w:szCs w:val="24"/>
        </w:rPr>
        <w:t xml:space="preserve"> </w:t>
      </w:r>
      <w:hyperlink r:id="rId20">
        <w:r>
          <w:rPr>
            <w:color w:val="3A6FAF"/>
          </w:rPr>
          <w:t>Creative Commons Attribution 3.0 Australia</w:t>
        </w:r>
      </w:hyperlink>
      <w:r>
        <w:rPr>
          <w:color w:val="3A6FAF"/>
        </w:rPr>
        <w:t xml:space="preserve"> </w:t>
      </w:r>
      <w:r>
        <w:t>licence requires you to attribute the work (but not in any way that suggests that the Treasury endorses you or your use of the work).</w:t>
      </w:r>
    </w:p>
    <w:p w14:paraId="57771892" w14:textId="77777777" w:rsidR="003A4C1B" w:rsidRPr="00A576AE" w:rsidRDefault="00205DE0" w:rsidP="00A576AE">
      <w:pPr>
        <w:spacing w:before="240"/>
        <w:rPr>
          <w:b/>
        </w:rPr>
      </w:pPr>
      <w:r w:rsidRPr="00A576AE">
        <w:rPr>
          <w:b/>
        </w:rPr>
        <w:t>Treasury material used ‘as supplied’.</w:t>
      </w:r>
    </w:p>
    <w:p w14:paraId="0EF67FFE" w14:textId="77777777" w:rsidR="003A4C1B" w:rsidRDefault="00205DE0">
      <w:pPr>
        <w:spacing w:before="240"/>
      </w:pPr>
      <w:r>
        <w:t xml:space="preserve">Provided you have not modified or transformed Treasury material in any way including, for example, by changing the Treasury text; calculating percentage changes; graphing or charting data; or deriving new statistics from published Treasury statistics — then Treasury prefers the following attribution: </w:t>
      </w:r>
    </w:p>
    <w:p w14:paraId="2198FCC8" w14:textId="67CB54F8" w:rsidR="003A4C1B" w:rsidRDefault="00205DE0">
      <w:pPr>
        <w:ind w:firstLine="720"/>
      </w:pPr>
      <w:r>
        <w:rPr>
          <w:i/>
        </w:rPr>
        <w:t xml:space="preserve">Source: </w:t>
      </w:r>
      <w:r w:rsidR="004118E0">
        <w:rPr>
          <w:i/>
        </w:rPr>
        <w:t>The Commonwealth of Australia</w:t>
      </w:r>
    </w:p>
    <w:p w14:paraId="05263F67" w14:textId="77777777" w:rsidR="003A4C1B" w:rsidRDefault="00205DE0">
      <w:pPr>
        <w:spacing w:before="240"/>
      </w:pPr>
      <w:r>
        <w:rPr>
          <w:b/>
        </w:rPr>
        <w:t>Derivative</w:t>
      </w:r>
      <w:r>
        <w:t xml:space="preserve"> </w:t>
      </w:r>
      <w:r>
        <w:rPr>
          <w:b/>
        </w:rPr>
        <w:t>material</w:t>
      </w:r>
    </w:p>
    <w:p w14:paraId="275B157B" w14:textId="77777777" w:rsidR="003A4C1B" w:rsidRDefault="00205DE0">
      <w:r>
        <w:t xml:space="preserve">If you have modified or transformed Treasury material, or derived new material from those of the Treasury in any way, then Treasury prefers the following attribution: </w:t>
      </w:r>
    </w:p>
    <w:p w14:paraId="6C53D8F6" w14:textId="5FEFC3F9" w:rsidR="003A4C1B" w:rsidRDefault="00205DE0">
      <w:pPr>
        <w:ind w:firstLine="720"/>
      </w:pPr>
      <w:r>
        <w:rPr>
          <w:i/>
        </w:rPr>
        <w:t xml:space="preserve">Based on </w:t>
      </w:r>
      <w:r w:rsidR="004118E0">
        <w:rPr>
          <w:i/>
        </w:rPr>
        <w:t>Commonwealth of Australia data</w:t>
      </w:r>
    </w:p>
    <w:p w14:paraId="67B747EE" w14:textId="77777777" w:rsidR="003A4C1B" w:rsidRDefault="00205DE0">
      <w:pPr>
        <w:spacing w:before="240"/>
        <w:rPr>
          <w:b/>
        </w:rPr>
      </w:pPr>
      <w:r>
        <w:rPr>
          <w:b/>
        </w:rPr>
        <w:t>Use of the Coat of Arms</w:t>
      </w:r>
    </w:p>
    <w:p w14:paraId="7D4F6B52" w14:textId="77777777" w:rsidR="003A4C1B" w:rsidRDefault="00205DE0">
      <w:pPr>
        <w:spacing w:before="240"/>
      </w:pPr>
      <w:r>
        <w:t xml:space="preserve">The terms under which the Coat of Arms can be used are set out on the Department of the Prime Minister and Cabinet website (see </w:t>
      </w:r>
      <w:hyperlink r:id="rId21">
        <w:r>
          <w:rPr>
            <w:color w:val="3A6FAF"/>
          </w:rPr>
          <w:t>www.pmc.gov.au/government/commonwealth-coat-arm</w:t>
        </w:r>
      </w:hyperlink>
      <w:r>
        <w:t>s).</w:t>
      </w:r>
    </w:p>
    <w:p w14:paraId="6AD51E46" w14:textId="77777777" w:rsidR="003A4C1B" w:rsidRDefault="00205DE0">
      <w:pPr>
        <w:spacing w:before="240"/>
        <w:rPr>
          <w:b/>
        </w:rPr>
      </w:pPr>
      <w:r>
        <w:rPr>
          <w:b/>
        </w:rPr>
        <w:t>Other uses</w:t>
      </w:r>
    </w:p>
    <w:p w14:paraId="0CF75C71" w14:textId="77777777" w:rsidR="003A4C1B" w:rsidRDefault="00205DE0">
      <w:r>
        <w:t>Enquiries regarding this licence and any other use of this document are welcome at:</w:t>
      </w:r>
    </w:p>
    <w:p w14:paraId="7552D0EF" w14:textId="77777777" w:rsidR="00B33371" w:rsidRDefault="00205DE0">
      <w:pPr>
        <w:ind w:left="720"/>
        <w:rPr>
          <w:color w:val="3A6FAF"/>
        </w:rPr>
      </w:pPr>
      <w:r>
        <w:t>Manager</w:t>
      </w:r>
      <w:r>
        <w:br/>
        <w:t>Media and Speeches Unit</w:t>
      </w:r>
      <w:r>
        <w:br/>
        <w:t>The Treasury</w:t>
      </w:r>
      <w:r>
        <w:br/>
        <w:t xml:space="preserve">Langton Crescent </w:t>
      </w:r>
      <w:r>
        <w:br/>
        <w:t>Parkes  ACT  2600</w:t>
      </w:r>
      <w:r>
        <w:br/>
        <w:t xml:space="preserve">Email: </w:t>
      </w:r>
      <w:hyperlink r:id="rId22">
        <w:r>
          <w:rPr>
            <w:color w:val="3A6FAF"/>
          </w:rPr>
          <w:t>media@treasury.gov.au</w:t>
        </w:r>
      </w:hyperlink>
    </w:p>
    <w:p w14:paraId="1FFE97E3" w14:textId="05856517" w:rsidR="00B33371" w:rsidRDefault="00E11DFA" w:rsidP="00B33371">
      <w:pPr>
        <w:rPr>
          <w:b/>
        </w:rPr>
      </w:pPr>
      <w:r>
        <w:rPr>
          <w:b/>
        </w:rPr>
        <w:t>Internet</w:t>
      </w:r>
    </w:p>
    <w:p w14:paraId="08A21C04" w14:textId="1F7F1CFA" w:rsidR="003A4C1B" w:rsidRDefault="00B33371" w:rsidP="00B33371">
      <w:pPr>
        <w:rPr>
          <w:color w:val="3A6FAF"/>
        </w:rPr>
      </w:pPr>
      <w:r w:rsidRPr="00B33371">
        <w:t>A copy</w:t>
      </w:r>
      <w:r>
        <w:t xml:space="preserve"> of this document is available on the central Budget website at: www.budget.gov.au.</w:t>
      </w:r>
      <w:r w:rsidR="00205DE0">
        <w:rPr>
          <w:color w:val="3A6FAF"/>
        </w:rPr>
        <w:t xml:space="preserve"> </w:t>
      </w:r>
    </w:p>
    <w:p w14:paraId="4E198B70" w14:textId="7629449D" w:rsidR="003A4C1B" w:rsidRPr="00884CB1" w:rsidRDefault="003A4C1B" w:rsidP="00884CB1"/>
    <w:p w14:paraId="283A42E2" w14:textId="77777777" w:rsidR="00B33371" w:rsidRPr="00884CB1" w:rsidRDefault="00B33371" w:rsidP="00884CB1">
      <w:pPr>
        <w:sectPr w:rsidR="00B33371" w:rsidRPr="00884CB1" w:rsidSect="00884CB1">
          <w:headerReference w:type="even" r:id="rId23"/>
          <w:headerReference w:type="default" r:id="rId24"/>
          <w:footerReference w:type="even" r:id="rId25"/>
          <w:footerReference w:type="default" r:id="rId26"/>
          <w:headerReference w:type="first" r:id="rId27"/>
          <w:footerReference w:type="first" r:id="rId28"/>
          <w:pgSz w:w="11906" w:h="16838"/>
          <w:pgMar w:top="1418" w:right="1418" w:bottom="1418" w:left="1418" w:header="709" w:footer="709" w:gutter="0"/>
          <w:pgNumType w:fmt="lowerRoman"/>
          <w:cols w:space="720" w:equalWidth="0">
            <w:col w:w="9360"/>
          </w:cols>
          <w:titlePg/>
        </w:sectPr>
      </w:pPr>
    </w:p>
    <w:p w14:paraId="690DC620" w14:textId="26433BF1" w:rsidR="003A4C1B" w:rsidRDefault="00205DE0" w:rsidP="00603A50">
      <w:pPr>
        <w:pStyle w:val="Heading1"/>
      </w:pPr>
      <w:bookmarkStart w:id="1" w:name="_Toc52313232"/>
      <w:bookmarkStart w:id="2" w:name="_Toc52472715"/>
      <w:bookmarkStart w:id="3" w:name="_Toc52470902"/>
      <w:bookmarkStart w:id="4" w:name="_Toc52472791"/>
      <w:bookmarkStart w:id="5" w:name="_Toc52474210"/>
      <w:bookmarkStart w:id="6" w:name="_Toc52471841"/>
      <w:bookmarkStart w:id="7" w:name="_Toc53397835"/>
      <w:r>
        <w:lastRenderedPageBreak/>
        <w:t>Contents</w:t>
      </w:r>
      <w:bookmarkEnd w:id="1"/>
      <w:bookmarkEnd w:id="2"/>
      <w:bookmarkEnd w:id="3"/>
      <w:bookmarkEnd w:id="4"/>
      <w:bookmarkEnd w:id="5"/>
      <w:bookmarkEnd w:id="6"/>
      <w:bookmarkEnd w:id="7"/>
    </w:p>
    <w:bookmarkStart w:id="8" w:name="_heading=h.30j0zll" w:colFirst="0" w:colLast="0" w:displacedByCustomXml="next"/>
    <w:bookmarkEnd w:id="8" w:displacedByCustomXml="next"/>
    <w:bookmarkStart w:id="9" w:name="_heading=h.1fob9te" w:colFirst="0" w:colLast="0" w:displacedByCustomXml="next"/>
    <w:bookmarkEnd w:id="9" w:displacedByCustomXml="next"/>
    <w:sdt>
      <w:sdtPr>
        <w:rPr>
          <w:b w:val="0"/>
          <w:noProof w:val="0"/>
          <w:color w:val="auto"/>
          <w:szCs w:val="20"/>
        </w:rPr>
        <w:id w:val="-1306859541"/>
        <w:docPartObj>
          <w:docPartGallery w:val="Table of Contents"/>
          <w:docPartUnique/>
        </w:docPartObj>
      </w:sdtPr>
      <w:sdtEndPr>
        <w:rPr>
          <w:bCs/>
        </w:rPr>
      </w:sdtEndPr>
      <w:sdtContent>
        <w:p w14:paraId="00119951" w14:textId="679FA25E" w:rsidR="00884CB1" w:rsidRDefault="00884CB1" w:rsidP="00884CB1">
          <w:pPr>
            <w:pStyle w:val="TOC1"/>
            <w:rPr>
              <w:rFonts w:asciiTheme="minorHAnsi" w:eastAsiaTheme="minorEastAsia" w:hAnsiTheme="minorHAnsi" w:cstheme="minorBidi"/>
              <w:color w:val="auto"/>
            </w:rPr>
          </w:pPr>
          <w:r>
            <w:fldChar w:fldCharType="begin"/>
          </w:r>
          <w:r>
            <w:instrText xml:space="preserve"> TOC \o "1-3" \h \z \u </w:instrText>
          </w:r>
          <w:r>
            <w:fldChar w:fldCharType="separate"/>
          </w:r>
          <w:hyperlink w:anchor="_Toc53397836" w:history="1">
            <w:r w:rsidRPr="00B41A78">
              <w:rPr>
                <w:rStyle w:val="Hyperlink"/>
              </w:rPr>
              <w:t>Minister’s foreword</w:t>
            </w:r>
            <w:r>
              <w:rPr>
                <w:webHidden/>
              </w:rPr>
              <w:tab/>
            </w:r>
            <w:r>
              <w:rPr>
                <w:webHidden/>
              </w:rPr>
              <w:fldChar w:fldCharType="begin"/>
            </w:r>
            <w:r>
              <w:rPr>
                <w:webHidden/>
              </w:rPr>
              <w:instrText xml:space="preserve"> PAGEREF _Toc53397836 \h </w:instrText>
            </w:r>
            <w:r>
              <w:rPr>
                <w:webHidden/>
              </w:rPr>
            </w:r>
            <w:r>
              <w:rPr>
                <w:webHidden/>
              </w:rPr>
              <w:fldChar w:fldCharType="separate"/>
            </w:r>
            <w:r w:rsidR="00734F7B">
              <w:rPr>
                <w:webHidden/>
              </w:rPr>
              <w:t>1</w:t>
            </w:r>
            <w:r>
              <w:rPr>
                <w:webHidden/>
              </w:rPr>
              <w:fldChar w:fldCharType="end"/>
            </w:r>
          </w:hyperlink>
        </w:p>
        <w:p w14:paraId="3E3365D5" w14:textId="3A81E8FC" w:rsidR="00884CB1" w:rsidRDefault="00602F6B">
          <w:pPr>
            <w:pStyle w:val="TOC1"/>
            <w:rPr>
              <w:rFonts w:asciiTheme="minorHAnsi" w:eastAsiaTheme="minorEastAsia" w:hAnsiTheme="minorHAnsi" w:cstheme="minorBidi"/>
              <w:b w:val="0"/>
              <w:color w:val="auto"/>
            </w:rPr>
          </w:pPr>
          <w:hyperlink w:anchor="_Toc53397837" w:history="1">
            <w:r w:rsidR="00884CB1" w:rsidRPr="00B41A78">
              <w:rPr>
                <w:rStyle w:val="Hyperlink"/>
              </w:rPr>
              <w:t>Executive summary</w:t>
            </w:r>
            <w:r w:rsidR="00884CB1">
              <w:rPr>
                <w:webHidden/>
              </w:rPr>
              <w:tab/>
            </w:r>
            <w:r w:rsidR="00884CB1">
              <w:rPr>
                <w:webHidden/>
              </w:rPr>
              <w:fldChar w:fldCharType="begin"/>
            </w:r>
            <w:r w:rsidR="00884CB1">
              <w:rPr>
                <w:webHidden/>
              </w:rPr>
              <w:instrText xml:space="preserve"> PAGEREF _Toc53397837 \h </w:instrText>
            </w:r>
            <w:r w:rsidR="00884CB1">
              <w:rPr>
                <w:webHidden/>
              </w:rPr>
            </w:r>
            <w:r w:rsidR="00884CB1">
              <w:rPr>
                <w:webHidden/>
              </w:rPr>
              <w:fldChar w:fldCharType="separate"/>
            </w:r>
            <w:r w:rsidR="00734F7B">
              <w:rPr>
                <w:webHidden/>
              </w:rPr>
              <w:t>3</w:t>
            </w:r>
            <w:r w:rsidR="00884CB1">
              <w:rPr>
                <w:webHidden/>
              </w:rPr>
              <w:fldChar w:fldCharType="end"/>
            </w:r>
          </w:hyperlink>
        </w:p>
        <w:p w14:paraId="54D67911" w14:textId="69A5B1C7" w:rsidR="00884CB1" w:rsidRDefault="00602F6B">
          <w:pPr>
            <w:pStyle w:val="TOC1"/>
            <w:rPr>
              <w:rFonts w:asciiTheme="minorHAnsi" w:eastAsiaTheme="minorEastAsia" w:hAnsiTheme="minorHAnsi" w:cstheme="minorBidi"/>
              <w:b w:val="0"/>
              <w:color w:val="auto"/>
            </w:rPr>
          </w:pPr>
          <w:hyperlink w:anchor="_Toc53397838" w:history="1">
            <w:r w:rsidR="00884CB1" w:rsidRPr="00B41A78">
              <w:rPr>
                <w:rStyle w:val="Hyperlink"/>
              </w:rPr>
              <w:t>Introduction</w:t>
            </w:r>
            <w:r w:rsidR="00884CB1">
              <w:rPr>
                <w:webHidden/>
              </w:rPr>
              <w:tab/>
            </w:r>
            <w:r w:rsidR="00884CB1">
              <w:rPr>
                <w:webHidden/>
              </w:rPr>
              <w:fldChar w:fldCharType="begin"/>
            </w:r>
            <w:r w:rsidR="00884CB1">
              <w:rPr>
                <w:webHidden/>
              </w:rPr>
              <w:instrText xml:space="preserve"> PAGEREF _Toc53397838 \h </w:instrText>
            </w:r>
            <w:r w:rsidR="00884CB1">
              <w:rPr>
                <w:webHidden/>
              </w:rPr>
            </w:r>
            <w:r w:rsidR="00884CB1">
              <w:rPr>
                <w:webHidden/>
              </w:rPr>
              <w:fldChar w:fldCharType="separate"/>
            </w:r>
            <w:r w:rsidR="00734F7B">
              <w:rPr>
                <w:webHidden/>
              </w:rPr>
              <w:t>5</w:t>
            </w:r>
            <w:r w:rsidR="00884CB1">
              <w:rPr>
                <w:webHidden/>
              </w:rPr>
              <w:fldChar w:fldCharType="end"/>
            </w:r>
          </w:hyperlink>
        </w:p>
        <w:p w14:paraId="7E447A7F" w14:textId="1DD1E566" w:rsidR="00884CB1" w:rsidRDefault="00602F6B">
          <w:pPr>
            <w:pStyle w:val="TOC1"/>
            <w:rPr>
              <w:rFonts w:asciiTheme="minorHAnsi" w:eastAsiaTheme="minorEastAsia" w:hAnsiTheme="minorHAnsi" w:cstheme="minorBidi"/>
              <w:b w:val="0"/>
              <w:color w:val="auto"/>
            </w:rPr>
          </w:pPr>
          <w:hyperlink w:anchor="_Toc53397841" w:history="1">
            <w:r w:rsidR="00884CB1" w:rsidRPr="00B41A78">
              <w:rPr>
                <w:rStyle w:val="Hyperlink"/>
              </w:rPr>
              <w:t>Fixing the superannuation system</w:t>
            </w:r>
            <w:r w:rsidR="00884CB1">
              <w:rPr>
                <w:webHidden/>
              </w:rPr>
              <w:tab/>
            </w:r>
            <w:r w:rsidR="00884CB1">
              <w:rPr>
                <w:webHidden/>
              </w:rPr>
              <w:fldChar w:fldCharType="begin"/>
            </w:r>
            <w:r w:rsidR="00884CB1">
              <w:rPr>
                <w:webHidden/>
              </w:rPr>
              <w:instrText xml:space="preserve"> PAGEREF _Toc53397841 \h </w:instrText>
            </w:r>
            <w:r w:rsidR="00884CB1">
              <w:rPr>
                <w:webHidden/>
              </w:rPr>
            </w:r>
            <w:r w:rsidR="00884CB1">
              <w:rPr>
                <w:webHidden/>
              </w:rPr>
              <w:fldChar w:fldCharType="separate"/>
            </w:r>
            <w:r w:rsidR="00734F7B">
              <w:rPr>
                <w:webHidden/>
              </w:rPr>
              <w:t>7</w:t>
            </w:r>
            <w:r w:rsidR="00884CB1">
              <w:rPr>
                <w:webHidden/>
              </w:rPr>
              <w:fldChar w:fldCharType="end"/>
            </w:r>
          </w:hyperlink>
        </w:p>
        <w:p w14:paraId="0138D1C5" w14:textId="09316DAD" w:rsidR="00884CB1" w:rsidRDefault="00602F6B">
          <w:pPr>
            <w:pStyle w:val="TOC1"/>
            <w:rPr>
              <w:rFonts w:asciiTheme="minorHAnsi" w:eastAsiaTheme="minorEastAsia" w:hAnsiTheme="minorHAnsi" w:cstheme="minorBidi"/>
              <w:b w:val="0"/>
              <w:color w:val="auto"/>
            </w:rPr>
          </w:pPr>
          <w:hyperlink w:anchor="_Toc53397848" w:history="1">
            <w:r w:rsidR="00884CB1" w:rsidRPr="00B41A78">
              <w:rPr>
                <w:rStyle w:val="Hyperlink"/>
              </w:rPr>
              <w:t>Your super follows you</w:t>
            </w:r>
            <w:r w:rsidR="00884CB1">
              <w:rPr>
                <w:webHidden/>
              </w:rPr>
              <w:tab/>
            </w:r>
            <w:r w:rsidR="00884CB1">
              <w:rPr>
                <w:webHidden/>
              </w:rPr>
              <w:fldChar w:fldCharType="begin"/>
            </w:r>
            <w:r w:rsidR="00884CB1">
              <w:rPr>
                <w:webHidden/>
              </w:rPr>
              <w:instrText xml:space="preserve"> PAGEREF _Toc53397848 \h </w:instrText>
            </w:r>
            <w:r w:rsidR="00884CB1">
              <w:rPr>
                <w:webHidden/>
              </w:rPr>
            </w:r>
            <w:r w:rsidR="00884CB1">
              <w:rPr>
                <w:webHidden/>
              </w:rPr>
              <w:fldChar w:fldCharType="separate"/>
            </w:r>
            <w:r w:rsidR="00734F7B">
              <w:rPr>
                <w:webHidden/>
              </w:rPr>
              <w:t>12</w:t>
            </w:r>
            <w:r w:rsidR="00884CB1">
              <w:rPr>
                <w:webHidden/>
              </w:rPr>
              <w:fldChar w:fldCharType="end"/>
            </w:r>
          </w:hyperlink>
        </w:p>
        <w:p w14:paraId="642BDAC4" w14:textId="28505612" w:rsidR="00884CB1" w:rsidRDefault="00602F6B">
          <w:pPr>
            <w:pStyle w:val="TOC1"/>
            <w:rPr>
              <w:rFonts w:asciiTheme="minorHAnsi" w:eastAsiaTheme="minorEastAsia" w:hAnsiTheme="minorHAnsi" w:cstheme="minorBidi"/>
              <w:b w:val="0"/>
              <w:color w:val="auto"/>
            </w:rPr>
          </w:pPr>
          <w:hyperlink w:anchor="_Toc53397851" w:history="1">
            <w:r w:rsidR="00884CB1" w:rsidRPr="00B41A78">
              <w:rPr>
                <w:rStyle w:val="Hyperlink"/>
              </w:rPr>
              <w:t>Empowering members</w:t>
            </w:r>
            <w:r w:rsidR="00884CB1">
              <w:rPr>
                <w:webHidden/>
              </w:rPr>
              <w:tab/>
            </w:r>
            <w:r w:rsidR="00884CB1">
              <w:rPr>
                <w:webHidden/>
              </w:rPr>
              <w:fldChar w:fldCharType="begin"/>
            </w:r>
            <w:r w:rsidR="00884CB1">
              <w:rPr>
                <w:webHidden/>
              </w:rPr>
              <w:instrText xml:space="preserve"> PAGEREF _Toc53397851 \h </w:instrText>
            </w:r>
            <w:r w:rsidR="00884CB1">
              <w:rPr>
                <w:webHidden/>
              </w:rPr>
            </w:r>
            <w:r w:rsidR="00884CB1">
              <w:rPr>
                <w:webHidden/>
              </w:rPr>
              <w:fldChar w:fldCharType="separate"/>
            </w:r>
            <w:r w:rsidR="00734F7B">
              <w:rPr>
                <w:webHidden/>
              </w:rPr>
              <w:t>13</w:t>
            </w:r>
            <w:r w:rsidR="00884CB1">
              <w:rPr>
                <w:webHidden/>
              </w:rPr>
              <w:fldChar w:fldCharType="end"/>
            </w:r>
          </w:hyperlink>
        </w:p>
        <w:p w14:paraId="3C85E89F" w14:textId="7CB83B22" w:rsidR="00884CB1" w:rsidRDefault="00602F6B">
          <w:pPr>
            <w:pStyle w:val="TOC1"/>
            <w:rPr>
              <w:rFonts w:asciiTheme="minorHAnsi" w:eastAsiaTheme="minorEastAsia" w:hAnsiTheme="minorHAnsi" w:cstheme="minorBidi"/>
              <w:b w:val="0"/>
              <w:color w:val="auto"/>
            </w:rPr>
          </w:pPr>
          <w:hyperlink w:anchor="_Toc53397855" w:history="1">
            <w:r w:rsidR="00884CB1" w:rsidRPr="00B41A78">
              <w:rPr>
                <w:rStyle w:val="Hyperlink"/>
              </w:rPr>
              <w:t>Holding funds to account for underperformance</w:t>
            </w:r>
            <w:r w:rsidR="00884CB1">
              <w:rPr>
                <w:webHidden/>
              </w:rPr>
              <w:tab/>
            </w:r>
            <w:r w:rsidR="00884CB1">
              <w:rPr>
                <w:webHidden/>
              </w:rPr>
              <w:fldChar w:fldCharType="begin"/>
            </w:r>
            <w:r w:rsidR="00884CB1">
              <w:rPr>
                <w:webHidden/>
              </w:rPr>
              <w:instrText xml:space="preserve"> PAGEREF _Toc53397855 \h </w:instrText>
            </w:r>
            <w:r w:rsidR="00884CB1">
              <w:rPr>
                <w:webHidden/>
              </w:rPr>
            </w:r>
            <w:r w:rsidR="00884CB1">
              <w:rPr>
                <w:webHidden/>
              </w:rPr>
              <w:fldChar w:fldCharType="separate"/>
            </w:r>
            <w:r w:rsidR="00734F7B">
              <w:rPr>
                <w:webHidden/>
              </w:rPr>
              <w:t>14</w:t>
            </w:r>
            <w:r w:rsidR="00884CB1">
              <w:rPr>
                <w:webHidden/>
              </w:rPr>
              <w:fldChar w:fldCharType="end"/>
            </w:r>
          </w:hyperlink>
        </w:p>
        <w:p w14:paraId="3822F102" w14:textId="2F68FBBC" w:rsidR="00884CB1" w:rsidRDefault="00602F6B">
          <w:pPr>
            <w:pStyle w:val="TOC1"/>
            <w:rPr>
              <w:rFonts w:asciiTheme="minorHAnsi" w:eastAsiaTheme="minorEastAsia" w:hAnsiTheme="minorHAnsi" w:cstheme="minorBidi"/>
              <w:b w:val="0"/>
              <w:color w:val="auto"/>
            </w:rPr>
          </w:pPr>
          <w:hyperlink w:anchor="_Toc53397859" w:history="1">
            <w:r w:rsidR="00884CB1" w:rsidRPr="00B41A78">
              <w:rPr>
                <w:rStyle w:val="Hyperlink"/>
              </w:rPr>
              <w:t>Increasing transparency and accountability</w:t>
            </w:r>
            <w:r w:rsidR="00884CB1">
              <w:rPr>
                <w:webHidden/>
              </w:rPr>
              <w:tab/>
            </w:r>
            <w:r w:rsidR="00884CB1">
              <w:rPr>
                <w:webHidden/>
              </w:rPr>
              <w:fldChar w:fldCharType="begin"/>
            </w:r>
            <w:r w:rsidR="00884CB1">
              <w:rPr>
                <w:webHidden/>
              </w:rPr>
              <w:instrText xml:space="preserve"> PAGEREF _Toc53397859 \h </w:instrText>
            </w:r>
            <w:r w:rsidR="00884CB1">
              <w:rPr>
                <w:webHidden/>
              </w:rPr>
            </w:r>
            <w:r w:rsidR="00884CB1">
              <w:rPr>
                <w:webHidden/>
              </w:rPr>
              <w:fldChar w:fldCharType="separate"/>
            </w:r>
            <w:r w:rsidR="00734F7B">
              <w:rPr>
                <w:webHidden/>
              </w:rPr>
              <w:t>16</w:t>
            </w:r>
            <w:r w:rsidR="00884CB1">
              <w:rPr>
                <w:webHidden/>
              </w:rPr>
              <w:fldChar w:fldCharType="end"/>
            </w:r>
          </w:hyperlink>
        </w:p>
        <w:p w14:paraId="717B42E9" w14:textId="5ADE7BD1" w:rsidR="00884CB1" w:rsidRDefault="00602F6B">
          <w:pPr>
            <w:pStyle w:val="TOC1"/>
            <w:rPr>
              <w:rFonts w:asciiTheme="minorHAnsi" w:eastAsiaTheme="minorEastAsia" w:hAnsiTheme="minorHAnsi" w:cstheme="minorBidi"/>
              <w:b w:val="0"/>
              <w:color w:val="auto"/>
            </w:rPr>
          </w:pPr>
          <w:hyperlink w:anchor="_Toc53397862" w:history="1">
            <w:r w:rsidR="00884CB1" w:rsidRPr="00B41A78">
              <w:rPr>
                <w:rStyle w:val="Hyperlink"/>
              </w:rPr>
              <w:t xml:space="preserve">Measuring the benefits of </w:t>
            </w:r>
            <w:r w:rsidR="00884CB1" w:rsidRPr="00B41A78">
              <w:rPr>
                <w:rStyle w:val="Hyperlink"/>
                <w:i/>
              </w:rPr>
              <w:t>Your Future, Your Super</w:t>
            </w:r>
            <w:r w:rsidR="00884CB1">
              <w:rPr>
                <w:webHidden/>
              </w:rPr>
              <w:tab/>
            </w:r>
            <w:r w:rsidR="00884CB1">
              <w:rPr>
                <w:webHidden/>
              </w:rPr>
              <w:fldChar w:fldCharType="begin"/>
            </w:r>
            <w:r w:rsidR="00884CB1">
              <w:rPr>
                <w:webHidden/>
              </w:rPr>
              <w:instrText xml:space="preserve"> PAGEREF _Toc53397862 \h </w:instrText>
            </w:r>
            <w:r w:rsidR="00884CB1">
              <w:rPr>
                <w:webHidden/>
              </w:rPr>
            </w:r>
            <w:r w:rsidR="00884CB1">
              <w:rPr>
                <w:webHidden/>
              </w:rPr>
              <w:fldChar w:fldCharType="separate"/>
            </w:r>
            <w:r w:rsidR="00734F7B">
              <w:rPr>
                <w:webHidden/>
              </w:rPr>
              <w:t>18</w:t>
            </w:r>
            <w:r w:rsidR="00884CB1">
              <w:rPr>
                <w:webHidden/>
              </w:rPr>
              <w:fldChar w:fldCharType="end"/>
            </w:r>
          </w:hyperlink>
        </w:p>
        <w:p w14:paraId="6E651AED" w14:textId="2EB85510" w:rsidR="00884CB1" w:rsidRDefault="00602F6B">
          <w:pPr>
            <w:pStyle w:val="TOC1"/>
            <w:rPr>
              <w:rFonts w:asciiTheme="minorHAnsi" w:eastAsiaTheme="minorEastAsia" w:hAnsiTheme="minorHAnsi" w:cstheme="minorBidi"/>
              <w:b w:val="0"/>
              <w:color w:val="auto"/>
            </w:rPr>
          </w:pPr>
          <w:hyperlink w:anchor="_Toc53397864" w:history="1">
            <w:r w:rsidR="00884CB1" w:rsidRPr="00B41A78">
              <w:rPr>
                <w:rStyle w:val="Hyperlink"/>
              </w:rPr>
              <w:t>Next steps – roadmap for reform</w:t>
            </w:r>
            <w:r w:rsidR="00884CB1">
              <w:rPr>
                <w:webHidden/>
              </w:rPr>
              <w:tab/>
            </w:r>
            <w:r w:rsidR="00884CB1">
              <w:rPr>
                <w:webHidden/>
              </w:rPr>
              <w:fldChar w:fldCharType="begin"/>
            </w:r>
            <w:r w:rsidR="00884CB1">
              <w:rPr>
                <w:webHidden/>
              </w:rPr>
              <w:instrText xml:space="preserve"> PAGEREF _Toc53397864 \h </w:instrText>
            </w:r>
            <w:r w:rsidR="00884CB1">
              <w:rPr>
                <w:webHidden/>
              </w:rPr>
            </w:r>
            <w:r w:rsidR="00884CB1">
              <w:rPr>
                <w:webHidden/>
              </w:rPr>
              <w:fldChar w:fldCharType="separate"/>
            </w:r>
            <w:r w:rsidR="00734F7B">
              <w:rPr>
                <w:webHidden/>
              </w:rPr>
              <w:t>24</w:t>
            </w:r>
            <w:r w:rsidR="00884CB1">
              <w:rPr>
                <w:webHidden/>
              </w:rPr>
              <w:fldChar w:fldCharType="end"/>
            </w:r>
          </w:hyperlink>
        </w:p>
        <w:p w14:paraId="37C6E824" w14:textId="12E2EF93" w:rsidR="00884CB1" w:rsidRDefault="00602F6B">
          <w:pPr>
            <w:pStyle w:val="TOC1"/>
            <w:rPr>
              <w:rFonts w:asciiTheme="minorHAnsi" w:eastAsiaTheme="minorEastAsia" w:hAnsiTheme="minorHAnsi" w:cstheme="minorBidi"/>
              <w:b w:val="0"/>
              <w:color w:val="auto"/>
            </w:rPr>
          </w:pPr>
          <w:hyperlink w:anchor="_Toc53397865" w:history="1">
            <w:r w:rsidR="00884CB1" w:rsidRPr="00B41A78">
              <w:rPr>
                <w:rStyle w:val="Hyperlink"/>
              </w:rPr>
              <w:t>Appendix 1</w:t>
            </w:r>
            <w:r w:rsidR="00884CB1">
              <w:rPr>
                <w:webHidden/>
              </w:rPr>
              <w:tab/>
            </w:r>
            <w:r w:rsidR="00884CB1">
              <w:rPr>
                <w:webHidden/>
              </w:rPr>
              <w:fldChar w:fldCharType="begin"/>
            </w:r>
            <w:r w:rsidR="00884CB1">
              <w:rPr>
                <w:webHidden/>
              </w:rPr>
              <w:instrText xml:space="preserve"> PAGEREF _Toc53397865 \h </w:instrText>
            </w:r>
            <w:r w:rsidR="00884CB1">
              <w:rPr>
                <w:webHidden/>
              </w:rPr>
            </w:r>
            <w:r w:rsidR="00884CB1">
              <w:rPr>
                <w:webHidden/>
              </w:rPr>
              <w:fldChar w:fldCharType="separate"/>
            </w:r>
            <w:r w:rsidR="00734F7B">
              <w:rPr>
                <w:webHidden/>
              </w:rPr>
              <w:t>25</w:t>
            </w:r>
            <w:r w:rsidR="00884CB1">
              <w:rPr>
                <w:webHidden/>
              </w:rPr>
              <w:fldChar w:fldCharType="end"/>
            </w:r>
          </w:hyperlink>
        </w:p>
        <w:p w14:paraId="64C4723C" w14:textId="44878057" w:rsidR="00884CB1" w:rsidRDefault="00602F6B">
          <w:pPr>
            <w:pStyle w:val="TOC1"/>
            <w:rPr>
              <w:rFonts w:asciiTheme="minorHAnsi" w:eastAsiaTheme="minorEastAsia" w:hAnsiTheme="minorHAnsi" w:cstheme="minorBidi"/>
              <w:b w:val="0"/>
              <w:color w:val="auto"/>
            </w:rPr>
          </w:pPr>
          <w:hyperlink w:anchor="_Toc53397866" w:history="1">
            <w:r w:rsidR="00884CB1" w:rsidRPr="00B41A78">
              <w:rPr>
                <w:rStyle w:val="Hyperlink"/>
              </w:rPr>
              <w:t>Appendix 2</w:t>
            </w:r>
            <w:r w:rsidR="00884CB1">
              <w:rPr>
                <w:webHidden/>
              </w:rPr>
              <w:tab/>
            </w:r>
            <w:r w:rsidR="00884CB1">
              <w:rPr>
                <w:webHidden/>
              </w:rPr>
              <w:fldChar w:fldCharType="begin"/>
            </w:r>
            <w:r w:rsidR="00884CB1">
              <w:rPr>
                <w:webHidden/>
              </w:rPr>
              <w:instrText xml:space="preserve"> PAGEREF _Toc53397866 \h </w:instrText>
            </w:r>
            <w:r w:rsidR="00884CB1">
              <w:rPr>
                <w:webHidden/>
              </w:rPr>
            </w:r>
            <w:r w:rsidR="00884CB1">
              <w:rPr>
                <w:webHidden/>
              </w:rPr>
              <w:fldChar w:fldCharType="separate"/>
            </w:r>
            <w:r w:rsidR="00734F7B">
              <w:rPr>
                <w:webHidden/>
              </w:rPr>
              <w:t>26</w:t>
            </w:r>
            <w:r w:rsidR="00884CB1">
              <w:rPr>
                <w:webHidden/>
              </w:rPr>
              <w:fldChar w:fldCharType="end"/>
            </w:r>
          </w:hyperlink>
        </w:p>
        <w:p w14:paraId="1D0163D8" w14:textId="54E5F2C9" w:rsidR="00884CB1" w:rsidRDefault="00884CB1">
          <w:r>
            <w:rPr>
              <w:b/>
              <w:bCs/>
              <w:noProof/>
            </w:rPr>
            <w:fldChar w:fldCharType="end"/>
          </w:r>
        </w:p>
      </w:sdtContent>
    </w:sdt>
    <w:p w14:paraId="4C1A88D3" w14:textId="77777777" w:rsidR="00603A50" w:rsidRPr="00603A50" w:rsidRDefault="00603A50" w:rsidP="00603A50"/>
    <w:p w14:paraId="42AD4A0C" w14:textId="77777777" w:rsidR="00E00AA7" w:rsidRDefault="00E00AA7">
      <w:pPr>
        <w:pBdr>
          <w:top w:val="nil"/>
          <w:left w:val="nil"/>
          <w:bottom w:val="nil"/>
          <w:right w:val="nil"/>
          <w:between w:val="nil"/>
        </w:pBdr>
        <w:spacing w:before="0" w:after="0"/>
        <w:ind w:right="-2"/>
        <w:rPr>
          <w:color w:val="000000"/>
        </w:rPr>
        <w:sectPr w:rsidR="00E00AA7" w:rsidSect="00884CB1">
          <w:headerReference w:type="even" r:id="rId29"/>
          <w:headerReference w:type="default" r:id="rId30"/>
          <w:footerReference w:type="even" r:id="rId31"/>
          <w:headerReference w:type="first" r:id="rId32"/>
          <w:footerReference w:type="first" r:id="rId33"/>
          <w:pgSz w:w="11906" w:h="16838"/>
          <w:pgMar w:top="1418" w:right="1418" w:bottom="1418" w:left="1418" w:header="709" w:footer="709" w:gutter="0"/>
          <w:pgNumType w:fmt="lowerRoman"/>
          <w:cols w:space="720" w:equalWidth="0">
            <w:col w:w="9360"/>
          </w:cols>
        </w:sectPr>
      </w:pPr>
    </w:p>
    <w:p w14:paraId="50769F3A" w14:textId="7E9C82BB" w:rsidR="003A4C1B" w:rsidRDefault="0090716A">
      <w:pPr>
        <w:pStyle w:val="Heading1"/>
      </w:pPr>
      <w:bookmarkStart w:id="10" w:name="_Toc53397836"/>
      <w:bookmarkStart w:id="11" w:name="_Toc52472716"/>
      <w:bookmarkStart w:id="12" w:name="_Toc52470903"/>
      <w:bookmarkStart w:id="13" w:name="_Toc52472792"/>
      <w:bookmarkStart w:id="14" w:name="_Toc52474211"/>
      <w:bookmarkStart w:id="15" w:name="_Toc52471842"/>
      <w:r>
        <w:rPr>
          <w:noProof/>
        </w:rPr>
        <w:lastRenderedPageBreak/>
        <w:drawing>
          <wp:anchor distT="0" distB="0" distL="114300" distR="114300" simplePos="0" relativeHeight="251658243" behindDoc="0" locked="0" layoutInCell="1" allowOverlap="1" wp14:anchorId="2205171D" wp14:editId="1B557BFB">
            <wp:simplePos x="0" y="0"/>
            <wp:positionH relativeFrom="margin">
              <wp:align>left</wp:align>
            </wp:positionH>
            <wp:positionV relativeFrom="paragraph">
              <wp:posOffset>306705</wp:posOffset>
            </wp:positionV>
            <wp:extent cx="2219325" cy="202755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rrent Headshot.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19325" cy="2027555"/>
                    </a:xfrm>
                    <a:prstGeom prst="rect">
                      <a:avLst/>
                    </a:prstGeom>
                  </pic:spPr>
                </pic:pic>
              </a:graphicData>
            </a:graphic>
            <wp14:sizeRelH relativeFrom="page">
              <wp14:pctWidth>0</wp14:pctWidth>
            </wp14:sizeRelH>
            <wp14:sizeRelV relativeFrom="page">
              <wp14:pctHeight>0</wp14:pctHeight>
            </wp14:sizeRelV>
          </wp:anchor>
        </w:drawing>
      </w:r>
      <w:r w:rsidR="00205DE0">
        <w:t>Minister’s foreword</w:t>
      </w:r>
      <w:bookmarkEnd w:id="10"/>
      <w:r w:rsidR="00205DE0">
        <w:t xml:space="preserve"> </w:t>
      </w:r>
      <w:bookmarkEnd w:id="11"/>
      <w:bookmarkEnd w:id="12"/>
      <w:bookmarkEnd w:id="13"/>
      <w:bookmarkEnd w:id="14"/>
      <w:bookmarkEnd w:id="15"/>
    </w:p>
    <w:p w14:paraId="4DB11C82" w14:textId="0D517777" w:rsidR="003C7027" w:rsidRDefault="003C7027" w:rsidP="003C7027">
      <w:r>
        <w:t>The superannuation system manages almost $3 trillion in retirement savings on behalf of 16 million Australians. There are enough savings in the superannuation system to buy every company listed on the Australian Securities Exchange – one and a half times. Due to the compulsory nature of the system, it is expected to reach $5 trillion by 2034.</w:t>
      </w:r>
    </w:p>
    <w:p w14:paraId="1E9F84E4" w14:textId="77777777" w:rsidR="003C7027" w:rsidRDefault="003C7027" w:rsidP="003C7027">
      <w:r>
        <w:t xml:space="preserve">While the superannuation system has grown significantly, it needs to adapt to better meet the needs of Australians. The current system is letting too many Australians down. </w:t>
      </w:r>
    </w:p>
    <w:p w14:paraId="68B9D440" w14:textId="77777777" w:rsidR="003C7027" w:rsidRPr="00DB173E" w:rsidRDefault="003C7027" w:rsidP="003C7027">
      <w:r>
        <w:t>Australians are paying $30 billion per year in superannuation fees. This is more than the $27 billion Australian households pay on their energy bills or the $12 billion they spend on water bills. B</w:t>
      </w:r>
      <w:r w:rsidRPr="006C3A8D">
        <w:t xml:space="preserve">y 2034, </w:t>
      </w:r>
      <w:r>
        <w:t xml:space="preserve">it is estimated that </w:t>
      </w:r>
      <w:r w:rsidRPr="00DB173E">
        <w:t xml:space="preserve">Australians </w:t>
      </w:r>
      <w:r>
        <w:t xml:space="preserve">could </w:t>
      </w:r>
      <w:r w:rsidRPr="00DB173E">
        <w:t>be paying $45</w:t>
      </w:r>
      <w:r>
        <w:t> </w:t>
      </w:r>
      <w:r w:rsidRPr="00DB173E">
        <w:t xml:space="preserve">billion in superannuation fees.  </w:t>
      </w:r>
    </w:p>
    <w:p w14:paraId="3C1088A5" w14:textId="77777777" w:rsidR="003C7027" w:rsidRDefault="003C7027" w:rsidP="003C7027">
      <w:r w:rsidRPr="00DB173E">
        <w:t xml:space="preserve">At the same time, </w:t>
      </w:r>
      <w:r>
        <w:t xml:space="preserve">Australians hold </w:t>
      </w:r>
      <w:r w:rsidRPr="00DB173E">
        <w:t>around 3</w:t>
      </w:r>
      <w:r>
        <w:t> </w:t>
      </w:r>
      <w:r w:rsidRPr="00DB173E">
        <w:t xml:space="preserve">million </w:t>
      </w:r>
      <w:r>
        <w:t>accounts</w:t>
      </w:r>
      <w:r w:rsidRPr="00DB173E">
        <w:t xml:space="preserve"> in underperforming funds</w:t>
      </w:r>
      <w:r w:rsidRPr="00CD1893">
        <w:t xml:space="preserve"> managing over $100</w:t>
      </w:r>
      <w:r>
        <w:t> </w:t>
      </w:r>
      <w:r w:rsidRPr="00CD1893">
        <w:t>billion in retirement savings.</w:t>
      </w:r>
      <w:r>
        <w:t xml:space="preserve"> A member in the worst</w:t>
      </w:r>
      <w:r w:rsidR="000341DE">
        <w:noBreakHyphen/>
      </w:r>
      <w:r>
        <w:t>performing MySuper product could be up to $98,000 worse off in retirement.</w:t>
      </w:r>
    </w:p>
    <w:p w14:paraId="61570346" w14:textId="5D7A5370" w:rsidR="003C7027" w:rsidRDefault="003C7027" w:rsidP="003C7027">
      <w:r>
        <w:t xml:space="preserve">The current system has also resulted in 6 million </w:t>
      </w:r>
      <w:r w:rsidR="0072428C">
        <w:t xml:space="preserve">unintended </w:t>
      </w:r>
      <w:r>
        <w:t xml:space="preserve">multiple accounts which are unnecessarily draining members’ superannuation savings. </w:t>
      </w:r>
    </w:p>
    <w:p w14:paraId="62256C65" w14:textId="77777777" w:rsidR="003C7027" w:rsidRDefault="003C7027" w:rsidP="003C7027">
      <w:r>
        <w:t xml:space="preserve">Every dollar that an Australian pays in higher fees is a dollar that they will not benefit from in their retirement.  </w:t>
      </w:r>
    </w:p>
    <w:p w14:paraId="50BC41F8" w14:textId="77777777" w:rsidR="003C7027" w:rsidRDefault="003C7027" w:rsidP="003C7027">
      <w:r>
        <w:t xml:space="preserve">The Morrison Government’s goal is for the superannuation system to maximise the retirement savings of all Australians. We want your money to work harder for you, so that the money you contribute today is invested in your best financial interests, allowing you to enjoy a higher standard of living in retirement.  </w:t>
      </w:r>
    </w:p>
    <w:p w14:paraId="613BBAC8" w14:textId="77777777" w:rsidR="003C7027" w:rsidRDefault="003C7027" w:rsidP="003C7027">
      <w:r>
        <w:t>We also want to help you make more informed decisions about who manages your superannuation. The superannuation system is complex and members do not have access to a single, trusted and reliable source of information to help them make a better choice.</w:t>
      </w:r>
    </w:p>
    <w:p w14:paraId="4B7975E1" w14:textId="77777777" w:rsidR="003C7027" w:rsidRDefault="003C7027" w:rsidP="003C7027">
      <w:r>
        <w:t>Greater member engagement is critical to the success of the superannuation system. It drives greater competition which delivers lower fees and better returns for members.</w:t>
      </w:r>
    </w:p>
    <w:p w14:paraId="0DAC0FCF" w14:textId="77777777" w:rsidR="003C7027" w:rsidRDefault="003C7027" w:rsidP="003C7027">
      <w:r>
        <w:t xml:space="preserve">The Morrison Government’s </w:t>
      </w:r>
      <w:r w:rsidRPr="0098444A">
        <w:rPr>
          <w:i/>
        </w:rPr>
        <w:t>Your Future, Your Super</w:t>
      </w:r>
      <w:r>
        <w:t xml:space="preserve"> package will implement a number of key recommendations from the Productivity Commission review into superannuation and the Royal Commission into Misconduct in the Banking, Superannuation and Financial Services Industry.  </w:t>
      </w:r>
    </w:p>
    <w:p w14:paraId="1CE72E3A" w14:textId="77777777" w:rsidR="003C7027" w:rsidRDefault="003C7027" w:rsidP="003C7027">
      <w:r w:rsidRPr="00B2159B">
        <w:rPr>
          <w:i/>
        </w:rPr>
        <w:t>Your Future, Your Super</w:t>
      </w:r>
      <w:r>
        <w:t xml:space="preserve"> makes the superannuation system better for members in four key ways:</w:t>
      </w:r>
    </w:p>
    <w:p w14:paraId="6BE5191F" w14:textId="308E5FE0" w:rsidR="003C7027" w:rsidRDefault="003C7027" w:rsidP="003C7027">
      <w:pPr>
        <w:pStyle w:val="Bullet"/>
        <w:numPr>
          <w:ilvl w:val="0"/>
          <w:numId w:val="11"/>
        </w:numPr>
        <w:tabs>
          <w:tab w:val="clear" w:pos="1040"/>
        </w:tabs>
        <w:spacing w:after="160" w:line="259" w:lineRule="auto"/>
      </w:pPr>
      <w:r w:rsidRPr="0098444A">
        <w:rPr>
          <w:b/>
        </w:rPr>
        <w:t>Your superannuation follows you</w:t>
      </w:r>
      <w:r>
        <w:t>, prevent the creation of unintended multiple superannuation accounts.</w:t>
      </w:r>
    </w:p>
    <w:p w14:paraId="4F01A0FD" w14:textId="77777777" w:rsidR="003C7027" w:rsidRDefault="003C7027" w:rsidP="003C7027">
      <w:pPr>
        <w:pStyle w:val="Bullet"/>
        <w:numPr>
          <w:ilvl w:val="0"/>
          <w:numId w:val="11"/>
        </w:numPr>
        <w:tabs>
          <w:tab w:val="clear" w:pos="1040"/>
        </w:tabs>
        <w:spacing w:after="160" w:line="259" w:lineRule="auto"/>
      </w:pPr>
      <w:r w:rsidRPr="0098444A">
        <w:rPr>
          <w:b/>
        </w:rPr>
        <w:t>Empowering members</w:t>
      </w:r>
      <w:r w:rsidRPr="0098444A">
        <w:t>,</w:t>
      </w:r>
      <w:r>
        <w:t xml:space="preserve"> by making it easier for you to choose a well-performing product that meets your needs.</w:t>
      </w:r>
    </w:p>
    <w:p w14:paraId="0C89E4F4" w14:textId="77777777" w:rsidR="003C7027" w:rsidRDefault="003C7027" w:rsidP="003C7027">
      <w:pPr>
        <w:pStyle w:val="Bullet"/>
        <w:numPr>
          <w:ilvl w:val="0"/>
          <w:numId w:val="11"/>
        </w:numPr>
        <w:tabs>
          <w:tab w:val="clear" w:pos="1040"/>
        </w:tabs>
        <w:spacing w:after="160" w:line="259" w:lineRule="auto"/>
      </w:pPr>
      <w:r w:rsidRPr="0098444A">
        <w:rPr>
          <w:b/>
        </w:rPr>
        <w:t>Holding funds to account for underperformance</w:t>
      </w:r>
      <w:r>
        <w:t xml:space="preserve">, protecting you from poor outcomes and encouraging funds to lower costs and fees to boost Australians’ retirement incomes.  </w:t>
      </w:r>
    </w:p>
    <w:p w14:paraId="21210C5B" w14:textId="77777777" w:rsidR="003C7027" w:rsidRDefault="003C7027" w:rsidP="003C7027">
      <w:pPr>
        <w:pStyle w:val="Bullet"/>
        <w:numPr>
          <w:ilvl w:val="0"/>
          <w:numId w:val="11"/>
        </w:numPr>
        <w:tabs>
          <w:tab w:val="clear" w:pos="1040"/>
        </w:tabs>
        <w:spacing w:after="160" w:line="259" w:lineRule="auto"/>
      </w:pPr>
      <w:r w:rsidRPr="0098444A">
        <w:rPr>
          <w:b/>
        </w:rPr>
        <w:t>Increasing transparency and accountability</w:t>
      </w:r>
      <w:r>
        <w:t xml:space="preserve"> for how superannuation funds use members’ savings.</w:t>
      </w:r>
    </w:p>
    <w:p w14:paraId="0BE3BCE1" w14:textId="77777777" w:rsidR="003C7027" w:rsidRDefault="003C7027" w:rsidP="003C7027">
      <w:r>
        <w:lastRenderedPageBreak/>
        <w:t xml:space="preserve">Together, these changes will save Australians $17.9 billion over 10 years.  </w:t>
      </w:r>
    </w:p>
    <w:p w14:paraId="3AD1B198" w14:textId="5B0D3EBB" w:rsidR="003C7027" w:rsidRDefault="003C7027" w:rsidP="003C7027">
      <w:r w:rsidRPr="0098444A">
        <w:rPr>
          <w:szCs w:val="22"/>
        </w:rPr>
        <w:t xml:space="preserve">The </w:t>
      </w:r>
      <w:r w:rsidRPr="008C25C7">
        <w:rPr>
          <w:i/>
        </w:rPr>
        <w:t>Your Future, Your Super</w:t>
      </w:r>
      <w:r w:rsidRPr="00351C91">
        <w:t xml:space="preserve"> </w:t>
      </w:r>
      <w:r>
        <w:t>package</w:t>
      </w:r>
      <w:r w:rsidRPr="00351C91">
        <w:t xml:space="preserve"> </w:t>
      </w:r>
      <w:r>
        <w:t>is</w:t>
      </w:r>
      <w:r w:rsidRPr="00351C91">
        <w:t xml:space="preserve"> </w:t>
      </w:r>
      <w:r>
        <w:t>the</w:t>
      </w:r>
      <w:r w:rsidRPr="006C3A8D">
        <w:t xml:space="preserve"> </w:t>
      </w:r>
      <w:r w:rsidRPr="00351C91">
        <w:t>Morrison Government</w:t>
      </w:r>
      <w:r>
        <w:t xml:space="preserve">’s next </w:t>
      </w:r>
      <w:r w:rsidRPr="00351C91">
        <w:t>step in</w:t>
      </w:r>
      <w:r>
        <w:t xml:space="preserve"> modernising</w:t>
      </w:r>
      <w:r w:rsidRPr="00351C91">
        <w:t xml:space="preserve"> </w:t>
      </w:r>
      <w:r>
        <w:t xml:space="preserve">and </w:t>
      </w:r>
      <w:r w:rsidRPr="00351C91">
        <w:t>improving the superannuation system</w:t>
      </w:r>
      <w:r>
        <w:t xml:space="preserve"> to ensure it is working harder for you.</w:t>
      </w:r>
    </w:p>
    <w:p w14:paraId="262C6C5E" w14:textId="39CBC3D8" w:rsidR="0090716A" w:rsidRPr="00351C91" w:rsidRDefault="0090716A" w:rsidP="003C7027">
      <w:r>
        <w:rPr>
          <w:noProof/>
        </w:rPr>
        <w:drawing>
          <wp:inline distT="0" distB="0" distL="0" distR="0" wp14:anchorId="5924FD19" wp14:editId="7F77E857">
            <wp:extent cx="2444496" cy="9540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osh Frydenberg.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44496" cy="954024"/>
                    </a:xfrm>
                    <a:prstGeom prst="rect">
                      <a:avLst/>
                    </a:prstGeom>
                  </pic:spPr>
                </pic:pic>
              </a:graphicData>
            </a:graphic>
          </wp:inline>
        </w:drawing>
      </w:r>
    </w:p>
    <w:p w14:paraId="35BAF06B" w14:textId="77777777" w:rsidR="003A4C1B" w:rsidRDefault="00205DE0">
      <w:pPr>
        <w:pStyle w:val="Heading1"/>
      </w:pPr>
      <w:bookmarkStart w:id="16" w:name="_heading=h.2et92p0" w:colFirst="0" w:colLast="0"/>
      <w:bookmarkEnd w:id="16"/>
      <w:r>
        <w:br w:type="page"/>
      </w:r>
    </w:p>
    <w:p w14:paraId="5FA61A6D" w14:textId="77777777" w:rsidR="003A4C1B" w:rsidRDefault="00205DE0">
      <w:pPr>
        <w:pStyle w:val="Heading1"/>
      </w:pPr>
      <w:bookmarkStart w:id="17" w:name="_Toc52472717"/>
      <w:bookmarkStart w:id="18" w:name="_Toc52470904"/>
      <w:bookmarkStart w:id="19" w:name="_Toc52472793"/>
      <w:bookmarkStart w:id="20" w:name="_Toc52474212"/>
      <w:bookmarkStart w:id="21" w:name="_Toc52471843"/>
      <w:bookmarkStart w:id="22" w:name="_Toc53397837"/>
      <w:r>
        <w:lastRenderedPageBreak/>
        <w:t>Executive summary</w:t>
      </w:r>
      <w:bookmarkEnd w:id="17"/>
      <w:bookmarkEnd w:id="18"/>
      <w:bookmarkEnd w:id="19"/>
      <w:bookmarkEnd w:id="20"/>
      <w:bookmarkEnd w:id="21"/>
      <w:bookmarkEnd w:id="22"/>
      <w:r>
        <w:t xml:space="preserve"> </w:t>
      </w:r>
    </w:p>
    <w:p w14:paraId="0250B479" w14:textId="77777777" w:rsidR="003A4C1B" w:rsidRDefault="00205DE0">
      <w:pPr>
        <w:numPr>
          <w:ilvl w:val="0"/>
          <w:numId w:val="3"/>
        </w:numPr>
        <w:pBdr>
          <w:top w:val="nil"/>
          <w:left w:val="nil"/>
          <w:bottom w:val="nil"/>
          <w:right w:val="nil"/>
          <w:between w:val="nil"/>
        </w:pBdr>
        <w:spacing w:before="0"/>
      </w:pPr>
      <w:r>
        <w:rPr>
          <w:color w:val="000000"/>
        </w:rPr>
        <w:t xml:space="preserve">Australia’s $3 trillion superannuation system is the fourth largest in the world and is responsible for managing the retirement savings of 16 million </w:t>
      </w:r>
      <w:r>
        <w:t>Australians</w:t>
      </w:r>
      <w:r>
        <w:rPr>
          <w:color w:val="000000"/>
        </w:rPr>
        <w:t xml:space="preserve">. </w:t>
      </w:r>
    </w:p>
    <w:p w14:paraId="6D283682" w14:textId="75B62C88" w:rsidR="003A4C1B" w:rsidRDefault="00205DE0">
      <w:pPr>
        <w:numPr>
          <w:ilvl w:val="0"/>
          <w:numId w:val="3"/>
        </w:numPr>
        <w:pBdr>
          <w:top w:val="nil"/>
          <w:left w:val="nil"/>
          <w:bottom w:val="nil"/>
          <w:right w:val="nil"/>
          <w:between w:val="nil"/>
        </w:pBdr>
        <w:spacing w:before="0"/>
      </w:pPr>
      <w:r>
        <w:rPr>
          <w:color w:val="000000"/>
        </w:rPr>
        <w:t xml:space="preserve">Superannuation </w:t>
      </w:r>
      <w:r w:rsidR="005C04E0">
        <w:t>will help</w:t>
      </w:r>
      <w:r>
        <w:rPr>
          <w:color w:val="000000"/>
        </w:rPr>
        <w:t xml:space="preserve"> many Australians to enjoy a higher standard of living in retirement. But structur</w:t>
      </w:r>
      <w:r>
        <w:t xml:space="preserve">al </w:t>
      </w:r>
      <w:r>
        <w:rPr>
          <w:color w:val="000000"/>
        </w:rPr>
        <w:t xml:space="preserve">flaws </w:t>
      </w:r>
      <w:r>
        <w:t xml:space="preserve">within </w:t>
      </w:r>
      <w:r>
        <w:rPr>
          <w:color w:val="000000"/>
        </w:rPr>
        <w:t xml:space="preserve">the system mean many Australians </w:t>
      </w:r>
      <w:r>
        <w:t>will</w:t>
      </w:r>
      <w:r>
        <w:rPr>
          <w:color w:val="000000"/>
        </w:rPr>
        <w:t xml:space="preserve"> be let down.</w:t>
      </w:r>
    </w:p>
    <w:p w14:paraId="3AC00E0B" w14:textId="77777777" w:rsidR="003A4C1B" w:rsidRDefault="00205DE0">
      <w:pPr>
        <w:numPr>
          <w:ilvl w:val="0"/>
          <w:numId w:val="3"/>
        </w:numPr>
        <w:pBdr>
          <w:top w:val="nil"/>
          <w:left w:val="nil"/>
          <w:bottom w:val="nil"/>
          <w:right w:val="nil"/>
          <w:between w:val="nil"/>
        </w:pBdr>
        <w:spacing w:before="0"/>
      </w:pPr>
      <w:r>
        <w:rPr>
          <w:color w:val="000000"/>
        </w:rPr>
        <w:t xml:space="preserve">Since 2013, the Coalition Government has </w:t>
      </w:r>
      <w:r>
        <w:t xml:space="preserve">undertaken </w:t>
      </w:r>
      <w:r>
        <w:rPr>
          <w:color w:val="000000"/>
        </w:rPr>
        <w:t xml:space="preserve">a number of reviews to ensure the financial system, including the superannuation system, is working for </w:t>
      </w:r>
      <w:r>
        <w:t>members</w:t>
      </w:r>
      <w:r>
        <w:rPr>
          <w:color w:val="000000"/>
        </w:rPr>
        <w:t xml:space="preserve">. </w:t>
      </w:r>
      <w:r w:rsidRPr="00437152">
        <w:rPr>
          <w:color w:val="000000"/>
        </w:rPr>
        <w:t>These reviews have found:</w:t>
      </w:r>
    </w:p>
    <w:p w14:paraId="65AA9A2D" w14:textId="5CD9CEA2" w:rsidR="005C04E0" w:rsidRDefault="005C04E0" w:rsidP="005C04E0">
      <w:pPr>
        <w:numPr>
          <w:ilvl w:val="1"/>
          <w:numId w:val="3"/>
        </w:numPr>
        <w:pBdr>
          <w:top w:val="nil"/>
          <w:left w:val="nil"/>
          <w:bottom w:val="nil"/>
          <w:right w:val="nil"/>
          <w:between w:val="nil"/>
        </w:pBdr>
        <w:spacing w:before="0"/>
        <w:rPr>
          <w:color w:val="000000"/>
        </w:rPr>
      </w:pPr>
      <w:r>
        <w:t>The creation of</w:t>
      </w:r>
      <w:r>
        <w:rPr>
          <w:b/>
        </w:rPr>
        <w:t xml:space="preserve"> unintended multiple accounts </w:t>
      </w:r>
      <w:r>
        <w:t xml:space="preserve">as people change jobs and do not make a decision can have a significant impact on their retirement savings and the efficiency of the superannuation system, to the detriment of all members. </w:t>
      </w:r>
    </w:p>
    <w:p w14:paraId="72245328" w14:textId="6571C5C7" w:rsidR="00974C23" w:rsidRDefault="00974C23" w:rsidP="00974C23">
      <w:pPr>
        <w:numPr>
          <w:ilvl w:val="1"/>
          <w:numId w:val="3"/>
        </w:numPr>
        <w:pBdr>
          <w:top w:val="nil"/>
          <w:left w:val="nil"/>
          <w:bottom w:val="nil"/>
          <w:right w:val="nil"/>
          <w:between w:val="nil"/>
        </w:pBdr>
        <w:spacing w:before="0"/>
      </w:pPr>
      <w:r>
        <w:rPr>
          <w:color w:val="000000"/>
        </w:rPr>
        <w:t xml:space="preserve">Australians are </w:t>
      </w:r>
      <w:r>
        <w:rPr>
          <w:b/>
          <w:color w:val="000000"/>
        </w:rPr>
        <w:t>paying too much</w:t>
      </w:r>
      <w:r>
        <w:rPr>
          <w:color w:val="000000"/>
        </w:rPr>
        <w:t xml:space="preserve"> for their superannuation. Longstanding default arrangements have led to inadequate competition between funds and at the same time too few members</w:t>
      </w:r>
      <w:r>
        <w:t xml:space="preserve"> actively choose their own fund. System complexity and the lack of simple and clear information is holding back more members from finding the best product for them. As a result, </w:t>
      </w:r>
      <w:r w:rsidR="008F7920">
        <w:t xml:space="preserve">most </w:t>
      </w:r>
      <w:r>
        <w:t xml:space="preserve">members end up in the default fund selected by their employer. </w:t>
      </w:r>
      <w:r>
        <w:rPr>
          <w:color w:val="000000"/>
        </w:rPr>
        <w:t xml:space="preserve">This means funds have </w:t>
      </w:r>
      <w:r>
        <w:t xml:space="preserve">little </w:t>
      </w:r>
      <w:r>
        <w:rPr>
          <w:color w:val="000000"/>
        </w:rPr>
        <w:t xml:space="preserve">incentive to genuinely compete on the fees </w:t>
      </w:r>
      <w:r>
        <w:t>they charge</w:t>
      </w:r>
      <w:r>
        <w:rPr>
          <w:color w:val="000000"/>
        </w:rPr>
        <w:t>.</w:t>
      </w:r>
    </w:p>
    <w:p w14:paraId="07C25EB2" w14:textId="77777777" w:rsidR="005C04E0" w:rsidRDefault="005C04E0" w:rsidP="005C04E0">
      <w:pPr>
        <w:numPr>
          <w:ilvl w:val="1"/>
          <w:numId w:val="3"/>
        </w:numPr>
        <w:pBdr>
          <w:top w:val="nil"/>
          <w:left w:val="nil"/>
          <w:bottom w:val="nil"/>
          <w:right w:val="nil"/>
          <w:between w:val="nil"/>
        </w:pBdr>
        <w:spacing w:before="0"/>
        <w:rPr>
          <w:color w:val="000000"/>
        </w:rPr>
      </w:pPr>
      <w:r>
        <w:rPr>
          <w:color w:val="000000"/>
        </w:rPr>
        <w:t>The</w:t>
      </w:r>
      <w:r>
        <w:rPr>
          <w:b/>
          <w:color w:val="000000"/>
        </w:rPr>
        <w:t xml:space="preserve"> </w:t>
      </w:r>
      <w:r>
        <w:t xml:space="preserve">inefficient </w:t>
      </w:r>
      <w:r>
        <w:rPr>
          <w:color w:val="000000"/>
        </w:rPr>
        <w:t xml:space="preserve">design of default arrangements means members can fall victim to the ‘unlucky lottery’ in which they may be placed into </w:t>
      </w:r>
      <w:r>
        <w:rPr>
          <w:b/>
          <w:color w:val="000000"/>
        </w:rPr>
        <w:t xml:space="preserve">underperforming products. </w:t>
      </w:r>
      <w:r>
        <w:rPr>
          <w:color w:val="000000"/>
        </w:rPr>
        <w:t xml:space="preserve">This could result in a member being </w:t>
      </w:r>
      <w:r>
        <w:t>significantly worse off at retirement compared with being in a higher performing fund</w:t>
      </w:r>
      <w:r w:rsidRPr="005F4EA9">
        <w:t xml:space="preserve">. </w:t>
      </w:r>
      <w:r>
        <w:rPr>
          <w:color w:val="000000"/>
        </w:rPr>
        <w:t xml:space="preserve"> </w:t>
      </w:r>
    </w:p>
    <w:p w14:paraId="1B28A1BE" w14:textId="77777777" w:rsidR="003A4C1B" w:rsidRDefault="00205DE0">
      <w:pPr>
        <w:numPr>
          <w:ilvl w:val="1"/>
          <w:numId w:val="3"/>
        </w:numPr>
        <w:pBdr>
          <w:top w:val="nil"/>
          <w:left w:val="nil"/>
          <w:bottom w:val="nil"/>
          <w:right w:val="nil"/>
          <w:between w:val="nil"/>
        </w:pBdr>
        <w:spacing w:before="0"/>
      </w:pPr>
      <w:r>
        <w:rPr>
          <w:color w:val="000000"/>
        </w:rPr>
        <w:t>Funds lack</w:t>
      </w:r>
      <w:r>
        <w:t xml:space="preserve"> </w:t>
      </w:r>
      <w:r>
        <w:rPr>
          <w:b/>
          <w:color w:val="000000"/>
        </w:rPr>
        <w:t>accountability</w:t>
      </w:r>
      <w:r>
        <w:rPr>
          <w:color w:val="000000"/>
        </w:rPr>
        <w:t xml:space="preserve"> to their members for their conduct and the outcomes they deliver and there is </w:t>
      </w:r>
      <w:r>
        <w:t xml:space="preserve">inadequate </w:t>
      </w:r>
      <w:r>
        <w:rPr>
          <w:b/>
        </w:rPr>
        <w:t>transparency</w:t>
      </w:r>
      <w:r>
        <w:rPr>
          <w:b/>
          <w:color w:val="000000"/>
        </w:rPr>
        <w:t xml:space="preserve"> </w:t>
      </w:r>
      <w:r>
        <w:rPr>
          <w:color w:val="000000"/>
        </w:rPr>
        <w:t xml:space="preserve">on how </w:t>
      </w:r>
      <w:r>
        <w:t xml:space="preserve">funds </w:t>
      </w:r>
      <w:r>
        <w:rPr>
          <w:color w:val="000000"/>
        </w:rPr>
        <w:t>are spending members</w:t>
      </w:r>
      <w:r>
        <w:t>’ money.</w:t>
      </w:r>
    </w:p>
    <w:p w14:paraId="53E2EC8B" w14:textId="4E7B210C" w:rsidR="005C04E0" w:rsidRPr="00B12BC5" w:rsidRDefault="00C37441" w:rsidP="005C04E0">
      <w:pPr>
        <w:numPr>
          <w:ilvl w:val="0"/>
          <w:numId w:val="3"/>
        </w:numPr>
        <w:pBdr>
          <w:top w:val="nil"/>
          <w:left w:val="nil"/>
          <w:bottom w:val="nil"/>
          <w:right w:val="nil"/>
          <w:between w:val="nil"/>
        </w:pBdr>
        <w:spacing w:before="0"/>
      </w:pPr>
      <w:r w:rsidRPr="00C37441">
        <w:rPr>
          <w:color w:val="000000"/>
        </w:rPr>
        <w:t>The Productivity Commission estimated in 2018 that fixing these flaws would benefit members by $3.8 billion each year. Were these flaws to continue, Treasury estimates it would cost members $5 million a day.</w:t>
      </w:r>
      <w:r w:rsidR="005C04E0">
        <w:rPr>
          <w:color w:val="000000"/>
        </w:rPr>
        <w:t xml:space="preserve"> </w:t>
      </w:r>
    </w:p>
    <w:p w14:paraId="07FE528D" w14:textId="45C02625" w:rsidR="003A4C1B" w:rsidRDefault="005C04E0">
      <w:pPr>
        <w:numPr>
          <w:ilvl w:val="0"/>
          <w:numId w:val="3"/>
        </w:numPr>
        <w:pBdr>
          <w:top w:val="nil"/>
          <w:left w:val="nil"/>
          <w:bottom w:val="nil"/>
          <w:right w:val="nil"/>
          <w:between w:val="nil"/>
        </w:pBdr>
        <w:spacing w:before="0"/>
      </w:pPr>
      <w:r>
        <w:rPr>
          <w:color w:val="000000"/>
        </w:rPr>
        <w:t>Fixing these flaws represents the</w:t>
      </w:r>
      <w:r w:rsidR="008F7920">
        <w:rPr>
          <w:color w:val="000000"/>
        </w:rPr>
        <w:t xml:space="preserve"> next step in the Government</w:t>
      </w:r>
      <w:r w:rsidR="008F7920">
        <w:t>’s plan</w:t>
      </w:r>
      <w:r w:rsidR="008F7920">
        <w:rPr>
          <w:color w:val="000000"/>
        </w:rPr>
        <w:t xml:space="preserve"> </w:t>
      </w:r>
      <w:r>
        <w:rPr>
          <w:color w:val="000000"/>
        </w:rPr>
        <w:t>to</w:t>
      </w:r>
      <w:r w:rsidR="00205DE0">
        <w:t xml:space="preserve"> make sure that your super is working harder for you.</w:t>
      </w:r>
      <w:r w:rsidR="00205DE0">
        <w:rPr>
          <w:color w:val="000000"/>
        </w:rPr>
        <w:t xml:space="preserve"> </w:t>
      </w:r>
    </w:p>
    <w:p w14:paraId="42B1B2A1" w14:textId="77777777" w:rsidR="003A4C1B" w:rsidRDefault="00205DE0">
      <w:pPr>
        <w:numPr>
          <w:ilvl w:val="0"/>
          <w:numId w:val="3"/>
        </w:numPr>
        <w:pBdr>
          <w:top w:val="nil"/>
          <w:left w:val="nil"/>
          <w:bottom w:val="nil"/>
          <w:right w:val="nil"/>
          <w:between w:val="nil"/>
        </w:pBdr>
        <w:spacing w:before="0"/>
      </w:pPr>
      <w:r>
        <w:t>Since 2018, the Government has successfully legislated to</w:t>
      </w:r>
      <w:r>
        <w:rPr>
          <w:color w:val="000000"/>
        </w:rPr>
        <w:t>:</w:t>
      </w:r>
    </w:p>
    <w:p w14:paraId="361EB3CD" w14:textId="77777777" w:rsidR="003A4C1B" w:rsidRPr="00E151F9" w:rsidRDefault="00205DE0">
      <w:pPr>
        <w:numPr>
          <w:ilvl w:val="1"/>
          <w:numId w:val="3"/>
        </w:numPr>
        <w:pBdr>
          <w:top w:val="nil"/>
          <w:left w:val="nil"/>
          <w:bottom w:val="nil"/>
          <w:right w:val="nil"/>
          <w:between w:val="nil"/>
        </w:pBdr>
        <w:spacing w:before="0"/>
      </w:pPr>
      <w:r>
        <w:rPr>
          <w:color w:val="000000"/>
        </w:rPr>
        <w:t>Protect the retirement savings of millions of Australians from the negative effects of unintended multiple accounts</w:t>
      </w:r>
      <w:r w:rsidR="006F7632">
        <w:rPr>
          <w:color w:val="000000"/>
        </w:rPr>
        <w:t>,</w:t>
      </w:r>
      <w:r>
        <w:rPr>
          <w:color w:val="000000"/>
        </w:rPr>
        <w:t xml:space="preserve"> including duplicate fees and insurance</w:t>
      </w:r>
      <w:r w:rsidR="006F7632">
        <w:rPr>
          <w:color w:val="000000"/>
        </w:rPr>
        <w:t>,</w:t>
      </w:r>
      <w:r>
        <w:rPr>
          <w:color w:val="000000"/>
        </w:rPr>
        <w:t xml:space="preserve"> </w:t>
      </w:r>
      <w:r>
        <w:t>through the</w:t>
      </w:r>
      <w:r>
        <w:rPr>
          <w:color w:val="000000"/>
        </w:rPr>
        <w:t xml:space="preserve"> introduc</w:t>
      </w:r>
      <w:r>
        <w:t>tion</w:t>
      </w:r>
      <w:r>
        <w:rPr>
          <w:color w:val="000000"/>
        </w:rPr>
        <w:t xml:space="preserve"> of reforms to clean up the stock of </w:t>
      </w:r>
      <w:r>
        <w:t xml:space="preserve">inactive </w:t>
      </w:r>
      <w:r>
        <w:rPr>
          <w:color w:val="000000"/>
        </w:rPr>
        <w:t>low-balance accounts. Since 1 November 2019, $2.9 billion of inactive savings has been proactively consolidated into the active accounts of 1.</w:t>
      </w:r>
      <w:r w:rsidR="008F7920">
        <w:rPr>
          <w:color w:val="000000"/>
        </w:rPr>
        <w:t>4</w:t>
      </w:r>
      <w:r>
        <w:rPr>
          <w:color w:val="000000"/>
        </w:rPr>
        <w:t xml:space="preserve"> million people. </w:t>
      </w:r>
      <w:r w:rsidRPr="00E151F9">
        <w:rPr>
          <w:color w:val="000000"/>
        </w:rPr>
        <w:t>This</w:t>
      </w:r>
      <w:r w:rsidRPr="00E151F9">
        <w:t xml:space="preserve"> </w:t>
      </w:r>
      <w:r w:rsidR="008F7920">
        <w:t>is estimated to have</w:t>
      </w:r>
      <w:r w:rsidRPr="00E151F9">
        <w:t xml:space="preserve"> saved Australians </w:t>
      </w:r>
      <w:r w:rsidR="008F7920">
        <w:t xml:space="preserve">around </w:t>
      </w:r>
      <w:r w:rsidRPr="00E151F9">
        <w:t>$</w:t>
      </w:r>
      <w:r w:rsidR="00E151F9">
        <w:t>700</w:t>
      </w:r>
      <w:r w:rsidR="008F7920">
        <w:t> </w:t>
      </w:r>
      <w:r w:rsidR="001D229C">
        <w:t>million</w:t>
      </w:r>
      <w:r w:rsidR="008F7920">
        <w:t xml:space="preserve"> so far</w:t>
      </w:r>
      <w:r w:rsidRPr="00E151F9">
        <w:t xml:space="preserve"> in unnecessary</w:t>
      </w:r>
      <w:r w:rsidRPr="00E151F9">
        <w:rPr>
          <w:color w:val="000000"/>
        </w:rPr>
        <w:t xml:space="preserve"> </w:t>
      </w:r>
      <w:r w:rsidRPr="00E151F9">
        <w:t>fees or insurance premiums.</w:t>
      </w:r>
      <w:r w:rsidRPr="00E151F9">
        <w:rPr>
          <w:rStyle w:val="EndnoteReference"/>
          <w:rFonts w:eastAsia="Calibri" w:cs="Calibri"/>
          <w:color w:val="000000"/>
          <w:szCs w:val="22"/>
        </w:rPr>
        <w:t xml:space="preserve"> </w:t>
      </w:r>
    </w:p>
    <w:p w14:paraId="52E49172" w14:textId="77777777" w:rsidR="003A4C1B" w:rsidRDefault="00205DE0">
      <w:pPr>
        <w:numPr>
          <w:ilvl w:val="1"/>
          <w:numId w:val="3"/>
        </w:numPr>
        <w:pBdr>
          <w:top w:val="nil"/>
          <w:left w:val="nil"/>
          <w:bottom w:val="nil"/>
          <w:right w:val="nil"/>
          <w:between w:val="nil"/>
        </w:pBdr>
        <w:spacing w:before="0"/>
      </w:pPr>
      <w:r>
        <w:t xml:space="preserve">Prevent the unnecessary erosion of balances by requiring that insurance is offered only on an opt-in basis for those aged under 25 years, so that young people do not pay </w:t>
      </w:r>
      <w:r w:rsidRPr="00B12BC5">
        <w:t xml:space="preserve">for </w:t>
      </w:r>
      <w:r w:rsidR="00F3393C">
        <w:t xml:space="preserve">insurance </w:t>
      </w:r>
      <w:r>
        <w:t xml:space="preserve">they do not need. </w:t>
      </w:r>
    </w:p>
    <w:p w14:paraId="25AC9151" w14:textId="77777777" w:rsidR="003A4C1B" w:rsidRDefault="00205DE0">
      <w:pPr>
        <w:numPr>
          <w:ilvl w:val="1"/>
          <w:numId w:val="3"/>
        </w:numPr>
        <w:pBdr>
          <w:top w:val="nil"/>
          <w:left w:val="nil"/>
          <w:bottom w:val="nil"/>
          <w:right w:val="nil"/>
          <w:between w:val="nil"/>
        </w:pBdr>
        <w:spacing w:before="0"/>
      </w:pPr>
      <w:r>
        <w:t>Cap fees on low balance accounts and ban exit fees.</w:t>
      </w:r>
    </w:p>
    <w:p w14:paraId="684F8E2A" w14:textId="4FF161AE" w:rsidR="003A4C1B" w:rsidRDefault="00205DE0">
      <w:pPr>
        <w:numPr>
          <w:ilvl w:val="1"/>
          <w:numId w:val="3"/>
        </w:numPr>
        <w:pBdr>
          <w:top w:val="nil"/>
          <w:left w:val="nil"/>
          <w:bottom w:val="nil"/>
          <w:right w:val="nil"/>
          <w:between w:val="nil"/>
        </w:pBdr>
        <w:spacing w:before="0"/>
      </w:pPr>
      <w:r>
        <w:t>Remove restrictions from members being able to choose their superannuation fund. These changes have allowed about 800,000 Australians to choose where their retirement savings are invested</w:t>
      </w:r>
      <w:r w:rsidR="00781850">
        <w:t>,</w:t>
      </w:r>
      <w:r>
        <w:t xml:space="preserve"> rather than being forced into a fund because they work in a particular industry.</w:t>
      </w:r>
    </w:p>
    <w:p w14:paraId="4F0DD4DF" w14:textId="77777777" w:rsidR="003A4C1B" w:rsidRDefault="00205DE0">
      <w:pPr>
        <w:keepNext/>
        <w:numPr>
          <w:ilvl w:val="0"/>
          <w:numId w:val="3"/>
        </w:numPr>
        <w:pBdr>
          <w:top w:val="nil"/>
          <w:left w:val="nil"/>
          <w:bottom w:val="nil"/>
          <w:right w:val="nil"/>
          <w:between w:val="nil"/>
        </w:pBdr>
        <w:spacing w:before="0"/>
        <w:ind w:left="522" w:hanging="522"/>
      </w:pPr>
      <w:r>
        <w:rPr>
          <w:color w:val="000000"/>
        </w:rPr>
        <w:lastRenderedPageBreak/>
        <w:t xml:space="preserve">The </w:t>
      </w:r>
      <w:r>
        <w:rPr>
          <w:i/>
          <w:color w:val="000000"/>
        </w:rPr>
        <w:t>Your Future, Your Super</w:t>
      </w:r>
      <w:r>
        <w:rPr>
          <w:color w:val="000000"/>
        </w:rPr>
        <w:t xml:space="preserve"> </w:t>
      </w:r>
      <w:r w:rsidR="00A31BA7">
        <w:rPr>
          <w:color w:val="000000"/>
        </w:rPr>
        <w:t>p</w:t>
      </w:r>
      <w:r w:rsidR="00A57DD5">
        <w:rPr>
          <w:color w:val="000000"/>
        </w:rPr>
        <w:t>ackage</w:t>
      </w:r>
      <w:r>
        <w:rPr>
          <w:color w:val="000000"/>
        </w:rPr>
        <w:t xml:space="preserve"> has four key elements:</w:t>
      </w:r>
    </w:p>
    <w:p w14:paraId="60AC5344" w14:textId="77777777" w:rsidR="003A4C1B" w:rsidRDefault="00205DE0">
      <w:pPr>
        <w:keepNext/>
        <w:numPr>
          <w:ilvl w:val="0"/>
          <w:numId w:val="1"/>
        </w:numPr>
        <w:pBdr>
          <w:top w:val="nil"/>
          <w:left w:val="nil"/>
          <w:bottom w:val="nil"/>
          <w:right w:val="nil"/>
          <w:between w:val="nil"/>
        </w:pBdr>
        <w:tabs>
          <w:tab w:val="left" w:pos="720"/>
        </w:tabs>
        <w:spacing w:before="0"/>
        <w:ind w:left="879" w:hanging="357"/>
        <w:rPr>
          <w:b/>
          <w:color w:val="000000"/>
        </w:rPr>
      </w:pPr>
      <w:r>
        <w:rPr>
          <w:b/>
          <w:color w:val="000000"/>
        </w:rPr>
        <w:t>Your superannuation follows you</w:t>
      </w:r>
      <w:r>
        <w:rPr>
          <w:b/>
          <w:noProof/>
          <w:color w:val="000000"/>
        </w:rPr>
        <w:drawing>
          <wp:inline distT="0" distB="0" distL="0" distR="0" wp14:anchorId="0B169DB5" wp14:editId="7DACCD2A">
            <wp:extent cx="406430" cy="406430"/>
            <wp:effectExtent l="0" t="0" r="0" b="0"/>
            <wp:docPr id="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6"/>
                    <a:srcRect/>
                    <a:stretch>
                      <a:fillRect/>
                    </a:stretch>
                  </pic:blipFill>
                  <pic:spPr>
                    <a:xfrm>
                      <a:off x="0" y="0"/>
                      <a:ext cx="406430" cy="406430"/>
                    </a:xfrm>
                    <a:prstGeom prst="rect">
                      <a:avLst/>
                    </a:prstGeom>
                    <a:ln/>
                  </pic:spPr>
                </pic:pic>
              </a:graphicData>
            </a:graphic>
          </wp:inline>
        </w:drawing>
      </w:r>
    </w:p>
    <w:p w14:paraId="4E0332E4" w14:textId="77777777" w:rsidR="003A4C1B" w:rsidRDefault="00205DE0">
      <w:pPr>
        <w:numPr>
          <w:ilvl w:val="1"/>
          <w:numId w:val="3"/>
        </w:numPr>
        <w:pBdr>
          <w:top w:val="nil"/>
          <w:left w:val="nil"/>
          <w:bottom w:val="nil"/>
          <w:right w:val="nil"/>
          <w:between w:val="nil"/>
        </w:pBdr>
        <w:spacing w:before="0"/>
      </w:pPr>
      <w:r>
        <w:rPr>
          <w:color w:val="000000"/>
        </w:rPr>
        <w:t>Your retirement savings should n</w:t>
      </w:r>
      <w:r>
        <w:t>o</w:t>
      </w:r>
      <w:r>
        <w:rPr>
          <w:color w:val="000000"/>
        </w:rPr>
        <w:t xml:space="preserve">t be eaten away by duplicate fees and insurance premiums </w:t>
      </w:r>
      <w:r>
        <w:t>on</w:t>
      </w:r>
      <w:r>
        <w:rPr>
          <w:color w:val="000000"/>
        </w:rPr>
        <w:t xml:space="preserve"> multiple unintended accounts.</w:t>
      </w:r>
    </w:p>
    <w:p w14:paraId="6BC430D6" w14:textId="28004830" w:rsidR="003A4C1B" w:rsidRDefault="00205DE0">
      <w:pPr>
        <w:numPr>
          <w:ilvl w:val="1"/>
          <w:numId w:val="3"/>
        </w:numPr>
        <w:pBdr>
          <w:top w:val="nil"/>
          <w:left w:val="nil"/>
          <w:bottom w:val="nil"/>
          <w:right w:val="nil"/>
          <w:between w:val="nil"/>
        </w:pBdr>
        <w:spacing w:before="0"/>
      </w:pPr>
      <w:r>
        <w:t>T</w:t>
      </w:r>
      <w:r>
        <w:rPr>
          <w:color w:val="000000"/>
        </w:rPr>
        <w:t xml:space="preserve">he Government </w:t>
      </w:r>
      <w:r>
        <w:t xml:space="preserve">will make sure that </w:t>
      </w:r>
      <w:r w:rsidR="005C04E0">
        <w:t xml:space="preserve">a new superannuation account is not automatically created every time you start a new job. Instead, </w:t>
      </w:r>
      <w:r w:rsidR="005342F5">
        <w:t>your super will follow you,</w:t>
      </w:r>
      <w:r w:rsidR="005342F5">
        <w:rPr>
          <w:color w:val="000000"/>
        </w:rPr>
        <w:t xml:space="preserve"> so that your new </w:t>
      </w:r>
      <w:r w:rsidR="005342F5" w:rsidRPr="00E54A0A">
        <w:rPr>
          <w:color w:val="000000"/>
        </w:rPr>
        <w:t>employer will pay</w:t>
      </w:r>
      <w:r w:rsidR="005342F5" w:rsidRPr="00E54A0A">
        <w:t xml:space="preserve"> your superannuation contributions into your existing account</w:t>
      </w:r>
      <w:r w:rsidR="005342F5">
        <w:t xml:space="preserve">. </w:t>
      </w:r>
    </w:p>
    <w:p w14:paraId="6FE06F09" w14:textId="64AFA166" w:rsidR="003A4C1B" w:rsidRDefault="005C04E0" w:rsidP="00A576AE">
      <w:pPr>
        <w:numPr>
          <w:ilvl w:val="1"/>
          <w:numId w:val="3"/>
        </w:numPr>
        <w:pBdr>
          <w:top w:val="nil"/>
          <w:left w:val="nil"/>
          <w:bottom w:val="nil"/>
          <w:right w:val="nil"/>
          <w:between w:val="nil"/>
        </w:pBdr>
        <w:spacing w:before="0"/>
      </w:pPr>
      <w:r w:rsidRPr="00253EC4">
        <w:t xml:space="preserve">Stopping the creation of millions of unintended multiple accounts will </w:t>
      </w:r>
      <w:r w:rsidR="003C7027">
        <w:t>boost</w:t>
      </w:r>
      <w:r w:rsidRPr="00253EC4">
        <w:t xml:space="preserve"> </w:t>
      </w:r>
      <w:r w:rsidR="003C7027">
        <w:t xml:space="preserve">balances </w:t>
      </w:r>
      <w:r w:rsidR="00DD1D81">
        <w:t xml:space="preserve">in super </w:t>
      </w:r>
      <w:r w:rsidR="00986E41">
        <w:t xml:space="preserve">by </w:t>
      </w:r>
      <w:r w:rsidRPr="00253EC4">
        <w:t>about $2.8</w:t>
      </w:r>
      <w:r w:rsidR="00C22730" w:rsidRPr="00253EC4">
        <w:t> </w:t>
      </w:r>
      <w:r w:rsidRPr="00253EC4">
        <w:t xml:space="preserve">billion </w:t>
      </w:r>
      <w:r w:rsidR="00986E41">
        <w:t>by avoiding</w:t>
      </w:r>
      <w:r w:rsidRPr="00253EC4">
        <w:t xml:space="preserve"> duplicate fees and lost returns over </w:t>
      </w:r>
      <w:r w:rsidR="00986E41">
        <w:t>the next decade</w:t>
      </w:r>
      <w:r w:rsidR="008A59AF" w:rsidRPr="00253EC4">
        <w:t xml:space="preserve">. </w:t>
      </w:r>
    </w:p>
    <w:p w14:paraId="1010B2B2" w14:textId="77777777" w:rsidR="003A4C1B" w:rsidRDefault="00205DE0">
      <w:pPr>
        <w:numPr>
          <w:ilvl w:val="0"/>
          <w:numId w:val="1"/>
        </w:numPr>
        <w:pBdr>
          <w:top w:val="nil"/>
          <w:left w:val="nil"/>
          <w:bottom w:val="nil"/>
          <w:right w:val="nil"/>
          <w:between w:val="nil"/>
        </w:pBdr>
        <w:tabs>
          <w:tab w:val="left" w:pos="720"/>
        </w:tabs>
        <w:spacing w:before="0"/>
        <w:rPr>
          <w:b/>
          <w:color w:val="000000"/>
        </w:rPr>
      </w:pPr>
      <w:r>
        <w:rPr>
          <w:b/>
          <w:color w:val="000000"/>
        </w:rPr>
        <w:t xml:space="preserve">Empowering members </w:t>
      </w:r>
      <w:r>
        <w:rPr>
          <w:b/>
          <w:noProof/>
          <w:color w:val="000000"/>
        </w:rPr>
        <w:drawing>
          <wp:inline distT="0" distB="0" distL="0" distR="0" wp14:anchorId="6947CF19" wp14:editId="02E0E241">
            <wp:extent cx="449667" cy="449667"/>
            <wp:effectExtent l="0" t="0" r="0" b="0"/>
            <wp:docPr id="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a:srcRect/>
                    <a:stretch>
                      <a:fillRect/>
                    </a:stretch>
                  </pic:blipFill>
                  <pic:spPr>
                    <a:xfrm>
                      <a:off x="0" y="0"/>
                      <a:ext cx="449667" cy="449667"/>
                    </a:xfrm>
                    <a:prstGeom prst="rect">
                      <a:avLst/>
                    </a:prstGeom>
                    <a:ln/>
                  </pic:spPr>
                </pic:pic>
              </a:graphicData>
            </a:graphic>
          </wp:inline>
        </w:drawing>
      </w:r>
    </w:p>
    <w:p w14:paraId="6BA4050B" w14:textId="77948C97" w:rsidR="003A4C1B" w:rsidRDefault="00205DE0">
      <w:pPr>
        <w:numPr>
          <w:ilvl w:val="1"/>
          <w:numId w:val="3"/>
        </w:numPr>
        <w:pBdr>
          <w:top w:val="nil"/>
          <w:left w:val="nil"/>
          <w:bottom w:val="nil"/>
          <w:right w:val="nil"/>
          <w:between w:val="nil"/>
        </w:pBdr>
        <w:spacing w:before="0"/>
      </w:pPr>
      <w:r>
        <w:t xml:space="preserve">You </w:t>
      </w:r>
      <w:r>
        <w:rPr>
          <w:color w:val="000000"/>
        </w:rPr>
        <w:t xml:space="preserve">should be given simple and clear information from a reliable source to </w:t>
      </w:r>
      <w:r>
        <w:t>help you</w:t>
      </w:r>
      <w:r>
        <w:rPr>
          <w:color w:val="000000"/>
        </w:rPr>
        <w:t xml:space="preserve"> choose a high</w:t>
      </w:r>
      <w:r w:rsidR="003F7C3E">
        <w:rPr>
          <w:color w:val="000000"/>
        </w:rPr>
        <w:noBreakHyphen/>
      </w:r>
      <w:r>
        <w:rPr>
          <w:color w:val="000000"/>
        </w:rPr>
        <w:t>performing and/or low</w:t>
      </w:r>
      <w:r w:rsidR="00881047">
        <w:rPr>
          <w:color w:val="000000"/>
        </w:rPr>
        <w:noBreakHyphen/>
      </w:r>
      <w:r>
        <w:rPr>
          <w:color w:val="000000"/>
        </w:rPr>
        <w:t xml:space="preserve">cost superannuation product that meets </w:t>
      </w:r>
      <w:r>
        <w:t xml:space="preserve">your </w:t>
      </w:r>
      <w:r>
        <w:rPr>
          <w:color w:val="000000"/>
        </w:rPr>
        <w:t xml:space="preserve">needs. </w:t>
      </w:r>
    </w:p>
    <w:p w14:paraId="0E62618C" w14:textId="77777777" w:rsidR="003A4C1B" w:rsidRDefault="00205DE0">
      <w:pPr>
        <w:numPr>
          <w:ilvl w:val="1"/>
          <w:numId w:val="3"/>
        </w:numPr>
        <w:pBdr>
          <w:top w:val="nil"/>
          <w:left w:val="nil"/>
          <w:bottom w:val="nil"/>
          <w:right w:val="nil"/>
          <w:between w:val="nil"/>
        </w:pBdr>
        <w:spacing w:before="0"/>
      </w:pPr>
      <w:r>
        <w:rPr>
          <w:color w:val="000000"/>
        </w:rPr>
        <w:t xml:space="preserve">The Government </w:t>
      </w:r>
      <w:r>
        <w:t>will</w:t>
      </w:r>
      <w:r>
        <w:rPr>
          <w:color w:val="000000"/>
        </w:rPr>
        <w:t xml:space="preserve"> mak</w:t>
      </w:r>
      <w:r>
        <w:t>e</w:t>
      </w:r>
      <w:r>
        <w:rPr>
          <w:color w:val="000000"/>
        </w:rPr>
        <w:t xml:space="preserve"> it easy for you to choose</w:t>
      </w:r>
      <w:r>
        <w:t xml:space="preserve"> who manages your superannuation through a</w:t>
      </w:r>
      <w:r>
        <w:rPr>
          <w:color w:val="000000"/>
        </w:rPr>
        <w:t xml:space="preserve"> new, interactive, online YourSuper comparison tool.</w:t>
      </w:r>
    </w:p>
    <w:p w14:paraId="6F44F6B9" w14:textId="6B2E20B0" w:rsidR="003A4C1B" w:rsidRDefault="00205DE0">
      <w:pPr>
        <w:numPr>
          <w:ilvl w:val="1"/>
          <w:numId w:val="3"/>
        </w:numPr>
        <w:pBdr>
          <w:top w:val="nil"/>
          <w:left w:val="nil"/>
          <w:bottom w:val="nil"/>
          <w:right w:val="nil"/>
          <w:between w:val="nil"/>
        </w:pBdr>
        <w:spacing w:before="0"/>
      </w:pPr>
      <w:r>
        <w:rPr>
          <w:color w:val="000000"/>
        </w:rPr>
        <w:t>The YourSuper</w:t>
      </w:r>
      <w:r w:rsidR="00DF7AE5">
        <w:rPr>
          <w:color w:val="000000"/>
        </w:rPr>
        <w:t xml:space="preserve"> comparison</w:t>
      </w:r>
      <w:r>
        <w:rPr>
          <w:color w:val="000000"/>
        </w:rPr>
        <w:t xml:space="preserve"> tool will make the performance of MyS</w:t>
      </w:r>
      <w:r>
        <w:t xml:space="preserve">uper products </w:t>
      </w:r>
      <w:r>
        <w:rPr>
          <w:color w:val="000000"/>
        </w:rPr>
        <w:t xml:space="preserve">clear, requiring </w:t>
      </w:r>
      <w:r w:rsidR="00FF34CB">
        <w:rPr>
          <w:color w:val="000000"/>
        </w:rPr>
        <w:t xml:space="preserve">funds </w:t>
      </w:r>
      <w:r>
        <w:rPr>
          <w:color w:val="000000"/>
        </w:rPr>
        <w:t>to compete for your savings.</w:t>
      </w:r>
    </w:p>
    <w:p w14:paraId="43BA0042" w14:textId="77777777" w:rsidR="003A4C1B" w:rsidRDefault="00205DE0">
      <w:pPr>
        <w:numPr>
          <w:ilvl w:val="0"/>
          <w:numId w:val="1"/>
        </w:numPr>
        <w:pBdr>
          <w:top w:val="nil"/>
          <w:left w:val="nil"/>
          <w:bottom w:val="nil"/>
          <w:right w:val="nil"/>
          <w:between w:val="nil"/>
        </w:pBdr>
        <w:tabs>
          <w:tab w:val="left" w:pos="720"/>
        </w:tabs>
        <w:spacing w:before="0"/>
        <w:rPr>
          <w:b/>
          <w:color w:val="000000"/>
        </w:rPr>
      </w:pPr>
      <w:r>
        <w:rPr>
          <w:b/>
          <w:color w:val="000000"/>
        </w:rPr>
        <w:t>Holding funds to account for underperformance</w:t>
      </w:r>
      <w:r>
        <w:rPr>
          <w:b/>
          <w:noProof/>
          <w:color w:val="000000"/>
        </w:rPr>
        <w:drawing>
          <wp:inline distT="0" distB="0" distL="0" distR="0" wp14:anchorId="085487DF" wp14:editId="2DED2898">
            <wp:extent cx="453444" cy="453444"/>
            <wp:effectExtent l="0" t="0" r="0" b="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453444" cy="453444"/>
                    </a:xfrm>
                    <a:prstGeom prst="rect">
                      <a:avLst/>
                    </a:prstGeom>
                    <a:ln/>
                  </pic:spPr>
                </pic:pic>
              </a:graphicData>
            </a:graphic>
          </wp:inline>
        </w:drawing>
      </w:r>
    </w:p>
    <w:p w14:paraId="51A8B0ED" w14:textId="77777777" w:rsidR="003A4C1B" w:rsidRDefault="00205DE0">
      <w:pPr>
        <w:numPr>
          <w:ilvl w:val="1"/>
          <w:numId w:val="3"/>
        </w:numPr>
        <w:pBdr>
          <w:top w:val="nil"/>
          <w:left w:val="nil"/>
          <w:bottom w:val="nil"/>
          <w:right w:val="nil"/>
          <w:between w:val="nil"/>
        </w:pBdr>
        <w:spacing w:before="0"/>
      </w:pPr>
      <w:r>
        <w:t>Under our compulsory superannuation system, you should know whether your fund is underperforming and underperforming funds should be</w:t>
      </w:r>
      <w:r w:rsidR="00865692">
        <w:t xml:space="preserve"> </w:t>
      </w:r>
      <w:r>
        <w:t>called out.</w:t>
      </w:r>
      <w:r>
        <w:rPr>
          <w:color w:val="000000"/>
        </w:rPr>
        <w:t xml:space="preserve"> </w:t>
      </w:r>
    </w:p>
    <w:p w14:paraId="4F9862D7" w14:textId="77777777" w:rsidR="003A4C1B" w:rsidRDefault="00205DE0">
      <w:pPr>
        <w:numPr>
          <w:ilvl w:val="1"/>
          <w:numId w:val="3"/>
        </w:numPr>
        <w:pBdr>
          <w:top w:val="nil"/>
          <w:left w:val="nil"/>
          <w:bottom w:val="nil"/>
          <w:right w:val="nil"/>
          <w:between w:val="nil"/>
        </w:pBdr>
        <w:spacing w:before="0"/>
      </w:pPr>
      <w:r>
        <w:rPr>
          <w:color w:val="000000"/>
        </w:rPr>
        <w:t xml:space="preserve">The Government </w:t>
      </w:r>
      <w:r>
        <w:t xml:space="preserve">will better </w:t>
      </w:r>
      <w:r>
        <w:rPr>
          <w:color w:val="000000"/>
        </w:rPr>
        <w:t xml:space="preserve">protect you from poor superannuation outcomes by requiring superannuation products to meet an annual performance test. </w:t>
      </w:r>
    </w:p>
    <w:p w14:paraId="2414BDC8" w14:textId="77777777" w:rsidR="003A4C1B" w:rsidRDefault="00205DE0">
      <w:pPr>
        <w:numPr>
          <w:ilvl w:val="1"/>
          <w:numId w:val="3"/>
        </w:numPr>
        <w:pBdr>
          <w:top w:val="nil"/>
          <w:left w:val="nil"/>
          <w:bottom w:val="nil"/>
          <w:right w:val="nil"/>
          <w:between w:val="nil"/>
        </w:pBdr>
        <w:spacing w:before="0"/>
      </w:pPr>
      <w:r>
        <w:rPr>
          <w:color w:val="000000"/>
        </w:rPr>
        <w:t xml:space="preserve">If your fund fails the test it will be required to tell you </w:t>
      </w:r>
      <w:r>
        <w:t>and refer you to the new YourSuper comparison tool that can help you select a better performing fund if you choose to do so</w:t>
      </w:r>
      <w:r>
        <w:rPr>
          <w:color w:val="000000"/>
        </w:rPr>
        <w:t xml:space="preserve">. </w:t>
      </w:r>
      <w:r>
        <w:t>Persistently underperforming products will be prevented from taking on new members.</w:t>
      </w:r>
      <w:r>
        <w:rPr>
          <w:color w:val="000000"/>
        </w:rPr>
        <w:t xml:space="preserve"> </w:t>
      </w:r>
    </w:p>
    <w:p w14:paraId="4AC155CE" w14:textId="7FD7C69C" w:rsidR="003A4C1B" w:rsidRDefault="00205DE0">
      <w:pPr>
        <w:numPr>
          <w:ilvl w:val="1"/>
          <w:numId w:val="3"/>
        </w:numPr>
        <w:pBdr>
          <w:top w:val="nil"/>
          <w:left w:val="nil"/>
          <w:bottom w:val="nil"/>
          <w:right w:val="nil"/>
          <w:between w:val="nil"/>
        </w:pBdr>
        <w:spacing w:before="0"/>
      </w:pPr>
      <w:r>
        <w:rPr>
          <w:color w:val="000000"/>
        </w:rPr>
        <w:t xml:space="preserve">The test will </w:t>
      </w:r>
      <w:r>
        <w:t xml:space="preserve">ensure funds </w:t>
      </w:r>
      <w:r w:rsidR="00DF7AE5">
        <w:t xml:space="preserve">are </w:t>
      </w:r>
      <w:r w:rsidR="00056C6B">
        <w:t>focus</w:t>
      </w:r>
      <w:r w:rsidR="00DF7AE5">
        <w:t>ed</w:t>
      </w:r>
      <w:r>
        <w:t xml:space="preserve"> </w:t>
      </w:r>
      <w:r>
        <w:rPr>
          <w:color w:val="000000"/>
        </w:rPr>
        <w:t xml:space="preserve">on improving the investment </w:t>
      </w:r>
      <w:r>
        <w:t xml:space="preserve">returns they are delivering and </w:t>
      </w:r>
      <w:r>
        <w:rPr>
          <w:color w:val="000000"/>
        </w:rPr>
        <w:t>lowering th</w:t>
      </w:r>
      <w:r>
        <w:t>e</w:t>
      </w:r>
      <w:r>
        <w:rPr>
          <w:color w:val="000000"/>
        </w:rPr>
        <w:t xml:space="preserve"> fees they are charging their members</w:t>
      </w:r>
      <w:r>
        <w:t>.</w:t>
      </w:r>
    </w:p>
    <w:p w14:paraId="7605A9DB" w14:textId="77777777" w:rsidR="003A4C1B" w:rsidRDefault="00205DE0">
      <w:pPr>
        <w:keepNext/>
        <w:numPr>
          <w:ilvl w:val="0"/>
          <w:numId w:val="1"/>
        </w:numPr>
        <w:pBdr>
          <w:top w:val="nil"/>
          <w:left w:val="nil"/>
          <w:bottom w:val="nil"/>
          <w:right w:val="nil"/>
          <w:between w:val="nil"/>
        </w:pBdr>
        <w:tabs>
          <w:tab w:val="left" w:pos="720"/>
        </w:tabs>
        <w:spacing w:before="0"/>
        <w:ind w:left="879" w:hanging="357"/>
        <w:rPr>
          <w:b/>
          <w:color w:val="000000"/>
        </w:rPr>
      </w:pPr>
      <w:r>
        <w:rPr>
          <w:b/>
          <w:color w:val="000000"/>
        </w:rPr>
        <w:t>Increasing transparency and accountability</w:t>
      </w:r>
      <w:r>
        <w:rPr>
          <w:b/>
          <w:noProof/>
          <w:color w:val="000000"/>
        </w:rPr>
        <w:drawing>
          <wp:inline distT="0" distB="0" distL="0" distR="0" wp14:anchorId="7E3B0AA0" wp14:editId="3A138EA7">
            <wp:extent cx="432997" cy="432997"/>
            <wp:effectExtent l="0" t="0" r="0" b="0"/>
            <wp:docPr id="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a:off x="0" y="0"/>
                      <a:ext cx="432997" cy="432997"/>
                    </a:xfrm>
                    <a:prstGeom prst="rect">
                      <a:avLst/>
                    </a:prstGeom>
                    <a:ln/>
                  </pic:spPr>
                </pic:pic>
              </a:graphicData>
            </a:graphic>
          </wp:inline>
        </w:drawing>
      </w:r>
    </w:p>
    <w:p w14:paraId="52523796" w14:textId="77777777" w:rsidR="003A4C1B" w:rsidRDefault="00205DE0">
      <w:pPr>
        <w:numPr>
          <w:ilvl w:val="1"/>
          <w:numId w:val="3"/>
        </w:numPr>
        <w:pBdr>
          <w:top w:val="nil"/>
          <w:left w:val="nil"/>
          <w:bottom w:val="nil"/>
          <w:right w:val="nil"/>
          <w:between w:val="nil"/>
        </w:pBdr>
        <w:spacing w:before="0"/>
      </w:pPr>
      <w:r>
        <w:t xml:space="preserve">For </w:t>
      </w:r>
      <w:r w:rsidR="00F74A36">
        <w:t xml:space="preserve">most </w:t>
      </w:r>
      <w:r>
        <w:t xml:space="preserve">Australians </w:t>
      </w:r>
      <w:r>
        <w:rPr>
          <w:color w:val="000000"/>
        </w:rPr>
        <w:t>superannuation</w:t>
      </w:r>
      <w:r>
        <w:t xml:space="preserve"> will be their largest asset in retirement (besides their family home). S</w:t>
      </w:r>
      <w:r>
        <w:rPr>
          <w:color w:val="000000"/>
        </w:rPr>
        <w:t xml:space="preserve">uperannuation funds </w:t>
      </w:r>
      <w:r>
        <w:t xml:space="preserve">should be </w:t>
      </w:r>
      <w:r>
        <w:rPr>
          <w:color w:val="000000"/>
        </w:rPr>
        <w:t>held to the highest standards of accountab</w:t>
      </w:r>
      <w:r>
        <w:t>ility</w:t>
      </w:r>
      <w:r>
        <w:rPr>
          <w:color w:val="000000"/>
        </w:rPr>
        <w:t xml:space="preserve"> and transparen</w:t>
      </w:r>
      <w:r>
        <w:t>cy</w:t>
      </w:r>
      <w:r>
        <w:rPr>
          <w:color w:val="000000"/>
        </w:rPr>
        <w:t xml:space="preserve"> in how they spend </w:t>
      </w:r>
      <w:r>
        <w:t>your retirement savings</w:t>
      </w:r>
      <w:r>
        <w:rPr>
          <w:color w:val="000000"/>
        </w:rPr>
        <w:t>.</w:t>
      </w:r>
    </w:p>
    <w:p w14:paraId="372B473D" w14:textId="40CFB04E" w:rsidR="003A4C1B" w:rsidRDefault="00205DE0">
      <w:pPr>
        <w:numPr>
          <w:ilvl w:val="1"/>
          <w:numId w:val="3"/>
        </w:numPr>
        <w:pBdr>
          <w:top w:val="nil"/>
          <w:left w:val="nil"/>
          <w:bottom w:val="nil"/>
          <w:right w:val="nil"/>
          <w:between w:val="nil"/>
        </w:pBdr>
        <w:spacing w:before="0"/>
      </w:pPr>
      <w:r>
        <w:rPr>
          <w:color w:val="000000"/>
        </w:rPr>
        <w:t xml:space="preserve">The Government </w:t>
      </w:r>
      <w:r>
        <w:t xml:space="preserve">will </w:t>
      </w:r>
      <w:r>
        <w:rPr>
          <w:color w:val="000000"/>
        </w:rPr>
        <w:t>increas</w:t>
      </w:r>
      <w:r>
        <w:t>e</w:t>
      </w:r>
      <w:r>
        <w:rPr>
          <w:color w:val="000000"/>
        </w:rPr>
        <w:t xml:space="preserve"> trustee accountability by strengthening their obligations to ensure superannuation fund </w:t>
      </w:r>
      <w:r w:rsidR="00E66116">
        <w:rPr>
          <w:color w:val="000000"/>
        </w:rPr>
        <w:t>actions are</w:t>
      </w:r>
      <w:r>
        <w:rPr>
          <w:color w:val="000000"/>
        </w:rPr>
        <w:t xml:space="preserve"> </w:t>
      </w:r>
      <w:r>
        <w:t>only undertaken in</w:t>
      </w:r>
      <w:r>
        <w:rPr>
          <w:color w:val="000000"/>
        </w:rPr>
        <w:t xml:space="preserve"> </w:t>
      </w:r>
      <w:r>
        <w:t xml:space="preserve">your </w:t>
      </w:r>
      <w:r>
        <w:rPr>
          <w:color w:val="000000"/>
        </w:rPr>
        <w:t xml:space="preserve">financial interests. The Government </w:t>
      </w:r>
      <w:r>
        <w:t xml:space="preserve">will </w:t>
      </w:r>
      <w:r>
        <w:rPr>
          <w:color w:val="000000"/>
        </w:rPr>
        <w:t>also ensur</w:t>
      </w:r>
      <w:r>
        <w:t>e</w:t>
      </w:r>
      <w:r>
        <w:rPr>
          <w:color w:val="000000"/>
        </w:rPr>
        <w:t xml:space="preserve"> that </w:t>
      </w:r>
      <w:r w:rsidR="0041470D">
        <w:rPr>
          <w:color w:val="000000"/>
        </w:rPr>
        <w:t xml:space="preserve">your </w:t>
      </w:r>
      <w:r>
        <w:rPr>
          <w:color w:val="000000"/>
        </w:rPr>
        <w:t xml:space="preserve">superannuation fund </w:t>
      </w:r>
      <w:r w:rsidR="0041470D">
        <w:rPr>
          <w:color w:val="000000"/>
        </w:rPr>
        <w:t xml:space="preserve">is </w:t>
      </w:r>
      <w:r>
        <w:rPr>
          <w:color w:val="000000"/>
        </w:rPr>
        <w:t xml:space="preserve">more transparent in providing information about </w:t>
      </w:r>
      <w:r w:rsidR="0041470D">
        <w:t>its</w:t>
      </w:r>
      <w:r>
        <w:rPr>
          <w:color w:val="000000"/>
        </w:rPr>
        <w:t xml:space="preserve"> operations ahead of its Annual Members’ Meeting.</w:t>
      </w:r>
    </w:p>
    <w:p w14:paraId="48BF1777" w14:textId="6CD4AC11" w:rsidR="008A59AF" w:rsidRDefault="008A59AF" w:rsidP="008A59AF">
      <w:pPr>
        <w:pBdr>
          <w:top w:val="nil"/>
          <w:left w:val="nil"/>
          <w:bottom w:val="nil"/>
          <w:right w:val="nil"/>
          <w:between w:val="nil"/>
        </w:pBdr>
        <w:spacing w:before="0"/>
        <w:ind w:left="520"/>
      </w:pPr>
    </w:p>
    <w:p w14:paraId="7DC88424" w14:textId="089D212C" w:rsidR="003A4C1B" w:rsidRDefault="003A4C1B">
      <w:pPr>
        <w:pStyle w:val="Bullet"/>
      </w:pPr>
    </w:p>
    <w:tbl>
      <w:tblPr>
        <w:tblW w:w="8550" w:type="dxa"/>
        <w:tblInd w:w="62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395DAB"/>
        <w:tblLayout w:type="fixed"/>
        <w:tblCellMar>
          <w:top w:w="100" w:type="dxa"/>
          <w:left w:w="100" w:type="dxa"/>
          <w:bottom w:w="100" w:type="dxa"/>
          <w:right w:w="100" w:type="dxa"/>
        </w:tblCellMar>
        <w:tblLook w:val="0600" w:firstRow="0" w:lastRow="0" w:firstColumn="0" w:lastColumn="0" w:noHBand="1" w:noVBand="1"/>
      </w:tblPr>
      <w:tblGrid>
        <w:gridCol w:w="4275"/>
        <w:gridCol w:w="4275"/>
      </w:tblGrid>
      <w:tr w:rsidR="0090716A" w:rsidRPr="0090716A" w14:paraId="58E06A3D" w14:textId="77777777" w:rsidTr="00A83FA8">
        <w:tc>
          <w:tcPr>
            <w:tcW w:w="4275" w:type="dxa"/>
            <w:shd w:val="clear" w:color="auto" w:fill="395DAB"/>
            <w:tcMar>
              <w:top w:w="100" w:type="dxa"/>
              <w:left w:w="100" w:type="dxa"/>
              <w:bottom w:w="100" w:type="dxa"/>
              <w:right w:w="100" w:type="dxa"/>
            </w:tcMar>
          </w:tcPr>
          <w:p w14:paraId="741DEB6B" w14:textId="77777777" w:rsidR="003A4C1B" w:rsidRPr="00A83FA8" w:rsidRDefault="00205DE0">
            <w:pPr>
              <w:widowControl w:val="0"/>
              <w:pBdr>
                <w:top w:val="nil"/>
                <w:left w:val="nil"/>
                <w:bottom w:val="nil"/>
                <w:right w:val="nil"/>
                <w:between w:val="nil"/>
              </w:pBdr>
              <w:spacing w:before="0" w:after="0"/>
              <w:rPr>
                <w:b/>
                <w:color w:val="FFFFFF" w:themeColor="background1"/>
                <w:sz w:val="28"/>
                <w:szCs w:val="28"/>
              </w:rPr>
            </w:pPr>
            <w:r w:rsidRPr="00A83FA8">
              <w:rPr>
                <w:b/>
                <w:color w:val="FFFFFF" w:themeColor="background1"/>
                <w:sz w:val="28"/>
                <w:szCs w:val="28"/>
              </w:rPr>
              <w:lastRenderedPageBreak/>
              <w:t>Measure</w:t>
            </w:r>
          </w:p>
        </w:tc>
        <w:tc>
          <w:tcPr>
            <w:tcW w:w="4275" w:type="dxa"/>
            <w:shd w:val="clear" w:color="auto" w:fill="395DAB"/>
            <w:tcMar>
              <w:top w:w="100" w:type="dxa"/>
              <w:left w:w="100" w:type="dxa"/>
              <w:bottom w:w="100" w:type="dxa"/>
              <w:right w:w="100" w:type="dxa"/>
            </w:tcMar>
          </w:tcPr>
          <w:p w14:paraId="3ADD5A5D" w14:textId="529267B4" w:rsidR="003A4C1B" w:rsidRPr="00A83FA8" w:rsidRDefault="00B12BC5">
            <w:pPr>
              <w:widowControl w:val="0"/>
              <w:pBdr>
                <w:top w:val="nil"/>
                <w:left w:val="nil"/>
                <w:bottom w:val="nil"/>
                <w:right w:val="nil"/>
                <w:between w:val="nil"/>
              </w:pBdr>
              <w:spacing w:before="0" w:after="0"/>
              <w:rPr>
                <w:b/>
                <w:color w:val="FFFFFF" w:themeColor="background1"/>
                <w:sz w:val="28"/>
                <w:szCs w:val="28"/>
              </w:rPr>
            </w:pPr>
            <w:r w:rsidRPr="00A83FA8">
              <w:rPr>
                <w:b/>
                <w:color w:val="FFFFFF" w:themeColor="background1"/>
                <w:sz w:val="28"/>
                <w:szCs w:val="28"/>
              </w:rPr>
              <w:t xml:space="preserve">Benefits to members </w:t>
            </w:r>
            <w:r w:rsidR="00A83FA8">
              <w:rPr>
                <w:b/>
                <w:color w:val="FFFFFF" w:themeColor="background1"/>
                <w:sz w:val="28"/>
                <w:szCs w:val="28"/>
              </w:rPr>
              <w:br/>
            </w:r>
            <w:r w:rsidRPr="00A83FA8">
              <w:rPr>
                <w:b/>
                <w:color w:val="FFFFFF" w:themeColor="background1"/>
                <w:sz w:val="28"/>
                <w:szCs w:val="28"/>
              </w:rPr>
              <w:t>over 10</w:t>
            </w:r>
            <w:r w:rsidR="002F4AB2" w:rsidRPr="00A83FA8">
              <w:rPr>
                <w:b/>
                <w:color w:val="FFFFFF" w:themeColor="background1"/>
                <w:sz w:val="28"/>
                <w:szCs w:val="28"/>
              </w:rPr>
              <w:t xml:space="preserve"> years</w:t>
            </w:r>
          </w:p>
        </w:tc>
      </w:tr>
      <w:tr w:rsidR="0090716A" w:rsidRPr="0090716A" w14:paraId="5ADBF6AF" w14:textId="77777777" w:rsidTr="00A83FA8">
        <w:tc>
          <w:tcPr>
            <w:tcW w:w="4275" w:type="dxa"/>
            <w:shd w:val="clear" w:color="auto" w:fill="395DAB"/>
            <w:tcMar>
              <w:top w:w="100" w:type="dxa"/>
              <w:left w:w="100" w:type="dxa"/>
              <w:bottom w:w="100" w:type="dxa"/>
              <w:right w:w="100" w:type="dxa"/>
            </w:tcMar>
          </w:tcPr>
          <w:p w14:paraId="345898CD" w14:textId="77777777" w:rsidR="003A4C1B" w:rsidRPr="0090716A" w:rsidRDefault="00205DE0">
            <w:pPr>
              <w:widowControl w:val="0"/>
              <w:pBdr>
                <w:top w:val="nil"/>
                <w:left w:val="nil"/>
                <w:bottom w:val="nil"/>
                <w:right w:val="nil"/>
                <w:between w:val="nil"/>
              </w:pBdr>
              <w:spacing w:before="0" w:after="0"/>
              <w:rPr>
                <w:color w:val="FFFFFF" w:themeColor="background1"/>
              </w:rPr>
            </w:pPr>
            <w:r w:rsidRPr="0090716A">
              <w:rPr>
                <w:color w:val="FFFFFF" w:themeColor="background1"/>
              </w:rPr>
              <w:t xml:space="preserve">Your superannuation follows you </w:t>
            </w:r>
          </w:p>
        </w:tc>
        <w:tc>
          <w:tcPr>
            <w:tcW w:w="4275" w:type="dxa"/>
            <w:shd w:val="clear" w:color="auto" w:fill="395DAB"/>
            <w:tcMar>
              <w:top w:w="100" w:type="dxa"/>
              <w:left w:w="100" w:type="dxa"/>
              <w:bottom w:w="100" w:type="dxa"/>
              <w:right w:w="100" w:type="dxa"/>
            </w:tcMar>
          </w:tcPr>
          <w:p w14:paraId="45EAC6DD" w14:textId="77777777" w:rsidR="003A4C1B" w:rsidRPr="0090716A" w:rsidRDefault="00E151F9" w:rsidP="00E151F9">
            <w:pPr>
              <w:widowControl w:val="0"/>
              <w:pBdr>
                <w:top w:val="nil"/>
                <w:left w:val="nil"/>
                <w:bottom w:val="nil"/>
                <w:right w:val="nil"/>
                <w:between w:val="nil"/>
              </w:pBdr>
              <w:spacing w:before="0" w:after="0"/>
              <w:rPr>
                <w:color w:val="FFFFFF" w:themeColor="background1"/>
              </w:rPr>
            </w:pPr>
            <w:r w:rsidRPr="0090716A">
              <w:rPr>
                <w:color w:val="FFFFFF" w:themeColor="background1"/>
              </w:rPr>
              <w:t>$2.8 billion</w:t>
            </w:r>
          </w:p>
        </w:tc>
      </w:tr>
      <w:tr w:rsidR="0090716A" w:rsidRPr="0090716A" w14:paraId="6D82F709" w14:textId="77777777" w:rsidTr="00A83FA8">
        <w:tc>
          <w:tcPr>
            <w:tcW w:w="4275" w:type="dxa"/>
            <w:shd w:val="clear" w:color="auto" w:fill="395DAB"/>
            <w:tcMar>
              <w:top w:w="100" w:type="dxa"/>
              <w:left w:w="100" w:type="dxa"/>
              <w:bottom w:w="100" w:type="dxa"/>
              <w:right w:w="100" w:type="dxa"/>
            </w:tcMar>
          </w:tcPr>
          <w:p w14:paraId="43936EB7" w14:textId="77777777" w:rsidR="003A4C1B" w:rsidRPr="0090716A" w:rsidRDefault="00205DE0">
            <w:pPr>
              <w:widowControl w:val="0"/>
              <w:pBdr>
                <w:top w:val="nil"/>
                <w:left w:val="nil"/>
                <w:bottom w:val="nil"/>
                <w:right w:val="nil"/>
                <w:between w:val="nil"/>
              </w:pBdr>
              <w:spacing w:before="0" w:after="0"/>
              <w:rPr>
                <w:color w:val="FFFFFF" w:themeColor="background1"/>
              </w:rPr>
            </w:pPr>
            <w:r w:rsidRPr="0090716A">
              <w:rPr>
                <w:color w:val="FFFFFF" w:themeColor="background1"/>
              </w:rPr>
              <w:t>Empowering members</w:t>
            </w:r>
          </w:p>
        </w:tc>
        <w:tc>
          <w:tcPr>
            <w:tcW w:w="4275" w:type="dxa"/>
            <w:shd w:val="clear" w:color="auto" w:fill="395DAB"/>
            <w:tcMar>
              <w:top w:w="100" w:type="dxa"/>
              <w:left w:w="100" w:type="dxa"/>
              <w:bottom w:w="100" w:type="dxa"/>
              <w:right w:w="100" w:type="dxa"/>
            </w:tcMar>
          </w:tcPr>
          <w:p w14:paraId="0A0B45D7" w14:textId="77777777" w:rsidR="003A4C1B" w:rsidRPr="0090716A" w:rsidRDefault="00205DE0">
            <w:pPr>
              <w:widowControl w:val="0"/>
              <w:pBdr>
                <w:top w:val="nil"/>
                <w:left w:val="nil"/>
                <w:bottom w:val="nil"/>
                <w:right w:val="nil"/>
                <w:between w:val="nil"/>
              </w:pBdr>
              <w:spacing w:before="0" w:after="0"/>
              <w:rPr>
                <w:color w:val="FFFFFF" w:themeColor="background1"/>
              </w:rPr>
            </w:pPr>
            <w:r w:rsidRPr="0090716A">
              <w:rPr>
                <w:color w:val="FFFFFF" w:themeColor="background1"/>
              </w:rPr>
              <w:t>$3.3 billion</w:t>
            </w:r>
          </w:p>
        </w:tc>
      </w:tr>
      <w:tr w:rsidR="0090716A" w:rsidRPr="0090716A" w14:paraId="05D06382" w14:textId="77777777" w:rsidTr="00A83FA8">
        <w:tc>
          <w:tcPr>
            <w:tcW w:w="4275" w:type="dxa"/>
            <w:shd w:val="clear" w:color="auto" w:fill="395DAB"/>
            <w:tcMar>
              <w:top w:w="100" w:type="dxa"/>
              <w:left w:w="100" w:type="dxa"/>
              <w:bottom w:w="100" w:type="dxa"/>
              <w:right w:w="100" w:type="dxa"/>
            </w:tcMar>
          </w:tcPr>
          <w:p w14:paraId="544BFB5F" w14:textId="77777777" w:rsidR="003A4C1B" w:rsidRPr="0090716A" w:rsidRDefault="00205DE0">
            <w:pPr>
              <w:widowControl w:val="0"/>
              <w:pBdr>
                <w:top w:val="nil"/>
                <w:left w:val="nil"/>
                <w:bottom w:val="nil"/>
                <w:right w:val="nil"/>
                <w:between w:val="nil"/>
              </w:pBdr>
              <w:spacing w:before="0" w:after="0"/>
              <w:rPr>
                <w:color w:val="FFFFFF" w:themeColor="background1"/>
              </w:rPr>
            </w:pPr>
            <w:r w:rsidRPr="0090716A">
              <w:rPr>
                <w:color w:val="FFFFFF" w:themeColor="background1"/>
              </w:rPr>
              <w:t>Holding funds to account for underperformance</w:t>
            </w:r>
          </w:p>
        </w:tc>
        <w:tc>
          <w:tcPr>
            <w:tcW w:w="4275" w:type="dxa"/>
            <w:shd w:val="clear" w:color="auto" w:fill="395DAB"/>
            <w:tcMar>
              <w:top w:w="100" w:type="dxa"/>
              <w:left w:w="100" w:type="dxa"/>
              <w:bottom w:w="100" w:type="dxa"/>
              <w:right w:w="100" w:type="dxa"/>
            </w:tcMar>
          </w:tcPr>
          <w:p w14:paraId="01F742F5" w14:textId="77777777" w:rsidR="003A4C1B" w:rsidRPr="0090716A" w:rsidRDefault="00205DE0">
            <w:pPr>
              <w:widowControl w:val="0"/>
              <w:pBdr>
                <w:top w:val="nil"/>
                <w:left w:val="nil"/>
                <w:bottom w:val="nil"/>
                <w:right w:val="nil"/>
                <w:between w:val="nil"/>
              </w:pBdr>
              <w:spacing w:before="0" w:after="0"/>
              <w:rPr>
                <w:color w:val="FFFFFF" w:themeColor="background1"/>
              </w:rPr>
            </w:pPr>
            <w:r w:rsidRPr="0090716A">
              <w:rPr>
                <w:color w:val="FFFFFF" w:themeColor="background1"/>
              </w:rPr>
              <w:t>$10.7 billion</w:t>
            </w:r>
          </w:p>
        </w:tc>
      </w:tr>
      <w:tr w:rsidR="0090716A" w:rsidRPr="0090716A" w14:paraId="2FB253B1" w14:textId="77777777" w:rsidTr="00A83FA8">
        <w:tc>
          <w:tcPr>
            <w:tcW w:w="4275" w:type="dxa"/>
            <w:shd w:val="clear" w:color="auto" w:fill="395DAB"/>
            <w:tcMar>
              <w:top w:w="100" w:type="dxa"/>
              <w:left w:w="100" w:type="dxa"/>
              <w:bottom w:w="100" w:type="dxa"/>
              <w:right w:w="100" w:type="dxa"/>
            </w:tcMar>
          </w:tcPr>
          <w:p w14:paraId="2686360A" w14:textId="77777777" w:rsidR="003A4C1B" w:rsidRPr="0090716A" w:rsidRDefault="00205DE0">
            <w:pPr>
              <w:widowControl w:val="0"/>
              <w:pBdr>
                <w:top w:val="nil"/>
                <w:left w:val="nil"/>
                <w:bottom w:val="nil"/>
                <w:right w:val="nil"/>
                <w:between w:val="nil"/>
              </w:pBdr>
              <w:spacing w:before="0" w:after="0"/>
              <w:rPr>
                <w:color w:val="FFFFFF" w:themeColor="background1"/>
              </w:rPr>
            </w:pPr>
            <w:r w:rsidRPr="0090716A">
              <w:rPr>
                <w:color w:val="FFFFFF" w:themeColor="background1"/>
              </w:rPr>
              <w:t>Increasing transparency and accountability</w:t>
            </w:r>
          </w:p>
        </w:tc>
        <w:tc>
          <w:tcPr>
            <w:tcW w:w="4275" w:type="dxa"/>
            <w:shd w:val="clear" w:color="auto" w:fill="395DAB"/>
            <w:tcMar>
              <w:top w:w="100" w:type="dxa"/>
              <w:left w:w="100" w:type="dxa"/>
              <w:bottom w:w="100" w:type="dxa"/>
              <w:right w:w="100" w:type="dxa"/>
            </w:tcMar>
          </w:tcPr>
          <w:p w14:paraId="05D3F6DE" w14:textId="77777777" w:rsidR="003A4C1B" w:rsidRPr="0090716A" w:rsidRDefault="00205DE0">
            <w:pPr>
              <w:widowControl w:val="0"/>
              <w:pBdr>
                <w:top w:val="nil"/>
                <w:left w:val="nil"/>
                <w:bottom w:val="nil"/>
                <w:right w:val="nil"/>
                <w:between w:val="nil"/>
              </w:pBdr>
              <w:spacing w:before="0" w:after="0"/>
              <w:rPr>
                <w:color w:val="FFFFFF" w:themeColor="background1"/>
              </w:rPr>
            </w:pPr>
            <w:r w:rsidRPr="0090716A">
              <w:rPr>
                <w:color w:val="FFFFFF" w:themeColor="background1"/>
              </w:rPr>
              <w:t>$1.1 billion</w:t>
            </w:r>
          </w:p>
        </w:tc>
      </w:tr>
      <w:tr w:rsidR="0090716A" w:rsidRPr="0090716A" w14:paraId="6921BBAC" w14:textId="77777777" w:rsidTr="00A83FA8">
        <w:tc>
          <w:tcPr>
            <w:tcW w:w="4275" w:type="dxa"/>
            <w:shd w:val="clear" w:color="auto" w:fill="395DAB"/>
            <w:tcMar>
              <w:top w:w="100" w:type="dxa"/>
              <w:left w:w="100" w:type="dxa"/>
              <w:bottom w:w="100" w:type="dxa"/>
              <w:right w:w="100" w:type="dxa"/>
            </w:tcMar>
          </w:tcPr>
          <w:p w14:paraId="67416F7F" w14:textId="77777777" w:rsidR="003A4C1B" w:rsidRPr="0090716A" w:rsidRDefault="00205DE0">
            <w:pPr>
              <w:widowControl w:val="0"/>
              <w:pBdr>
                <w:top w:val="nil"/>
                <w:left w:val="nil"/>
                <w:bottom w:val="nil"/>
                <w:right w:val="nil"/>
                <w:between w:val="nil"/>
              </w:pBdr>
              <w:spacing w:before="0" w:after="0"/>
              <w:rPr>
                <w:b/>
                <w:i/>
                <w:color w:val="FFFFFF" w:themeColor="background1"/>
              </w:rPr>
            </w:pPr>
            <w:r w:rsidRPr="0090716A">
              <w:rPr>
                <w:b/>
                <w:i/>
                <w:color w:val="FFFFFF" w:themeColor="background1"/>
              </w:rPr>
              <w:t xml:space="preserve">Total </w:t>
            </w:r>
          </w:p>
        </w:tc>
        <w:tc>
          <w:tcPr>
            <w:tcW w:w="4275" w:type="dxa"/>
            <w:shd w:val="clear" w:color="auto" w:fill="395DAB"/>
            <w:tcMar>
              <w:top w:w="100" w:type="dxa"/>
              <w:left w:w="100" w:type="dxa"/>
              <w:bottom w:w="100" w:type="dxa"/>
              <w:right w:w="100" w:type="dxa"/>
            </w:tcMar>
          </w:tcPr>
          <w:p w14:paraId="545F5A8D" w14:textId="77777777" w:rsidR="003A4C1B" w:rsidRPr="0090716A" w:rsidRDefault="00E151F9">
            <w:pPr>
              <w:widowControl w:val="0"/>
              <w:pBdr>
                <w:top w:val="nil"/>
                <w:left w:val="nil"/>
                <w:bottom w:val="nil"/>
                <w:right w:val="nil"/>
                <w:between w:val="nil"/>
              </w:pBdr>
              <w:spacing w:before="0" w:after="0"/>
              <w:rPr>
                <w:b/>
                <w:i/>
                <w:color w:val="FFFFFF" w:themeColor="background1"/>
              </w:rPr>
            </w:pPr>
            <w:r w:rsidRPr="0090716A">
              <w:rPr>
                <w:b/>
                <w:i/>
                <w:color w:val="FFFFFF" w:themeColor="background1"/>
              </w:rPr>
              <w:t>$17.9 billion</w:t>
            </w:r>
          </w:p>
        </w:tc>
      </w:tr>
    </w:tbl>
    <w:p w14:paraId="2C9CE71E" w14:textId="7056ADA4" w:rsidR="00E8615E" w:rsidRDefault="00D8159C" w:rsidP="00FC05C3">
      <w:pPr>
        <w:jc w:val="center"/>
      </w:pPr>
      <w:r w:rsidRPr="00DC11A5">
        <w:rPr>
          <w:noProof/>
        </w:rPr>
        <w:drawing>
          <wp:inline distT="0" distB="0" distL="0" distR="0" wp14:anchorId="60AEEA73" wp14:editId="1768F92B">
            <wp:extent cx="5065385" cy="2926336"/>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065385" cy="2926336"/>
                    </a:xfrm>
                    <a:prstGeom prst="rect">
                      <a:avLst/>
                    </a:prstGeom>
                  </pic:spPr>
                </pic:pic>
              </a:graphicData>
            </a:graphic>
          </wp:inline>
        </w:drawing>
      </w:r>
    </w:p>
    <w:p w14:paraId="1A5B3474" w14:textId="77777777" w:rsidR="003A4C1B" w:rsidRDefault="00205DE0">
      <w:pPr>
        <w:pStyle w:val="Heading1"/>
      </w:pPr>
      <w:bookmarkStart w:id="23" w:name="_Toc52472718"/>
      <w:bookmarkStart w:id="24" w:name="_Toc52470905"/>
      <w:bookmarkStart w:id="25" w:name="_Toc52472794"/>
      <w:bookmarkStart w:id="26" w:name="_Toc52474213"/>
      <w:bookmarkStart w:id="27" w:name="_Toc52471844"/>
      <w:bookmarkStart w:id="28" w:name="_Toc53397838"/>
      <w:r>
        <w:t>Introduction</w:t>
      </w:r>
      <w:bookmarkEnd w:id="23"/>
      <w:bookmarkEnd w:id="24"/>
      <w:bookmarkEnd w:id="25"/>
      <w:bookmarkEnd w:id="26"/>
      <w:bookmarkEnd w:id="27"/>
      <w:bookmarkEnd w:id="28"/>
    </w:p>
    <w:p w14:paraId="37F815B7" w14:textId="77777777" w:rsidR="003A4C1B" w:rsidRDefault="00205DE0">
      <w:pPr>
        <w:pStyle w:val="Heading2"/>
      </w:pPr>
      <w:bookmarkStart w:id="29" w:name="_heading=h.1t3h5sf" w:colFirst="0" w:colLast="0"/>
      <w:bookmarkStart w:id="30" w:name="_Toc52313236"/>
      <w:bookmarkStart w:id="31" w:name="_Toc52472719"/>
      <w:bookmarkStart w:id="32" w:name="_Toc52470906"/>
      <w:bookmarkStart w:id="33" w:name="_Toc52472795"/>
      <w:bookmarkStart w:id="34" w:name="_Toc52474182"/>
      <w:bookmarkStart w:id="35" w:name="_Toc52474214"/>
      <w:bookmarkStart w:id="36" w:name="_Toc52471845"/>
      <w:bookmarkStart w:id="37" w:name="_Toc53397839"/>
      <w:bookmarkEnd w:id="29"/>
      <w:r>
        <w:t>Australia’s superannuation system</w:t>
      </w:r>
      <w:bookmarkEnd w:id="30"/>
      <w:bookmarkEnd w:id="31"/>
      <w:bookmarkEnd w:id="32"/>
      <w:bookmarkEnd w:id="33"/>
      <w:bookmarkEnd w:id="34"/>
      <w:bookmarkEnd w:id="35"/>
      <w:bookmarkEnd w:id="36"/>
      <w:bookmarkEnd w:id="37"/>
      <w:r>
        <w:t xml:space="preserve"> </w:t>
      </w:r>
    </w:p>
    <w:p w14:paraId="4365E393" w14:textId="248FFDF0" w:rsidR="003A4C1B" w:rsidRDefault="00205DE0">
      <w:r>
        <w:t>Australia’s superannuation system exists to maximise the retirement savings of Australians. The system is responsible for the retirement savings of 16 million Australians, representing about $3 trillion. This is 50 per cent larger than the value of all the companies listed on the Australian Securities Exchange</w:t>
      </w:r>
      <w:r w:rsidR="00B42DC1">
        <w:t> </w:t>
      </w:r>
      <w:r>
        <w:t>(ASX)</w:t>
      </w:r>
      <w:r w:rsidR="00EC09AB">
        <w:t xml:space="preserve"> and up from $148 billion in 1992.</w:t>
      </w:r>
      <w:r w:rsidR="00EC09AB">
        <w:rPr>
          <w:sz w:val="20"/>
          <w:vertAlign w:val="superscript"/>
        </w:rPr>
        <w:endnoteReference w:id="2"/>
      </w:r>
    </w:p>
    <w:p w14:paraId="36D84CEE" w14:textId="77777777" w:rsidR="003A4C1B" w:rsidRDefault="00EC09AB">
      <w:r>
        <w:t>The industry charges substantial fees for its services. Right now, Australian households pay $30 billion per year in superannuation fees (excluding insurance premiums).</w:t>
      </w:r>
      <w:r>
        <w:rPr>
          <w:rStyle w:val="EndnoteReference"/>
        </w:rPr>
        <w:endnoteReference w:id="3"/>
      </w:r>
      <w:r>
        <w:t xml:space="preserve"> This is more than the $27 billion Australian households pay on their energy bills or the $12 billion they spend on water bills.</w:t>
      </w:r>
      <w:r>
        <w:rPr>
          <w:rStyle w:val="EndnoteReference"/>
        </w:rPr>
        <w:endnoteReference w:id="4"/>
      </w:r>
      <w:r>
        <w:t xml:space="preserve"> </w:t>
      </w:r>
    </w:p>
    <w:p w14:paraId="230C07BA" w14:textId="44F720F5" w:rsidR="003A4C1B" w:rsidRDefault="00EC09AB">
      <w:r>
        <w:t>As the system grows, the amount Australians pay in fees will continue to rise. The total assets in the superannuation system are projected to reach $5 trillion by 203</w:t>
      </w:r>
      <w:r w:rsidR="00A0046B">
        <w:t>4</w:t>
      </w:r>
      <w:r>
        <w:t>.</w:t>
      </w:r>
      <w:r>
        <w:rPr>
          <w:sz w:val="20"/>
          <w:vertAlign w:val="superscript"/>
        </w:rPr>
        <w:endnoteReference w:id="5"/>
      </w:r>
      <w:r>
        <w:t xml:space="preserve"> </w:t>
      </w:r>
      <w:r w:rsidR="00533AB4">
        <w:t xml:space="preserve">Under the current system, </w:t>
      </w:r>
      <w:r>
        <w:t>the amount of fees that will be paid by members in 203</w:t>
      </w:r>
      <w:r w:rsidR="00A0046B">
        <w:t>4</w:t>
      </w:r>
      <w:r>
        <w:t xml:space="preserve"> w</w:t>
      </w:r>
      <w:r w:rsidR="00984856">
        <w:t>ould reach</w:t>
      </w:r>
      <w:r w:rsidRPr="00521CD2">
        <w:t xml:space="preserve"> $4</w:t>
      </w:r>
      <w:r w:rsidR="00E258D7">
        <w:t>5</w:t>
      </w:r>
      <w:r w:rsidR="00533AB4">
        <w:t> </w:t>
      </w:r>
      <w:r w:rsidRPr="00521CD2">
        <w:t>billion.</w:t>
      </w:r>
      <w:r w:rsidRPr="00521CD2">
        <w:rPr>
          <w:rStyle w:val="EndnoteReference"/>
        </w:rPr>
        <w:endnoteReference w:id="6"/>
      </w:r>
      <w:r w:rsidRPr="00521CD2">
        <w:t xml:space="preserve"> </w:t>
      </w:r>
    </w:p>
    <w:p w14:paraId="1F912611" w14:textId="77777777" w:rsidR="003A4C1B" w:rsidRDefault="00205DE0">
      <w:r>
        <w:t xml:space="preserve">Importantly, Australians are required to contribute 9.5 per cent of their salary towards their retirement. </w:t>
      </w:r>
    </w:p>
    <w:p w14:paraId="1E6E1632" w14:textId="408EFF6A" w:rsidR="003A4C1B" w:rsidRDefault="00205DE0">
      <w:r>
        <w:lastRenderedPageBreak/>
        <w:t xml:space="preserve">Every year, through a combination of compulsory and voluntary contributions, </w:t>
      </w:r>
      <w:r w:rsidR="00E258D7">
        <w:t xml:space="preserve">about </w:t>
      </w:r>
      <w:r>
        <w:t>$</w:t>
      </w:r>
      <w:r w:rsidR="007A2CB3">
        <w:t>121 </w:t>
      </w:r>
      <w:r>
        <w:t>billion in superannuation contributions is paid into the system; approximately $1 billion is contributed by 470,000</w:t>
      </w:r>
      <w:r w:rsidR="00035C2D">
        <w:t> </w:t>
      </w:r>
      <w:r w:rsidR="00EC09AB">
        <w:t>new members who enter the superannuation system each year and do not choose a fund.</w:t>
      </w:r>
      <w:r w:rsidR="00EC09AB">
        <w:rPr>
          <w:sz w:val="20"/>
          <w:vertAlign w:val="superscript"/>
        </w:rPr>
        <w:endnoteReference w:id="7"/>
      </w:r>
    </w:p>
    <w:p w14:paraId="0056429A" w14:textId="77777777" w:rsidR="00EC09AB" w:rsidRDefault="00EC09AB">
      <w:r>
        <w:t>Superannuation savings are overseen by three regulators:</w:t>
      </w:r>
    </w:p>
    <w:p w14:paraId="0845B789" w14:textId="48E94E57" w:rsidR="00EC09AB" w:rsidRDefault="00EC09AB">
      <w:pPr>
        <w:numPr>
          <w:ilvl w:val="0"/>
          <w:numId w:val="3"/>
        </w:numPr>
        <w:pBdr>
          <w:top w:val="nil"/>
          <w:left w:val="nil"/>
          <w:bottom w:val="nil"/>
          <w:right w:val="nil"/>
          <w:between w:val="nil"/>
        </w:pBdr>
        <w:spacing w:before="0"/>
      </w:pPr>
      <w:r>
        <w:rPr>
          <w:color w:val="000000"/>
        </w:rPr>
        <w:t xml:space="preserve">Australian Prudential Regulation Authority (APRA) </w:t>
      </w:r>
      <w:r w:rsidR="0041470D">
        <w:rPr>
          <w:color w:val="000000"/>
        </w:rPr>
        <w:t>—</w:t>
      </w:r>
      <w:r>
        <w:rPr>
          <w:color w:val="000000"/>
        </w:rPr>
        <w:t xml:space="preserve"> to ensure superannuation savings are effectively managed to provide a benefit in retirement. </w:t>
      </w:r>
    </w:p>
    <w:p w14:paraId="759EAEFA" w14:textId="77777777" w:rsidR="00EC09AB" w:rsidRDefault="00EC09AB">
      <w:pPr>
        <w:numPr>
          <w:ilvl w:val="0"/>
          <w:numId w:val="3"/>
        </w:numPr>
        <w:pBdr>
          <w:top w:val="nil"/>
          <w:left w:val="nil"/>
          <w:bottom w:val="nil"/>
          <w:right w:val="nil"/>
          <w:between w:val="nil"/>
        </w:pBdr>
        <w:spacing w:before="0"/>
      </w:pPr>
      <w:r>
        <w:rPr>
          <w:color w:val="000000"/>
        </w:rPr>
        <w:t xml:space="preserve">Australian Securities and Investments Commission (ASIC) — to ensure superannuation funds </w:t>
      </w:r>
      <w:r>
        <w:t xml:space="preserve">operate </w:t>
      </w:r>
      <w:r>
        <w:rPr>
          <w:color w:val="000000"/>
        </w:rPr>
        <w:t>efficiently, honestly and fairly.</w:t>
      </w:r>
    </w:p>
    <w:p w14:paraId="63AB9B7A" w14:textId="57B82D78" w:rsidR="00EC09AB" w:rsidRDefault="00EC09AB">
      <w:pPr>
        <w:numPr>
          <w:ilvl w:val="0"/>
          <w:numId w:val="3"/>
        </w:numPr>
        <w:pBdr>
          <w:top w:val="nil"/>
          <w:left w:val="nil"/>
          <w:bottom w:val="nil"/>
          <w:right w:val="nil"/>
          <w:between w:val="nil"/>
        </w:pBdr>
        <w:spacing w:before="0"/>
      </w:pPr>
      <w:r>
        <w:rPr>
          <w:color w:val="000000"/>
        </w:rPr>
        <w:t>Australian Taxation Office (ATO) — to enforce superannuation funds’ reporting and administrative obligations and regulate self</w:t>
      </w:r>
      <w:r w:rsidR="00305D41">
        <w:rPr>
          <w:color w:val="000000"/>
        </w:rPr>
        <w:noBreakHyphen/>
      </w:r>
      <w:r>
        <w:rPr>
          <w:color w:val="000000"/>
        </w:rPr>
        <w:t>managed superannuation funds.</w:t>
      </w:r>
    </w:p>
    <w:p w14:paraId="4978932D" w14:textId="77777777" w:rsidR="00EC09AB" w:rsidRDefault="00EC09AB">
      <w:pPr>
        <w:pStyle w:val="Heading2"/>
      </w:pPr>
      <w:bookmarkStart w:id="38" w:name="_Toc52472720"/>
      <w:bookmarkStart w:id="39" w:name="_Toc52470907"/>
      <w:bookmarkStart w:id="40" w:name="_Toc52472796"/>
      <w:bookmarkStart w:id="41" w:name="_Toc52474215"/>
      <w:bookmarkStart w:id="42" w:name="_Toc52471846"/>
      <w:bookmarkStart w:id="43" w:name="_Toc53397840"/>
      <w:r>
        <w:t>Prior reviews of the system</w:t>
      </w:r>
      <w:bookmarkEnd w:id="38"/>
      <w:bookmarkEnd w:id="39"/>
      <w:bookmarkEnd w:id="40"/>
      <w:bookmarkEnd w:id="41"/>
      <w:bookmarkEnd w:id="42"/>
      <w:bookmarkEnd w:id="43"/>
    </w:p>
    <w:p w14:paraId="31B308DB" w14:textId="77777777" w:rsidR="00EC09AB" w:rsidRDefault="00EC09AB">
      <w:r>
        <w:t xml:space="preserve">Since 2013, the Coalition Government has commissioned a number of reviews to ensure the financial system, including the superannuation system, is working for Australians. </w:t>
      </w:r>
    </w:p>
    <w:p w14:paraId="3C67756D" w14:textId="77777777" w:rsidR="00EC09AB" w:rsidRDefault="00EC09AB">
      <w:r>
        <w:t>The 2014 Financial System Inquiry (FSI) found the superannuation industry was charging high fees and needed to improve its efficiency, competitiveness and governance arrangements.</w:t>
      </w:r>
      <w:r>
        <w:rPr>
          <w:rStyle w:val="EndnoteReference"/>
        </w:rPr>
        <w:endnoteReference w:id="8"/>
      </w:r>
      <w:r>
        <w:t xml:space="preserve"> </w:t>
      </w:r>
    </w:p>
    <w:p w14:paraId="6810B574" w14:textId="77777777" w:rsidR="00EC09AB" w:rsidRDefault="00EC09AB">
      <w:r>
        <w:t xml:space="preserve">In response, the Government tasked the Productivity Commission to undertake a </w:t>
      </w:r>
      <w:r w:rsidRPr="00B12BC5">
        <w:t>detailed</w:t>
      </w:r>
      <w:r>
        <w:t xml:space="preserve"> investigation. Its three-year, comprehensive </w:t>
      </w:r>
      <w:r w:rsidR="004B5B79">
        <w:t>review</w:t>
      </w:r>
      <w:r w:rsidR="004B5B79" w:rsidRPr="00B12BC5">
        <w:t xml:space="preserve"> </w:t>
      </w:r>
      <w:r>
        <w:t xml:space="preserve">was released in 2019. </w:t>
      </w:r>
    </w:p>
    <w:p w14:paraId="640E21B1" w14:textId="77777777" w:rsidR="003A4C1B" w:rsidRDefault="00EC09AB">
      <w:r>
        <w:t>The Productivity Commission found that the superannuation system was working well for some members, but that outcomes for other members were poor.</w:t>
      </w:r>
      <w:r>
        <w:rPr>
          <w:rStyle w:val="EndnoteReference"/>
        </w:rPr>
        <w:endnoteReference w:id="9"/>
      </w:r>
      <w:r>
        <w:t xml:space="preserve"> Structural flaws in the system were resulting in lower retirement balances for millions of members. </w:t>
      </w:r>
      <w:r w:rsidR="00205DE0">
        <w:t>These flaws included a system that led people to open multiple accounts they did not need</w:t>
      </w:r>
      <w:r w:rsidR="008530F1">
        <w:t>,</w:t>
      </w:r>
      <w:r w:rsidR="00205DE0">
        <w:t xml:space="preserve"> resulting in unnecessary fees. </w:t>
      </w:r>
      <w:bookmarkStart w:id="44" w:name="_heading=h.4d34og8" w:colFirst="0" w:colLast="0"/>
      <w:bookmarkEnd w:id="44"/>
      <w:r w:rsidR="00325827">
        <w:t>It also identified</w:t>
      </w:r>
      <w:r w:rsidR="00205DE0">
        <w:t xml:space="preserve"> funds that persistently delivered poor returns for members. The Productivity Commission found the system offers an </w:t>
      </w:r>
      <w:r>
        <w:t>‘</w:t>
      </w:r>
      <w:r w:rsidR="00205DE0">
        <w:t>unlucky lottery</w:t>
      </w:r>
      <w:r w:rsidR="008530F1">
        <w:t>’</w:t>
      </w:r>
      <w:r w:rsidR="00205DE0">
        <w:t xml:space="preserve"> because of the variation in fees and performance between funds and the arbitrary nature of the default system.</w:t>
      </w:r>
      <w:r w:rsidR="00E6042E" w:rsidRPr="00E6042E">
        <w:rPr>
          <w:rStyle w:val="EndnoteReference"/>
        </w:rPr>
        <w:t xml:space="preserve"> </w:t>
      </w:r>
      <w:r>
        <w:rPr>
          <w:rStyle w:val="EndnoteReference"/>
        </w:rPr>
        <w:endnoteReference w:id="10"/>
      </w:r>
    </w:p>
    <w:p w14:paraId="0D2F7B7D" w14:textId="32A6DBA0" w:rsidR="003A4C1B" w:rsidRDefault="00EC09AB">
      <w:r>
        <w:t>The Royal Commission into Misconduct in the Banking, Superannuation and Financial Services Industry (Financial Services Royal Commission) identified similar concerns. It recommended that an employee</w:t>
      </w:r>
      <w:r w:rsidR="001C3340">
        <w:t>’</w:t>
      </w:r>
      <w:r>
        <w:t>s superannuation account should be stapled to the member, so that a new account is not automatically created every time someone starts a new job.</w:t>
      </w:r>
      <w:r>
        <w:rPr>
          <w:rStyle w:val="EndnoteReference"/>
        </w:rPr>
        <w:endnoteReference w:id="11"/>
      </w:r>
      <w:r>
        <w:t xml:space="preserve"> It also recommended a number of changes to further strengthen protection for members and improve regulatory oversight.</w:t>
      </w:r>
      <w:r>
        <w:rPr>
          <w:rStyle w:val="EndnoteReference"/>
        </w:rPr>
        <w:endnoteReference w:id="12"/>
      </w:r>
      <w:r>
        <w:t xml:space="preserve"> These recommendations have been accepted by the Government and are being implemented.</w:t>
      </w:r>
      <w:r>
        <w:rPr>
          <w:rStyle w:val="EndnoteReference"/>
        </w:rPr>
        <w:endnoteReference w:id="13"/>
      </w:r>
    </w:p>
    <w:p w14:paraId="71A12B5F" w14:textId="77777777" w:rsidR="00F26AE7" w:rsidRDefault="00B132DB">
      <w:r w:rsidRPr="00B132DB">
        <w:rPr>
          <w:noProof/>
        </w:rPr>
        <w:drawing>
          <wp:inline distT="0" distB="0" distL="0" distR="0" wp14:anchorId="1F6F5B13" wp14:editId="0E05AABE">
            <wp:extent cx="5760720" cy="26358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635885"/>
                    </a:xfrm>
                    <a:prstGeom prst="rect">
                      <a:avLst/>
                    </a:prstGeom>
                  </pic:spPr>
                </pic:pic>
              </a:graphicData>
            </a:graphic>
          </wp:inline>
        </w:drawing>
      </w:r>
    </w:p>
    <w:p w14:paraId="4F09C7DC" w14:textId="77777777" w:rsidR="003A4C1B" w:rsidRDefault="00205DE0">
      <w:pPr>
        <w:pStyle w:val="Heading1"/>
      </w:pPr>
      <w:bookmarkStart w:id="45" w:name="_Toc52472721"/>
      <w:bookmarkStart w:id="46" w:name="_Toc52470908"/>
      <w:bookmarkStart w:id="47" w:name="_Toc52472797"/>
      <w:bookmarkStart w:id="48" w:name="_Toc52474216"/>
      <w:bookmarkStart w:id="49" w:name="_Toc52471847"/>
      <w:bookmarkStart w:id="50" w:name="_Toc53397841"/>
      <w:r>
        <w:lastRenderedPageBreak/>
        <w:t>Fixing the superannuation system</w:t>
      </w:r>
      <w:bookmarkEnd w:id="45"/>
      <w:bookmarkEnd w:id="46"/>
      <w:bookmarkEnd w:id="47"/>
      <w:bookmarkEnd w:id="48"/>
      <w:bookmarkEnd w:id="49"/>
      <w:bookmarkEnd w:id="50"/>
      <w:r>
        <w:t xml:space="preserve"> </w:t>
      </w:r>
    </w:p>
    <w:p w14:paraId="45450F93" w14:textId="77777777" w:rsidR="003A4C1B" w:rsidRDefault="00205DE0">
      <w:pPr>
        <w:pStyle w:val="Heading2"/>
      </w:pPr>
      <w:bookmarkStart w:id="51" w:name="_Toc52313239"/>
      <w:bookmarkStart w:id="52" w:name="_Toc52472722"/>
      <w:bookmarkStart w:id="53" w:name="_Toc52470909"/>
      <w:bookmarkStart w:id="54" w:name="_Toc52472798"/>
      <w:bookmarkStart w:id="55" w:name="_Toc52474185"/>
      <w:bookmarkStart w:id="56" w:name="_Toc52474217"/>
      <w:bookmarkStart w:id="57" w:name="_Toc52471848"/>
      <w:bookmarkStart w:id="58" w:name="_Toc53397842"/>
      <w:r>
        <w:t>Structural flaws that need to be fixed</w:t>
      </w:r>
      <w:bookmarkEnd w:id="51"/>
      <w:bookmarkEnd w:id="52"/>
      <w:bookmarkEnd w:id="53"/>
      <w:bookmarkEnd w:id="54"/>
      <w:bookmarkEnd w:id="55"/>
      <w:bookmarkEnd w:id="56"/>
      <w:bookmarkEnd w:id="57"/>
      <w:bookmarkEnd w:id="58"/>
    </w:p>
    <w:p w14:paraId="05734D47" w14:textId="77777777" w:rsidR="003A4C1B" w:rsidRDefault="00205DE0" w:rsidP="00884CB1">
      <w:pPr>
        <w:pStyle w:val="Heading3Numbered"/>
        <w:rPr>
          <w:rFonts w:ascii="Arial" w:eastAsia="Arial" w:hAnsi="Arial"/>
        </w:rPr>
      </w:pPr>
      <w:bookmarkStart w:id="59" w:name="_heading=h.xa550hea5qhm" w:colFirst="0" w:colLast="0"/>
      <w:bookmarkStart w:id="60" w:name="_Toc52313240"/>
      <w:bookmarkStart w:id="61" w:name="_Toc52472723"/>
      <w:bookmarkStart w:id="62" w:name="_Toc52470910"/>
      <w:bookmarkStart w:id="63" w:name="_Toc52472799"/>
      <w:bookmarkStart w:id="64" w:name="_Toc52474186"/>
      <w:bookmarkStart w:id="65" w:name="_Toc52474218"/>
      <w:bookmarkStart w:id="66" w:name="_Toc52471849"/>
      <w:bookmarkStart w:id="67" w:name="_Toc53397843"/>
      <w:bookmarkEnd w:id="59"/>
      <w:r>
        <w:t>Funds with underperforming products are not held to account</w:t>
      </w:r>
      <w:bookmarkEnd w:id="60"/>
      <w:bookmarkEnd w:id="61"/>
      <w:bookmarkEnd w:id="62"/>
      <w:bookmarkEnd w:id="63"/>
      <w:bookmarkEnd w:id="64"/>
      <w:bookmarkEnd w:id="65"/>
      <w:bookmarkEnd w:id="66"/>
      <w:bookmarkEnd w:id="67"/>
    </w:p>
    <w:p w14:paraId="33684C39" w14:textId="46444EBC" w:rsidR="003A4C1B" w:rsidRDefault="00205DE0">
      <w:r>
        <w:t>The investment returns of superannuation products ha</w:t>
      </w:r>
      <w:r w:rsidR="00C22730">
        <w:t>ve</w:t>
      </w:r>
      <w:r>
        <w:t xml:space="preserve"> a large bearing on retirement balances. Small differences in fees and returns translate into large differences in retirement outcomes – for better or worse – because they accumulate and compound over time. </w:t>
      </w:r>
    </w:p>
    <w:p w14:paraId="4340FFB9" w14:textId="7849C162" w:rsidR="003A4C1B" w:rsidRDefault="00205DE0">
      <w:r>
        <w:t>Treasury analysi</w:t>
      </w:r>
      <w:r w:rsidR="00B91D50">
        <w:t>s</w:t>
      </w:r>
      <w:r>
        <w:t xml:space="preserve"> of APRA data shows that many superannuation funds are consistently poor performers. This includes 21 </w:t>
      </w:r>
      <w:r w:rsidR="00533AB4">
        <w:t xml:space="preserve">out of 77 </w:t>
      </w:r>
      <w:r>
        <w:t>MySuper products that underperformed a performance benchmark developed by the Productivity Commission by more than 0.5</w:t>
      </w:r>
      <w:r w:rsidR="00305D41">
        <w:t> </w:t>
      </w:r>
      <w:r>
        <w:t>percentage</w:t>
      </w:r>
      <w:r w:rsidR="00305D41">
        <w:t> </w:t>
      </w:r>
      <w:r>
        <w:t>points over the period of 2014 to 2019.</w:t>
      </w:r>
      <w:r w:rsidR="000C5E7D">
        <w:t xml:space="preserve"> </w:t>
      </w:r>
      <w:r>
        <w:t>Those products:</w:t>
      </w:r>
    </w:p>
    <w:p w14:paraId="2F9F2DF5" w14:textId="76153B82" w:rsidR="003A4C1B" w:rsidRDefault="00205DE0">
      <w:pPr>
        <w:numPr>
          <w:ilvl w:val="0"/>
          <w:numId w:val="2"/>
        </w:numPr>
        <w:pBdr>
          <w:top w:val="nil"/>
          <w:left w:val="nil"/>
          <w:bottom w:val="nil"/>
          <w:right w:val="nil"/>
          <w:between w:val="nil"/>
        </w:pBdr>
        <w:spacing w:before="0"/>
      </w:pPr>
      <w:r>
        <w:rPr>
          <w:rFonts w:eastAsia="Calibri" w:cs="Calibri"/>
          <w:color w:val="000000"/>
          <w:szCs w:val="22"/>
        </w:rPr>
        <w:t>H</w:t>
      </w:r>
      <w:r w:rsidR="009E6900">
        <w:rPr>
          <w:rFonts w:eastAsia="Calibri" w:cs="Calibri"/>
          <w:color w:val="000000"/>
          <w:szCs w:val="22"/>
        </w:rPr>
        <w:t>e</w:t>
      </w:r>
      <w:r>
        <w:rPr>
          <w:rFonts w:eastAsia="Calibri" w:cs="Calibri"/>
          <w:color w:val="000000"/>
          <w:szCs w:val="22"/>
        </w:rPr>
        <w:t>ld over $100</w:t>
      </w:r>
      <w:r w:rsidR="00375E24">
        <w:rPr>
          <w:rFonts w:eastAsia="Calibri" w:cs="Calibri"/>
          <w:color w:val="000000"/>
          <w:szCs w:val="22"/>
        </w:rPr>
        <w:t> </w:t>
      </w:r>
      <w:r>
        <w:rPr>
          <w:rFonts w:eastAsia="Calibri" w:cs="Calibri"/>
          <w:color w:val="000000"/>
          <w:szCs w:val="22"/>
        </w:rPr>
        <w:t xml:space="preserve">billion in assets </w:t>
      </w:r>
      <w:r>
        <w:t xml:space="preserve">across </w:t>
      </w:r>
      <w:r>
        <w:rPr>
          <w:rFonts w:eastAsia="Calibri" w:cs="Calibri"/>
          <w:color w:val="000000"/>
          <w:szCs w:val="22"/>
        </w:rPr>
        <w:t>3</w:t>
      </w:r>
      <w:r w:rsidR="00375E24">
        <w:rPr>
          <w:rFonts w:eastAsia="Calibri" w:cs="Calibri"/>
          <w:color w:val="000000"/>
          <w:szCs w:val="22"/>
        </w:rPr>
        <w:t> </w:t>
      </w:r>
      <w:r>
        <w:rPr>
          <w:rFonts w:eastAsia="Calibri" w:cs="Calibri"/>
          <w:color w:val="000000"/>
          <w:szCs w:val="22"/>
        </w:rPr>
        <w:t>million accounts.</w:t>
      </w:r>
    </w:p>
    <w:p w14:paraId="08B2CA01" w14:textId="77777777" w:rsidR="003A4C1B" w:rsidRDefault="00205DE0">
      <w:pPr>
        <w:numPr>
          <w:ilvl w:val="0"/>
          <w:numId w:val="2"/>
        </w:numPr>
        <w:pBdr>
          <w:top w:val="nil"/>
          <w:left w:val="nil"/>
          <w:bottom w:val="nil"/>
          <w:right w:val="nil"/>
          <w:between w:val="nil"/>
        </w:pBdr>
        <w:spacing w:before="0"/>
      </w:pPr>
      <w:r>
        <w:rPr>
          <w:rFonts w:eastAsia="Calibri" w:cs="Calibri"/>
          <w:color w:val="000000"/>
          <w:szCs w:val="22"/>
        </w:rPr>
        <w:t xml:space="preserve">Received over 330,000 new member </w:t>
      </w:r>
      <w:r w:rsidR="0087409B">
        <w:rPr>
          <w:rFonts w:eastAsia="Calibri" w:cs="Calibri"/>
          <w:color w:val="000000"/>
          <w:szCs w:val="22"/>
        </w:rPr>
        <w:t xml:space="preserve">accounts </w:t>
      </w:r>
      <w:r>
        <w:rPr>
          <w:rFonts w:eastAsia="Calibri" w:cs="Calibri"/>
          <w:color w:val="000000"/>
          <w:szCs w:val="22"/>
        </w:rPr>
        <w:t>and over $10 billion in contributions in 2018-19 alone.</w:t>
      </w:r>
    </w:p>
    <w:p w14:paraId="4DFC2C1B" w14:textId="2798EA0E" w:rsidR="003A4C1B" w:rsidRDefault="00205DE0">
      <w:pPr>
        <w:numPr>
          <w:ilvl w:val="0"/>
          <w:numId w:val="2"/>
        </w:numPr>
        <w:pBdr>
          <w:top w:val="nil"/>
          <w:left w:val="nil"/>
          <w:bottom w:val="nil"/>
          <w:right w:val="nil"/>
          <w:between w:val="nil"/>
        </w:pBdr>
        <w:spacing w:before="0"/>
      </w:pPr>
      <w:r>
        <w:rPr>
          <w:rFonts w:eastAsia="Calibri" w:cs="Calibri"/>
          <w:color w:val="000000"/>
          <w:szCs w:val="22"/>
        </w:rPr>
        <w:t>Charge</w:t>
      </w:r>
      <w:r w:rsidR="009E6900">
        <w:rPr>
          <w:rFonts w:eastAsia="Calibri" w:cs="Calibri"/>
          <w:color w:val="000000"/>
          <w:szCs w:val="22"/>
        </w:rPr>
        <w:t>d</w:t>
      </w:r>
      <w:r>
        <w:rPr>
          <w:rFonts w:eastAsia="Calibri" w:cs="Calibri"/>
          <w:color w:val="000000"/>
          <w:szCs w:val="22"/>
        </w:rPr>
        <w:t xml:space="preserve"> members $1.2</w:t>
      </w:r>
      <w:r w:rsidR="00375E24">
        <w:rPr>
          <w:rFonts w:eastAsia="Calibri" w:cs="Calibri"/>
          <w:color w:val="000000"/>
          <w:szCs w:val="22"/>
        </w:rPr>
        <w:t> </w:t>
      </w:r>
      <w:r>
        <w:rPr>
          <w:rFonts w:eastAsia="Calibri" w:cs="Calibri"/>
          <w:color w:val="000000"/>
          <w:szCs w:val="22"/>
        </w:rPr>
        <w:t xml:space="preserve">billion in fees annually. </w:t>
      </w:r>
    </w:p>
    <w:p w14:paraId="5E34D3EF" w14:textId="38AF8188" w:rsidR="0087409B" w:rsidRDefault="00205DE0" w:rsidP="0087409B">
      <w:r w:rsidRPr="00116463">
        <w:t xml:space="preserve">Across the entire industry, the cost </w:t>
      </w:r>
      <w:r w:rsidR="001B5387" w:rsidRPr="00116463">
        <w:t>of underperformance is</w:t>
      </w:r>
      <w:r w:rsidR="005E35F2">
        <w:t xml:space="preserve"> </w:t>
      </w:r>
      <w:r w:rsidR="00C94ED4" w:rsidRPr="00116463">
        <w:t>at least</w:t>
      </w:r>
      <w:r w:rsidRPr="00116463">
        <w:t xml:space="preserve"> $</w:t>
      </w:r>
      <w:r w:rsidR="0087409B">
        <w:t>10.7</w:t>
      </w:r>
      <w:r w:rsidR="0087409B" w:rsidRPr="00116463">
        <w:t xml:space="preserve"> </w:t>
      </w:r>
      <w:r w:rsidRPr="00116463">
        <w:t xml:space="preserve">billion over 10 years. </w:t>
      </w:r>
      <w:r w:rsidR="0087409B">
        <w:t xml:space="preserve">The worst performing fund </w:t>
      </w:r>
      <w:r w:rsidR="006172F0">
        <w:t>was</w:t>
      </w:r>
      <w:r w:rsidR="0087409B">
        <w:t xml:space="preserve"> 1.4</w:t>
      </w:r>
      <w:r w:rsidR="00375E24">
        <w:t> </w:t>
      </w:r>
      <w:r w:rsidR="0087409B">
        <w:t>percentage</w:t>
      </w:r>
      <w:r w:rsidR="00375E24">
        <w:t> </w:t>
      </w:r>
      <w:r w:rsidR="0087409B">
        <w:t xml:space="preserve">points below </w:t>
      </w:r>
      <w:r w:rsidR="006172F0">
        <w:t>its</w:t>
      </w:r>
      <w:r w:rsidR="0087409B">
        <w:t xml:space="preserve"> benchmark.</w:t>
      </w:r>
    </w:p>
    <w:p w14:paraId="2BB366A5" w14:textId="77777777" w:rsidR="00EC09AB" w:rsidRDefault="00EC09AB" w:rsidP="00C05116">
      <w:r>
        <w:t xml:space="preserve">In the worst performing MySuper product, this </w:t>
      </w:r>
      <w:r w:rsidRPr="00B12BC5">
        <w:t xml:space="preserve">leaves the average member </w:t>
      </w:r>
      <w:r w:rsidRPr="00233395">
        <w:t>up to $98,000 worse off at r</w:t>
      </w:r>
      <w:r w:rsidRPr="00B12BC5">
        <w:t>etirement</w:t>
      </w:r>
      <w:r>
        <w:t xml:space="preserve">. </w:t>
      </w:r>
    </w:p>
    <w:p w14:paraId="1C759439" w14:textId="77777777" w:rsidR="00701C93" w:rsidRDefault="00EC09AB">
      <w:r>
        <w:t>The Government expects the superannuation system to deliver a lot more for Australians.</w:t>
      </w:r>
    </w:p>
    <w:p w14:paraId="65C3FEBC" w14:textId="77777777" w:rsidR="00432DC2" w:rsidRDefault="00432DC2"/>
    <w:p w14:paraId="2B105CB2" w14:textId="77777777" w:rsidR="00EC09AB" w:rsidRDefault="00701C93" w:rsidP="0008247C">
      <w:pPr>
        <w:jc w:val="center"/>
      </w:pPr>
      <w:r w:rsidRPr="00701C93">
        <w:rPr>
          <w:noProof/>
        </w:rPr>
        <w:drawing>
          <wp:inline distT="0" distB="0" distL="0" distR="0" wp14:anchorId="0A73EF67" wp14:editId="1CB3F49F">
            <wp:extent cx="2381582" cy="24387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81582" cy="2438740"/>
                    </a:xfrm>
                    <a:prstGeom prst="rect">
                      <a:avLst/>
                    </a:prstGeom>
                  </pic:spPr>
                </pic:pic>
              </a:graphicData>
            </a:graphic>
          </wp:inline>
        </w:drawing>
      </w:r>
      <w:r w:rsidR="004C1EC1" w:rsidRPr="004C1EC1">
        <w:rPr>
          <w:noProof/>
        </w:rPr>
        <w:drawing>
          <wp:inline distT="0" distB="0" distL="0" distR="0" wp14:anchorId="3EBC4610" wp14:editId="57D8A688">
            <wp:extent cx="2466975" cy="24282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68798" cy="2430071"/>
                    </a:xfrm>
                    <a:prstGeom prst="rect">
                      <a:avLst/>
                    </a:prstGeom>
                  </pic:spPr>
                </pic:pic>
              </a:graphicData>
            </a:graphic>
          </wp:inline>
        </w:drawing>
      </w:r>
    </w:p>
    <w:p w14:paraId="2DC0EFCF" w14:textId="77777777" w:rsidR="00432DC2" w:rsidRDefault="00432DC2" w:rsidP="0008247C">
      <w:pPr>
        <w:jc w:val="center"/>
      </w:pPr>
    </w:p>
    <w:p w14:paraId="5DBC9530" w14:textId="77777777" w:rsidR="00EC09AB" w:rsidRDefault="00EC09AB" w:rsidP="00884CB1">
      <w:pPr>
        <w:pStyle w:val="Heading3Numbered"/>
        <w:rPr>
          <w:rFonts w:ascii="Arial" w:eastAsia="Arial" w:hAnsi="Arial"/>
        </w:rPr>
      </w:pPr>
      <w:bookmarkStart w:id="68" w:name="_Toc52472724"/>
      <w:bookmarkStart w:id="69" w:name="_Toc52470911"/>
      <w:bookmarkStart w:id="70" w:name="_Toc52472800"/>
      <w:bookmarkStart w:id="71" w:name="_Toc52474187"/>
      <w:bookmarkStart w:id="72" w:name="_Toc52474219"/>
      <w:bookmarkStart w:id="73" w:name="_Toc52471850"/>
      <w:bookmarkStart w:id="74" w:name="_Toc53397844"/>
      <w:r>
        <w:t>A lack of competition, disengaged members and embedded inefficiency means Australians pay higher fees</w:t>
      </w:r>
      <w:bookmarkEnd w:id="68"/>
      <w:bookmarkEnd w:id="69"/>
      <w:bookmarkEnd w:id="70"/>
      <w:bookmarkEnd w:id="71"/>
      <w:bookmarkEnd w:id="72"/>
      <w:bookmarkEnd w:id="73"/>
      <w:bookmarkEnd w:id="74"/>
    </w:p>
    <w:p w14:paraId="26B44D19" w14:textId="77777777" w:rsidR="00EC09AB" w:rsidRDefault="00EC09AB">
      <w:r>
        <w:t>Many Australians are disengaged from the superannuation system. The Productivity Commission found that “</w:t>
      </w:r>
      <w:r w:rsidR="008536BF">
        <w:t>m</w:t>
      </w:r>
      <w:r>
        <w:t>any Australians find superannuation complex and are disengaged from decisions about their retirement savings.”</w:t>
      </w:r>
      <w:r>
        <w:rPr>
          <w:rFonts w:eastAsia="Calibri" w:cs="Calibri"/>
          <w:sz w:val="20"/>
          <w:vertAlign w:val="superscript"/>
        </w:rPr>
        <w:endnoteReference w:id="14"/>
      </w:r>
      <w:r>
        <w:t xml:space="preserve">  </w:t>
      </w:r>
    </w:p>
    <w:p w14:paraId="6DFE78D1" w14:textId="77777777" w:rsidR="003A4C1B" w:rsidRDefault="00205DE0">
      <w:pPr>
        <w:pBdr>
          <w:top w:val="nil"/>
          <w:left w:val="nil"/>
          <w:bottom w:val="nil"/>
          <w:right w:val="nil"/>
          <w:between w:val="nil"/>
        </w:pBdr>
        <w:spacing w:before="0"/>
      </w:pPr>
      <w:r>
        <w:lastRenderedPageBreak/>
        <w:t xml:space="preserve">Design elements of the superannuation system, including </w:t>
      </w:r>
      <w:r w:rsidR="00C442C2">
        <w:t xml:space="preserve">that </w:t>
      </w:r>
      <w:r>
        <w:t xml:space="preserve">contributions are compulsory and that </w:t>
      </w:r>
      <w:r w:rsidR="00153206">
        <w:t xml:space="preserve">the majority of </w:t>
      </w:r>
      <w:r>
        <w:t>members end up in a fund that they have not chosen</w:t>
      </w:r>
      <w:r w:rsidR="00C442C2">
        <w:t>,</w:t>
      </w:r>
      <w:r>
        <w:t xml:space="preserve"> perpetuates this disengagement.</w:t>
      </w:r>
      <w:r w:rsidR="00EC09AB">
        <w:rPr>
          <w:rStyle w:val="EndnoteReference"/>
        </w:rPr>
        <w:endnoteReference w:id="15"/>
      </w:r>
      <w:r w:rsidR="00EC09AB">
        <w:t xml:space="preserve">  </w:t>
      </w:r>
      <w:bookmarkStart w:id="75" w:name="_heading=h.9rq8dcfxe07b" w:colFirst="0" w:colLast="0"/>
      <w:bookmarkEnd w:id="75"/>
    </w:p>
    <w:p w14:paraId="566DE7BB" w14:textId="77777777" w:rsidR="003A4C1B" w:rsidRDefault="00205DE0">
      <w:pPr>
        <w:pBdr>
          <w:top w:val="nil"/>
          <w:left w:val="nil"/>
          <w:bottom w:val="nil"/>
          <w:right w:val="nil"/>
          <w:between w:val="nil"/>
        </w:pBdr>
        <w:spacing w:before="0"/>
      </w:pPr>
      <w:r>
        <w:t>As stated by the FSI, there needs to be strong member engagement to drive competition.</w:t>
      </w:r>
      <w:r w:rsidR="00EC09AB">
        <w:rPr>
          <w:rStyle w:val="EndnoteReference"/>
        </w:rPr>
        <w:endnoteReference w:id="16"/>
      </w:r>
      <w:r w:rsidDel="00241553">
        <w:t xml:space="preserve"> </w:t>
      </w:r>
      <w:r>
        <w:t xml:space="preserve">Without strong competition, </w:t>
      </w:r>
      <w:r w:rsidRPr="00205DE0">
        <w:t xml:space="preserve">all </w:t>
      </w:r>
      <w:r>
        <w:t xml:space="preserve">members end up paying more in fees and accumulating less retirement savings. </w:t>
      </w:r>
    </w:p>
    <w:p w14:paraId="515FC9DF" w14:textId="74422294" w:rsidR="003A4C1B" w:rsidRDefault="00EC09AB">
      <w:pPr>
        <w:pBdr>
          <w:top w:val="nil"/>
          <w:left w:val="nil"/>
          <w:bottom w:val="nil"/>
          <w:right w:val="nil"/>
          <w:between w:val="nil"/>
        </w:pBdr>
        <w:spacing w:before="0"/>
      </w:pPr>
      <w:r>
        <w:t>Further, as the FSI identified, the complexity of the system is also a key driver of disengagement.</w:t>
      </w:r>
      <w:r>
        <w:rPr>
          <w:rStyle w:val="EndnoteReference"/>
        </w:rPr>
        <w:endnoteReference w:id="17"/>
      </w:r>
      <w:r>
        <w:t xml:space="preserve"> </w:t>
      </w:r>
      <w:r w:rsidR="00205DE0">
        <w:t>There is a wide variety of products and information and no tools available to help members easily compare funds.</w:t>
      </w:r>
    </w:p>
    <w:p w14:paraId="62D06127" w14:textId="77777777" w:rsidR="003A4C1B" w:rsidRDefault="00205DE0">
      <w:r>
        <w:t>The Productivity Commission found that two-thirds of members do not actively select a superannuation product when starting a new job.</w:t>
      </w:r>
      <w:r w:rsidR="00EC09AB">
        <w:rPr>
          <w:rStyle w:val="EndnoteReference"/>
        </w:rPr>
        <w:endnoteReference w:id="18"/>
      </w:r>
      <w:r w:rsidR="00EC09AB">
        <w:t xml:space="preserve"> Without the confidence and support to engage from the outset, many members remain disengaged as they age. </w:t>
      </w:r>
      <w:r>
        <w:t>Many people do not make active decisions about their superannuation until they are close to retirement. Even when people do engage, switching funds is relatively uncommon.</w:t>
      </w:r>
      <w:r w:rsidR="00EC09AB">
        <w:rPr>
          <w:rStyle w:val="EndnoteReference"/>
        </w:rPr>
        <w:endnoteReference w:id="19"/>
      </w:r>
      <w:r>
        <w:t xml:space="preserve"> Not only does this lack of engagement drive poor outcomes for the individual, it also compromises the effectiveness of the system. </w:t>
      </w:r>
    </w:p>
    <w:p w14:paraId="6F2BF9A5" w14:textId="77777777" w:rsidR="003A4C1B" w:rsidRDefault="00205DE0">
      <w:r>
        <w:t xml:space="preserve">This lack of member engagement </w:t>
      </w:r>
      <w:r w:rsidR="00904178">
        <w:t xml:space="preserve">also </w:t>
      </w:r>
      <w:r>
        <w:t>undermines the benefits of competition. Without strong competition, all members end up paying more in fees and accumulating less retirement savings.</w:t>
      </w:r>
    </w:p>
    <w:p w14:paraId="26B6EA7E" w14:textId="523EF507" w:rsidR="00463141" w:rsidRDefault="00463141" w:rsidP="00FC05C3">
      <w:bookmarkStart w:id="76" w:name="_heading=h.3rdcrjn" w:colFirst="0" w:colLast="0"/>
      <w:bookmarkStart w:id="77" w:name="_heading=h.dws5knrz9ahi" w:colFirst="0" w:colLast="0"/>
      <w:bookmarkStart w:id="78" w:name="_heading=h.26in1rg" w:colFirst="0" w:colLast="0"/>
      <w:bookmarkEnd w:id="76"/>
      <w:bookmarkEnd w:id="77"/>
      <w:bookmarkEnd w:id="78"/>
      <w:r>
        <w:t>The Productivity Commission found that fees in Australia are high by international standards, in part reflecting the absence of member-driven competition: “notwithstanding large differences in pension systems across countries, especially in asset allocation and administration, the costs incurred by Australian superannuation funds are some of the highest in the OECD</w:t>
      </w:r>
      <w:r w:rsidR="00D10A26">
        <w:t>.</w:t>
      </w:r>
      <w:r>
        <w:t>”</w:t>
      </w:r>
      <w:r w:rsidR="00AE107D">
        <w:rPr>
          <w:rStyle w:val="EndnoteReference"/>
        </w:rPr>
        <w:endnoteReference w:id="20"/>
      </w:r>
      <w:r>
        <w:t xml:space="preserve"> Other analysis has previously suggested that “</w:t>
      </w:r>
      <w:r w:rsidRPr="008B648D">
        <w:t>Australians are paying up to three times more than they should for superannuation.</w:t>
      </w:r>
      <w:r>
        <w:t>”</w:t>
      </w:r>
      <w:r w:rsidRPr="003D0081">
        <w:rPr>
          <w:vertAlign w:val="superscript"/>
        </w:rPr>
        <w:endnoteReference w:id="21"/>
      </w:r>
    </w:p>
    <w:p w14:paraId="438F3BF9" w14:textId="544B0221" w:rsidR="009F1E88" w:rsidRDefault="00205DE0" w:rsidP="00FC05C3">
      <w:r>
        <w:t xml:space="preserve">Additionally, as the </w:t>
      </w:r>
      <w:r w:rsidR="00DA61BA">
        <w:t>P</w:t>
      </w:r>
      <w:r>
        <w:t xml:space="preserve">roductivity </w:t>
      </w:r>
      <w:r w:rsidR="00DA61BA">
        <w:t>C</w:t>
      </w:r>
      <w:r>
        <w:t>ommission concluded, the benefits of scale are not being fully realised or passed on to memb</w:t>
      </w:r>
      <w:r w:rsidR="00735C47">
        <w:t>ers</w:t>
      </w:r>
      <w:r w:rsidR="00DA61BA">
        <w:t xml:space="preserve"> </w:t>
      </w:r>
      <w:r>
        <w:t>in the form of lower fees.</w:t>
      </w:r>
      <w:r w:rsidR="000F5C13" w:rsidRPr="003D0081">
        <w:rPr>
          <w:vertAlign w:val="superscript"/>
        </w:rPr>
        <w:endnoteReference w:id="22"/>
      </w:r>
    </w:p>
    <w:p w14:paraId="68FCA43C" w14:textId="3A1C250C" w:rsidR="003A4C1B" w:rsidRDefault="009F1E88">
      <w:r>
        <w:t xml:space="preserve">Since </w:t>
      </w:r>
      <w:r w:rsidR="00B93CF3" w:rsidRPr="00A576AE">
        <w:t>MySuper became operational in</w:t>
      </w:r>
      <w:r w:rsidR="00B93CF3" w:rsidRPr="00B93CF3">
        <w:rPr>
          <w:color w:val="FF0000"/>
        </w:rPr>
        <w:t xml:space="preserve"> </w:t>
      </w:r>
      <w:r w:rsidR="006172F0">
        <w:t xml:space="preserve">2014, the average annual fee of </w:t>
      </w:r>
      <w:r>
        <w:t>MySuper</w:t>
      </w:r>
      <w:r w:rsidR="006172F0">
        <w:t xml:space="preserve"> products for a $50,000</w:t>
      </w:r>
      <w:r w:rsidR="000344B7">
        <w:t xml:space="preserve"> balance has increased. </w:t>
      </w:r>
      <w:r>
        <w:t>This represents a total fee increase of 13.</w:t>
      </w:r>
      <w:r w:rsidR="009A63B1">
        <w:t>6</w:t>
      </w:r>
      <w:r w:rsidR="00BE314F">
        <w:t> per cent</w:t>
      </w:r>
      <w:r>
        <w:t xml:space="preserve"> since June 2014. Over the same period MySuper products have increased in scale from $36</w:t>
      </w:r>
      <w:r w:rsidR="00BC3976">
        <w:t>2</w:t>
      </w:r>
      <w:r w:rsidR="00B93CF3">
        <w:t> </w:t>
      </w:r>
      <w:r>
        <w:t xml:space="preserve">billion in </w:t>
      </w:r>
      <w:r w:rsidR="008265C2">
        <w:t>June </w:t>
      </w:r>
      <w:r>
        <w:t>2014 to $731</w:t>
      </w:r>
      <w:r w:rsidR="00B93CF3">
        <w:t> </w:t>
      </w:r>
      <w:r>
        <w:t>billion by June</w:t>
      </w:r>
      <w:r w:rsidR="00B93CF3">
        <w:t> </w:t>
      </w:r>
      <w:r>
        <w:t xml:space="preserve">2020.   </w:t>
      </w:r>
    </w:p>
    <w:p w14:paraId="0FE9CFE1" w14:textId="77777777" w:rsidR="00463141" w:rsidRDefault="00463141" w:rsidP="00463141">
      <w:pPr>
        <w:spacing w:before="240"/>
        <w:contextualSpacing/>
      </w:pPr>
      <w:r>
        <w:t xml:space="preserve">This suggests many members are paying more for their superannuation products than they need to. Even a small difference in the level of fees and returns in a year can substantially reduce a member’s retirement balance. </w:t>
      </w:r>
    </w:p>
    <w:p w14:paraId="14EC482B" w14:textId="77777777" w:rsidR="00463141" w:rsidRDefault="00463141"/>
    <w:p w14:paraId="3F357766" w14:textId="64C61207" w:rsidR="00CF36F4" w:rsidRDefault="00CF36F4" w:rsidP="00CF36F4">
      <w:pPr>
        <w:keepNext/>
        <w:spacing w:before="0" w:after="20"/>
        <w:jc w:val="center"/>
        <w:rPr>
          <w:b/>
          <w:color w:val="004A7F"/>
        </w:rPr>
      </w:pPr>
      <w:r w:rsidRPr="00320579">
        <w:rPr>
          <w:b/>
          <w:color w:val="004A7F"/>
        </w:rPr>
        <w:t xml:space="preserve">Chart </w:t>
      </w:r>
      <w:r w:rsidR="00DA0C59">
        <w:rPr>
          <w:b/>
          <w:color w:val="004A7F"/>
        </w:rPr>
        <w:t>1</w:t>
      </w:r>
      <w:r w:rsidRPr="00320579">
        <w:rPr>
          <w:b/>
          <w:color w:val="004A7F"/>
        </w:rPr>
        <w:t>: The average fees for MySuper products ha</w:t>
      </w:r>
      <w:r w:rsidR="00BE314F">
        <w:rPr>
          <w:b/>
          <w:color w:val="004A7F"/>
        </w:rPr>
        <w:t>ve</w:t>
      </w:r>
      <w:r w:rsidRPr="00320579">
        <w:rPr>
          <w:b/>
          <w:color w:val="004A7F"/>
        </w:rPr>
        <w:t xml:space="preserve"> increased</w:t>
      </w:r>
    </w:p>
    <w:p w14:paraId="01326996" w14:textId="77777777" w:rsidR="00CF36F4" w:rsidRDefault="00D1309A" w:rsidP="00CF36F4">
      <w:pPr>
        <w:keepNext/>
        <w:spacing w:before="0" w:after="20"/>
        <w:jc w:val="center"/>
        <w:rPr>
          <w:b/>
          <w:color w:val="004A7F"/>
        </w:rPr>
      </w:pPr>
      <w:r w:rsidRPr="00D1309A">
        <w:rPr>
          <w:b/>
          <w:noProof/>
          <w:color w:val="004A7F"/>
        </w:rPr>
        <w:drawing>
          <wp:inline distT="0" distB="0" distL="0" distR="0" wp14:anchorId="610A887F" wp14:editId="6C235EE1">
            <wp:extent cx="5584420" cy="24386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84420" cy="2438611"/>
                    </a:xfrm>
                    <a:prstGeom prst="rect">
                      <a:avLst/>
                    </a:prstGeom>
                  </pic:spPr>
                </pic:pic>
              </a:graphicData>
            </a:graphic>
          </wp:inline>
        </w:drawing>
      </w:r>
    </w:p>
    <w:p w14:paraId="060957B1" w14:textId="6D601BD1" w:rsidR="009B1DD9" w:rsidRDefault="00463141" w:rsidP="00877831">
      <w:pPr>
        <w:keepNext/>
      </w:pPr>
      <w:r>
        <w:rPr>
          <w:i/>
          <w:iCs/>
          <w:color w:val="000000"/>
          <w:sz w:val="20"/>
        </w:rPr>
        <w:t xml:space="preserve">Note: Fees </w:t>
      </w:r>
      <w:r w:rsidR="00A33AF5" w:rsidRPr="00A576AE">
        <w:rPr>
          <w:i/>
          <w:iCs/>
          <w:sz w:val="20"/>
        </w:rPr>
        <w:t xml:space="preserve">are </w:t>
      </w:r>
      <w:r w:rsidR="00B93CF3" w:rsidRPr="00A576AE">
        <w:rPr>
          <w:i/>
          <w:iCs/>
          <w:sz w:val="20"/>
        </w:rPr>
        <w:t>dollar</w:t>
      </w:r>
      <w:r w:rsidR="00A33AF5" w:rsidRPr="00A576AE">
        <w:rPr>
          <w:i/>
          <w:iCs/>
          <w:sz w:val="20"/>
        </w:rPr>
        <w:t>-weighted and for</w:t>
      </w:r>
      <w:r w:rsidR="00A33AF5">
        <w:rPr>
          <w:i/>
          <w:iCs/>
          <w:color w:val="FF0000"/>
          <w:sz w:val="20"/>
        </w:rPr>
        <w:t xml:space="preserve"> </w:t>
      </w:r>
      <w:r>
        <w:rPr>
          <w:i/>
          <w:iCs/>
          <w:color w:val="000000"/>
          <w:sz w:val="20"/>
        </w:rPr>
        <w:t xml:space="preserve">a $50,000 balance. </w:t>
      </w:r>
      <w:r w:rsidRPr="00FC05C3">
        <w:rPr>
          <w:i/>
          <w:iCs/>
          <w:color w:val="000000"/>
          <w:sz w:val="20"/>
        </w:rPr>
        <w:t xml:space="preserve">The dollar weighted-average annual fee </w:t>
      </w:r>
      <w:r w:rsidR="00EA3CE0">
        <w:rPr>
          <w:i/>
          <w:iCs/>
          <w:color w:val="000000"/>
          <w:sz w:val="20"/>
        </w:rPr>
        <w:t>of</w:t>
      </w:r>
      <w:r w:rsidRPr="00FC05C3">
        <w:rPr>
          <w:i/>
          <w:iCs/>
          <w:color w:val="000000"/>
          <w:sz w:val="20"/>
        </w:rPr>
        <w:t xml:space="preserve"> a MySuper product on a $50,000 balance was 0.89</w:t>
      </w:r>
      <w:r w:rsidR="00B93CF3">
        <w:rPr>
          <w:i/>
          <w:iCs/>
          <w:color w:val="000000"/>
          <w:sz w:val="20"/>
        </w:rPr>
        <w:t> </w:t>
      </w:r>
      <w:r w:rsidRPr="00FC05C3">
        <w:rPr>
          <w:i/>
          <w:iCs/>
          <w:color w:val="000000"/>
          <w:sz w:val="20"/>
        </w:rPr>
        <w:t>percentage</w:t>
      </w:r>
      <w:r w:rsidR="00B93CF3">
        <w:rPr>
          <w:i/>
          <w:iCs/>
          <w:color w:val="000000"/>
          <w:sz w:val="20"/>
        </w:rPr>
        <w:t> </w:t>
      </w:r>
      <w:r w:rsidRPr="00FC05C3">
        <w:rPr>
          <w:i/>
          <w:iCs/>
          <w:color w:val="000000"/>
          <w:sz w:val="20"/>
        </w:rPr>
        <w:t>points in June</w:t>
      </w:r>
      <w:r w:rsidR="00B93CF3">
        <w:rPr>
          <w:i/>
          <w:iCs/>
          <w:color w:val="000000"/>
          <w:sz w:val="20"/>
        </w:rPr>
        <w:t> </w:t>
      </w:r>
      <w:r w:rsidRPr="00FC05C3">
        <w:rPr>
          <w:i/>
          <w:iCs/>
          <w:color w:val="000000"/>
          <w:sz w:val="20"/>
        </w:rPr>
        <w:t>2014, 0.93</w:t>
      </w:r>
      <w:r w:rsidR="00B93CF3">
        <w:rPr>
          <w:i/>
          <w:iCs/>
          <w:color w:val="000000"/>
          <w:sz w:val="20"/>
        </w:rPr>
        <w:t> </w:t>
      </w:r>
      <w:r w:rsidRPr="00FC05C3">
        <w:rPr>
          <w:i/>
          <w:iCs/>
          <w:color w:val="000000"/>
          <w:sz w:val="20"/>
        </w:rPr>
        <w:t>percentage</w:t>
      </w:r>
      <w:r w:rsidR="00B93CF3">
        <w:rPr>
          <w:i/>
          <w:iCs/>
          <w:color w:val="000000"/>
          <w:sz w:val="20"/>
        </w:rPr>
        <w:t> </w:t>
      </w:r>
      <w:r w:rsidRPr="00FC05C3">
        <w:rPr>
          <w:i/>
          <w:iCs/>
          <w:color w:val="000000"/>
          <w:sz w:val="20"/>
        </w:rPr>
        <w:t>points in June</w:t>
      </w:r>
      <w:r w:rsidR="00B93CF3">
        <w:rPr>
          <w:i/>
          <w:iCs/>
          <w:color w:val="000000"/>
          <w:sz w:val="20"/>
        </w:rPr>
        <w:t> </w:t>
      </w:r>
      <w:r w:rsidRPr="00FC05C3">
        <w:rPr>
          <w:i/>
          <w:iCs/>
          <w:color w:val="000000"/>
          <w:sz w:val="20"/>
        </w:rPr>
        <w:t xml:space="preserve">2017, and </w:t>
      </w:r>
      <w:r w:rsidRPr="00FC05C3">
        <w:rPr>
          <w:i/>
          <w:iCs/>
          <w:color w:val="000000"/>
          <w:sz w:val="20"/>
        </w:rPr>
        <w:lastRenderedPageBreak/>
        <w:t>1.01</w:t>
      </w:r>
      <w:r w:rsidR="00B93CF3">
        <w:rPr>
          <w:i/>
          <w:iCs/>
          <w:color w:val="000000"/>
          <w:sz w:val="20"/>
        </w:rPr>
        <w:t> </w:t>
      </w:r>
      <w:r w:rsidRPr="00FC05C3">
        <w:rPr>
          <w:i/>
          <w:iCs/>
          <w:color w:val="000000"/>
          <w:sz w:val="20"/>
        </w:rPr>
        <w:t>percentage</w:t>
      </w:r>
      <w:r w:rsidR="00B93CF3">
        <w:rPr>
          <w:i/>
          <w:iCs/>
          <w:color w:val="000000"/>
          <w:sz w:val="20"/>
        </w:rPr>
        <w:t> points</w:t>
      </w:r>
      <w:r w:rsidRPr="00FC05C3">
        <w:rPr>
          <w:i/>
          <w:iCs/>
          <w:color w:val="000000"/>
          <w:sz w:val="20"/>
        </w:rPr>
        <w:t>in June</w:t>
      </w:r>
      <w:r w:rsidR="00B93CF3">
        <w:rPr>
          <w:i/>
          <w:iCs/>
          <w:color w:val="000000"/>
          <w:sz w:val="20"/>
        </w:rPr>
        <w:t> </w:t>
      </w:r>
      <w:r w:rsidRPr="00FC05C3">
        <w:rPr>
          <w:i/>
          <w:iCs/>
          <w:color w:val="000000"/>
          <w:sz w:val="20"/>
        </w:rPr>
        <w:t>2020. The minimum fee was $265 on a $50,000 balance in June 2014</w:t>
      </w:r>
      <w:r w:rsidRPr="00FC05C3">
        <w:rPr>
          <w:iCs/>
          <w:color w:val="000000"/>
          <w:sz w:val="20"/>
        </w:rPr>
        <w:t>.</w:t>
      </w:r>
      <w:r w:rsidR="00B93CF3">
        <w:rPr>
          <w:iCs/>
          <w:color w:val="000000"/>
          <w:sz w:val="20"/>
        </w:rPr>
        <w:t xml:space="preserve"> </w:t>
      </w:r>
      <w:r w:rsidR="00B93CF3" w:rsidRPr="009B1197">
        <w:rPr>
          <w:i/>
          <w:iCs/>
          <w:color w:val="000000"/>
          <w:sz w:val="20"/>
        </w:rPr>
        <w:t>Source: APRA Quarterly MySuper statistics June 2020 and APRA Quarterly MySuper statistics back series</w:t>
      </w:r>
      <w:r w:rsidR="00B93CF3">
        <w:rPr>
          <w:i/>
          <w:iCs/>
          <w:color w:val="000000"/>
          <w:sz w:val="20"/>
        </w:rPr>
        <w:t>.</w:t>
      </w:r>
    </w:p>
    <w:p w14:paraId="57C3E433" w14:textId="77777777" w:rsidR="00320579" w:rsidRDefault="00320579">
      <w:pPr>
        <w:contextualSpacing/>
      </w:pPr>
      <w:bookmarkStart w:id="79" w:name="_heading=h.2bn6wsx" w:colFirst="0" w:colLast="0"/>
      <w:bookmarkEnd w:id="79"/>
    </w:p>
    <w:p w14:paraId="1116655D" w14:textId="50368FBE" w:rsidR="003A4C1B" w:rsidRDefault="00205DE0">
      <w:pPr>
        <w:keepNext/>
        <w:spacing w:before="0" w:after="20"/>
        <w:jc w:val="center"/>
        <w:rPr>
          <w:b/>
          <w:color w:val="3A6FAF"/>
          <w:sz w:val="24"/>
          <w:szCs w:val="24"/>
        </w:rPr>
      </w:pPr>
      <w:r>
        <w:rPr>
          <w:b/>
          <w:color w:val="004A7F"/>
        </w:rPr>
        <w:t xml:space="preserve">Chart </w:t>
      </w:r>
      <w:r w:rsidR="00DA0C59">
        <w:rPr>
          <w:b/>
          <w:color w:val="004A7F"/>
        </w:rPr>
        <w:t>2</w:t>
      </w:r>
      <w:r>
        <w:rPr>
          <w:b/>
          <w:color w:val="004A7F"/>
        </w:rPr>
        <w:t>: Fees and investment returns vary widely across MySuper products</w:t>
      </w:r>
      <w:r>
        <w:rPr>
          <w:b/>
          <w:color w:val="3A6FAF"/>
          <w:sz w:val="24"/>
          <w:szCs w:val="24"/>
        </w:rPr>
        <w:t xml:space="preserve"> </w:t>
      </w:r>
    </w:p>
    <w:tbl>
      <w:tblPr>
        <w:tblW w:w="5000" w:type="pct"/>
        <w:tblLayout w:type="fixed"/>
        <w:tblCellMar>
          <w:left w:w="115" w:type="dxa"/>
          <w:right w:w="115" w:type="dxa"/>
        </w:tblCellMar>
        <w:tblLook w:val="0400" w:firstRow="0" w:lastRow="0" w:firstColumn="0" w:lastColumn="0" w:noHBand="0" w:noVBand="1"/>
      </w:tblPr>
      <w:tblGrid>
        <w:gridCol w:w="4512"/>
        <w:gridCol w:w="4560"/>
      </w:tblGrid>
      <w:tr w:rsidR="003A4C1B" w14:paraId="22A4E7C9" w14:textId="77777777" w:rsidTr="00884CB1">
        <w:trPr>
          <w:trHeight w:val="453"/>
        </w:trPr>
        <w:tc>
          <w:tcPr>
            <w:tcW w:w="4820" w:type="dxa"/>
            <w:shd w:val="clear" w:color="auto" w:fill="auto"/>
          </w:tcPr>
          <w:p w14:paraId="233B6113" w14:textId="77777777" w:rsidR="003A4C1B" w:rsidRDefault="00205DE0">
            <w:pPr>
              <w:keepNext/>
              <w:spacing w:before="0" w:after="160" w:line="259" w:lineRule="auto"/>
              <w:ind w:left="520"/>
              <w:jc w:val="center"/>
              <w:rPr>
                <w:b/>
              </w:rPr>
            </w:pPr>
            <w:r>
              <w:rPr>
                <w:b/>
              </w:rPr>
              <w:t>Fees</w:t>
            </w:r>
          </w:p>
        </w:tc>
        <w:tc>
          <w:tcPr>
            <w:tcW w:w="4871" w:type="dxa"/>
            <w:shd w:val="clear" w:color="auto" w:fill="auto"/>
          </w:tcPr>
          <w:p w14:paraId="3807E9E6" w14:textId="77777777" w:rsidR="003A4C1B" w:rsidRDefault="00205DE0">
            <w:pPr>
              <w:keepNext/>
              <w:spacing w:before="0" w:after="160" w:line="259" w:lineRule="auto"/>
              <w:ind w:left="520"/>
              <w:jc w:val="center"/>
              <w:rPr>
                <w:b/>
              </w:rPr>
            </w:pPr>
            <w:r>
              <w:rPr>
                <w:b/>
              </w:rPr>
              <w:t>Investment returns</w:t>
            </w:r>
          </w:p>
        </w:tc>
      </w:tr>
      <w:tr w:rsidR="003A4C1B" w14:paraId="3202DC09" w14:textId="77777777" w:rsidTr="00884CB1">
        <w:trPr>
          <w:trHeight w:val="4811"/>
        </w:trPr>
        <w:tc>
          <w:tcPr>
            <w:tcW w:w="4820" w:type="dxa"/>
            <w:shd w:val="clear" w:color="auto" w:fill="auto"/>
          </w:tcPr>
          <w:p w14:paraId="2B5CCB95" w14:textId="77777777" w:rsidR="003A4C1B" w:rsidRDefault="00205DE0" w:rsidP="00877831">
            <w:pPr>
              <w:keepNext/>
              <w:spacing w:before="0" w:after="160" w:line="259" w:lineRule="auto"/>
            </w:pPr>
            <w:r>
              <w:rPr>
                <w:noProof/>
              </w:rPr>
              <w:drawing>
                <wp:inline distT="0" distB="0" distL="0" distR="0" wp14:anchorId="23FBC96A" wp14:editId="4510ECE1">
                  <wp:extent cx="2644147" cy="2883535"/>
                  <wp:effectExtent l="0" t="0" r="3810" b="0"/>
                  <wp:docPr id="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5">
                            <a:extLst>
                              <a:ext uri="{28A0092B-C50C-407E-A947-70E740481C1C}">
                                <a14:useLocalDpi xmlns:a14="http://schemas.microsoft.com/office/drawing/2010/main" val="0"/>
                              </a:ext>
                            </a:extLst>
                          </a:blip>
                          <a:stretch>
                            <a:fillRect/>
                          </a:stretch>
                        </pic:blipFill>
                        <pic:spPr>
                          <a:xfrm>
                            <a:off x="0" y="0"/>
                            <a:ext cx="2644147" cy="2883535"/>
                          </a:xfrm>
                          <a:prstGeom prst="rect">
                            <a:avLst/>
                          </a:prstGeom>
                          <a:ln/>
                        </pic:spPr>
                      </pic:pic>
                    </a:graphicData>
                  </a:graphic>
                </wp:inline>
              </w:drawing>
            </w:r>
          </w:p>
        </w:tc>
        <w:tc>
          <w:tcPr>
            <w:tcW w:w="4871" w:type="dxa"/>
            <w:shd w:val="clear" w:color="auto" w:fill="auto"/>
          </w:tcPr>
          <w:p w14:paraId="21FAEA7F" w14:textId="77777777" w:rsidR="003A4C1B" w:rsidRDefault="00205DE0" w:rsidP="00877831">
            <w:pPr>
              <w:keepNext/>
              <w:spacing w:before="0" w:after="160" w:line="259" w:lineRule="auto"/>
            </w:pPr>
            <w:r>
              <w:rPr>
                <w:noProof/>
              </w:rPr>
              <w:drawing>
                <wp:inline distT="0" distB="0" distL="0" distR="0" wp14:anchorId="4DE545ED" wp14:editId="151DEE62">
                  <wp:extent cx="2682231" cy="2883535"/>
                  <wp:effectExtent l="0" t="0" r="4445" b="0"/>
                  <wp:docPr id="4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6">
                            <a:extLst>
                              <a:ext uri="{28A0092B-C50C-407E-A947-70E740481C1C}">
                                <a14:useLocalDpi xmlns:a14="http://schemas.microsoft.com/office/drawing/2010/main" val="0"/>
                              </a:ext>
                            </a:extLst>
                          </a:blip>
                          <a:stretch>
                            <a:fillRect/>
                          </a:stretch>
                        </pic:blipFill>
                        <pic:spPr>
                          <a:xfrm>
                            <a:off x="0" y="0"/>
                            <a:ext cx="2682231" cy="2883535"/>
                          </a:xfrm>
                          <a:prstGeom prst="rect">
                            <a:avLst/>
                          </a:prstGeom>
                          <a:ln/>
                        </pic:spPr>
                      </pic:pic>
                    </a:graphicData>
                  </a:graphic>
                </wp:inline>
              </w:drawing>
            </w:r>
          </w:p>
        </w:tc>
      </w:tr>
    </w:tbl>
    <w:p w14:paraId="5A9028E3" w14:textId="5D1CEF9F" w:rsidR="00C35675" w:rsidRDefault="00205DE0" w:rsidP="00877831">
      <w:pPr>
        <w:keepNext/>
        <w:spacing w:before="240"/>
        <w:contextualSpacing/>
        <w:rPr>
          <w:rFonts w:eastAsiaTheme="minorHAnsi"/>
          <w:i/>
          <w:color w:val="000000"/>
          <w:sz w:val="20"/>
        </w:rPr>
      </w:pPr>
      <w:bookmarkStart w:id="80" w:name="_heading=h.tjzb87x2q6" w:colFirst="0" w:colLast="0"/>
      <w:bookmarkStart w:id="81" w:name="_Toc52313242"/>
      <w:bookmarkStart w:id="82" w:name="_Toc52471851"/>
      <w:bookmarkEnd w:id="80"/>
      <w:r w:rsidRPr="007A141F">
        <w:rPr>
          <w:rFonts w:eastAsiaTheme="minorHAnsi"/>
          <w:i/>
          <w:color w:val="000000"/>
          <w:sz w:val="20"/>
        </w:rPr>
        <w:t xml:space="preserve">Note: </w:t>
      </w:r>
      <w:r w:rsidR="00C35675">
        <w:rPr>
          <w:rFonts w:eastAsiaTheme="minorHAnsi"/>
          <w:i/>
          <w:color w:val="000000"/>
          <w:sz w:val="20"/>
        </w:rPr>
        <w:t>Five</w:t>
      </w:r>
      <w:r w:rsidR="00102572">
        <w:rPr>
          <w:rFonts w:eastAsiaTheme="minorHAnsi"/>
          <w:i/>
          <w:color w:val="000000"/>
          <w:sz w:val="20"/>
        </w:rPr>
        <w:t xml:space="preserve"> </w:t>
      </w:r>
      <w:r w:rsidRPr="007A141F">
        <w:rPr>
          <w:rFonts w:eastAsiaTheme="minorHAnsi"/>
          <w:i/>
          <w:color w:val="000000"/>
          <w:sz w:val="20"/>
        </w:rPr>
        <w:t>year net return to 30 June 2020</w:t>
      </w:r>
      <w:r w:rsidR="00F41D2B" w:rsidRPr="007A141F">
        <w:rPr>
          <w:rFonts w:eastAsiaTheme="minorHAnsi"/>
          <w:i/>
          <w:color w:val="000000"/>
          <w:sz w:val="20"/>
        </w:rPr>
        <w:t xml:space="preserve"> and for a $50,000 balance.</w:t>
      </w:r>
      <w:r w:rsidRPr="007A141F">
        <w:rPr>
          <w:rFonts w:eastAsiaTheme="minorHAnsi"/>
          <w:i/>
          <w:color w:val="000000"/>
          <w:sz w:val="20"/>
        </w:rPr>
        <w:t xml:space="preserve"> Fees as at 29 May 2020. Life cycle products are asset</w:t>
      </w:r>
      <w:r w:rsidR="00C35675">
        <w:rPr>
          <w:rFonts w:eastAsiaTheme="minorHAnsi"/>
          <w:i/>
          <w:color w:val="000000"/>
          <w:sz w:val="20"/>
        </w:rPr>
        <w:noBreakHyphen/>
      </w:r>
      <w:r w:rsidRPr="007A141F">
        <w:rPr>
          <w:rFonts w:eastAsiaTheme="minorHAnsi"/>
          <w:i/>
          <w:color w:val="000000"/>
          <w:sz w:val="20"/>
        </w:rPr>
        <w:t xml:space="preserve">weighted. The </w:t>
      </w:r>
      <w:r w:rsidR="00C35675">
        <w:rPr>
          <w:rFonts w:eastAsiaTheme="minorHAnsi"/>
          <w:i/>
          <w:color w:val="000000"/>
          <w:sz w:val="20"/>
        </w:rPr>
        <w:t>five</w:t>
      </w:r>
      <w:r w:rsidR="00102572">
        <w:rPr>
          <w:rFonts w:eastAsiaTheme="minorHAnsi"/>
          <w:i/>
          <w:color w:val="000000"/>
          <w:sz w:val="20"/>
        </w:rPr>
        <w:t xml:space="preserve"> </w:t>
      </w:r>
      <w:r w:rsidRPr="007A141F">
        <w:rPr>
          <w:rFonts w:eastAsiaTheme="minorHAnsi"/>
          <w:i/>
          <w:color w:val="000000"/>
          <w:sz w:val="20"/>
        </w:rPr>
        <w:t xml:space="preserve">year net return is only available for 76 of the 88 MySuper products. </w:t>
      </w:r>
    </w:p>
    <w:p w14:paraId="0CC745C2" w14:textId="5C91A5BD" w:rsidR="003A4C1B" w:rsidRDefault="00F41D2B" w:rsidP="00877831">
      <w:pPr>
        <w:keepNext/>
        <w:spacing w:before="240"/>
        <w:contextualSpacing/>
      </w:pPr>
      <w:r w:rsidRPr="007A141F">
        <w:rPr>
          <w:rFonts w:eastAsiaTheme="minorHAnsi"/>
          <w:i/>
          <w:color w:val="000000"/>
          <w:sz w:val="20"/>
        </w:rPr>
        <w:t>Source: APRA Quarterly MySuper statistics June 2020 and APRA MySuper Heatmap June 2020.</w:t>
      </w:r>
      <w:bookmarkEnd w:id="81"/>
      <w:bookmarkEnd w:id="82"/>
    </w:p>
    <w:p w14:paraId="53CBC9FD" w14:textId="77777777" w:rsidR="00EC09AB" w:rsidRDefault="00EC09AB" w:rsidP="00884CB1">
      <w:pPr>
        <w:pStyle w:val="Heading3Numbered"/>
        <w:rPr>
          <w:rFonts w:ascii="Arial" w:eastAsia="Arial" w:hAnsi="Arial"/>
        </w:rPr>
      </w:pPr>
      <w:bookmarkStart w:id="83" w:name="_Toc52472725"/>
      <w:bookmarkStart w:id="84" w:name="_Toc52470912"/>
      <w:bookmarkStart w:id="85" w:name="_Toc52472801"/>
      <w:bookmarkStart w:id="86" w:name="_Toc52474188"/>
      <w:bookmarkStart w:id="87" w:name="_Toc52474220"/>
      <w:bookmarkStart w:id="88" w:name="_Toc52471852"/>
      <w:bookmarkStart w:id="89" w:name="_Toc53397845"/>
      <w:r>
        <w:t>Unintended multiple accounts</w:t>
      </w:r>
      <w:bookmarkEnd w:id="83"/>
      <w:bookmarkEnd w:id="84"/>
      <w:bookmarkEnd w:id="85"/>
      <w:bookmarkEnd w:id="86"/>
      <w:bookmarkEnd w:id="87"/>
      <w:bookmarkEnd w:id="88"/>
      <w:bookmarkEnd w:id="89"/>
      <w:r>
        <w:t xml:space="preserve"> </w:t>
      </w:r>
    </w:p>
    <w:p w14:paraId="4C10D6AF" w14:textId="58355645" w:rsidR="00EC09AB" w:rsidRDefault="00EC09AB">
      <w:r>
        <w:t xml:space="preserve">Unintended multiple accounts are created when you change jobs and do not nominate a superannuation fund. Under our compulsory superannuation system, </w:t>
      </w:r>
      <w:r w:rsidRPr="007E5012">
        <w:t>your</w:t>
      </w:r>
      <w:r>
        <w:t xml:space="preserve"> employer is obligated to nominate a superannuation fund on </w:t>
      </w:r>
      <w:r w:rsidRPr="00D82774">
        <w:t>your</w:t>
      </w:r>
      <w:r>
        <w:t xml:space="preserve"> behalf. Each employer is required to have a ‘default’ fund that they pay your compulsory contributions into, </w:t>
      </w:r>
      <w:r w:rsidR="00463141">
        <w:t xml:space="preserve">if </w:t>
      </w:r>
      <w:r>
        <w:t>you do not choose your own fund. If you change jobs multiple times over your working life and do not nominate a superannuation fund, you could end up with multiple superannuation accounts with different funds, all charging separate fees and insurance premiums.</w:t>
      </w:r>
    </w:p>
    <w:p w14:paraId="3D08E75E" w14:textId="1435D13C" w:rsidR="00EC09AB" w:rsidRDefault="00EC09AB">
      <w:r>
        <w:t>As stated by the Productivity Commission, “these unintended multiple accounts erode members’ balances via multiple sets of fees and insurance premiums, and often end up as lost, and then unclaimed, accounts</w:t>
      </w:r>
      <w:r>
        <w:rPr>
          <w:i/>
        </w:rPr>
        <w:t>.</w:t>
      </w:r>
      <w:r>
        <w:t>”</w:t>
      </w:r>
      <w:r>
        <w:rPr>
          <w:rFonts w:eastAsia="Calibri" w:cs="Calibri"/>
          <w:sz w:val="20"/>
          <w:vertAlign w:val="superscript"/>
        </w:rPr>
        <w:endnoteReference w:id="23"/>
      </w:r>
    </w:p>
    <w:p w14:paraId="19A0DB4A" w14:textId="799B9FEB" w:rsidR="00EC09AB" w:rsidRDefault="00EC09AB">
      <w:r>
        <w:t xml:space="preserve">The latest data from the ATO shows there </w:t>
      </w:r>
      <w:r w:rsidRPr="00286EC6">
        <w:t xml:space="preserve">are </w:t>
      </w:r>
      <w:r w:rsidR="00F82BB3">
        <w:t>around</w:t>
      </w:r>
      <w:r w:rsidR="00F82BB3" w:rsidRPr="00286EC6">
        <w:t xml:space="preserve"> </w:t>
      </w:r>
      <w:r w:rsidRPr="00286EC6">
        <w:t>6 million multiple accounts</w:t>
      </w:r>
      <w:r>
        <w:t xml:space="preserve"> held by 4.4 million people.</w:t>
      </w:r>
      <w:r>
        <w:rPr>
          <w:sz w:val="20"/>
          <w:vertAlign w:val="superscript"/>
        </w:rPr>
        <w:endnoteReference w:id="24"/>
      </w:r>
      <w:r>
        <w:t xml:space="preserve"> Over one third of multiple accounts are held by people aged 35 or younger. </w:t>
      </w:r>
      <w:r w:rsidR="00B47309" w:rsidRPr="00C803AF">
        <w:t xml:space="preserve">These multiple accounts </w:t>
      </w:r>
      <w:r w:rsidR="00AA21F5">
        <w:t>charge</w:t>
      </w:r>
      <w:r w:rsidR="00B47309" w:rsidRPr="00C803AF">
        <w:t xml:space="preserve"> </w:t>
      </w:r>
      <w:r w:rsidR="00463141">
        <w:t>$</w:t>
      </w:r>
      <w:r w:rsidR="00AA21F5">
        <w:t>450</w:t>
      </w:r>
      <w:r w:rsidR="00463141">
        <w:t> million</w:t>
      </w:r>
      <w:r w:rsidR="00B47309" w:rsidRPr="00C803AF">
        <w:t xml:space="preserve"> in fees </w:t>
      </w:r>
      <w:r w:rsidR="00AA21F5">
        <w:t xml:space="preserve">a </w:t>
      </w:r>
      <w:r w:rsidR="00040388">
        <w:t>year</w:t>
      </w:r>
      <w:r w:rsidR="00B47309" w:rsidRPr="00C803AF">
        <w:t>.</w:t>
      </w:r>
    </w:p>
    <w:p w14:paraId="4B096D10" w14:textId="37254471" w:rsidR="0076208A" w:rsidRDefault="00BD4413">
      <w:bookmarkStart w:id="90" w:name="_heading=h.mbyckhyhe9w5" w:colFirst="0" w:colLast="0"/>
      <w:bookmarkStart w:id="91" w:name="_Toc52313243"/>
      <w:bookmarkEnd w:id="90"/>
      <w:bookmarkEnd w:id="91"/>
      <w:r>
        <w:t xml:space="preserve">As a result of the Government’s legislated Protecting Your Super reforms, inactive low balance accounts are now automatically consolidated into a member’s active account by the ATO. While these reforms address the existing number of multiple accounts, they will not prevent the creation of new unintended multiple accounts. </w:t>
      </w:r>
    </w:p>
    <w:p w14:paraId="43A9EE15" w14:textId="6252F554" w:rsidR="00EC09AB" w:rsidRDefault="00EC09AB">
      <w:r>
        <w:t>Further reform is needed. Every year about 1.6 million people change jobs and 470,000 people enter the workforce for the first time.</w:t>
      </w:r>
      <w:r>
        <w:rPr>
          <w:sz w:val="20"/>
          <w:vertAlign w:val="superscript"/>
        </w:rPr>
        <w:endnoteReference w:id="25"/>
      </w:r>
      <w:r>
        <w:t xml:space="preserve"> </w:t>
      </w:r>
      <w:r w:rsidR="00C2287F">
        <w:t>Most people are defaulted into a new account, giving rise to about 850,000 duplicate accounts every year</w:t>
      </w:r>
      <w:r w:rsidR="00FA4CAC" w:rsidRPr="0007028A">
        <w:t>.</w:t>
      </w:r>
      <w:r w:rsidR="00E63951" w:rsidRPr="0007028A">
        <w:rPr>
          <w:rStyle w:val="EndnoteReference"/>
        </w:rPr>
        <w:endnoteReference w:id="26"/>
      </w:r>
      <w:r>
        <w:t xml:space="preserve"> Added labour market turnover as the economy recovers from </w:t>
      </w:r>
      <w:r>
        <w:lastRenderedPageBreak/>
        <w:t xml:space="preserve">the impact of </w:t>
      </w:r>
      <w:r w:rsidR="00F71188">
        <w:t>COVID-19</w:t>
      </w:r>
      <w:r>
        <w:t xml:space="preserve"> creates even more urgency to protect members from being defaulted into a duplicate account they do not need.</w:t>
      </w:r>
    </w:p>
    <w:p w14:paraId="691F6B5A" w14:textId="77777777" w:rsidR="005E5C9D" w:rsidRDefault="00350799" w:rsidP="00543A32">
      <w:pPr>
        <w:jc w:val="center"/>
      </w:pPr>
      <w:r w:rsidRPr="005E5C9D">
        <w:rPr>
          <w:noProof/>
        </w:rPr>
        <w:drawing>
          <wp:inline distT="0" distB="0" distL="0" distR="0" wp14:anchorId="1106448E" wp14:editId="3880A446">
            <wp:extent cx="2667000" cy="2672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86289" cy="2691375"/>
                    </a:xfrm>
                    <a:prstGeom prst="rect">
                      <a:avLst/>
                    </a:prstGeom>
                  </pic:spPr>
                </pic:pic>
              </a:graphicData>
            </a:graphic>
          </wp:inline>
        </w:drawing>
      </w:r>
      <w:r w:rsidRPr="005E5C9D">
        <w:rPr>
          <w:noProof/>
        </w:rPr>
        <w:drawing>
          <wp:inline distT="0" distB="0" distL="0" distR="0" wp14:anchorId="3A2ADD1C" wp14:editId="1971402F">
            <wp:extent cx="2667000" cy="2667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67369" cy="2667369"/>
                    </a:xfrm>
                    <a:prstGeom prst="rect">
                      <a:avLst/>
                    </a:prstGeom>
                  </pic:spPr>
                </pic:pic>
              </a:graphicData>
            </a:graphic>
          </wp:inline>
        </w:drawing>
      </w:r>
      <w:r w:rsidR="005E5C9D" w:rsidRPr="005E5C9D">
        <w:rPr>
          <w:noProof/>
        </w:rPr>
        <w:t xml:space="preserve"> </w:t>
      </w:r>
    </w:p>
    <w:p w14:paraId="75663FB9" w14:textId="77777777" w:rsidR="00EC09AB" w:rsidRDefault="00EC09AB" w:rsidP="00884CB1">
      <w:pPr>
        <w:pStyle w:val="Heading3Numbered"/>
        <w:rPr>
          <w:rFonts w:ascii="Arial" w:eastAsia="Arial" w:hAnsi="Arial"/>
        </w:rPr>
      </w:pPr>
      <w:bookmarkStart w:id="92" w:name="_Toc52472726"/>
      <w:bookmarkStart w:id="93" w:name="_Toc52470913"/>
      <w:bookmarkStart w:id="94" w:name="_Toc52472802"/>
      <w:bookmarkStart w:id="95" w:name="_Toc52474189"/>
      <w:bookmarkStart w:id="96" w:name="_Toc52474221"/>
      <w:bookmarkStart w:id="97" w:name="_Toc52471853"/>
      <w:bookmarkStart w:id="98" w:name="_Toc53397846"/>
      <w:r>
        <w:t>Some superannuation trustees are not acting in the best interests of their members</w:t>
      </w:r>
      <w:bookmarkEnd w:id="92"/>
      <w:bookmarkEnd w:id="93"/>
      <w:bookmarkEnd w:id="94"/>
      <w:bookmarkEnd w:id="95"/>
      <w:bookmarkEnd w:id="96"/>
      <w:bookmarkEnd w:id="97"/>
      <w:bookmarkEnd w:id="98"/>
    </w:p>
    <w:p w14:paraId="6EA788DA" w14:textId="01DF449B" w:rsidR="00D44355" w:rsidRDefault="00EC09AB" w:rsidP="007A141F">
      <w:r>
        <w:t xml:space="preserve">While members are saving for their retirement, superannuation trustees have one job: to maximise their </w:t>
      </w:r>
      <w:r w:rsidR="00EA2ED8">
        <w:t xml:space="preserve">members’ </w:t>
      </w:r>
      <w:r>
        <w:t xml:space="preserve">retirement savings. This obligation is all the more important given the compulsory nature of our system.  </w:t>
      </w:r>
    </w:p>
    <w:p w14:paraId="2C39FBB9" w14:textId="77777777" w:rsidR="00B20CC8" w:rsidRDefault="00205DE0" w:rsidP="007A141F">
      <w:r>
        <w:t>The current law attempts to make this obligation clear by requiring trustees to act in their members’ best interests</w:t>
      </w:r>
      <w:bookmarkStart w:id="99" w:name="_heading=h.43elidzg86rv" w:colFirst="0" w:colLast="0"/>
      <w:bookmarkEnd w:id="99"/>
      <w:r w:rsidR="00EC09AB">
        <w:t>.</w:t>
      </w:r>
      <w:r w:rsidR="00EC09AB">
        <w:rPr>
          <w:rStyle w:val="EndnoteReference"/>
        </w:rPr>
        <w:endnoteReference w:id="27"/>
      </w:r>
      <w:r w:rsidR="00EC09AB">
        <w:t xml:space="preserve"> </w:t>
      </w:r>
    </w:p>
    <w:p w14:paraId="477AAAAB" w14:textId="77777777" w:rsidR="00F41D2B" w:rsidRDefault="00B20CC8" w:rsidP="007A141F">
      <w:r>
        <w:t>However, the Productivity Commission found that “funds clearly do not always act in their members’ best interests</w:t>
      </w:r>
      <w:r>
        <w:rPr>
          <w:i/>
        </w:rPr>
        <w:t>.</w:t>
      </w:r>
      <w:r>
        <w:t>”</w:t>
      </w:r>
      <w:r>
        <w:rPr>
          <w:rStyle w:val="EndnoteReference"/>
        </w:rPr>
        <w:endnoteReference w:id="28"/>
      </w:r>
      <w:r>
        <w:t xml:space="preserve"> As a result, the Productivity Commission recommended that the Australian Government should pursue “…a clearer articulation of what it means for a trustee to act in members’ best interests.”</w:t>
      </w:r>
      <w:r>
        <w:rPr>
          <w:rStyle w:val="EndnoteReference"/>
          <w:rFonts w:eastAsia="Calibri"/>
        </w:rPr>
        <w:endnoteReference w:id="29"/>
      </w:r>
    </w:p>
    <w:p w14:paraId="47F24061" w14:textId="77777777" w:rsidR="00B20CC8" w:rsidRPr="00F85C73" w:rsidRDefault="00B20CC8" w:rsidP="007A141F">
      <w:pPr>
        <w:pBdr>
          <w:top w:val="nil"/>
          <w:left w:val="nil"/>
          <w:bottom w:val="nil"/>
          <w:right w:val="nil"/>
          <w:between w:val="nil"/>
        </w:pBdr>
      </w:pPr>
      <w:r w:rsidRPr="00F85C73">
        <w:t xml:space="preserve">As noted at the hearings of the Financial Services Royal Commission: </w:t>
      </w:r>
    </w:p>
    <w:p w14:paraId="339CB669" w14:textId="2BBF63A4" w:rsidR="003A4C1B" w:rsidRDefault="00B20CC8" w:rsidP="007A141F">
      <w:pPr>
        <w:pBdr>
          <w:top w:val="nil"/>
          <w:left w:val="nil"/>
          <w:bottom w:val="nil"/>
          <w:right w:val="nil"/>
          <w:between w:val="nil"/>
        </w:pBdr>
        <w:ind w:left="720"/>
      </w:pPr>
      <w:r w:rsidRPr="00F85C73">
        <w:t>“Trustees are surrounded by temptation — to preference the interests of their sponsoring organisations, to act in the interests of other parts of their corporate group, to choose profit over the interests of members, to establish structures that consign to others the responsibility for the fund and thereby relieve the trustee of visibility of anything that might be troubling</w:t>
      </w:r>
      <w:r w:rsidR="0017638B">
        <w:t>.</w:t>
      </w:r>
      <w:r w:rsidRPr="00F85C73">
        <w:t>”</w:t>
      </w:r>
      <w:r w:rsidRPr="00F85C73">
        <w:rPr>
          <w:rStyle w:val="EndnoteReference"/>
        </w:rPr>
        <w:endnoteReference w:id="30"/>
      </w:r>
    </w:p>
    <w:p w14:paraId="1E0EA693" w14:textId="7DBA1E4C" w:rsidR="003A4C1B" w:rsidRDefault="00EC09AB" w:rsidP="007A141F">
      <w:pPr>
        <w:pBdr>
          <w:top w:val="nil"/>
          <w:left w:val="nil"/>
          <w:bottom w:val="nil"/>
          <w:right w:val="nil"/>
          <w:between w:val="nil"/>
        </w:pBdr>
      </w:pPr>
      <w:r>
        <w:rPr>
          <w:color w:val="000000"/>
          <w:szCs w:val="22"/>
        </w:rPr>
        <w:t>Another problem identified by the Productivity Commission with the superannuation system was “…it is opaque, with members finding it difficult to understand how their super fund stacks up against others.”</w:t>
      </w:r>
      <w:r>
        <w:rPr>
          <w:rStyle w:val="EndnoteReference"/>
          <w:color w:val="000000"/>
          <w:szCs w:val="22"/>
        </w:rPr>
        <w:endnoteReference w:id="31"/>
      </w:r>
      <w:r>
        <w:rPr>
          <w:color w:val="000000"/>
          <w:szCs w:val="22"/>
        </w:rPr>
        <w:t xml:space="preserve"> </w:t>
      </w:r>
      <w:r w:rsidR="00205DE0">
        <w:rPr>
          <w:color w:val="000000"/>
          <w:szCs w:val="22"/>
        </w:rPr>
        <w:t xml:space="preserve">This </w:t>
      </w:r>
      <w:r w:rsidR="00FF0745">
        <w:rPr>
          <w:color w:val="000000"/>
          <w:szCs w:val="22"/>
        </w:rPr>
        <w:t>opaqueness and</w:t>
      </w:r>
      <w:r w:rsidR="00205DE0">
        <w:rPr>
          <w:color w:val="000000"/>
          <w:szCs w:val="22"/>
        </w:rPr>
        <w:t xml:space="preserve"> lack of transparency </w:t>
      </w:r>
      <w:r w:rsidR="00205DE0">
        <w:t xml:space="preserve">means members are effectively unable to hold their fund to account for the returns they deliver and the expenditure they undertake.  </w:t>
      </w:r>
      <w:r w:rsidR="00205DE0">
        <w:rPr>
          <w:color w:val="000000"/>
          <w:szCs w:val="22"/>
        </w:rPr>
        <w:t xml:space="preserve"> </w:t>
      </w:r>
    </w:p>
    <w:p w14:paraId="3319135F" w14:textId="2280B3AD" w:rsidR="005A4C62" w:rsidRDefault="0050294B" w:rsidP="00884CB1">
      <w:pPr>
        <w:jc w:val="center"/>
      </w:pPr>
      <w:bookmarkStart w:id="100" w:name="_heading=h.2jxsxqh" w:colFirst="0" w:colLast="0"/>
      <w:bookmarkStart w:id="101" w:name="_Toc52472727"/>
      <w:bookmarkStart w:id="102" w:name="_Toc52470914"/>
      <w:bookmarkStart w:id="103" w:name="_Toc52472803"/>
      <w:bookmarkStart w:id="104" w:name="_Toc52474190"/>
      <w:bookmarkStart w:id="105" w:name="_Toc52474222"/>
      <w:bookmarkStart w:id="106" w:name="_Toc52471854"/>
      <w:bookmarkStart w:id="107" w:name="_Toc52313245"/>
      <w:bookmarkEnd w:id="100"/>
      <w:r w:rsidRPr="005A4C62">
        <w:rPr>
          <w:noProof/>
        </w:rPr>
        <w:lastRenderedPageBreak/>
        <w:drawing>
          <wp:inline distT="0" distB="0" distL="0" distR="0" wp14:anchorId="28B809B7" wp14:editId="375985A0">
            <wp:extent cx="2619375" cy="2626796"/>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27163" cy="2634606"/>
                    </a:xfrm>
                    <a:prstGeom prst="rect">
                      <a:avLst/>
                    </a:prstGeom>
                  </pic:spPr>
                </pic:pic>
              </a:graphicData>
            </a:graphic>
          </wp:inline>
        </w:drawing>
      </w:r>
      <w:bookmarkEnd w:id="101"/>
      <w:bookmarkEnd w:id="102"/>
      <w:bookmarkEnd w:id="103"/>
      <w:bookmarkEnd w:id="104"/>
      <w:bookmarkEnd w:id="105"/>
      <w:bookmarkEnd w:id="106"/>
      <w:r w:rsidR="00BE18B2" w:rsidRPr="00BE18B2">
        <w:rPr>
          <w:noProof/>
        </w:rPr>
        <w:drawing>
          <wp:inline distT="0" distB="0" distL="0" distR="0" wp14:anchorId="5ACB02C0" wp14:editId="199CEECE">
            <wp:extent cx="2648959" cy="26282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68725" cy="2647876"/>
                    </a:xfrm>
                    <a:prstGeom prst="rect">
                      <a:avLst/>
                    </a:prstGeom>
                  </pic:spPr>
                </pic:pic>
              </a:graphicData>
            </a:graphic>
          </wp:inline>
        </w:drawing>
      </w:r>
    </w:p>
    <w:p w14:paraId="6408DF4D" w14:textId="77777777" w:rsidR="003A4C1B" w:rsidRDefault="00205DE0">
      <w:pPr>
        <w:pStyle w:val="Heading2"/>
      </w:pPr>
      <w:bookmarkStart w:id="108" w:name="_Toc52472728"/>
      <w:bookmarkStart w:id="109" w:name="_Toc52470915"/>
      <w:bookmarkStart w:id="110" w:name="_Toc52472804"/>
      <w:bookmarkStart w:id="111" w:name="_Toc52474191"/>
      <w:bookmarkStart w:id="112" w:name="_Toc52474223"/>
      <w:bookmarkStart w:id="113" w:name="_Toc52471855"/>
      <w:bookmarkStart w:id="114" w:name="_Toc53397847"/>
      <w:r>
        <w:t>Your Future, Your Super</w:t>
      </w:r>
      <w:bookmarkEnd w:id="107"/>
      <w:bookmarkEnd w:id="108"/>
      <w:bookmarkEnd w:id="109"/>
      <w:bookmarkEnd w:id="110"/>
      <w:bookmarkEnd w:id="111"/>
      <w:bookmarkEnd w:id="112"/>
      <w:bookmarkEnd w:id="113"/>
      <w:bookmarkEnd w:id="114"/>
      <w:r>
        <w:t xml:space="preserve"> </w:t>
      </w:r>
    </w:p>
    <w:p w14:paraId="436B8B3A" w14:textId="77777777" w:rsidR="003A4C1B" w:rsidRDefault="00205DE0">
      <w:r>
        <w:t xml:space="preserve">The Government’s </w:t>
      </w:r>
      <w:r>
        <w:rPr>
          <w:i/>
        </w:rPr>
        <w:t>Your Future, Your Super</w:t>
      </w:r>
      <w:r>
        <w:t xml:space="preserve"> </w:t>
      </w:r>
      <w:r w:rsidR="00F116B6">
        <w:t>p</w:t>
      </w:r>
      <w:r>
        <w:t>ackage is the next step in the Government’s plan to make sure the superannuation system delivers for members:</w:t>
      </w:r>
    </w:p>
    <w:p w14:paraId="0FC90C63" w14:textId="239A7434" w:rsidR="003A4C1B" w:rsidRDefault="00205DE0">
      <w:pPr>
        <w:numPr>
          <w:ilvl w:val="0"/>
          <w:numId w:val="4"/>
        </w:numPr>
        <w:pBdr>
          <w:top w:val="nil"/>
          <w:left w:val="nil"/>
          <w:bottom w:val="nil"/>
          <w:right w:val="nil"/>
          <w:between w:val="nil"/>
        </w:pBdr>
        <w:spacing w:before="0" w:after="160" w:line="259" w:lineRule="auto"/>
      </w:pPr>
      <w:r>
        <w:rPr>
          <w:b/>
          <w:color w:val="000000"/>
        </w:rPr>
        <w:t>Your super follows you</w:t>
      </w:r>
      <w:r>
        <w:rPr>
          <w:color w:val="000000"/>
        </w:rPr>
        <w:t>,</w:t>
      </w:r>
      <w:r>
        <w:rPr>
          <w:b/>
          <w:color w:val="000000"/>
        </w:rPr>
        <w:t xml:space="preserve"> </w:t>
      </w:r>
      <w:r>
        <w:rPr>
          <w:color w:val="000000"/>
        </w:rPr>
        <w:t>prevent the creation of unintended multiple superannuation accounts.</w:t>
      </w:r>
    </w:p>
    <w:p w14:paraId="2EECDD0D" w14:textId="77777777" w:rsidR="003A4C1B" w:rsidRDefault="00205DE0">
      <w:pPr>
        <w:numPr>
          <w:ilvl w:val="0"/>
          <w:numId w:val="4"/>
        </w:numPr>
        <w:pBdr>
          <w:top w:val="nil"/>
          <w:left w:val="nil"/>
          <w:bottom w:val="nil"/>
          <w:right w:val="nil"/>
          <w:between w:val="nil"/>
        </w:pBdr>
        <w:spacing w:before="0" w:after="160" w:line="259" w:lineRule="auto"/>
      </w:pPr>
      <w:r>
        <w:rPr>
          <w:b/>
          <w:color w:val="000000"/>
        </w:rPr>
        <w:t xml:space="preserve">Empowering members </w:t>
      </w:r>
      <w:r>
        <w:rPr>
          <w:color w:val="000000"/>
        </w:rPr>
        <w:t xml:space="preserve">by making it easier for </w:t>
      </w:r>
      <w:r>
        <w:t xml:space="preserve">you </w:t>
      </w:r>
      <w:r>
        <w:rPr>
          <w:color w:val="000000"/>
        </w:rPr>
        <w:t xml:space="preserve">to choose a well-performing product that meets </w:t>
      </w:r>
      <w:r>
        <w:t xml:space="preserve">your </w:t>
      </w:r>
      <w:r>
        <w:rPr>
          <w:color w:val="000000"/>
        </w:rPr>
        <w:t>needs.</w:t>
      </w:r>
    </w:p>
    <w:p w14:paraId="4FE90035" w14:textId="77777777" w:rsidR="003A4C1B" w:rsidRDefault="00205DE0">
      <w:pPr>
        <w:numPr>
          <w:ilvl w:val="0"/>
          <w:numId w:val="4"/>
        </w:numPr>
        <w:pBdr>
          <w:top w:val="nil"/>
          <w:left w:val="nil"/>
          <w:bottom w:val="nil"/>
          <w:right w:val="nil"/>
          <w:between w:val="nil"/>
        </w:pBdr>
        <w:spacing w:before="0" w:after="160" w:line="259" w:lineRule="auto"/>
      </w:pPr>
      <w:r>
        <w:rPr>
          <w:b/>
          <w:color w:val="000000"/>
        </w:rPr>
        <w:t>Holding funds to account for underperformance</w:t>
      </w:r>
      <w:r>
        <w:rPr>
          <w:color w:val="000000"/>
        </w:rPr>
        <w:t xml:space="preserve">, better protecting </w:t>
      </w:r>
      <w:r>
        <w:t xml:space="preserve">you </w:t>
      </w:r>
      <w:r>
        <w:rPr>
          <w:color w:val="000000"/>
        </w:rPr>
        <w:t xml:space="preserve">from poor </w:t>
      </w:r>
      <w:r>
        <w:t>superannuation</w:t>
      </w:r>
      <w:r>
        <w:rPr>
          <w:color w:val="000000"/>
        </w:rPr>
        <w:t xml:space="preserve"> outcomes</w:t>
      </w:r>
      <w:r w:rsidR="00BE5D45">
        <w:rPr>
          <w:color w:val="000000"/>
        </w:rPr>
        <w:t>.</w:t>
      </w:r>
      <w:r>
        <w:rPr>
          <w:color w:val="000000"/>
        </w:rPr>
        <w:t xml:space="preserve"> </w:t>
      </w:r>
    </w:p>
    <w:p w14:paraId="38B9CBD8" w14:textId="77777777" w:rsidR="003A4C1B" w:rsidRDefault="00205DE0" w:rsidP="00DA2B80">
      <w:pPr>
        <w:numPr>
          <w:ilvl w:val="0"/>
          <w:numId w:val="4"/>
        </w:numPr>
        <w:pBdr>
          <w:top w:val="nil"/>
          <w:left w:val="nil"/>
          <w:bottom w:val="nil"/>
          <w:right w:val="nil"/>
          <w:between w:val="nil"/>
        </w:pBdr>
        <w:spacing w:before="0" w:after="160" w:line="259" w:lineRule="auto"/>
      </w:pPr>
      <w:r>
        <w:rPr>
          <w:b/>
          <w:color w:val="000000"/>
        </w:rPr>
        <w:t>Increasing transparency and accountability</w:t>
      </w:r>
      <w:r>
        <w:rPr>
          <w:color w:val="000000"/>
        </w:rPr>
        <w:t xml:space="preserve"> for how superannuation funds use </w:t>
      </w:r>
      <w:r>
        <w:t xml:space="preserve">your </w:t>
      </w:r>
      <w:r>
        <w:rPr>
          <w:color w:val="000000"/>
        </w:rPr>
        <w:t>savings.</w:t>
      </w:r>
    </w:p>
    <w:p w14:paraId="4ACDE819" w14:textId="77777777" w:rsidR="003A4C1B" w:rsidRDefault="00205DE0" w:rsidP="00877831">
      <w:pPr>
        <w:keepNext/>
        <w:pBdr>
          <w:top w:val="nil"/>
          <w:left w:val="nil"/>
          <w:bottom w:val="nil"/>
          <w:right w:val="nil"/>
          <w:between w:val="nil"/>
        </w:pBdr>
        <w:spacing w:before="0" w:after="160" w:line="259" w:lineRule="auto"/>
        <w:jc w:val="center"/>
      </w:pPr>
      <w:r w:rsidRPr="0011609A">
        <w:rPr>
          <w:b/>
          <w:color w:val="004A7F"/>
        </w:rPr>
        <w:t>Your Future, Your Super will deliver substantial savings for members</w:t>
      </w:r>
    </w:p>
    <w:p w14:paraId="584DDDA0" w14:textId="77777777" w:rsidR="003A4C1B" w:rsidRDefault="00157936">
      <w:pPr>
        <w:pBdr>
          <w:top w:val="nil"/>
          <w:left w:val="nil"/>
          <w:bottom w:val="nil"/>
          <w:right w:val="nil"/>
          <w:between w:val="nil"/>
        </w:pBdr>
        <w:spacing w:before="0" w:after="160" w:line="259" w:lineRule="auto"/>
        <w:jc w:val="center"/>
      </w:pPr>
      <w:r w:rsidRPr="00157936">
        <w:rPr>
          <w:noProof/>
        </w:rPr>
        <w:drawing>
          <wp:inline distT="0" distB="0" distL="0" distR="0" wp14:anchorId="11B334CC" wp14:editId="22FD28FD">
            <wp:extent cx="2952750" cy="2873860"/>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63100" cy="2883934"/>
                    </a:xfrm>
                    <a:prstGeom prst="rect">
                      <a:avLst/>
                    </a:prstGeom>
                  </pic:spPr>
                </pic:pic>
              </a:graphicData>
            </a:graphic>
          </wp:inline>
        </w:drawing>
      </w:r>
    </w:p>
    <w:p w14:paraId="3E3C1519" w14:textId="54640C61" w:rsidR="003A4C1B" w:rsidRDefault="00205DE0">
      <w:pPr>
        <w:pStyle w:val="Heading1"/>
      </w:pPr>
      <w:bookmarkStart w:id="115" w:name="_Toc52472729"/>
      <w:bookmarkStart w:id="116" w:name="_Toc52470916"/>
      <w:bookmarkStart w:id="117" w:name="_Toc52472805"/>
      <w:bookmarkStart w:id="118" w:name="_Toc52474224"/>
      <w:bookmarkStart w:id="119" w:name="_Toc52471856"/>
      <w:bookmarkStart w:id="120" w:name="_Toc53397848"/>
      <w:r>
        <w:lastRenderedPageBreak/>
        <w:t>Your super follows you</w:t>
      </w:r>
      <w:bookmarkEnd w:id="115"/>
      <w:bookmarkEnd w:id="116"/>
      <w:bookmarkEnd w:id="117"/>
      <w:bookmarkEnd w:id="118"/>
      <w:bookmarkEnd w:id="119"/>
      <w:bookmarkEnd w:id="120"/>
    </w:p>
    <w:p w14:paraId="22022EFC" w14:textId="77777777" w:rsidR="00EC09AB" w:rsidRDefault="00EC09AB">
      <w:pPr>
        <w:pStyle w:val="Heading2"/>
      </w:pPr>
      <w:bookmarkStart w:id="121" w:name="_heading=h.iio20g3dia7c" w:colFirst="0" w:colLast="0"/>
      <w:bookmarkStart w:id="122" w:name="_Toc52472730"/>
      <w:bookmarkStart w:id="123" w:name="_Toc52470917"/>
      <w:bookmarkStart w:id="124" w:name="_Toc52472806"/>
      <w:bookmarkStart w:id="125" w:name="_Toc52474193"/>
      <w:bookmarkStart w:id="126" w:name="_Toc52474225"/>
      <w:bookmarkStart w:id="127" w:name="_Toc52471857"/>
      <w:bookmarkStart w:id="128" w:name="_Toc53397849"/>
      <w:bookmarkStart w:id="129" w:name="_Toc52313247"/>
      <w:bookmarkEnd w:id="121"/>
      <w:r>
        <w:t>The objective</w:t>
      </w:r>
      <w:bookmarkEnd w:id="122"/>
      <w:bookmarkEnd w:id="123"/>
      <w:bookmarkEnd w:id="124"/>
      <w:bookmarkEnd w:id="125"/>
      <w:bookmarkEnd w:id="126"/>
      <w:bookmarkEnd w:id="127"/>
      <w:bookmarkEnd w:id="128"/>
    </w:p>
    <w:p w14:paraId="48D1374A" w14:textId="77777777" w:rsidR="00EC09AB" w:rsidRDefault="00EC09AB">
      <w:pPr>
        <w:spacing w:before="0" w:after="160" w:line="259" w:lineRule="auto"/>
        <w:rPr>
          <w:color w:val="000000"/>
        </w:rPr>
      </w:pPr>
      <w:r>
        <w:t>To stop the creation of unwanted multiple accounts that reduce retirement savings of members.</w:t>
      </w:r>
    </w:p>
    <w:tbl>
      <w:tblPr>
        <w:tblW w:w="9072" w:type="dxa"/>
        <w:tblLayout w:type="fixed"/>
        <w:tblCellMar>
          <w:left w:w="115" w:type="dxa"/>
          <w:right w:w="115" w:type="dxa"/>
        </w:tblCellMar>
        <w:tblLook w:val="0000" w:firstRow="0" w:lastRow="0" w:firstColumn="0" w:lastColumn="0" w:noHBand="0" w:noVBand="0"/>
      </w:tblPr>
      <w:tblGrid>
        <w:gridCol w:w="9072"/>
      </w:tblGrid>
      <w:tr w:rsidR="00EC09AB" w14:paraId="5538B87F" w14:textId="77777777">
        <w:tc>
          <w:tcPr>
            <w:tcW w:w="9072" w:type="dxa"/>
            <w:shd w:val="clear" w:color="auto" w:fill="E3E7F0"/>
          </w:tcPr>
          <w:bookmarkEnd w:id="129"/>
          <w:p w14:paraId="1D42DF23" w14:textId="42B4AE7C" w:rsidR="00EC09AB" w:rsidRDefault="00EC09AB">
            <w:pPr>
              <w:keepNext/>
              <w:pBdr>
                <w:top w:val="nil"/>
                <w:left w:val="nil"/>
                <w:bottom w:val="nil"/>
                <w:right w:val="nil"/>
                <w:between w:val="nil"/>
              </w:pBdr>
              <w:spacing w:before="240"/>
              <w:rPr>
                <w:b/>
                <w:color w:val="004A7F"/>
                <w:sz w:val="26"/>
                <w:szCs w:val="26"/>
              </w:rPr>
            </w:pPr>
            <w:r>
              <w:rPr>
                <w:b/>
                <w:color w:val="004A7F"/>
                <w:sz w:val="26"/>
                <w:szCs w:val="26"/>
              </w:rPr>
              <w:t>Your super follows you</w:t>
            </w:r>
          </w:p>
          <w:p w14:paraId="2976FF9B" w14:textId="77777777" w:rsidR="00EC09AB" w:rsidRDefault="00EC09AB">
            <w:pPr>
              <w:keepNext/>
              <w:pBdr>
                <w:top w:val="nil"/>
                <w:left w:val="nil"/>
                <w:bottom w:val="nil"/>
                <w:right w:val="nil"/>
                <w:between w:val="nil"/>
              </w:pBdr>
              <w:spacing w:before="240"/>
              <w:rPr>
                <w:color w:val="004A7F"/>
                <w:sz w:val="26"/>
                <w:szCs w:val="26"/>
              </w:rPr>
            </w:pPr>
            <w:r>
              <w:rPr>
                <w:color w:val="000000"/>
              </w:rPr>
              <w:t>The Government will ensure that w</w:t>
            </w:r>
            <w:r>
              <w:t>hen you</w:t>
            </w:r>
            <w:r>
              <w:rPr>
                <w:color w:val="000000"/>
              </w:rPr>
              <w:t xml:space="preserve"> move jobs</w:t>
            </w:r>
            <w:r>
              <w:t xml:space="preserve"> your account will be</w:t>
            </w:r>
            <w:r>
              <w:rPr>
                <w:color w:val="000000"/>
              </w:rPr>
              <w:t xml:space="preserve"> ‘stapl</w:t>
            </w:r>
            <w:r>
              <w:t>ed</w:t>
            </w:r>
            <w:r>
              <w:rPr>
                <w:color w:val="000000"/>
              </w:rPr>
              <w:t xml:space="preserve">’ automatically </w:t>
            </w:r>
            <w:r>
              <w:t>to you,</w:t>
            </w:r>
            <w:r>
              <w:rPr>
                <w:color w:val="000000"/>
              </w:rPr>
              <w:t xml:space="preserve"> to protect your retirement savings being drained by the costs of unintended multiple accounts.  </w:t>
            </w:r>
          </w:p>
        </w:tc>
      </w:tr>
    </w:tbl>
    <w:p w14:paraId="7C0ABC25" w14:textId="77777777" w:rsidR="00EC09AB" w:rsidRDefault="00EC09AB">
      <w:pPr>
        <w:rPr>
          <w:sz w:val="20"/>
          <w:vertAlign w:val="superscript"/>
        </w:rPr>
      </w:pPr>
      <w:r>
        <w:t>In the Financial Services Royal Commission’s Final Report Commissioner Hayne stated, “</w:t>
      </w:r>
      <w:r>
        <w:rPr>
          <w:i/>
        </w:rPr>
        <w:t xml:space="preserve">… </w:t>
      </w:r>
      <w:r w:rsidRPr="00377D04">
        <w:t>d</w:t>
      </w:r>
      <w:r>
        <w:t>efault superannuation accounts should only be created for new workers, or workers who do not already have a superannuation account. And that default account should then be carried over, or ‘stapled’, to members as they move jobs. The proliferation of unnecessary default accounts is not in the interests of members.”</w:t>
      </w:r>
      <w:r>
        <w:rPr>
          <w:sz w:val="20"/>
          <w:vertAlign w:val="superscript"/>
        </w:rPr>
        <w:endnoteReference w:id="32"/>
      </w:r>
    </w:p>
    <w:p w14:paraId="42E0D9BE" w14:textId="2A1BEF9D" w:rsidR="00EC09AB" w:rsidRDefault="00EC09AB">
      <w:r>
        <w:t>The Government believes Australians who already have a superannuation account should only have another account if they decide to open one. The Government will ensure that a superannuation member’s account will be ‘stapled' to them as they change jobs. At the time of starting a new job</w:t>
      </w:r>
      <w:r w:rsidR="00754C0C">
        <w:t>,</w:t>
      </w:r>
      <w:r>
        <w:t xml:space="preserve"> unless a member decides otherwise, their employer will pay superannuation contributions into their existing fund. </w:t>
      </w:r>
    </w:p>
    <w:p w14:paraId="470E2311" w14:textId="77777777" w:rsidR="00EC09AB" w:rsidRDefault="00EC09AB">
      <w:r>
        <w:t>The introduction of stapled accounts will implement Recommendation 3.5 of the Financial Services Royal Commission and Recommendation 1 of the Productivity Commission Superannuation Inquiry.</w:t>
      </w:r>
    </w:p>
    <w:p w14:paraId="0464233D" w14:textId="77777777" w:rsidR="00EC09AB" w:rsidRDefault="00EC09AB">
      <w:r>
        <w:t>This reform will ensure that members are no longer accumulating multiple superannuation accounts every time they change jobs. This will result in higher retirement savings for millions of Australians as they will no longer be paying multiple sets of fees and insurance premiums.</w:t>
      </w:r>
    </w:p>
    <w:p w14:paraId="10A88965" w14:textId="77777777" w:rsidR="00EC09AB" w:rsidRDefault="00EC09AB" w:rsidP="00884CB1">
      <w:pPr>
        <w:pStyle w:val="Heading3"/>
      </w:pPr>
      <w:bookmarkStart w:id="130" w:name="_Toc52472731"/>
      <w:bookmarkStart w:id="131" w:name="_Toc52470918"/>
      <w:bookmarkStart w:id="132" w:name="_Toc52472807"/>
      <w:bookmarkStart w:id="133" w:name="_Toc52474194"/>
      <w:bookmarkStart w:id="134" w:name="_Toc52474226"/>
      <w:bookmarkStart w:id="135" w:name="_Toc52471858"/>
      <w:bookmarkStart w:id="136" w:name="_Toc53397850"/>
      <w:r>
        <w:t>How it will work</w:t>
      </w:r>
      <w:bookmarkEnd w:id="130"/>
      <w:bookmarkEnd w:id="131"/>
      <w:bookmarkEnd w:id="132"/>
      <w:bookmarkEnd w:id="133"/>
      <w:bookmarkEnd w:id="134"/>
      <w:bookmarkEnd w:id="135"/>
      <w:bookmarkEnd w:id="136"/>
      <w:r>
        <w:t xml:space="preserve"> </w:t>
      </w:r>
    </w:p>
    <w:p w14:paraId="2CAB9DF1" w14:textId="67B7A3DB" w:rsidR="00EC09AB" w:rsidRDefault="00EC09AB">
      <w:pPr>
        <w:rPr>
          <w:color w:val="000000"/>
        </w:rPr>
      </w:pPr>
      <w:r>
        <w:t xml:space="preserve">The first phase of the reforms will commence on 1 July 2021. Employers will no longer automatically create a new superannuation account in their chosen default fund for new employees when they do not decide on a superannuation fund. Instead, employers will obtain information about the employee’s existing superannuation fund from the </w:t>
      </w:r>
      <w:r w:rsidRPr="00DA3E09">
        <w:t>ATO, if it is not provided by the employee.</w:t>
      </w:r>
      <w:r>
        <w:t xml:space="preserve">   </w:t>
      </w:r>
    </w:p>
    <w:p w14:paraId="4ED6ED82" w14:textId="4EF20589" w:rsidR="00EC09AB" w:rsidRDefault="00EC09AB">
      <w:r>
        <w:t>The employer will do this by logging on</w:t>
      </w:r>
      <w:r w:rsidR="0069294E">
        <w:t xml:space="preserve"> </w:t>
      </w:r>
      <w:r>
        <w:t xml:space="preserve">to ATO online services and entering the employee’s details. Once an account has been selected, the employer will pay superannuation contributions into the employee’s account. </w:t>
      </w:r>
    </w:p>
    <w:p w14:paraId="26626E98" w14:textId="77777777" w:rsidR="00EC09AB" w:rsidRDefault="00EC09AB">
      <w:r>
        <w:t xml:space="preserve">The second phase of the reforms will see the ATO provide a new service for employers. As of 1 July 2022, the ATO will enable digital software providers to give employers the option to automate the communications between the employer’s payroll system and the ATO system. Once this new service is adopted, it will remove the need for the employer to manually enter into their payroll system their employees’ superannuation fund details, reducing business administration costs. </w:t>
      </w:r>
    </w:p>
    <w:p w14:paraId="778E7338" w14:textId="77777777" w:rsidR="008B6C65" w:rsidRPr="00441877" w:rsidRDefault="008B6C65" w:rsidP="008B6C65">
      <w:r w:rsidRPr="00441877">
        <w:t xml:space="preserve">Under both phases, if an employee does not have an existing superannuation account (e.g. is new to the workforce) and does not make a decision regarding a fund, the employer will pay the employee’s superannuation into their nominated default superannuation fund. </w:t>
      </w:r>
    </w:p>
    <w:p w14:paraId="293972F2" w14:textId="0820742C" w:rsidR="00EC09AB" w:rsidRDefault="00EC09AB"/>
    <w:p w14:paraId="1BFB6A75" w14:textId="77777777" w:rsidR="00EC09AB" w:rsidRDefault="00EC09AB">
      <w:pPr>
        <w:pStyle w:val="Heading1"/>
      </w:pPr>
      <w:bookmarkStart w:id="137" w:name="_Toc52472732"/>
      <w:bookmarkStart w:id="138" w:name="_Toc52470919"/>
      <w:bookmarkStart w:id="139" w:name="_Toc52472808"/>
      <w:bookmarkStart w:id="140" w:name="_Toc52474227"/>
      <w:bookmarkStart w:id="141" w:name="_Toc52471859"/>
      <w:bookmarkStart w:id="142" w:name="_Toc53397851"/>
      <w:r>
        <w:lastRenderedPageBreak/>
        <w:t>Empowering members</w:t>
      </w:r>
      <w:bookmarkEnd w:id="137"/>
      <w:bookmarkEnd w:id="138"/>
      <w:bookmarkEnd w:id="139"/>
      <w:bookmarkEnd w:id="140"/>
      <w:bookmarkEnd w:id="141"/>
      <w:bookmarkEnd w:id="142"/>
      <w:r>
        <w:t xml:space="preserve"> </w:t>
      </w:r>
    </w:p>
    <w:p w14:paraId="172FDB5B" w14:textId="77777777" w:rsidR="00EC09AB" w:rsidRDefault="00EC09AB">
      <w:pPr>
        <w:pStyle w:val="Heading2"/>
      </w:pPr>
      <w:bookmarkStart w:id="143" w:name="_Toc52472733"/>
      <w:bookmarkStart w:id="144" w:name="_Toc52470920"/>
      <w:bookmarkStart w:id="145" w:name="_Toc52472809"/>
      <w:bookmarkStart w:id="146" w:name="_Toc52474196"/>
      <w:bookmarkStart w:id="147" w:name="_Toc52474228"/>
      <w:bookmarkStart w:id="148" w:name="_Toc52471860"/>
      <w:bookmarkStart w:id="149" w:name="_Toc53397852"/>
      <w:r>
        <w:t>The objective</w:t>
      </w:r>
      <w:bookmarkEnd w:id="143"/>
      <w:bookmarkEnd w:id="144"/>
      <w:bookmarkEnd w:id="145"/>
      <w:bookmarkEnd w:id="146"/>
      <w:bookmarkEnd w:id="147"/>
      <w:bookmarkEnd w:id="148"/>
      <w:bookmarkEnd w:id="149"/>
    </w:p>
    <w:p w14:paraId="21FEE529" w14:textId="77777777" w:rsidR="00EC09AB" w:rsidRDefault="00EC09AB">
      <w:pPr>
        <w:numPr>
          <w:ilvl w:val="0"/>
          <w:numId w:val="2"/>
        </w:numPr>
        <w:pBdr>
          <w:top w:val="nil"/>
          <w:left w:val="nil"/>
          <w:bottom w:val="nil"/>
          <w:right w:val="nil"/>
          <w:between w:val="nil"/>
        </w:pBdr>
        <w:spacing w:before="0"/>
      </w:pPr>
      <w:r>
        <w:rPr>
          <w:rFonts w:eastAsia="Calibri" w:cs="Calibri"/>
          <w:color w:val="000000"/>
          <w:szCs w:val="22"/>
        </w:rPr>
        <w:t xml:space="preserve">To empower members to make their own decision </w:t>
      </w:r>
      <w:r>
        <w:t xml:space="preserve">about </w:t>
      </w:r>
      <w:r>
        <w:rPr>
          <w:rFonts w:eastAsia="Calibri" w:cs="Calibri"/>
          <w:color w:val="000000"/>
          <w:szCs w:val="22"/>
        </w:rPr>
        <w:t xml:space="preserve">who manages their </w:t>
      </w:r>
      <w:r>
        <w:t xml:space="preserve">retirement savings </w:t>
      </w:r>
      <w:r>
        <w:rPr>
          <w:rFonts w:eastAsia="Calibri" w:cs="Calibri"/>
          <w:color w:val="000000"/>
          <w:szCs w:val="22"/>
        </w:rPr>
        <w:t xml:space="preserve">with simple, clear and </w:t>
      </w:r>
      <w:r>
        <w:t xml:space="preserve">trusted </w:t>
      </w:r>
      <w:r>
        <w:rPr>
          <w:rFonts w:eastAsia="Calibri" w:cs="Calibri"/>
          <w:color w:val="000000"/>
          <w:szCs w:val="22"/>
        </w:rPr>
        <w:t xml:space="preserve">information. </w:t>
      </w:r>
    </w:p>
    <w:p w14:paraId="4AAA2B16" w14:textId="77777777" w:rsidR="00EC09AB" w:rsidRDefault="00EC09AB" w:rsidP="00DA3E09">
      <w:pPr>
        <w:numPr>
          <w:ilvl w:val="0"/>
          <w:numId w:val="2"/>
        </w:numPr>
        <w:pBdr>
          <w:top w:val="nil"/>
          <w:left w:val="nil"/>
          <w:bottom w:val="nil"/>
          <w:right w:val="nil"/>
          <w:between w:val="nil"/>
        </w:pBdr>
        <w:spacing w:before="0"/>
      </w:pPr>
      <w:r>
        <w:rPr>
          <w:rFonts w:eastAsia="Calibri" w:cs="Calibri"/>
          <w:color w:val="000000"/>
          <w:szCs w:val="22"/>
        </w:rPr>
        <w:t>To encourage mo</w:t>
      </w:r>
      <w:r>
        <w:t>r</w:t>
      </w:r>
      <w:r>
        <w:rPr>
          <w:rFonts w:eastAsia="Calibri" w:cs="Calibri"/>
          <w:color w:val="000000"/>
          <w:szCs w:val="22"/>
        </w:rPr>
        <w:t>e competition in the system to lower fees and increase returns for members.</w:t>
      </w:r>
    </w:p>
    <w:tbl>
      <w:tblPr>
        <w:tblW w:w="5000" w:type="pct"/>
        <w:tblLayout w:type="fixed"/>
        <w:tblCellMar>
          <w:left w:w="115" w:type="dxa"/>
          <w:right w:w="115" w:type="dxa"/>
        </w:tblCellMar>
        <w:tblLook w:val="0400" w:firstRow="0" w:lastRow="0" w:firstColumn="0" w:lastColumn="0" w:noHBand="0" w:noVBand="1"/>
      </w:tblPr>
      <w:tblGrid>
        <w:gridCol w:w="9072"/>
      </w:tblGrid>
      <w:tr w:rsidR="00EC09AB" w14:paraId="1C439DC7" w14:textId="77777777" w:rsidTr="00884CB1">
        <w:trPr>
          <w:trHeight w:val="1497"/>
        </w:trPr>
        <w:tc>
          <w:tcPr>
            <w:tcW w:w="9961" w:type="dxa"/>
            <w:shd w:val="clear" w:color="auto" w:fill="E6E6E6"/>
          </w:tcPr>
          <w:p w14:paraId="7D43D8FC" w14:textId="77777777" w:rsidR="00EC09AB" w:rsidRDefault="00EC09AB">
            <w:pPr>
              <w:keepNext/>
              <w:pBdr>
                <w:top w:val="nil"/>
                <w:left w:val="nil"/>
                <w:bottom w:val="nil"/>
                <w:right w:val="nil"/>
                <w:between w:val="nil"/>
              </w:pBdr>
              <w:spacing w:before="240"/>
              <w:rPr>
                <w:b/>
                <w:color w:val="004A7F"/>
                <w:sz w:val="26"/>
                <w:szCs w:val="26"/>
              </w:rPr>
            </w:pPr>
            <w:r>
              <w:rPr>
                <w:b/>
                <w:color w:val="004A7F"/>
                <w:sz w:val="26"/>
                <w:szCs w:val="26"/>
              </w:rPr>
              <w:t>Empowering members</w:t>
            </w:r>
          </w:p>
          <w:p w14:paraId="2EE82E43" w14:textId="60157228" w:rsidR="00EC09AB" w:rsidRDefault="00EC09AB" w:rsidP="00A46688">
            <w:pPr>
              <w:keepNext/>
              <w:pBdr>
                <w:top w:val="nil"/>
                <w:left w:val="nil"/>
                <w:bottom w:val="nil"/>
                <w:right w:val="nil"/>
                <w:between w:val="nil"/>
              </w:pBdr>
              <w:spacing w:before="240"/>
            </w:pPr>
            <w:r>
              <w:rPr>
                <w:color w:val="000000"/>
              </w:rPr>
              <w:t>The Government will develop a</w:t>
            </w:r>
            <w:r>
              <w:t xml:space="preserve"> new</w:t>
            </w:r>
            <w:r>
              <w:rPr>
                <w:color w:val="000000"/>
              </w:rPr>
              <w:t xml:space="preserve"> interactive </w:t>
            </w:r>
            <w:r>
              <w:t>online</w:t>
            </w:r>
            <w:r>
              <w:rPr>
                <w:color w:val="000000"/>
              </w:rPr>
              <w:t xml:space="preserve"> </w:t>
            </w:r>
            <w:r>
              <w:t>‘</w:t>
            </w:r>
            <w:r>
              <w:rPr>
                <w:color w:val="000000"/>
              </w:rPr>
              <w:t>YourSuper</w:t>
            </w:r>
            <w:r>
              <w:t>’</w:t>
            </w:r>
            <w:r>
              <w:rPr>
                <w:color w:val="000000"/>
              </w:rPr>
              <w:t xml:space="preserve"> comparison tool </w:t>
            </w:r>
            <w:r>
              <w:t xml:space="preserve">which will allow you to make better decisions about which </w:t>
            </w:r>
            <w:r w:rsidR="003A44C8">
              <w:t>MySuper</w:t>
            </w:r>
            <w:r w:rsidR="00A46688">
              <w:t xml:space="preserve"> </w:t>
            </w:r>
            <w:r>
              <w:t>fund manages your savings</w:t>
            </w:r>
            <w:r>
              <w:rPr>
                <w:color w:val="000000"/>
              </w:rPr>
              <w:t xml:space="preserve">. </w:t>
            </w:r>
          </w:p>
        </w:tc>
      </w:tr>
    </w:tbl>
    <w:p w14:paraId="6908A22C" w14:textId="05CC8ABD" w:rsidR="00EC09AB" w:rsidRDefault="00EC09AB">
      <w:r>
        <w:t xml:space="preserve">When superannuation products are easy to compare, people are more likely to become engaged </w:t>
      </w:r>
      <w:r w:rsidDel="00CC4DE0">
        <w:t xml:space="preserve">with superannuation </w:t>
      </w:r>
      <w:r>
        <w:t>and choose the product that is right for them. That is why, by 1 July 2021, the Government will deliver an interactive YourSuper comparison tool</w:t>
      </w:r>
      <w:r w:rsidR="00E3436B">
        <w:t xml:space="preserve"> which will be administered by the ATO</w:t>
      </w:r>
      <w:r>
        <w:t xml:space="preserve">. </w:t>
      </w:r>
    </w:p>
    <w:p w14:paraId="0B426BBF" w14:textId="77777777" w:rsidR="00EC09AB" w:rsidRDefault="00EC09AB">
      <w:r>
        <w:t>For the first time, members will be able to compare the performance and fees of all MySuper products in a single place, based on independent and reliable information, with underperforming products clearly marked.</w:t>
      </w:r>
    </w:p>
    <w:p w14:paraId="0E2C383C" w14:textId="77777777" w:rsidR="00EC09AB" w:rsidRDefault="00EC09AB" w:rsidP="00884CB1">
      <w:pPr>
        <w:pStyle w:val="Heading3"/>
      </w:pPr>
      <w:bookmarkStart w:id="150" w:name="_Toc52472734"/>
      <w:bookmarkStart w:id="151" w:name="_Toc52470921"/>
      <w:bookmarkStart w:id="152" w:name="_Toc52472810"/>
      <w:bookmarkStart w:id="153" w:name="_Toc52474197"/>
      <w:bookmarkStart w:id="154" w:name="_Toc52474229"/>
      <w:bookmarkStart w:id="155" w:name="_Toc52471861"/>
      <w:bookmarkStart w:id="156" w:name="_Toc53397853"/>
      <w:r>
        <w:t>How it will work</w:t>
      </w:r>
      <w:bookmarkEnd w:id="150"/>
      <w:bookmarkEnd w:id="151"/>
      <w:bookmarkEnd w:id="152"/>
      <w:bookmarkEnd w:id="153"/>
      <w:bookmarkEnd w:id="154"/>
      <w:bookmarkEnd w:id="155"/>
      <w:bookmarkEnd w:id="156"/>
      <w:r>
        <w:t xml:space="preserve"> </w:t>
      </w:r>
    </w:p>
    <w:p w14:paraId="517611F7" w14:textId="77777777" w:rsidR="00EC09AB" w:rsidRDefault="00EC09AB" w:rsidP="00181306">
      <w:r>
        <w:t>The YourSuper comparison tool will,</w:t>
      </w:r>
      <w:r w:rsidRPr="00880A10">
        <w:t xml:space="preserve"> </w:t>
      </w:r>
      <w:r>
        <w:t>by 1 July 2021:</w:t>
      </w:r>
    </w:p>
    <w:p w14:paraId="399C051A" w14:textId="77777777" w:rsidR="00EC09AB" w:rsidRDefault="00EC09AB" w:rsidP="00181306">
      <w:pPr>
        <w:numPr>
          <w:ilvl w:val="0"/>
          <w:numId w:val="7"/>
        </w:numPr>
        <w:pBdr>
          <w:top w:val="nil"/>
          <w:left w:val="nil"/>
          <w:bottom w:val="nil"/>
          <w:right w:val="nil"/>
          <w:between w:val="nil"/>
        </w:pBdr>
        <w:spacing w:before="0"/>
      </w:pPr>
      <w:r>
        <w:rPr>
          <w:rFonts w:eastAsia="Calibri" w:cs="Calibri"/>
          <w:color w:val="000000"/>
        </w:rPr>
        <w:t xml:space="preserve">Display a quarterly updated table of MySuper products ranked by fees and investment returns, with products that have not met the new higher performance standard clearly highlighted as underperforming. </w:t>
      </w:r>
    </w:p>
    <w:p w14:paraId="317C7E27" w14:textId="77777777" w:rsidR="00EC09AB" w:rsidRDefault="00EC09AB" w:rsidP="00630AB2">
      <w:pPr>
        <w:numPr>
          <w:ilvl w:val="0"/>
          <w:numId w:val="7"/>
        </w:numPr>
        <w:pBdr>
          <w:top w:val="nil"/>
          <w:left w:val="nil"/>
          <w:bottom w:val="nil"/>
          <w:right w:val="nil"/>
          <w:between w:val="nil"/>
        </w:pBdr>
        <w:spacing w:before="0"/>
      </w:pPr>
      <w:r>
        <w:rPr>
          <w:rFonts w:eastAsia="Calibri" w:cs="Calibri"/>
          <w:color w:val="000000"/>
        </w:rPr>
        <w:t>Link you to the fund’s website when you select a product from the table of MySuper products.</w:t>
      </w:r>
    </w:p>
    <w:p w14:paraId="1000717E" w14:textId="77777777" w:rsidR="00EC09AB" w:rsidRDefault="00EC09AB" w:rsidP="00181306">
      <w:pPr>
        <w:numPr>
          <w:ilvl w:val="0"/>
          <w:numId w:val="7"/>
        </w:numPr>
        <w:pBdr>
          <w:top w:val="nil"/>
          <w:left w:val="nil"/>
          <w:bottom w:val="nil"/>
          <w:right w:val="nil"/>
          <w:between w:val="nil"/>
        </w:pBdr>
        <w:spacing w:before="0"/>
      </w:pPr>
      <w:r>
        <w:rPr>
          <w:rFonts w:eastAsia="Calibri" w:cs="Calibri"/>
          <w:color w:val="000000"/>
        </w:rPr>
        <w:t>Show your current superannuation accounts and allow you to select one of your existing superannuation accounts.</w:t>
      </w:r>
    </w:p>
    <w:p w14:paraId="7C0EA1A5" w14:textId="77777777" w:rsidR="00EC09AB" w:rsidRDefault="00EC09AB" w:rsidP="00181306">
      <w:pPr>
        <w:numPr>
          <w:ilvl w:val="0"/>
          <w:numId w:val="7"/>
        </w:numPr>
        <w:pBdr>
          <w:top w:val="nil"/>
          <w:left w:val="nil"/>
          <w:bottom w:val="nil"/>
          <w:right w:val="nil"/>
          <w:between w:val="nil"/>
        </w:pBdr>
        <w:spacing w:before="0"/>
      </w:pPr>
      <w:r>
        <w:rPr>
          <w:rFonts w:eastAsia="Calibri"/>
          <w:color w:val="000000"/>
        </w:rPr>
        <w:t xml:space="preserve">Prompt you to consider consolidating accounts if you have more than one fund. </w:t>
      </w:r>
    </w:p>
    <w:p w14:paraId="585C43F5" w14:textId="77777777" w:rsidR="00EC09AB" w:rsidRDefault="00EC09AB" w:rsidP="00181306">
      <w:pPr>
        <w:pBdr>
          <w:top w:val="nil"/>
          <w:left w:val="nil"/>
          <w:bottom w:val="nil"/>
          <w:right w:val="nil"/>
          <w:between w:val="nil"/>
        </w:pBdr>
      </w:pPr>
      <w:r>
        <w:rPr>
          <w:rFonts w:eastAsia="Calibri" w:cs="Calibri"/>
          <w:color w:val="000000"/>
        </w:rPr>
        <w:t xml:space="preserve">The </w:t>
      </w:r>
      <w:r w:rsidRPr="002527E9">
        <w:rPr>
          <w:rFonts w:eastAsia="Calibri" w:cs="Calibri"/>
          <w:color w:val="000000"/>
        </w:rPr>
        <w:t>YourSuper comparison tool</w:t>
      </w:r>
      <w:r>
        <w:rPr>
          <w:rFonts w:eastAsia="Calibri" w:cs="Calibri"/>
          <w:color w:val="000000"/>
        </w:rPr>
        <w:t xml:space="preserve"> will be based on information that superannuation funds report to APRA and will be developed in consultation with the Treasury. The information about product performance will be updated quarterly to ensure people are making decisions using up-to-date information. </w:t>
      </w:r>
    </w:p>
    <w:p w14:paraId="66A7E225" w14:textId="6FC1D7DA" w:rsidR="00EC09AB" w:rsidRDefault="00EC09AB" w:rsidP="00181306">
      <w:pPr>
        <w:pBdr>
          <w:top w:val="nil"/>
          <w:left w:val="nil"/>
          <w:bottom w:val="nil"/>
          <w:right w:val="nil"/>
          <w:between w:val="nil"/>
        </w:pBdr>
        <w:rPr>
          <w:rFonts w:eastAsia="Calibri" w:cs="Calibri"/>
          <w:color w:val="000000"/>
        </w:rPr>
      </w:pPr>
      <w:r>
        <w:rPr>
          <w:rFonts w:eastAsia="Calibri" w:cs="Calibri"/>
          <w:color w:val="000000"/>
        </w:rPr>
        <w:t xml:space="preserve">By facilitating greater and well-informed member engagement, the </w:t>
      </w:r>
      <w:r>
        <w:t>website will</w:t>
      </w:r>
      <w:r>
        <w:rPr>
          <w:rFonts w:eastAsia="Calibri" w:cs="Calibri"/>
          <w:color w:val="000000"/>
        </w:rPr>
        <w:t xml:space="preserve"> allow members to avoid poor performing and high-fee products. </w:t>
      </w:r>
      <w:r w:rsidR="001B3E7A" w:rsidRPr="00A576AE">
        <w:rPr>
          <w:rFonts w:eastAsia="Calibri" w:cs="Calibri"/>
          <w:color w:val="000000"/>
        </w:rPr>
        <w:t>Employees who are starting a new job will be able to use the YourSuper comparison tool to locate a MySuper account.</w:t>
      </w:r>
    </w:p>
    <w:p w14:paraId="5B149DC7" w14:textId="77777777" w:rsidR="00EC09AB" w:rsidRDefault="00EC09AB" w:rsidP="00884CB1">
      <w:pPr>
        <w:pStyle w:val="Heading3"/>
      </w:pPr>
      <w:bookmarkStart w:id="157" w:name="_Toc52472735"/>
      <w:bookmarkStart w:id="158" w:name="_Toc52470922"/>
      <w:bookmarkStart w:id="159" w:name="_Toc52472811"/>
      <w:bookmarkStart w:id="160" w:name="_Toc52474198"/>
      <w:bookmarkStart w:id="161" w:name="_Toc52474230"/>
      <w:bookmarkStart w:id="162" w:name="_Toc52471862"/>
      <w:bookmarkStart w:id="163" w:name="_Toc53397854"/>
      <w:r>
        <w:t xml:space="preserve">Benefits of the </w:t>
      </w:r>
      <w:r w:rsidRPr="002527E9">
        <w:t xml:space="preserve">YourSuper </w:t>
      </w:r>
      <w:r>
        <w:t>comparison tool</w:t>
      </w:r>
      <w:bookmarkEnd w:id="157"/>
      <w:bookmarkEnd w:id="158"/>
      <w:bookmarkEnd w:id="159"/>
      <w:bookmarkEnd w:id="160"/>
      <w:bookmarkEnd w:id="161"/>
      <w:bookmarkEnd w:id="162"/>
      <w:bookmarkEnd w:id="163"/>
    </w:p>
    <w:p w14:paraId="40F5B369" w14:textId="3F5AEF4E" w:rsidR="00EC09AB" w:rsidRDefault="00EC09AB">
      <w:pPr>
        <w:pBdr>
          <w:top w:val="nil"/>
          <w:left w:val="nil"/>
          <w:bottom w:val="nil"/>
          <w:right w:val="nil"/>
          <w:between w:val="nil"/>
        </w:pBdr>
        <w:rPr>
          <w:color w:val="000000"/>
        </w:rPr>
      </w:pPr>
      <w:r>
        <w:rPr>
          <w:color w:val="000000"/>
        </w:rPr>
        <w:t xml:space="preserve">The YourSuper comparison tool will mean members can simply and safely pick a well-performing MySuper product. </w:t>
      </w:r>
      <w:r w:rsidR="0012496B">
        <w:rPr>
          <w:color w:val="000000"/>
        </w:rPr>
        <w:t>S</w:t>
      </w:r>
      <w:r>
        <w:rPr>
          <w:color w:val="000000"/>
        </w:rPr>
        <w:t>electing a high</w:t>
      </w:r>
      <w:r w:rsidR="00B10090">
        <w:rPr>
          <w:color w:val="000000"/>
        </w:rPr>
        <w:noBreakHyphen/>
      </w:r>
      <w:r>
        <w:rPr>
          <w:color w:val="000000"/>
        </w:rPr>
        <w:t xml:space="preserve">performing product compared with a </w:t>
      </w:r>
      <w:r w:rsidR="00191984">
        <w:rPr>
          <w:color w:val="000000"/>
        </w:rPr>
        <w:t>poor</w:t>
      </w:r>
      <w:r w:rsidR="00191984">
        <w:rPr>
          <w:color w:val="000000"/>
        </w:rPr>
        <w:noBreakHyphen/>
        <w:t>performing</w:t>
      </w:r>
      <w:r>
        <w:rPr>
          <w:color w:val="000000"/>
        </w:rPr>
        <w:t xml:space="preserve"> product can significantly boost retirement incomes.</w:t>
      </w:r>
    </w:p>
    <w:p w14:paraId="2CF08E00" w14:textId="77777777" w:rsidR="00EC09AB" w:rsidRDefault="00EC09AB">
      <w:pPr>
        <w:pStyle w:val="Heading1"/>
      </w:pPr>
      <w:bookmarkStart w:id="164" w:name="_Toc52472736"/>
      <w:bookmarkStart w:id="165" w:name="_Toc52470923"/>
      <w:bookmarkStart w:id="166" w:name="_Toc52472812"/>
      <w:bookmarkStart w:id="167" w:name="_Toc52474231"/>
      <w:bookmarkStart w:id="168" w:name="_Toc52471863"/>
      <w:bookmarkStart w:id="169" w:name="_Toc53397855"/>
      <w:r>
        <w:lastRenderedPageBreak/>
        <w:t>Holding funds to account for underperformance</w:t>
      </w:r>
      <w:bookmarkEnd w:id="164"/>
      <w:bookmarkEnd w:id="165"/>
      <w:bookmarkEnd w:id="166"/>
      <w:bookmarkEnd w:id="167"/>
      <w:bookmarkEnd w:id="168"/>
      <w:bookmarkEnd w:id="169"/>
      <w:r>
        <w:t xml:space="preserve"> </w:t>
      </w:r>
    </w:p>
    <w:p w14:paraId="23845B16" w14:textId="77777777" w:rsidR="00EC09AB" w:rsidRDefault="00EC09AB">
      <w:pPr>
        <w:pStyle w:val="Heading2"/>
      </w:pPr>
      <w:bookmarkStart w:id="170" w:name="_Toc52472737"/>
      <w:bookmarkStart w:id="171" w:name="_Toc52470924"/>
      <w:bookmarkStart w:id="172" w:name="_Toc52472813"/>
      <w:bookmarkStart w:id="173" w:name="_Toc52474200"/>
      <w:bookmarkStart w:id="174" w:name="_Toc52474232"/>
      <w:bookmarkStart w:id="175" w:name="_Toc52471864"/>
      <w:bookmarkStart w:id="176" w:name="_Toc53397856"/>
      <w:r>
        <w:t>The objective</w:t>
      </w:r>
      <w:bookmarkEnd w:id="170"/>
      <w:bookmarkEnd w:id="171"/>
      <w:bookmarkEnd w:id="172"/>
      <w:bookmarkEnd w:id="173"/>
      <w:bookmarkEnd w:id="174"/>
      <w:bookmarkEnd w:id="175"/>
      <w:bookmarkEnd w:id="176"/>
    </w:p>
    <w:p w14:paraId="27A7209A" w14:textId="77777777" w:rsidR="00EC09AB" w:rsidRDefault="00EC09AB">
      <w:pPr>
        <w:numPr>
          <w:ilvl w:val="0"/>
          <w:numId w:val="3"/>
        </w:numPr>
        <w:spacing w:before="0"/>
        <w:rPr>
          <w:color w:val="000000"/>
        </w:rPr>
      </w:pPr>
      <w:r>
        <w:t>To protect Australians’ retirement savings from underperforming superannuation products to maximise their savings for retirement.</w:t>
      </w:r>
    </w:p>
    <w:p w14:paraId="519A83F8" w14:textId="77777777" w:rsidR="00EC09AB" w:rsidRDefault="00EC09AB">
      <w:pPr>
        <w:numPr>
          <w:ilvl w:val="0"/>
          <w:numId w:val="3"/>
        </w:numPr>
        <w:spacing w:before="0"/>
        <w:rPr>
          <w:color w:val="000000"/>
        </w:rPr>
      </w:pPr>
      <w:r>
        <w:t xml:space="preserve">To ensure funds are maximising net (after fees) investment returns. </w:t>
      </w:r>
    </w:p>
    <w:p w14:paraId="2FC59AA2" w14:textId="77777777" w:rsidR="00EC09AB" w:rsidRDefault="00EC09AB">
      <w:pPr>
        <w:numPr>
          <w:ilvl w:val="0"/>
          <w:numId w:val="3"/>
        </w:numPr>
        <w:spacing w:before="0"/>
        <w:rPr>
          <w:color w:val="000000"/>
        </w:rPr>
      </w:pPr>
      <w:r>
        <w:t>To hold funds accountable for the outcomes they deliver to members.</w:t>
      </w:r>
    </w:p>
    <w:p w14:paraId="4ACA1503" w14:textId="77777777" w:rsidR="00EC09AB" w:rsidRDefault="00EC09AB">
      <w:pPr>
        <w:numPr>
          <w:ilvl w:val="0"/>
          <w:numId w:val="3"/>
        </w:numPr>
        <w:spacing w:before="0"/>
        <w:rPr>
          <w:color w:val="000000"/>
        </w:rPr>
      </w:pPr>
      <w:r>
        <w:t>To make members aware when their superannuation product is underperforming.</w:t>
      </w:r>
    </w:p>
    <w:tbl>
      <w:tblPr>
        <w:tblW w:w="9072" w:type="dxa"/>
        <w:tblLayout w:type="fixed"/>
        <w:tblCellMar>
          <w:left w:w="115" w:type="dxa"/>
          <w:right w:w="115" w:type="dxa"/>
        </w:tblCellMar>
        <w:tblLook w:val="0000" w:firstRow="0" w:lastRow="0" w:firstColumn="0" w:lastColumn="0" w:noHBand="0" w:noVBand="0"/>
      </w:tblPr>
      <w:tblGrid>
        <w:gridCol w:w="9072"/>
      </w:tblGrid>
      <w:tr w:rsidR="00EC09AB" w14:paraId="44DA9758" w14:textId="77777777">
        <w:tc>
          <w:tcPr>
            <w:tcW w:w="9072" w:type="dxa"/>
            <w:shd w:val="clear" w:color="auto" w:fill="E3E7F0"/>
          </w:tcPr>
          <w:p w14:paraId="4594FDF7" w14:textId="77777777" w:rsidR="00EC09AB" w:rsidRDefault="00EC09AB">
            <w:pPr>
              <w:keepNext/>
              <w:pBdr>
                <w:top w:val="nil"/>
                <w:left w:val="nil"/>
                <w:bottom w:val="nil"/>
                <w:right w:val="nil"/>
                <w:between w:val="nil"/>
              </w:pBdr>
              <w:spacing w:before="240"/>
              <w:rPr>
                <w:b/>
                <w:color w:val="004A7F"/>
                <w:sz w:val="26"/>
                <w:szCs w:val="26"/>
              </w:rPr>
            </w:pPr>
            <w:r>
              <w:rPr>
                <w:b/>
                <w:color w:val="004A7F"/>
                <w:sz w:val="26"/>
                <w:szCs w:val="26"/>
              </w:rPr>
              <w:t>Holding funds to account for underperformance</w:t>
            </w:r>
          </w:p>
          <w:p w14:paraId="7FDFB974" w14:textId="77777777" w:rsidR="00EC09AB" w:rsidRDefault="00EC09AB">
            <w:pPr>
              <w:keepNext/>
              <w:pBdr>
                <w:top w:val="nil"/>
                <w:left w:val="nil"/>
                <w:bottom w:val="nil"/>
                <w:right w:val="nil"/>
                <w:between w:val="nil"/>
              </w:pBdr>
              <w:spacing w:before="240"/>
              <w:rPr>
                <w:b/>
                <w:color w:val="004A7F"/>
                <w:sz w:val="26"/>
                <w:szCs w:val="26"/>
              </w:rPr>
            </w:pPr>
            <w:r>
              <w:rPr>
                <w:color w:val="000000"/>
              </w:rPr>
              <w:t xml:space="preserve">The Government will ensure </w:t>
            </w:r>
            <w:r>
              <w:t>members' retirement</w:t>
            </w:r>
            <w:r>
              <w:rPr>
                <w:color w:val="000000"/>
              </w:rPr>
              <w:t xml:space="preserve"> savings are protected from underperforming </w:t>
            </w:r>
            <w:r>
              <w:t xml:space="preserve">funds </w:t>
            </w:r>
            <w:r>
              <w:rPr>
                <w:color w:val="000000"/>
              </w:rPr>
              <w:t xml:space="preserve">by subjecting MySuper products and other </w:t>
            </w:r>
            <w:r>
              <w:t xml:space="preserve">trustee-directed </w:t>
            </w:r>
            <w:r>
              <w:rPr>
                <w:color w:val="000000"/>
              </w:rPr>
              <w:t xml:space="preserve">superannuation products to an annual objective </w:t>
            </w:r>
            <w:r>
              <w:t xml:space="preserve">performance </w:t>
            </w:r>
            <w:r>
              <w:rPr>
                <w:color w:val="000000"/>
              </w:rPr>
              <w:t>test based on net investment returns, with clear consequences for failing the test.</w:t>
            </w:r>
          </w:p>
        </w:tc>
      </w:tr>
    </w:tbl>
    <w:p w14:paraId="10ECDCB8" w14:textId="31C94EE2" w:rsidR="00EC09AB" w:rsidRDefault="00EC09AB">
      <w:r>
        <w:t xml:space="preserve">Australians will be better protected from underperforming funds. Superannuation products will be subject to a clear and objective </w:t>
      </w:r>
      <w:r w:rsidR="003839C2">
        <w:t xml:space="preserve">annual </w:t>
      </w:r>
      <w:r>
        <w:t xml:space="preserve">performance test; members will be informed </w:t>
      </w:r>
      <w:r w:rsidR="00F236B4">
        <w:t>if</w:t>
      </w:r>
      <w:r>
        <w:t xml:space="preserve"> they are in an underperforming product and provided with the tools to switch; and funds will face consequences for underperformance. </w:t>
      </w:r>
    </w:p>
    <w:p w14:paraId="69DC38D6" w14:textId="77777777" w:rsidR="00EC09AB" w:rsidRDefault="00EC09AB">
      <w:r>
        <w:t>The Productivity Commission emphasised that measures to deal with underperforming products are necessary, and MySuper products should be a priority given the size and level of disengagement in the default segment.</w:t>
      </w:r>
      <w:r>
        <w:rPr>
          <w:rStyle w:val="EndnoteReference"/>
        </w:rPr>
        <w:endnoteReference w:id="33"/>
      </w:r>
      <w:r>
        <w:t xml:space="preserve"> </w:t>
      </w:r>
    </w:p>
    <w:p w14:paraId="407D5A36" w14:textId="77777777" w:rsidR="00EC09AB" w:rsidRDefault="00EC09AB">
      <w:r>
        <w:t xml:space="preserve">As of 1 July 2021, MySuper products will be subject to an annual performance test. The first test for MySuper products will see funds that are underperforming need to inform their members of their underperformance by 1 October 2021. When funds inform their members about their underperformance they will also be required to provide them with information about the YourSuper comparison tool. </w:t>
      </w:r>
    </w:p>
    <w:p w14:paraId="23FA95BF" w14:textId="66B09E4E" w:rsidR="00EC09AB" w:rsidRDefault="00EC09AB">
      <w:r>
        <w:t xml:space="preserve">Underperforming funds will also be listed as underperforming on the YourSuper comparison tool until their </w:t>
      </w:r>
      <w:r w:rsidR="00F730F7">
        <w:t>performance improves</w:t>
      </w:r>
      <w:r>
        <w:t xml:space="preserve">. </w:t>
      </w:r>
    </w:p>
    <w:p w14:paraId="5F4F88D7" w14:textId="751ACEB1" w:rsidR="00EC09AB" w:rsidRDefault="00624F55">
      <w:r>
        <w:t>Funds</w:t>
      </w:r>
      <w:r w:rsidR="00EC09AB">
        <w:t xml:space="preserve"> that continue to underperform and fail two consecutive annual underperformance tests, will not be permitted to accept new members. These funds will not be able to re-open to new members un</w:t>
      </w:r>
      <w:r w:rsidR="00F730F7">
        <w:t>til their performance improves</w:t>
      </w:r>
      <w:r w:rsidR="00EC09AB">
        <w:t>.</w:t>
      </w:r>
    </w:p>
    <w:p w14:paraId="094192C0" w14:textId="77777777" w:rsidR="00EC09AB" w:rsidRDefault="00EC09AB">
      <w:r>
        <w:t xml:space="preserve">As of 1 July 2022, annual performance tests will be extended to ‘trustee-directed products’ (TDPs) outside of MySuper. </w:t>
      </w:r>
    </w:p>
    <w:p w14:paraId="33A77FC8" w14:textId="77777777" w:rsidR="00EC09AB" w:rsidRDefault="00EC09AB">
      <w:r>
        <w:t xml:space="preserve">TDPs are accumulation superannuation products: </w:t>
      </w:r>
    </w:p>
    <w:p w14:paraId="3BDDDFB1" w14:textId="77777777" w:rsidR="00EC09AB" w:rsidRDefault="00823210">
      <w:pPr>
        <w:numPr>
          <w:ilvl w:val="0"/>
          <w:numId w:val="3"/>
        </w:numPr>
        <w:pBdr>
          <w:top w:val="nil"/>
          <w:left w:val="nil"/>
          <w:bottom w:val="nil"/>
          <w:right w:val="nil"/>
          <w:between w:val="nil"/>
        </w:pBdr>
        <w:spacing w:before="0"/>
      </w:pPr>
      <w:r>
        <w:t xml:space="preserve">which </w:t>
      </w:r>
      <w:r w:rsidR="00EC09AB">
        <w:t>are regulated by APRA;</w:t>
      </w:r>
    </w:p>
    <w:p w14:paraId="49DB6071" w14:textId="77777777" w:rsidR="00EC09AB" w:rsidRDefault="00823210">
      <w:pPr>
        <w:numPr>
          <w:ilvl w:val="0"/>
          <w:numId w:val="3"/>
        </w:numPr>
        <w:pBdr>
          <w:top w:val="nil"/>
          <w:left w:val="nil"/>
          <w:bottom w:val="nil"/>
          <w:right w:val="nil"/>
          <w:between w:val="nil"/>
        </w:pBdr>
        <w:spacing w:before="0"/>
      </w:pPr>
      <w:r>
        <w:t>where</w:t>
      </w:r>
      <w:r w:rsidR="00EC09AB">
        <w:t xml:space="preserve"> the trustee has control over the design and implementation of the investment strategy; and</w:t>
      </w:r>
    </w:p>
    <w:p w14:paraId="000FB269" w14:textId="77777777" w:rsidR="00EC09AB" w:rsidRDefault="00823210">
      <w:pPr>
        <w:numPr>
          <w:ilvl w:val="0"/>
          <w:numId w:val="3"/>
        </w:numPr>
        <w:pBdr>
          <w:top w:val="nil"/>
          <w:left w:val="nil"/>
          <w:bottom w:val="nil"/>
          <w:right w:val="nil"/>
          <w:between w:val="nil"/>
        </w:pBdr>
        <w:spacing w:before="0"/>
      </w:pPr>
      <w:r>
        <w:t xml:space="preserve">where </w:t>
      </w:r>
      <w:r w:rsidR="00EC09AB">
        <w:t xml:space="preserve">the investment strategy covers more than one asset class. </w:t>
      </w:r>
    </w:p>
    <w:p w14:paraId="753C1413" w14:textId="77777777" w:rsidR="00EC09AB" w:rsidRDefault="00EC09AB">
      <w:r>
        <w:t>These products are most comparable to MySuper products; the performance test is easily adaptable to these products; and APRA is already collecting data on them.</w:t>
      </w:r>
    </w:p>
    <w:p w14:paraId="1CDB0402" w14:textId="77777777" w:rsidR="00EC09AB" w:rsidRDefault="00EC09AB">
      <w:r>
        <w:lastRenderedPageBreak/>
        <w:t xml:space="preserve">The annual benchmarking of TDPs will begin on 1 July 2022 and TDPs will be subject to the same consequences as MySuper products for underperformance.   </w:t>
      </w:r>
    </w:p>
    <w:p w14:paraId="19357F98" w14:textId="77777777" w:rsidR="00EC09AB" w:rsidRDefault="00EC09AB">
      <w:r>
        <w:t>The annual performance test will initially apply to accumulation products and cover net (after fees) investment returns – the most important factor in determining retirement balances. Applying the test to both MySuper products and TDPs will cover the majority of assets in accumulation products within the APRA-regulated fund sector.</w:t>
      </w:r>
    </w:p>
    <w:p w14:paraId="346CACE8" w14:textId="2078631A" w:rsidR="00EC09AB" w:rsidRDefault="00EC09AB">
      <w:r>
        <w:t>Over time, other investment options which are made available by the trustee will also be subject to annual performance tests.</w:t>
      </w:r>
    </w:p>
    <w:tbl>
      <w:tblPr>
        <w:tblW w:w="9072" w:type="dxa"/>
        <w:tblBorders>
          <w:top w:val="single" w:sz="8" w:space="0" w:color="3A6FAF" w:themeColor="accent2"/>
          <w:left w:val="single" w:sz="8" w:space="0" w:color="3A6FAF" w:themeColor="accent2"/>
          <w:bottom w:val="single" w:sz="8" w:space="0" w:color="3A6FAF" w:themeColor="accent2"/>
          <w:right w:val="single" w:sz="8" w:space="0" w:color="3A6FAF" w:themeColor="accent2"/>
        </w:tblBorders>
        <w:tblLayout w:type="fixed"/>
        <w:tblCellMar>
          <w:left w:w="115" w:type="dxa"/>
          <w:right w:w="115" w:type="dxa"/>
        </w:tblCellMar>
        <w:tblLook w:val="0400" w:firstRow="0" w:lastRow="0" w:firstColumn="0" w:lastColumn="0" w:noHBand="0" w:noVBand="1"/>
      </w:tblPr>
      <w:tblGrid>
        <w:gridCol w:w="9072"/>
      </w:tblGrid>
      <w:tr w:rsidR="00EC09AB" w14:paraId="432CBF70" w14:textId="77777777" w:rsidTr="00884CB1">
        <w:tc>
          <w:tcPr>
            <w:tcW w:w="9072" w:type="dxa"/>
            <w:shd w:val="clear" w:color="auto" w:fill="auto"/>
          </w:tcPr>
          <w:p w14:paraId="48320D15" w14:textId="466799DC" w:rsidR="00EC09AB" w:rsidRDefault="00EC09AB">
            <w:pPr>
              <w:keepNext/>
              <w:spacing w:before="240"/>
              <w:rPr>
                <w:b/>
                <w:color w:val="004A7F"/>
                <w:sz w:val="26"/>
                <w:szCs w:val="26"/>
              </w:rPr>
            </w:pPr>
            <w:r>
              <w:rPr>
                <w:b/>
                <w:color w:val="004A7F"/>
                <w:sz w:val="26"/>
                <w:szCs w:val="26"/>
              </w:rPr>
              <w:t xml:space="preserve">Case </w:t>
            </w:r>
            <w:r w:rsidRPr="0055052B">
              <w:rPr>
                <w:b/>
                <w:color w:val="004A7F"/>
                <w:sz w:val="26"/>
                <w:szCs w:val="26"/>
              </w:rPr>
              <w:t xml:space="preserve">study </w:t>
            </w:r>
            <w:r w:rsidR="00FA3A96" w:rsidRPr="00877831">
              <w:rPr>
                <w:b/>
                <w:color w:val="004A7F"/>
                <w:sz w:val="26"/>
                <w:szCs w:val="26"/>
              </w:rPr>
              <w:t>1</w:t>
            </w:r>
            <w:r w:rsidRPr="0055052B">
              <w:rPr>
                <w:b/>
                <w:color w:val="004A7F"/>
                <w:sz w:val="26"/>
                <w:szCs w:val="26"/>
              </w:rPr>
              <w:t>:</w:t>
            </w:r>
            <w:r>
              <w:rPr>
                <w:b/>
                <w:color w:val="004A7F"/>
                <w:sz w:val="26"/>
                <w:szCs w:val="26"/>
              </w:rPr>
              <w:t xml:space="preserve"> </w:t>
            </w:r>
            <w:r w:rsidRPr="00CD0DC9">
              <w:rPr>
                <w:b/>
                <w:i/>
                <w:color w:val="004A7F"/>
                <w:sz w:val="26"/>
                <w:szCs w:val="26"/>
              </w:rPr>
              <w:t>Your Future, Your Super</w:t>
            </w:r>
            <w:r>
              <w:rPr>
                <w:b/>
                <w:color w:val="004A7F"/>
                <w:sz w:val="26"/>
                <w:szCs w:val="26"/>
              </w:rPr>
              <w:t xml:space="preserve"> will ensure superannuation funds are held to account for their performance</w:t>
            </w:r>
          </w:p>
        </w:tc>
      </w:tr>
      <w:tr w:rsidR="00EC09AB" w14:paraId="0BF12A67" w14:textId="77777777" w:rsidTr="00884CB1">
        <w:tc>
          <w:tcPr>
            <w:tcW w:w="9072" w:type="dxa"/>
            <w:shd w:val="clear" w:color="auto" w:fill="auto"/>
          </w:tcPr>
          <w:p w14:paraId="26B8F93D" w14:textId="12E41297" w:rsidR="00EC09AB" w:rsidRDefault="00391113">
            <w:pPr>
              <w:pBdr>
                <w:top w:val="nil"/>
                <w:left w:val="nil"/>
                <w:bottom w:val="nil"/>
                <w:right w:val="nil"/>
                <w:between w:val="nil"/>
              </w:pBdr>
              <w:spacing w:before="240" w:after="240"/>
            </w:pPr>
            <w:r>
              <w:t>Backhill</w:t>
            </w:r>
            <w:r w:rsidR="003839C2">
              <w:t xml:space="preserve"> </w:t>
            </w:r>
            <w:r w:rsidR="00EC09AB">
              <w:t xml:space="preserve">Superfund offers a MySuper product and several non-MySuper options for its members including </w:t>
            </w:r>
            <w:r w:rsidR="00EC09AB" w:rsidRPr="006A1438">
              <w:t>G</w:t>
            </w:r>
            <w:r w:rsidR="00EC09AB" w:rsidRPr="00BD1806">
              <w:t>rowth, Conservative, Cash, Property and Infrastructure</w:t>
            </w:r>
            <w:r w:rsidR="00EC09AB">
              <w:t>. It also offers an Australian equities direct investment option for members who want to manage their own portfolio of Australian shares.</w:t>
            </w:r>
          </w:p>
          <w:p w14:paraId="213E72ED" w14:textId="52A9E034" w:rsidR="00EC09AB" w:rsidRPr="006A1438" w:rsidRDefault="00EC09AB">
            <w:pPr>
              <w:spacing w:before="240" w:after="240"/>
            </w:pPr>
            <w:r w:rsidRPr="006A1438">
              <w:t xml:space="preserve">The new performance test will cover </w:t>
            </w:r>
            <w:r w:rsidR="00391113">
              <w:t>Backhill</w:t>
            </w:r>
            <w:r w:rsidR="003839C2" w:rsidRPr="006A1438">
              <w:t xml:space="preserve"> </w:t>
            </w:r>
            <w:r w:rsidRPr="006A1438">
              <w:t>MySuper (from 1 July 2021), as well as Growth and Conservative options (from 1 July 2022).</w:t>
            </w:r>
          </w:p>
          <w:p w14:paraId="73CBB8CC" w14:textId="412314FA" w:rsidR="00EC09AB" w:rsidRDefault="00EC09AB">
            <w:pPr>
              <w:spacing w:before="240" w:after="240"/>
            </w:pPr>
            <w:r w:rsidRPr="006A1438">
              <w:t>From 1 July 2021, APRA commences its first performance test</w:t>
            </w:r>
            <w:r>
              <w:t xml:space="preserve"> and finds that </w:t>
            </w:r>
            <w:r w:rsidR="00391113">
              <w:t>Backhill</w:t>
            </w:r>
            <w:r w:rsidR="003839C2">
              <w:t xml:space="preserve"> </w:t>
            </w:r>
            <w:r>
              <w:t xml:space="preserve">MySuper has underperformed. APRA informs </w:t>
            </w:r>
            <w:r w:rsidR="00391113">
              <w:t xml:space="preserve">Backhill </w:t>
            </w:r>
            <w:r w:rsidRPr="006A1438">
              <w:t>Superfund</w:t>
            </w:r>
            <w:r>
              <w:t xml:space="preserve"> of the assessment </w:t>
            </w:r>
            <w:r w:rsidR="00C049C8">
              <w:t xml:space="preserve">in September </w:t>
            </w:r>
            <w:r>
              <w:t xml:space="preserve">and </w:t>
            </w:r>
            <w:r w:rsidR="00391113">
              <w:t>Backhill</w:t>
            </w:r>
            <w:r w:rsidR="003839C2">
              <w:t xml:space="preserve"> </w:t>
            </w:r>
            <w:r>
              <w:t xml:space="preserve">Superfund has to notify its MySuper members by 1 October 2021. </w:t>
            </w:r>
            <w:r w:rsidR="00391113">
              <w:t>Backhill</w:t>
            </w:r>
            <w:r w:rsidR="003839C2">
              <w:t xml:space="preserve"> </w:t>
            </w:r>
            <w:r>
              <w:t>Superfund is also required to inform its MySuper members where they can locate the YourSuper comparison tool. From 1 July 2022, APRA completes the second performance test of</w:t>
            </w:r>
            <w:r w:rsidR="00391113">
              <w:t xml:space="preserve"> Backhill </w:t>
            </w:r>
            <w:r>
              <w:t xml:space="preserve">MySuper and finds that the product has failed to improve its performance. APRA informs </w:t>
            </w:r>
            <w:r w:rsidR="00391113">
              <w:t xml:space="preserve">Backhill </w:t>
            </w:r>
            <w:r>
              <w:t xml:space="preserve">Superfund of this and </w:t>
            </w:r>
            <w:r w:rsidR="00391113">
              <w:t>Backhill</w:t>
            </w:r>
            <w:r w:rsidR="003839C2">
              <w:t xml:space="preserve"> </w:t>
            </w:r>
            <w:r>
              <w:t>MySuper stops receiving new members from 1 October 2022.</w:t>
            </w:r>
          </w:p>
          <w:p w14:paraId="697D6DFB" w14:textId="5A0B1151" w:rsidR="00EC09AB" w:rsidRDefault="00EC09AB" w:rsidP="003839C2">
            <w:pPr>
              <w:spacing w:before="240" w:after="240"/>
            </w:pPr>
            <w:r>
              <w:t xml:space="preserve">From 1 July 2022, APRA also completes the assessment of the Growth and Conservative options and finds that both have underperformed. </w:t>
            </w:r>
            <w:r w:rsidR="00391113">
              <w:t xml:space="preserve">Backhill </w:t>
            </w:r>
            <w:r>
              <w:t>Superfund has until 1 October 2022 to notify its members in those options of this outcome and subsequently incorporate</w:t>
            </w:r>
            <w:r w:rsidR="00856718">
              <w:t>s</w:t>
            </w:r>
            <w:r>
              <w:t xml:space="preserve"> this assessment in its annual member outcomes assessment.</w:t>
            </w:r>
          </w:p>
        </w:tc>
      </w:tr>
    </w:tbl>
    <w:p w14:paraId="3DF45A54" w14:textId="77777777" w:rsidR="00EC09AB" w:rsidRDefault="00EC09AB">
      <w:pPr>
        <w:spacing w:before="0" w:after="0"/>
      </w:pPr>
    </w:p>
    <w:p w14:paraId="623A2919" w14:textId="77777777" w:rsidR="00EC09AB" w:rsidRDefault="00EC09AB">
      <w:r>
        <w:t xml:space="preserve">The performance test will be based on the methodology adopted by the Productivity Commission and further refined by APRA in its ‘Heatmap’ analysis (see </w:t>
      </w:r>
      <w:r w:rsidR="00254914">
        <w:t>A</w:t>
      </w:r>
      <w:r w:rsidRPr="001D229C">
        <w:t>ppendix</w:t>
      </w:r>
      <w:r w:rsidR="00254914">
        <w:t xml:space="preserve"> 2</w:t>
      </w:r>
      <w:r>
        <w:t xml:space="preserve">). This test will:  </w:t>
      </w:r>
    </w:p>
    <w:p w14:paraId="6C478317" w14:textId="0F86626B" w:rsidR="00EC09AB" w:rsidRDefault="00FA3A96">
      <w:pPr>
        <w:numPr>
          <w:ilvl w:val="0"/>
          <w:numId w:val="3"/>
        </w:numPr>
        <w:pBdr>
          <w:top w:val="nil"/>
          <w:left w:val="nil"/>
          <w:bottom w:val="nil"/>
          <w:right w:val="nil"/>
          <w:between w:val="nil"/>
        </w:pBdr>
        <w:spacing w:before="0"/>
      </w:pPr>
      <w:r>
        <w:rPr>
          <w:color w:val="000000"/>
        </w:rPr>
        <w:t>a</w:t>
      </w:r>
      <w:r w:rsidR="00EC09AB">
        <w:rPr>
          <w:color w:val="000000"/>
        </w:rPr>
        <w:t>llow the p</w:t>
      </w:r>
      <w:r w:rsidR="00EC09AB">
        <w:t>erformance of</w:t>
      </w:r>
      <w:r w:rsidR="00EC09AB">
        <w:rPr>
          <w:color w:val="000000"/>
        </w:rPr>
        <w:t xml:space="preserve"> </w:t>
      </w:r>
      <w:r w:rsidR="00EC09AB">
        <w:t>products to be compared easily as the</w:t>
      </w:r>
      <w:r w:rsidR="00EC09AB">
        <w:rPr>
          <w:color w:val="000000"/>
        </w:rPr>
        <w:t xml:space="preserve"> benchmark is tailored to each product’s asset allocation;</w:t>
      </w:r>
    </w:p>
    <w:p w14:paraId="0E7CEF7C" w14:textId="317A6004" w:rsidR="00EC09AB" w:rsidRDefault="00FA3A96">
      <w:pPr>
        <w:numPr>
          <w:ilvl w:val="0"/>
          <w:numId w:val="3"/>
        </w:numPr>
        <w:pBdr>
          <w:top w:val="nil"/>
          <w:left w:val="nil"/>
          <w:bottom w:val="nil"/>
          <w:right w:val="nil"/>
          <w:between w:val="nil"/>
        </w:pBdr>
        <w:spacing w:before="0"/>
      </w:pPr>
      <w:r>
        <w:rPr>
          <w:color w:val="000000"/>
        </w:rPr>
        <w:t>b</w:t>
      </w:r>
      <w:r w:rsidR="00EC09AB">
        <w:rPr>
          <w:color w:val="000000"/>
        </w:rPr>
        <w:t>e customised to individual products and continue to provide funds with flexibility in constructing their investment portfolio;</w:t>
      </w:r>
    </w:p>
    <w:p w14:paraId="69FC31B3" w14:textId="3EC23552" w:rsidR="00EC09AB" w:rsidRDefault="00FA3A96">
      <w:pPr>
        <w:numPr>
          <w:ilvl w:val="0"/>
          <w:numId w:val="3"/>
        </w:numPr>
        <w:pBdr>
          <w:top w:val="nil"/>
          <w:left w:val="nil"/>
          <w:bottom w:val="nil"/>
          <w:right w:val="nil"/>
          <w:between w:val="nil"/>
        </w:pBdr>
        <w:spacing w:before="0"/>
      </w:pPr>
      <w:r>
        <w:rPr>
          <w:color w:val="000000"/>
        </w:rPr>
        <w:t>a</w:t>
      </w:r>
      <w:r w:rsidR="00EC09AB">
        <w:rPr>
          <w:color w:val="000000"/>
        </w:rPr>
        <w:t>ssess actual performance, net of fees and taxes; and</w:t>
      </w:r>
    </w:p>
    <w:p w14:paraId="0B0B8F13" w14:textId="3B8469A6" w:rsidR="00EC09AB" w:rsidRDefault="00FA3A96">
      <w:pPr>
        <w:numPr>
          <w:ilvl w:val="0"/>
          <w:numId w:val="3"/>
        </w:numPr>
        <w:pBdr>
          <w:top w:val="nil"/>
          <w:left w:val="nil"/>
          <w:bottom w:val="nil"/>
          <w:right w:val="nil"/>
          <w:between w:val="nil"/>
        </w:pBdr>
        <w:spacing w:before="0"/>
      </w:pPr>
      <w:r>
        <w:rPr>
          <w:color w:val="000000"/>
        </w:rPr>
        <w:t>b</w:t>
      </w:r>
      <w:r w:rsidR="00EC09AB">
        <w:rPr>
          <w:color w:val="000000"/>
        </w:rPr>
        <w:t>e calculated over a</w:t>
      </w:r>
      <w:r w:rsidR="00EC09AB">
        <w:t>n eight</w:t>
      </w:r>
      <w:r w:rsidR="00EC09AB">
        <w:noBreakHyphen/>
        <w:t xml:space="preserve">year </w:t>
      </w:r>
      <w:r w:rsidR="00EC09AB">
        <w:rPr>
          <w:color w:val="000000"/>
        </w:rPr>
        <w:t>time period that allows funds to target long</w:t>
      </w:r>
      <w:r w:rsidR="00EC09AB">
        <w:rPr>
          <w:color w:val="000000"/>
        </w:rPr>
        <w:noBreakHyphen/>
        <w:t>term returns and not blame ‘</w:t>
      </w:r>
      <w:r w:rsidR="00EC09AB">
        <w:t>one bad year</w:t>
      </w:r>
      <w:r w:rsidR="00EC09AB">
        <w:rPr>
          <w:color w:val="000000"/>
        </w:rPr>
        <w:t>’ for underperformance.</w:t>
      </w:r>
    </w:p>
    <w:p w14:paraId="557C86B8" w14:textId="77777777" w:rsidR="00EC09AB" w:rsidRDefault="00EC09AB">
      <w:r>
        <w:t>These changes will see $</w:t>
      </w:r>
      <w:r w:rsidR="002E772C">
        <w:t>10.7</w:t>
      </w:r>
      <w:r>
        <w:t xml:space="preserve"> billion in higher returns for members over 10 years as members leave underperforming products, some underperforming products improve their performance and others merge with higher performing funds. </w:t>
      </w:r>
    </w:p>
    <w:p w14:paraId="2549313D" w14:textId="77777777" w:rsidR="00EC09AB" w:rsidRDefault="00EC09AB" w:rsidP="00884CB1">
      <w:pPr>
        <w:pStyle w:val="Heading3"/>
      </w:pPr>
      <w:bookmarkStart w:id="177" w:name="_Toc52472738"/>
      <w:bookmarkStart w:id="178" w:name="_Toc52470925"/>
      <w:bookmarkStart w:id="179" w:name="_Toc52472814"/>
      <w:bookmarkStart w:id="180" w:name="_Toc52474201"/>
      <w:bookmarkStart w:id="181" w:name="_Toc52474233"/>
      <w:bookmarkStart w:id="182" w:name="_Toc52471865"/>
      <w:bookmarkStart w:id="183" w:name="_Toc53397857"/>
      <w:r>
        <w:lastRenderedPageBreak/>
        <w:t>How it will work</w:t>
      </w:r>
      <w:bookmarkEnd w:id="177"/>
      <w:bookmarkEnd w:id="178"/>
      <w:bookmarkEnd w:id="179"/>
      <w:bookmarkEnd w:id="180"/>
      <w:bookmarkEnd w:id="181"/>
      <w:bookmarkEnd w:id="182"/>
      <w:bookmarkEnd w:id="183"/>
    </w:p>
    <w:p w14:paraId="19FE0BB7" w14:textId="6C1F0271" w:rsidR="001A332F" w:rsidRDefault="001A332F" w:rsidP="001A332F">
      <w:r>
        <w:t xml:space="preserve">Each year APRA will construct an individual benchmark for every MySuper product and TDPs based on an individual product’s portfolio asset allocation, taking into account fees, tax and other relevant assumptions. Each product will then be compared annually against their benchmark. </w:t>
      </w:r>
    </w:p>
    <w:p w14:paraId="4595588C" w14:textId="2234472A" w:rsidR="002362BD" w:rsidRDefault="00205DE0">
      <w:r>
        <w:t>Products that underperform the</w:t>
      </w:r>
      <w:r w:rsidR="005E6936">
        <w:t>ir</w:t>
      </w:r>
      <w:r>
        <w:t xml:space="preserve"> net investment return benchmark by 0.5</w:t>
      </w:r>
      <w:r w:rsidR="00B85359">
        <w:t> </w:t>
      </w:r>
      <w:r>
        <w:t>percentage</w:t>
      </w:r>
      <w:r w:rsidR="00B85359">
        <w:t> </w:t>
      </w:r>
      <w:r>
        <w:t>points per year over an eight-year period will be classified as underperforming. For MySuper products that were in place from 1</w:t>
      </w:r>
      <w:r w:rsidR="00560E2F">
        <w:t> </w:t>
      </w:r>
      <w:r>
        <w:t>July</w:t>
      </w:r>
      <w:r w:rsidR="00560E2F">
        <w:t> </w:t>
      </w:r>
      <w:r>
        <w:t>2014, their first performance test will be based on seven years of performance data. On an ongoing basis the test will apply over an eight</w:t>
      </w:r>
      <w:r w:rsidR="00537373">
        <w:noBreakHyphen/>
      </w:r>
      <w:r>
        <w:t xml:space="preserve">year period. </w:t>
      </w:r>
    </w:p>
    <w:p w14:paraId="4F91B0C3" w14:textId="77777777" w:rsidR="002362BD" w:rsidRDefault="00205DE0">
      <w:r>
        <w:t xml:space="preserve">To ensure funds are all held to the same standard, the test will be set in regulations </w:t>
      </w:r>
      <w:r w:rsidR="005F3941">
        <w:t xml:space="preserve">by the Government </w:t>
      </w:r>
      <w:r>
        <w:t xml:space="preserve">and administered by APRA. APRA will publish the results of the test. </w:t>
      </w:r>
      <w:bookmarkStart w:id="184" w:name="_heading=h.147n2zr" w:colFirst="0" w:colLast="0"/>
      <w:bookmarkEnd w:id="184"/>
    </w:p>
    <w:p w14:paraId="03F2B653" w14:textId="09A30F61" w:rsidR="003A4C1B" w:rsidRDefault="00340808">
      <w:r>
        <w:t xml:space="preserve">The new performance framework will now be the primary method for measuring underperformance </w:t>
      </w:r>
      <w:r w:rsidR="0028579E">
        <w:t xml:space="preserve">in the superannuation sector </w:t>
      </w:r>
      <w:r>
        <w:t>and</w:t>
      </w:r>
      <w:r w:rsidR="0028579E">
        <w:t xml:space="preserve"> the APRA Heatmaps and the </w:t>
      </w:r>
      <w:r w:rsidR="00753DBC">
        <w:t>annual member outcomes self-assessment under existing law</w:t>
      </w:r>
      <w:r w:rsidR="0028579E">
        <w:t xml:space="preserve"> will be amended accordingly</w:t>
      </w:r>
      <w:r w:rsidR="00753DBC">
        <w:t xml:space="preserve">. </w:t>
      </w:r>
      <w:r w:rsidR="00912976" w:rsidRPr="00166874">
        <w:rPr>
          <w:highlight w:val="green"/>
        </w:rPr>
        <w:t xml:space="preserve"> </w:t>
      </w:r>
      <w:r w:rsidR="00205DE0" w:rsidRPr="00D647BA">
        <w:rPr>
          <w:highlight w:val="green"/>
        </w:rPr>
        <w:t xml:space="preserve"> </w:t>
      </w:r>
    </w:p>
    <w:p w14:paraId="1149345E" w14:textId="657D9FEC" w:rsidR="003A4C1B" w:rsidRDefault="00205DE0">
      <w:r>
        <w:t xml:space="preserve">The implementation of this reform will </w:t>
      </w:r>
      <w:r w:rsidR="005F3941">
        <w:t xml:space="preserve">give effect to </w:t>
      </w:r>
      <w:r>
        <w:t xml:space="preserve">recommendation </w:t>
      </w:r>
      <w:r w:rsidR="003B3CBC">
        <w:t>4</w:t>
      </w:r>
      <w:r>
        <w:t xml:space="preserve"> of the Productivity Commission </w:t>
      </w:r>
      <w:r w:rsidR="00CB077E">
        <w:t xml:space="preserve">Superannuation </w:t>
      </w:r>
      <w:r>
        <w:t xml:space="preserve">Inquiry. </w:t>
      </w:r>
    </w:p>
    <w:p w14:paraId="406AC60D" w14:textId="77777777" w:rsidR="003A4C1B" w:rsidRDefault="00205DE0" w:rsidP="00884CB1">
      <w:pPr>
        <w:pStyle w:val="Heading3"/>
      </w:pPr>
      <w:bookmarkStart w:id="185" w:name="_Toc52313256"/>
      <w:bookmarkStart w:id="186" w:name="_Toc52472739"/>
      <w:bookmarkStart w:id="187" w:name="_Toc52470926"/>
      <w:bookmarkStart w:id="188" w:name="_Toc52472815"/>
      <w:bookmarkStart w:id="189" w:name="_Toc52474202"/>
      <w:bookmarkStart w:id="190" w:name="_Toc52474234"/>
      <w:bookmarkStart w:id="191" w:name="_Toc52471866"/>
      <w:bookmarkStart w:id="192" w:name="_Toc53397858"/>
      <w:r>
        <w:t>Consequences</w:t>
      </w:r>
      <w:bookmarkEnd w:id="185"/>
      <w:bookmarkEnd w:id="186"/>
      <w:bookmarkEnd w:id="187"/>
      <w:bookmarkEnd w:id="188"/>
      <w:bookmarkEnd w:id="189"/>
      <w:bookmarkEnd w:id="190"/>
      <w:bookmarkEnd w:id="191"/>
      <w:bookmarkEnd w:id="192"/>
    </w:p>
    <w:p w14:paraId="5B3CBAA3" w14:textId="7CADA401" w:rsidR="003A4C1B" w:rsidRDefault="00205DE0">
      <w:r>
        <w:t>All products that fail the test will be required to notify members</w:t>
      </w:r>
      <w:r w:rsidR="00D34D94">
        <w:t xml:space="preserve"> in writing</w:t>
      </w:r>
      <w:r>
        <w:t xml:space="preserve">. As part of this notification members will be informed that the YourSuper comparison tool is available for them to compare their product against other MySuper products </w:t>
      </w:r>
      <w:r w:rsidR="001A4ADD">
        <w:t xml:space="preserve">and </w:t>
      </w:r>
      <w:r w:rsidR="005F3941">
        <w:t xml:space="preserve">help them </w:t>
      </w:r>
      <w:r>
        <w:t>switch</w:t>
      </w:r>
      <w:r w:rsidR="005F3941">
        <w:t xml:space="preserve"> to a better performing product</w:t>
      </w:r>
      <w:r>
        <w:t xml:space="preserve">. Underperforming products will be identified on the YourSuper comparison tool. </w:t>
      </w:r>
    </w:p>
    <w:p w14:paraId="43D0D7DB" w14:textId="2C79BD6A" w:rsidR="003A4C1B" w:rsidRDefault="00205DE0">
      <w:r>
        <w:t xml:space="preserve">Products that fail the test two years in a row will not be permitted to accept new members until their net investment performance improves. This will stem the flow of contributions into underperforming products and better protect members from poor outcomes. Products will be allowed to receive new members again if </w:t>
      </w:r>
      <w:r w:rsidR="00A70C8C">
        <w:t>their performance improves</w:t>
      </w:r>
      <w:r>
        <w:t xml:space="preserve">. </w:t>
      </w:r>
    </w:p>
    <w:p w14:paraId="3DF5C1D4" w14:textId="77777777" w:rsidR="003A4C1B" w:rsidRDefault="00205DE0">
      <w:r>
        <w:t>As part of APRA’s supervision, trustees of funds that are underperforming and closed to new members will need to justify how they are meeting their obligations to existing members if they do not merge or improve their performance.</w:t>
      </w:r>
    </w:p>
    <w:p w14:paraId="1819B09E" w14:textId="77777777" w:rsidR="003A4C1B" w:rsidRDefault="00205DE0">
      <w:pPr>
        <w:pStyle w:val="Heading1"/>
      </w:pPr>
      <w:bookmarkStart w:id="193" w:name="_Toc52472740"/>
      <w:bookmarkStart w:id="194" w:name="_Toc52470927"/>
      <w:bookmarkStart w:id="195" w:name="_Toc52472816"/>
      <w:bookmarkStart w:id="196" w:name="_Toc52474235"/>
      <w:bookmarkStart w:id="197" w:name="_Toc52471867"/>
      <w:bookmarkStart w:id="198" w:name="_Toc53397859"/>
      <w:r>
        <w:t>Increasing transparency and accountability</w:t>
      </w:r>
      <w:bookmarkEnd w:id="193"/>
      <w:bookmarkEnd w:id="194"/>
      <w:bookmarkEnd w:id="195"/>
      <w:bookmarkEnd w:id="196"/>
      <w:bookmarkEnd w:id="197"/>
      <w:bookmarkEnd w:id="198"/>
      <w:r>
        <w:t xml:space="preserve"> </w:t>
      </w:r>
    </w:p>
    <w:p w14:paraId="2C9965A1" w14:textId="77777777" w:rsidR="003A4C1B" w:rsidRDefault="00205DE0">
      <w:pPr>
        <w:pStyle w:val="Heading2"/>
      </w:pPr>
      <w:bookmarkStart w:id="199" w:name="_heading=h.cppy6li93l88" w:colFirst="0" w:colLast="0"/>
      <w:bookmarkStart w:id="200" w:name="_Toc52313258"/>
      <w:bookmarkStart w:id="201" w:name="_Toc52472741"/>
      <w:bookmarkStart w:id="202" w:name="_Toc52470928"/>
      <w:bookmarkStart w:id="203" w:name="_Toc52472817"/>
      <w:bookmarkStart w:id="204" w:name="_Toc52474204"/>
      <w:bookmarkStart w:id="205" w:name="_Toc52474236"/>
      <w:bookmarkStart w:id="206" w:name="_Toc52471868"/>
      <w:bookmarkStart w:id="207" w:name="_Toc53397860"/>
      <w:bookmarkEnd w:id="199"/>
      <w:r>
        <w:t>The objective</w:t>
      </w:r>
      <w:bookmarkEnd w:id="200"/>
      <w:bookmarkEnd w:id="201"/>
      <w:bookmarkEnd w:id="202"/>
      <w:bookmarkEnd w:id="203"/>
      <w:bookmarkEnd w:id="204"/>
      <w:bookmarkEnd w:id="205"/>
      <w:bookmarkEnd w:id="206"/>
      <w:bookmarkEnd w:id="207"/>
    </w:p>
    <w:p w14:paraId="13DCAF3A" w14:textId="55645982" w:rsidR="003A4C1B" w:rsidRDefault="00205DE0">
      <w:pPr>
        <w:spacing w:before="0"/>
      </w:pPr>
      <w:r>
        <w:t>To ensure trustees only us</w:t>
      </w:r>
      <w:r w:rsidR="00C951B5">
        <w:t>e</w:t>
      </w:r>
      <w:r>
        <w:t xml:space="preserve"> members’ </w:t>
      </w:r>
      <w:r w:rsidRPr="006A1438">
        <w:t xml:space="preserve">money </w:t>
      </w:r>
      <w:r w:rsidRPr="00487784">
        <w:t xml:space="preserve">to </w:t>
      </w:r>
      <w:r w:rsidRPr="006A1438">
        <w:t>maximise</w:t>
      </w:r>
      <w:r>
        <w:t xml:space="preserve"> </w:t>
      </w:r>
      <w:r w:rsidR="00F63BDF">
        <w:t xml:space="preserve">members’ </w:t>
      </w:r>
      <w:r>
        <w:t xml:space="preserve">retirement savings.  </w:t>
      </w:r>
    </w:p>
    <w:tbl>
      <w:tblPr>
        <w:tblW w:w="9072" w:type="dxa"/>
        <w:tblLayout w:type="fixed"/>
        <w:tblCellMar>
          <w:left w:w="115" w:type="dxa"/>
          <w:right w:w="115" w:type="dxa"/>
        </w:tblCellMar>
        <w:tblLook w:val="0000" w:firstRow="0" w:lastRow="0" w:firstColumn="0" w:lastColumn="0" w:noHBand="0" w:noVBand="0"/>
      </w:tblPr>
      <w:tblGrid>
        <w:gridCol w:w="9072"/>
      </w:tblGrid>
      <w:tr w:rsidR="003A4C1B" w14:paraId="71127EC8" w14:textId="77777777">
        <w:tc>
          <w:tcPr>
            <w:tcW w:w="9072" w:type="dxa"/>
            <w:shd w:val="clear" w:color="auto" w:fill="E3E7F0"/>
          </w:tcPr>
          <w:p w14:paraId="143B0077" w14:textId="77777777" w:rsidR="003A4C1B" w:rsidRDefault="00205DE0">
            <w:pPr>
              <w:keepNext/>
              <w:pBdr>
                <w:top w:val="nil"/>
                <w:left w:val="nil"/>
                <w:bottom w:val="nil"/>
                <w:right w:val="nil"/>
                <w:between w:val="nil"/>
              </w:pBdr>
              <w:spacing w:before="240"/>
              <w:rPr>
                <w:b/>
                <w:color w:val="004A7F"/>
                <w:sz w:val="26"/>
                <w:szCs w:val="26"/>
              </w:rPr>
            </w:pPr>
            <w:r>
              <w:rPr>
                <w:b/>
                <w:color w:val="004A7F"/>
                <w:sz w:val="26"/>
                <w:szCs w:val="26"/>
              </w:rPr>
              <w:t xml:space="preserve">Increasing </w:t>
            </w:r>
            <w:r w:rsidR="00E01810">
              <w:rPr>
                <w:b/>
                <w:color w:val="004A7F"/>
                <w:sz w:val="26"/>
                <w:szCs w:val="26"/>
              </w:rPr>
              <w:t>t</w:t>
            </w:r>
            <w:r>
              <w:rPr>
                <w:b/>
                <w:color w:val="004A7F"/>
                <w:sz w:val="26"/>
                <w:szCs w:val="26"/>
              </w:rPr>
              <w:t xml:space="preserve">rustee accountability </w:t>
            </w:r>
          </w:p>
          <w:p w14:paraId="368D9824" w14:textId="77777777" w:rsidR="003A4C1B" w:rsidRDefault="00205DE0" w:rsidP="00D647BA">
            <w:r>
              <w:t xml:space="preserve">The Government will legislate to compel superannuation trustees to act in the </w:t>
            </w:r>
            <w:r w:rsidRPr="00AB6A43">
              <w:t>best financial interest</w:t>
            </w:r>
            <w:r w:rsidR="00FF6A77">
              <w:t>s</w:t>
            </w:r>
            <w:r>
              <w:t xml:space="preserve"> of their members.  </w:t>
            </w:r>
          </w:p>
        </w:tc>
      </w:tr>
    </w:tbl>
    <w:p w14:paraId="6D96B976" w14:textId="68AA9E3A" w:rsidR="003A4C1B" w:rsidRDefault="00EC09AB" w:rsidP="00A56F53">
      <w:r>
        <w:t xml:space="preserve">This measure will remove ambiguity on how superannuation trustees should be spending members’ money. </w:t>
      </w:r>
      <w:r w:rsidR="00895870">
        <w:t>As the Productivity Commission identified, unfortunately the culture of some superannuation funds has drifted away from the sole responsibility that they have as custodians of members’ money</w:t>
      </w:r>
      <w:r>
        <w:t>.</w:t>
      </w:r>
      <w:r>
        <w:rPr>
          <w:rStyle w:val="EndnoteReference"/>
        </w:rPr>
        <w:endnoteReference w:id="34"/>
      </w:r>
      <w:r>
        <w:t xml:space="preserve"> </w:t>
      </w:r>
      <w:r w:rsidR="00205DE0">
        <w:t>Consistent with the recommendation of the P</w:t>
      </w:r>
      <w:r w:rsidR="00835245">
        <w:t>roductivity Commission</w:t>
      </w:r>
      <w:r w:rsidR="004F7851">
        <w:t xml:space="preserve"> to clarify what it means for a trustee to act in members’ best interests</w:t>
      </w:r>
      <w:r w:rsidR="00205DE0">
        <w:t xml:space="preserve">, the Government </w:t>
      </w:r>
      <w:r w:rsidR="00205DE0" w:rsidRPr="00AB6A43">
        <w:t xml:space="preserve">will </w:t>
      </w:r>
      <w:r w:rsidR="00205DE0">
        <w:t xml:space="preserve">put beyond doubt that trustees must act </w:t>
      </w:r>
      <w:r w:rsidR="00205DE0">
        <w:lastRenderedPageBreak/>
        <w:t>in the best financial interest</w:t>
      </w:r>
      <w:r w:rsidR="00FF6A77">
        <w:t>s</w:t>
      </w:r>
      <w:r w:rsidR="00205DE0">
        <w:t xml:space="preserve"> of members. </w:t>
      </w:r>
      <w:r w:rsidR="00205DE0" w:rsidRPr="00AB6A43">
        <w:t xml:space="preserve">It will also </w:t>
      </w:r>
      <w:r w:rsidR="00EA1F30" w:rsidRPr="00AB6A43">
        <w:t xml:space="preserve">give effect to </w:t>
      </w:r>
      <w:r w:rsidR="00205DE0" w:rsidRPr="00AB6A43">
        <w:t xml:space="preserve">the </w:t>
      </w:r>
      <w:r w:rsidR="00EA1F30" w:rsidRPr="00AB6A43">
        <w:t xml:space="preserve">statement in the Explanatory Memorandum to the </w:t>
      </w:r>
      <w:r w:rsidR="00205DE0" w:rsidRPr="00AB6A43">
        <w:rPr>
          <w:i/>
        </w:rPr>
        <w:t xml:space="preserve">Superannuation Legislation Amendment (MySuper Core Provisions) Act </w:t>
      </w:r>
      <w:r w:rsidR="00335CA2" w:rsidRPr="00AB6A43">
        <w:rPr>
          <w:i/>
        </w:rPr>
        <w:t>201</w:t>
      </w:r>
      <w:r w:rsidR="00335CA2">
        <w:rPr>
          <w:i/>
        </w:rPr>
        <w:t>2</w:t>
      </w:r>
      <w:r w:rsidR="00335CA2" w:rsidRPr="00AB6A43">
        <w:rPr>
          <w:i/>
        </w:rPr>
        <w:t xml:space="preserve"> </w:t>
      </w:r>
      <w:r w:rsidR="00EA1F30" w:rsidRPr="00AB6A43">
        <w:t>that</w:t>
      </w:r>
      <w:r w:rsidR="00205DE0" w:rsidRPr="00AB6A43">
        <w:t xml:space="preserve"> “RSE</w:t>
      </w:r>
      <w:r w:rsidR="00A15CB2">
        <w:t xml:space="preserve"> [Registrable Superannuation Entity]</w:t>
      </w:r>
      <w:r w:rsidR="00205DE0" w:rsidRPr="00AB6A43">
        <w:t xml:space="preserve"> licensees will have a heightened obligation to act in the best financial interests of members that accept the default option.”</w:t>
      </w:r>
    </w:p>
    <w:p w14:paraId="5A71EB6D" w14:textId="77777777" w:rsidR="003A4C1B" w:rsidRDefault="00804E5C">
      <w:r>
        <w:t>In addition to strengthening the duty owed by trustees</w:t>
      </w:r>
      <w:r w:rsidR="00205DE0">
        <w:t xml:space="preserve">, </w:t>
      </w:r>
      <w:r w:rsidR="00205DE0" w:rsidDel="00804E5C">
        <w:t xml:space="preserve">the </w:t>
      </w:r>
      <w:r w:rsidR="00205DE0">
        <w:t xml:space="preserve">onus on demonstrating compliance with the new duty </w:t>
      </w:r>
      <w:r w:rsidR="00BE61CF">
        <w:t xml:space="preserve">will be reversed so that </w:t>
      </w:r>
      <w:r w:rsidR="00205DE0">
        <w:t>trustee</w:t>
      </w:r>
      <w:r w:rsidR="00FF6A77">
        <w:t>s</w:t>
      </w:r>
      <w:r w:rsidR="00205DE0">
        <w:t xml:space="preserve"> </w:t>
      </w:r>
      <w:r w:rsidR="00BE61CF">
        <w:t xml:space="preserve">must </w:t>
      </w:r>
      <w:r w:rsidR="00205DE0">
        <w:t xml:space="preserve">establish that there was a reasonable basis to support </w:t>
      </w:r>
      <w:r w:rsidR="00BE61CF">
        <w:t>their actions</w:t>
      </w:r>
      <w:r w:rsidR="00205DE0">
        <w:t xml:space="preserve"> being </w:t>
      </w:r>
      <w:r w:rsidR="00BE61CF">
        <w:t xml:space="preserve">consistent </w:t>
      </w:r>
      <w:r w:rsidR="00B530AD">
        <w:t>with members’ best financial interest</w:t>
      </w:r>
      <w:r w:rsidR="00244B1C">
        <w:t>s</w:t>
      </w:r>
      <w:r w:rsidR="00B530AD">
        <w:t xml:space="preserve">.  </w:t>
      </w:r>
    </w:p>
    <w:p w14:paraId="5F61910F" w14:textId="7484FC4C" w:rsidR="003614C3" w:rsidRDefault="00205DE0" w:rsidP="003614C3">
      <w:r>
        <w:t>To ensure that the best financial interest</w:t>
      </w:r>
      <w:r w:rsidR="00FF6A77">
        <w:t>s</w:t>
      </w:r>
      <w:r>
        <w:t xml:space="preserve"> duty is complied with by superannuation funds these changes will be accompanied by </w:t>
      </w:r>
      <w:r w:rsidRPr="00AB6A43">
        <w:t>anti-avoidance measures</w:t>
      </w:r>
      <w:r w:rsidR="003614C3">
        <w:t xml:space="preserve">, to ensure payments from the superannuation fund to a third party </w:t>
      </w:r>
      <w:r w:rsidR="00EA1F30">
        <w:t>(</w:t>
      </w:r>
      <w:r w:rsidR="003614C3">
        <w:t xml:space="preserve">including </w:t>
      </w:r>
      <w:r w:rsidR="00D647BA">
        <w:t xml:space="preserve">an </w:t>
      </w:r>
      <w:r w:rsidRPr="00D77DF1">
        <w:t xml:space="preserve">interposed or </w:t>
      </w:r>
      <w:r w:rsidR="003614C3">
        <w:t xml:space="preserve">a related </w:t>
      </w:r>
      <w:r w:rsidR="00705A4E">
        <w:t>entity</w:t>
      </w:r>
      <w:r w:rsidR="00D647BA">
        <w:t>)</w:t>
      </w:r>
      <w:r w:rsidR="003614C3">
        <w:t xml:space="preserve"> do not undermine the intent of the changes.</w:t>
      </w:r>
      <w:r w:rsidRPr="00D77DF1">
        <w:t xml:space="preserve">  </w:t>
      </w:r>
    </w:p>
    <w:p w14:paraId="3D06CBD5" w14:textId="77777777" w:rsidR="003A4C1B" w:rsidRDefault="00205DE0">
      <w:r>
        <w:t>No materiality threshold will apply to the new duty.</w:t>
      </w:r>
    </w:p>
    <w:p w14:paraId="48C68CFC" w14:textId="55745F76" w:rsidR="003A4C1B" w:rsidRDefault="00205DE0">
      <w:r>
        <w:t xml:space="preserve">The implementation of this reform will give effect to recommendation </w:t>
      </w:r>
      <w:r w:rsidR="00665267">
        <w:t>22</w:t>
      </w:r>
      <w:r>
        <w:t xml:space="preserve"> of the Productivity Commission</w:t>
      </w:r>
      <w:r w:rsidR="00DF200E">
        <w:t xml:space="preserve"> Superannuation</w:t>
      </w:r>
      <w:r>
        <w:t xml:space="preserve"> Inquiry. </w:t>
      </w:r>
    </w:p>
    <w:p w14:paraId="041B7AE3" w14:textId="77777777" w:rsidR="003A4C1B" w:rsidRDefault="00205DE0">
      <w:r>
        <w:rPr>
          <w:color w:val="336E98"/>
          <w:sz w:val="26"/>
          <w:szCs w:val="26"/>
        </w:rPr>
        <w:t>Consequences</w:t>
      </w:r>
    </w:p>
    <w:p w14:paraId="2D461A0D" w14:textId="3CB45132" w:rsidR="003A4C1B" w:rsidRDefault="00205DE0">
      <w:r>
        <w:t xml:space="preserve">The </w:t>
      </w:r>
      <w:r w:rsidR="003143C6">
        <w:t>penalty</w:t>
      </w:r>
      <w:r>
        <w:t xml:space="preserve"> provisions introduced by the Government under the </w:t>
      </w:r>
      <w:r>
        <w:rPr>
          <w:i/>
        </w:rPr>
        <w:t>Treasury Laws Amendment (Improving Accountability and Member Outcomes in Superannuation Measures No. 1) Act 2019</w:t>
      </w:r>
      <w:r>
        <w:t xml:space="preserve"> will apply </w:t>
      </w:r>
      <w:r w:rsidR="007A2378">
        <w:t xml:space="preserve">for breaches of </w:t>
      </w:r>
      <w:r>
        <w:t>the new duty for both the trustee and individual directors.</w:t>
      </w:r>
    </w:p>
    <w:p w14:paraId="7562386A" w14:textId="77777777" w:rsidR="003A4C1B" w:rsidRDefault="003A4C1B"/>
    <w:tbl>
      <w:tblPr>
        <w:tblW w:w="9072" w:type="dxa"/>
        <w:tblBorders>
          <w:top w:val="single" w:sz="8" w:space="0" w:color="3A6FAF" w:themeColor="accent2"/>
          <w:left w:val="single" w:sz="8" w:space="0" w:color="3A6FAF" w:themeColor="accent2"/>
          <w:bottom w:val="single" w:sz="8" w:space="0" w:color="3A6FAF" w:themeColor="accent2"/>
          <w:right w:val="single" w:sz="8" w:space="0" w:color="3A6FAF" w:themeColor="accent2"/>
        </w:tblBorders>
        <w:tblLayout w:type="fixed"/>
        <w:tblCellMar>
          <w:left w:w="115" w:type="dxa"/>
          <w:right w:w="115" w:type="dxa"/>
        </w:tblCellMar>
        <w:tblLook w:val="0400" w:firstRow="0" w:lastRow="0" w:firstColumn="0" w:lastColumn="0" w:noHBand="0" w:noVBand="1"/>
      </w:tblPr>
      <w:tblGrid>
        <w:gridCol w:w="9072"/>
      </w:tblGrid>
      <w:tr w:rsidR="003A4C1B" w14:paraId="330A10E7" w14:textId="77777777" w:rsidTr="00884CB1">
        <w:tc>
          <w:tcPr>
            <w:tcW w:w="9072" w:type="dxa"/>
            <w:shd w:val="clear" w:color="auto" w:fill="auto"/>
          </w:tcPr>
          <w:p w14:paraId="541B3697" w14:textId="6C9BD184" w:rsidR="003A4C1B" w:rsidRDefault="00205DE0" w:rsidP="00FF6A77">
            <w:pPr>
              <w:keepNext/>
              <w:spacing w:before="240"/>
              <w:rPr>
                <w:b/>
                <w:color w:val="004A7F"/>
                <w:sz w:val="26"/>
                <w:szCs w:val="26"/>
              </w:rPr>
            </w:pPr>
            <w:r>
              <w:rPr>
                <w:b/>
                <w:color w:val="004A7F"/>
                <w:sz w:val="26"/>
                <w:szCs w:val="26"/>
              </w:rPr>
              <w:t xml:space="preserve">Case study </w:t>
            </w:r>
            <w:r w:rsidR="004A7407" w:rsidRPr="00877831">
              <w:rPr>
                <w:b/>
                <w:color w:val="004A7F"/>
                <w:sz w:val="26"/>
                <w:szCs w:val="26"/>
              </w:rPr>
              <w:t>2</w:t>
            </w:r>
            <w:r w:rsidRPr="004A7407">
              <w:rPr>
                <w:b/>
                <w:color w:val="004A7F"/>
                <w:sz w:val="26"/>
                <w:szCs w:val="26"/>
              </w:rPr>
              <w:t>:</w:t>
            </w:r>
            <w:r>
              <w:rPr>
                <w:b/>
                <w:color w:val="004A7F"/>
                <w:sz w:val="26"/>
                <w:szCs w:val="26"/>
              </w:rPr>
              <w:t xml:space="preserve"> </w:t>
            </w:r>
            <w:r w:rsidRPr="00D775CC">
              <w:rPr>
                <w:b/>
                <w:i/>
                <w:color w:val="004A7F"/>
                <w:sz w:val="26"/>
                <w:szCs w:val="26"/>
              </w:rPr>
              <w:t>Your Future, Your Super</w:t>
            </w:r>
            <w:r>
              <w:rPr>
                <w:b/>
                <w:color w:val="004A7F"/>
                <w:sz w:val="26"/>
                <w:szCs w:val="26"/>
              </w:rPr>
              <w:t xml:space="preserve"> will ensure superannuation funds are more accountable </w:t>
            </w:r>
            <w:r w:rsidR="00FF6A77">
              <w:rPr>
                <w:b/>
                <w:color w:val="004A7F"/>
                <w:sz w:val="26"/>
                <w:szCs w:val="26"/>
              </w:rPr>
              <w:t xml:space="preserve">for </w:t>
            </w:r>
            <w:r>
              <w:rPr>
                <w:b/>
                <w:color w:val="004A7F"/>
                <w:sz w:val="26"/>
                <w:szCs w:val="26"/>
              </w:rPr>
              <w:t>how they spend your money</w:t>
            </w:r>
          </w:p>
        </w:tc>
      </w:tr>
      <w:tr w:rsidR="003A4C1B" w14:paraId="146031FE" w14:textId="77777777" w:rsidTr="00884CB1">
        <w:tc>
          <w:tcPr>
            <w:tcW w:w="9072" w:type="dxa"/>
            <w:shd w:val="clear" w:color="auto" w:fill="auto"/>
          </w:tcPr>
          <w:p w14:paraId="243743CA" w14:textId="1E9B4EB7" w:rsidR="003A4C1B" w:rsidRDefault="003E19EC">
            <w:pPr>
              <w:spacing w:after="0"/>
            </w:pPr>
            <w:r>
              <w:t xml:space="preserve">Backhill </w:t>
            </w:r>
            <w:r w:rsidR="00205DE0">
              <w:t xml:space="preserve">Superannuation Fund decided to fund a television marketing campaign to promote their fund, spending $5 million of members’ money. </w:t>
            </w:r>
            <w:r>
              <w:t>Backhill</w:t>
            </w:r>
            <w:r w:rsidR="00205DE0">
              <w:t xml:space="preserve"> </w:t>
            </w:r>
            <w:r w:rsidR="00FF6A77">
              <w:t xml:space="preserve">Superannuation Fund </w:t>
            </w:r>
            <w:r w:rsidR="00205DE0">
              <w:t xml:space="preserve">argues that spending the money will </w:t>
            </w:r>
            <w:r w:rsidR="00FF6A77">
              <w:t xml:space="preserve">lead to </w:t>
            </w:r>
            <w:r w:rsidR="00205DE0">
              <w:t xml:space="preserve">an increase </w:t>
            </w:r>
            <w:r w:rsidR="00FF6A77">
              <w:t xml:space="preserve">in </w:t>
            </w:r>
            <w:r w:rsidR="00205DE0">
              <w:t>the number of members by 5,000. As a result of the increase in members, the trustee believes that this will allow them to reduce their fees by 0.01 </w:t>
            </w:r>
            <w:r w:rsidR="00E710B3">
              <w:t>percentage</w:t>
            </w:r>
            <w:r w:rsidR="00E34936">
              <w:t> </w:t>
            </w:r>
            <w:r w:rsidR="00E710B3">
              <w:t xml:space="preserve">points </w:t>
            </w:r>
            <w:r w:rsidR="00205DE0">
              <w:t>by spreading the fixed costs of the fund across more members. However, following the campaign no decline in fees results.</w:t>
            </w:r>
          </w:p>
          <w:p w14:paraId="77305600" w14:textId="143A4360" w:rsidR="003A4C1B" w:rsidRDefault="00205DE0" w:rsidP="00901F4C">
            <w:pPr>
              <w:spacing w:after="0"/>
            </w:pPr>
            <w:r>
              <w:t xml:space="preserve">APRA </w:t>
            </w:r>
            <w:r w:rsidR="00B77F26">
              <w:t>undertakes an</w:t>
            </w:r>
            <w:r>
              <w:t xml:space="preserve"> audit </w:t>
            </w:r>
            <w:r w:rsidR="00B77F26">
              <w:t xml:space="preserve">of </w:t>
            </w:r>
            <w:r w:rsidR="003E19EC">
              <w:t>Backhill</w:t>
            </w:r>
            <w:r>
              <w:t xml:space="preserve"> Superannuation Fund. It asks for information to justify why the marketing campaign was in the </w:t>
            </w:r>
            <w:r w:rsidRPr="0082749C">
              <w:t xml:space="preserve">best </w:t>
            </w:r>
            <w:r w:rsidR="00EA2BBE" w:rsidRPr="0082749C">
              <w:t xml:space="preserve">financial </w:t>
            </w:r>
            <w:r w:rsidRPr="0082749C">
              <w:t>interest</w:t>
            </w:r>
            <w:r w:rsidR="00901F4C">
              <w:t>s</w:t>
            </w:r>
            <w:r>
              <w:t xml:space="preserve"> of </w:t>
            </w:r>
            <w:r w:rsidR="00901F4C">
              <w:t xml:space="preserve">its </w:t>
            </w:r>
            <w:r>
              <w:t>members. The trustee produce</w:t>
            </w:r>
            <w:r w:rsidR="00901F4C">
              <w:t>s</w:t>
            </w:r>
            <w:r>
              <w:t xml:space="preserve"> detailed analysis that show</w:t>
            </w:r>
            <w:r w:rsidR="00901F4C">
              <w:t>s</w:t>
            </w:r>
            <w:r>
              <w:t xml:space="preserve"> previous campaigns delivered </w:t>
            </w:r>
            <w:r w:rsidR="00B32DBA">
              <w:t xml:space="preserve">the </w:t>
            </w:r>
            <w:r>
              <w:t xml:space="preserve">increase in members. The trustee </w:t>
            </w:r>
            <w:r w:rsidR="00901F4C">
              <w:t xml:space="preserve">is </w:t>
            </w:r>
            <w:r>
              <w:t>also able to produce evidence of unforeseeable events that undermine</w:t>
            </w:r>
            <w:r w:rsidR="00665E6E">
              <w:t>d</w:t>
            </w:r>
            <w:r>
              <w:t xml:space="preserve"> the effectiveness of the campaign. APRA </w:t>
            </w:r>
            <w:r w:rsidR="00901F4C">
              <w:t>i</w:t>
            </w:r>
            <w:r>
              <w:t xml:space="preserve">s satisfied that at the time of making the decision to proceed with the marketing campaign the fund had acted reasonably in forming the view that the expenditure was in the </w:t>
            </w:r>
            <w:r w:rsidRPr="00433797">
              <w:t xml:space="preserve">best </w:t>
            </w:r>
            <w:r w:rsidR="00EA2BBE" w:rsidRPr="0082749C">
              <w:t xml:space="preserve">financial </w:t>
            </w:r>
            <w:r w:rsidRPr="0082749C">
              <w:t>interest</w:t>
            </w:r>
            <w:r w:rsidR="00901F4C">
              <w:t>s</w:t>
            </w:r>
            <w:r>
              <w:t xml:space="preserve"> of</w:t>
            </w:r>
            <w:r w:rsidR="00901F4C">
              <w:t xml:space="preserve"> its</w:t>
            </w:r>
            <w:r>
              <w:t xml:space="preserve"> members.</w:t>
            </w:r>
          </w:p>
        </w:tc>
      </w:tr>
    </w:tbl>
    <w:p w14:paraId="496A97A4" w14:textId="77777777" w:rsidR="003A4C1B" w:rsidRDefault="003A4C1B">
      <w:pPr>
        <w:spacing w:before="0" w:after="0"/>
      </w:pPr>
    </w:p>
    <w:tbl>
      <w:tblPr>
        <w:tblW w:w="9072" w:type="dxa"/>
        <w:tblBorders>
          <w:top w:val="single" w:sz="4" w:space="0" w:color="4FBCFF"/>
          <w:left w:val="single" w:sz="4" w:space="0" w:color="4FBCFF"/>
          <w:bottom w:val="single" w:sz="4" w:space="0" w:color="4FBCFF"/>
          <w:right w:val="single" w:sz="4" w:space="0" w:color="4FBCFF"/>
          <w:insideH w:val="single" w:sz="4" w:space="0" w:color="4FBCFF"/>
          <w:insideV w:val="single" w:sz="4" w:space="0" w:color="4FBCFF"/>
        </w:tblBorders>
        <w:tblLayout w:type="fixed"/>
        <w:tblCellMar>
          <w:left w:w="115" w:type="dxa"/>
          <w:right w:w="115" w:type="dxa"/>
        </w:tblCellMar>
        <w:tblLook w:val="0400" w:firstRow="0" w:lastRow="0" w:firstColumn="0" w:lastColumn="0" w:noHBand="0" w:noVBand="1"/>
      </w:tblPr>
      <w:tblGrid>
        <w:gridCol w:w="9072"/>
      </w:tblGrid>
      <w:tr w:rsidR="003A4C1B" w14:paraId="4A5F2165" w14:textId="77777777">
        <w:tc>
          <w:tcPr>
            <w:tcW w:w="9072" w:type="dxa"/>
            <w:tcBorders>
              <w:top w:val="nil"/>
              <w:left w:val="nil"/>
              <w:bottom w:val="nil"/>
              <w:right w:val="nil"/>
            </w:tcBorders>
            <w:shd w:val="clear" w:color="auto" w:fill="E3E7F0"/>
          </w:tcPr>
          <w:p w14:paraId="07EC0192" w14:textId="77777777" w:rsidR="003A4C1B" w:rsidRDefault="00205DE0">
            <w:pPr>
              <w:keepNext/>
              <w:spacing w:before="240"/>
              <w:rPr>
                <w:b/>
                <w:color w:val="004A7F"/>
                <w:sz w:val="26"/>
                <w:szCs w:val="26"/>
              </w:rPr>
            </w:pPr>
            <w:bookmarkStart w:id="208" w:name="_heading=h.nh0aq76aj04" w:colFirst="0" w:colLast="0"/>
            <w:bookmarkEnd w:id="208"/>
            <w:r>
              <w:rPr>
                <w:b/>
                <w:color w:val="004A7F"/>
                <w:sz w:val="26"/>
                <w:szCs w:val="26"/>
              </w:rPr>
              <w:t xml:space="preserve">Providing further transparency on how trustees are spending your money </w:t>
            </w:r>
          </w:p>
          <w:p w14:paraId="0404E202" w14:textId="77777777" w:rsidR="003A4C1B" w:rsidRDefault="00205DE0" w:rsidP="003143C6">
            <w:r>
              <w:t xml:space="preserve">The Government will require your superannuation fund to provide you with better information regarding </w:t>
            </w:r>
            <w:r w:rsidRPr="00433797">
              <w:t xml:space="preserve">how </w:t>
            </w:r>
            <w:r w:rsidR="00E01810" w:rsidRPr="0082749C">
              <w:t>they</w:t>
            </w:r>
            <w:r w:rsidR="003143C6" w:rsidRPr="0082749C">
              <w:t xml:space="preserve"> manage and spend</w:t>
            </w:r>
            <w:r w:rsidRPr="0082749C">
              <w:t xml:space="preserve"> your money</w:t>
            </w:r>
            <w:r>
              <w:t xml:space="preserve"> </w:t>
            </w:r>
            <w:r w:rsidR="00D01049">
              <w:t xml:space="preserve">in advance of </w:t>
            </w:r>
            <w:r>
              <w:t xml:space="preserve">the Annual Members’ Meeting. </w:t>
            </w:r>
          </w:p>
        </w:tc>
      </w:tr>
    </w:tbl>
    <w:p w14:paraId="3E910226" w14:textId="46BB6213" w:rsidR="003A4C1B" w:rsidRDefault="00205DE0" w:rsidP="0089157E">
      <w:r>
        <w:t xml:space="preserve">Member engagement will be improved if members receive simpler and clearer information about how </w:t>
      </w:r>
      <w:r w:rsidR="003143C6" w:rsidRPr="0082749C">
        <w:t>funds manage and spend member</w:t>
      </w:r>
      <w:r w:rsidR="00CA5719">
        <w:t>s’</w:t>
      </w:r>
      <w:r w:rsidRPr="0082749C">
        <w:t xml:space="preserve"> money</w:t>
      </w:r>
      <w:r>
        <w:t xml:space="preserve">. This information will allow them to assess the decisions the trustee has made on their behalf. </w:t>
      </w:r>
    </w:p>
    <w:p w14:paraId="5C0C3934" w14:textId="77777777" w:rsidR="003A4C1B" w:rsidRDefault="00205DE0" w:rsidP="00884CB1">
      <w:pPr>
        <w:pStyle w:val="Heading3"/>
      </w:pPr>
      <w:bookmarkStart w:id="209" w:name="_Toc52313259"/>
      <w:bookmarkStart w:id="210" w:name="_Toc52472742"/>
      <w:bookmarkStart w:id="211" w:name="_Toc52470929"/>
      <w:bookmarkStart w:id="212" w:name="_Toc52472818"/>
      <w:bookmarkStart w:id="213" w:name="_Toc52474205"/>
      <w:bookmarkStart w:id="214" w:name="_Toc52474237"/>
      <w:bookmarkStart w:id="215" w:name="_Toc52471869"/>
      <w:bookmarkStart w:id="216" w:name="_Toc53397861"/>
      <w:r>
        <w:lastRenderedPageBreak/>
        <w:t>How it will work</w:t>
      </w:r>
      <w:bookmarkEnd w:id="209"/>
      <w:bookmarkEnd w:id="210"/>
      <w:bookmarkEnd w:id="211"/>
      <w:bookmarkEnd w:id="212"/>
      <w:bookmarkEnd w:id="213"/>
      <w:bookmarkEnd w:id="214"/>
      <w:bookmarkEnd w:id="215"/>
      <w:bookmarkEnd w:id="216"/>
    </w:p>
    <w:p w14:paraId="5BFB7214" w14:textId="32F1538E" w:rsidR="003A4C1B" w:rsidRDefault="00205DE0">
      <w:r>
        <w:t xml:space="preserve">As part of the </w:t>
      </w:r>
      <w:r>
        <w:rPr>
          <w:i/>
        </w:rPr>
        <w:t>Treasury Laws Amendment (Improving Accountability and Member Outcomes in Superannuation Measures No. 1) Act 2019</w:t>
      </w:r>
      <w:r>
        <w:t>, superannuation funds are now required to hold Annual Members’ Meetings</w:t>
      </w:r>
      <w:r w:rsidR="0049706B">
        <w:t xml:space="preserve"> once a year</w:t>
      </w:r>
      <w:r>
        <w:t xml:space="preserve">. These meetings allow the trustee to explain how the </w:t>
      </w:r>
      <w:r w:rsidR="00F6097A">
        <w:t>f</w:t>
      </w:r>
      <w:r>
        <w:t xml:space="preserve">und has performed in the last financial year and answer any questions that members have. The Annual Members’ Meetings </w:t>
      </w:r>
      <w:r w:rsidR="00A56F53">
        <w:t xml:space="preserve">can </w:t>
      </w:r>
      <w:r>
        <w:t xml:space="preserve">be held digitally, which will allow more members to participate. </w:t>
      </w:r>
    </w:p>
    <w:p w14:paraId="58546293" w14:textId="4DC946A8" w:rsidR="003A4C1B" w:rsidRDefault="00205DE0">
      <w:r w:rsidRPr="00487AC5">
        <w:t>The Government will implement regulations that will require the notice of meetings to members to include the following:</w:t>
      </w:r>
      <w:r>
        <w:t xml:space="preserve"> </w:t>
      </w:r>
    </w:p>
    <w:p w14:paraId="38567E2A" w14:textId="77777777" w:rsidR="00DD07E7" w:rsidRDefault="00DD07E7" w:rsidP="00DD07E7">
      <w:pPr>
        <w:numPr>
          <w:ilvl w:val="0"/>
          <w:numId w:val="3"/>
        </w:numPr>
        <w:spacing w:before="240" w:after="240"/>
      </w:pPr>
      <w:r>
        <w:t>The annual report of the fund</w:t>
      </w:r>
      <w:r w:rsidR="00851F55">
        <w:t>.</w:t>
      </w:r>
    </w:p>
    <w:p w14:paraId="6932E626" w14:textId="3DA8764B" w:rsidR="00DD07E7" w:rsidRDefault="00DD07E7" w:rsidP="00DD07E7">
      <w:pPr>
        <w:numPr>
          <w:ilvl w:val="0"/>
          <w:numId w:val="3"/>
        </w:numPr>
        <w:spacing w:before="240" w:after="240"/>
      </w:pPr>
      <w:r>
        <w:t xml:space="preserve">The </w:t>
      </w:r>
      <w:r w:rsidR="00E86D4C">
        <w:t>annual</w:t>
      </w:r>
      <w:r>
        <w:t xml:space="preserve"> outcomes assessment funds are required to undertake</w:t>
      </w:r>
      <w:r w:rsidR="00851F55">
        <w:t>.</w:t>
      </w:r>
    </w:p>
    <w:p w14:paraId="60B4384A" w14:textId="77777777" w:rsidR="00E95E65" w:rsidRDefault="00E95E65" w:rsidP="00DD07E7">
      <w:pPr>
        <w:numPr>
          <w:ilvl w:val="0"/>
          <w:numId w:val="3"/>
        </w:numPr>
        <w:spacing w:before="240" w:after="240"/>
      </w:pPr>
      <w:r>
        <w:t>A copy of the most recent period</w:t>
      </w:r>
      <w:r w:rsidR="00E86D4C">
        <w:t>ic</w:t>
      </w:r>
      <w:r>
        <w:t xml:space="preserve"> statement for the member</w:t>
      </w:r>
      <w:r w:rsidR="00851F55">
        <w:t>.</w:t>
      </w:r>
    </w:p>
    <w:p w14:paraId="7CE04BB7" w14:textId="77777777" w:rsidR="00511E39" w:rsidRDefault="00DD07E7" w:rsidP="00DD07E7">
      <w:pPr>
        <w:numPr>
          <w:ilvl w:val="0"/>
          <w:numId w:val="3"/>
        </w:numPr>
        <w:spacing w:before="240" w:after="240"/>
      </w:pPr>
      <w:r>
        <w:t xml:space="preserve">A summary of each significant event or material change notice that superannuation funds </w:t>
      </w:r>
      <w:r w:rsidR="00E86D4C">
        <w:t>were</w:t>
      </w:r>
      <w:r>
        <w:t xml:space="preserve"> required to send under the </w:t>
      </w:r>
      <w:r>
        <w:rPr>
          <w:i/>
        </w:rPr>
        <w:t>Corporations Act 2001</w:t>
      </w:r>
      <w:r w:rsidR="00E86D4C">
        <w:t xml:space="preserve"> in the last financial year</w:t>
      </w:r>
      <w:r w:rsidR="00851F55">
        <w:t>.</w:t>
      </w:r>
    </w:p>
    <w:p w14:paraId="43C5ADB5" w14:textId="77777777" w:rsidR="003A4C1B" w:rsidRDefault="00205DE0">
      <w:pPr>
        <w:numPr>
          <w:ilvl w:val="0"/>
          <w:numId w:val="3"/>
        </w:numPr>
        <w:spacing w:before="240" w:after="240"/>
      </w:pPr>
      <w:r>
        <w:t>Remuneration of key executives</w:t>
      </w:r>
      <w:r w:rsidR="003143C6">
        <w:t>,</w:t>
      </w:r>
      <w:r w:rsidR="007C3D07">
        <w:t xml:space="preserve"> in line with ASX-listed companies</w:t>
      </w:r>
      <w:r w:rsidR="000B3506">
        <w:t xml:space="preserve"> </w:t>
      </w:r>
      <w:r w:rsidR="00DD218A">
        <w:t xml:space="preserve">along with </w:t>
      </w:r>
      <w:r w:rsidR="004E356F">
        <w:t xml:space="preserve">any related </w:t>
      </w:r>
      <w:r w:rsidR="008C4EE5">
        <w:t xml:space="preserve">entity </w:t>
      </w:r>
      <w:r w:rsidR="004E356F">
        <w:t>of the fund.</w:t>
      </w:r>
    </w:p>
    <w:p w14:paraId="11A5C6E8" w14:textId="77777777" w:rsidR="003A4C1B" w:rsidRDefault="00205DE0">
      <w:pPr>
        <w:numPr>
          <w:ilvl w:val="0"/>
          <w:numId w:val="3"/>
        </w:numPr>
        <w:spacing w:before="240" w:after="240"/>
      </w:pPr>
      <w:r>
        <w:t>Marketing expenditures</w:t>
      </w:r>
      <w:r w:rsidR="004E356F">
        <w:t xml:space="preserve"> relating to promoting the fund</w:t>
      </w:r>
      <w:r w:rsidR="009F3854">
        <w:t xml:space="preserve">, </w:t>
      </w:r>
      <w:r w:rsidR="004E356F">
        <w:t>either directly or indirectly.</w:t>
      </w:r>
    </w:p>
    <w:p w14:paraId="1FCC7711" w14:textId="77777777" w:rsidR="003A4C1B" w:rsidRDefault="008C4EE5">
      <w:pPr>
        <w:numPr>
          <w:ilvl w:val="0"/>
          <w:numId w:val="3"/>
        </w:numPr>
        <w:pBdr>
          <w:top w:val="nil"/>
          <w:left w:val="nil"/>
          <w:bottom w:val="nil"/>
          <w:right w:val="nil"/>
          <w:between w:val="nil"/>
        </w:pBdr>
        <w:spacing w:before="240" w:after="240"/>
      </w:pPr>
      <w:r>
        <w:t>P</w:t>
      </w:r>
      <w:r w:rsidR="00205DE0">
        <w:t xml:space="preserve">olitical </w:t>
      </w:r>
      <w:r w:rsidR="00A56F53">
        <w:t>d</w:t>
      </w:r>
      <w:r w:rsidR="00205DE0">
        <w:t>onations</w:t>
      </w:r>
      <w:r>
        <w:t>,</w:t>
      </w:r>
      <w:r w:rsidR="004E356F">
        <w:t xml:space="preserve"> either direct</w:t>
      </w:r>
      <w:r>
        <w:t>ly</w:t>
      </w:r>
      <w:r w:rsidR="004E356F">
        <w:t xml:space="preserve"> or indirect</w:t>
      </w:r>
      <w:r>
        <w:t>ly.</w:t>
      </w:r>
    </w:p>
    <w:p w14:paraId="02009747" w14:textId="77777777" w:rsidR="003A4C1B" w:rsidRDefault="004E356F">
      <w:pPr>
        <w:numPr>
          <w:ilvl w:val="0"/>
          <w:numId w:val="3"/>
        </w:numPr>
        <w:spacing w:before="240" w:after="240"/>
      </w:pPr>
      <w:r>
        <w:t>Sponsorships</w:t>
      </w:r>
      <w:r w:rsidRPr="004E356F">
        <w:t xml:space="preserve"> </w:t>
      </w:r>
      <w:r>
        <w:t>relating to promoting the fund, either directly or indirectly.</w:t>
      </w:r>
    </w:p>
    <w:p w14:paraId="6BB838EF" w14:textId="77777777" w:rsidR="003A4C1B" w:rsidRDefault="00205DE0">
      <w:pPr>
        <w:numPr>
          <w:ilvl w:val="0"/>
          <w:numId w:val="3"/>
        </w:numPr>
        <w:spacing w:before="240" w:after="240"/>
      </w:pPr>
      <w:r>
        <w:t>Payments to industry bodies</w:t>
      </w:r>
      <w:r w:rsidR="00511E39">
        <w:t xml:space="preserve"> or trade associations</w:t>
      </w:r>
      <w:r w:rsidR="008C4EE5">
        <w:t>,</w:t>
      </w:r>
      <w:r w:rsidR="00511E39">
        <w:t xml:space="preserve"> </w:t>
      </w:r>
      <w:r w:rsidR="004E356F">
        <w:t>either directly or indirectly</w:t>
      </w:r>
      <w:r w:rsidR="008C4EE5">
        <w:t>.</w:t>
      </w:r>
    </w:p>
    <w:p w14:paraId="156D273C" w14:textId="77777777" w:rsidR="004E356F" w:rsidRDefault="00205DE0" w:rsidP="004E356F">
      <w:pPr>
        <w:numPr>
          <w:ilvl w:val="0"/>
          <w:numId w:val="3"/>
        </w:numPr>
        <w:spacing w:before="240" w:after="240"/>
      </w:pPr>
      <w:r>
        <w:t xml:space="preserve">Related </w:t>
      </w:r>
      <w:r w:rsidR="00A56F53">
        <w:t>p</w:t>
      </w:r>
      <w:r>
        <w:t xml:space="preserve">arty </w:t>
      </w:r>
      <w:r w:rsidR="00A56F53">
        <w:t>t</w:t>
      </w:r>
      <w:r>
        <w:t>ransactions</w:t>
      </w:r>
      <w:r w:rsidR="004E356F">
        <w:t xml:space="preserve"> (including payments to non-investment entities)</w:t>
      </w:r>
      <w:r w:rsidR="00851F55">
        <w:t>.</w:t>
      </w:r>
    </w:p>
    <w:p w14:paraId="1786DD53" w14:textId="77777777" w:rsidR="004E356F" w:rsidRDefault="004E356F" w:rsidP="004E356F">
      <w:pPr>
        <w:spacing w:before="240" w:after="240"/>
      </w:pPr>
      <w:r>
        <w:t xml:space="preserve">Guidance will be provided to assist funds in presenting the information in a way that allows members to understand the information </w:t>
      </w:r>
      <w:r w:rsidR="009F1E88">
        <w:t xml:space="preserve">and </w:t>
      </w:r>
      <w:r w:rsidR="009947A4">
        <w:t>ensure</w:t>
      </w:r>
      <w:r w:rsidR="009F1E88">
        <w:t xml:space="preserve"> there is consistency across the industry.</w:t>
      </w:r>
    </w:p>
    <w:p w14:paraId="2BE5794B" w14:textId="77777777" w:rsidR="003A4C1B" w:rsidRPr="0089157E" w:rsidRDefault="00205DE0">
      <w:pPr>
        <w:pStyle w:val="Heading1"/>
        <w:rPr>
          <w:i/>
        </w:rPr>
      </w:pPr>
      <w:bookmarkStart w:id="217" w:name="_heading=h.88yy9zkow9nw" w:colFirst="0" w:colLast="0"/>
      <w:bookmarkStart w:id="218" w:name="_Toc52472743"/>
      <w:bookmarkStart w:id="219" w:name="_Toc52470930"/>
      <w:bookmarkStart w:id="220" w:name="_Toc52472819"/>
      <w:bookmarkStart w:id="221" w:name="_Toc52474238"/>
      <w:bookmarkStart w:id="222" w:name="_Toc52471870"/>
      <w:bookmarkStart w:id="223" w:name="_Toc53397862"/>
      <w:bookmarkEnd w:id="217"/>
      <w:r>
        <w:t xml:space="preserve">Measuring the benefits of </w:t>
      </w:r>
      <w:r w:rsidRPr="00487AC5">
        <w:rPr>
          <w:i/>
        </w:rPr>
        <w:t>Your Future, Your Super</w:t>
      </w:r>
      <w:bookmarkEnd w:id="218"/>
      <w:bookmarkEnd w:id="219"/>
      <w:bookmarkEnd w:id="220"/>
      <w:bookmarkEnd w:id="221"/>
      <w:bookmarkEnd w:id="222"/>
      <w:bookmarkEnd w:id="223"/>
    </w:p>
    <w:p w14:paraId="1D6AF84E" w14:textId="77777777" w:rsidR="003A4C1B" w:rsidRDefault="00205DE0">
      <w:r>
        <w:rPr>
          <w:i/>
        </w:rPr>
        <w:t xml:space="preserve">Your Future, Your Super </w:t>
      </w:r>
      <w:r>
        <w:t xml:space="preserve">will encourage competition between funds, remove unnecessary waste built into the system, and improve standards so funds focus on delivering better fund performance and minimise unnecessary expenditure. By giving Australians clear information on investment performance outcomes and making it easier to compare products, members will be empowered to make better choices about who they trust to invest their retirement savings. </w:t>
      </w:r>
    </w:p>
    <w:p w14:paraId="2BC49BCF" w14:textId="77777777" w:rsidR="003A4C1B" w:rsidRDefault="00205DE0">
      <w:r>
        <w:t xml:space="preserve">Through these changes, better performing superannuation products will grow and gain members. Underperforming products will be made more accountable to their existing members and will not be able to receive new members if they continue to underperform. </w:t>
      </w:r>
    </w:p>
    <w:p w14:paraId="309A1503" w14:textId="77777777" w:rsidR="00EA0937" w:rsidRDefault="00B60A93">
      <w:pPr>
        <w:spacing w:before="0" w:after="100" w:afterAutospacing="1"/>
        <w:contextualSpacing/>
        <w:jc w:val="center"/>
      </w:pPr>
      <w:r w:rsidRPr="00B60A93">
        <w:rPr>
          <w:noProof/>
        </w:rPr>
        <w:lastRenderedPageBreak/>
        <w:drawing>
          <wp:inline distT="0" distB="0" distL="0" distR="0" wp14:anchorId="651A3232" wp14:editId="3904A286">
            <wp:extent cx="2133600" cy="213967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53987" cy="2160123"/>
                    </a:xfrm>
                    <a:prstGeom prst="rect">
                      <a:avLst/>
                    </a:prstGeom>
                  </pic:spPr>
                </pic:pic>
              </a:graphicData>
            </a:graphic>
          </wp:inline>
        </w:drawing>
      </w:r>
      <w:r w:rsidR="00A144A9" w:rsidRPr="00A144A9">
        <w:rPr>
          <w:noProof/>
        </w:rPr>
        <w:drawing>
          <wp:inline distT="0" distB="0" distL="0" distR="0" wp14:anchorId="01DBB9E9" wp14:editId="6577E134">
            <wp:extent cx="2182253" cy="2142490"/>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200642" cy="2160544"/>
                    </a:xfrm>
                    <a:prstGeom prst="rect">
                      <a:avLst/>
                    </a:prstGeom>
                  </pic:spPr>
                </pic:pic>
              </a:graphicData>
            </a:graphic>
          </wp:inline>
        </w:drawing>
      </w:r>
    </w:p>
    <w:p w14:paraId="2224F280" w14:textId="77777777" w:rsidR="00A30B19" w:rsidRDefault="00E824D8">
      <w:pPr>
        <w:spacing w:before="0" w:after="100" w:afterAutospacing="1"/>
        <w:contextualSpacing/>
        <w:jc w:val="center"/>
      </w:pPr>
      <w:r w:rsidRPr="00E824D8">
        <w:rPr>
          <w:noProof/>
        </w:rPr>
        <w:drawing>
          <wp:inline distT="0" distB="0" distL="0" distR="0" wp14:anchorId="4307859F" wp14:editId="129E0DAA">
            <wp:extent cx="2142490" cy="232592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89197" cy="2376632"/>
                    </a:xfrm>
                    <a:prstGeom prst="rect">
                      <a:avLst/>
                    </a:prstGeom>
                  </pic:spPr>
                </pic:pic>
              </a:graphicData>
            </a:graphic>
          </wp:inline>
        </w:drawing>
      </w:r>
      <w:r w:rsidRPr="00E824D8">
        <w:rPr>
          <w:noProof/>
        </w:rPr>
        <w:drawing>
          <wp:inline distT="0" distB="0" distL="0" distR="0" wp14:anchorId="547EF19F" wp14:editId="250849D0">
            <wp:extent cx="2181860" cy="2318103"/>
            <wp:effectExtent l="0" t="0" r="889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05278" cy="2342984"/>
                    </a:xfrm>
                    <a:prstGeom prst="rect">
                      <a:avLst/>
                    </a:prstGeom>
                  </pic:spPr>
                </pic:pic>
              </a:graphicData>
            </a:graphic>
          </wp:inline>
        </w:drawing>
      </w:r>
    </w:p>
    <w:p w14:paraId="7E77ED3E" w14:textId="77777777" w:rsidR="003A4C1B" w:rsidRDefault="003A4C1B">
      <w:pPr>
        <w:jc w:val="center"/>
      </w:pPr>
    </w:p>
    <w:p w14:paraId="59D54E12" w14:textId="0783EC48" w:rsidR="003A4C1B" w:rsidRPr="00E151F9" w:rsidRDefault="00205DE0">
      <w:r>
        <w:t xml:space="preserve">The aggregate improvement in </w:t>
      </w:r>
      <w:r w:rsidRPr="00E151F9">
        <w:t xml:space="preserve">superannuation balances from the </w:t>
      </w:r>
      <w:r w:rsidRPr="00E151F9">
        <w:rPr>
          <w:i/>
        </w:rPr>
        <w:t xml:space="preserve">Your Future, Your Super </w:t>
      </w:r>
      <w:r w:rsidRPr="00E151F9">
        <w:t>package of reforms is estimated to be $</w:t>
      </w:r>
      <w:r w:rsidR="00BD4413">
        <w:t>17.9</w:t>
      </w:r>
      <w:r w:rsidRPr="00E151F9">
        <w:t xml:space="preserve"> billion over </w:t>
      </w:r>
      <w:r w:rsidR="00A43F55">
        <w:t>10 years</w:t>
      </w:r>
      <w:r w:rsidRPr="00E151F9">
        <w:t xml:space="preserve">. On an annual basis the reforms would be expected to benefit members by </w:t>
      </w:r>
      <w:r w:rsidR="00792856">
        <w:t xml:space="preserve">around </w:t>
      </w:r>
      <w:r w:rsidRPr="00E151F9">
        <w:t>$</w:t>
      </w:r>
      <w:r w:rsidR="00BD4413">
        <w:t>1.</w:t>
      </w:r>
      <w:r w:rsidR="00B77F26">
        <w:t>8</w:t>
      </w:r>
      <w:r w:rsidRPr="00E151F9">
        <w:t xml:space="preserve"> billion a year. Not progressing the reforms could cost Australian households </w:t>
      </w:r>
      <w:r w:rsidR="00372C31">
        <w:t xml:space="preserve">around </w:t>
      </w:r>
      <w:r w:rsidR="00792856">
        <w:t>$5 million per day</w:t>
      </w:r>
      <w:r w:rsidRPr="00E151F9">
        <w:t xml:space="preserve">. </w:t>
      </w:r>
    </w:p>
    <w:p w14:paraId="6720EDC4" w14:textId="77777777" w:rsidR="003A4C1B" w:rsidRPr="00E151F9" w:rsidRDefault="00205DE0">
      <w:r w:rsidRPr="00E151F9">
        <w:t xml:space="preserve">Each component of the Government’s policy package contributes to these benefits for Australians: </w:t>
      </w:r>
    </w:p>
    <w:p w14:paraId="754E6140" w14:textId="6B0C30B7" w:rsidR="003A4C1B" w:rsidRPr="00E151F9" w:rsidRDefault="00205DE0">
      <w:pPr>
        <w:numPr>
          <w:ilvl w:val="0"/>
          <w:numId w:val="2"/>
        </w:numPr>
        <w:pBdr>
          <w:top w:val="nil"/>
          <w:left w:val="nil"/>
          <w:bottom w:val="nil"/>
          <w:right w:val="nil"/>
          <w:between w:val="nil"/>
        </w:pBdr>
        <w:spacing w:before="0"/>
      </w:pPr>
      <w:r w:rsidRPr="00E151F9">
        <w:rPr>
          <w:rFonts w:eastAsia="Calibri" w:cs="Calibri"/>
          <w:color w:val="000000"/>
          <w:szCs w:val="22"/>
        </w:rPr>
        <w:t>By improving underperformance, superannuation balances will be $1</w:t>
      </w:r>
      <w:r w:rsidRPr="00E151F9">
        <w:t>0.7</w:t>
      </w:r>
      <w:r w:rsidR="00BD7405" w:rsidRPr="00E151F9">
        <w:rPr>
          <w:rFonts w:eastAsia="Calibri" w:cs="Calibri"/>
          <w:color w:val="000000"/>
          <w:szCs w:val="22"/>
        </w:rPr>
        <w:t> </w:t>
      </w:r>
      <w:r w:rsidRPr="00E151F9">
        <w:rPr>
          <w:rFonts w:eastAsia="Calibri" w:cs="Calibri"/>
          <w:color w:val="000000"/>
          <w:szCs w:val="22"/>
        </w:rPr>
        <w:t>billion better off</w:t>
      </w:r>
      <w:r w:rsidR="00792856">
        <w:rPr>
          <w:rFonts w:eastAsia="Calibri" w:cs="Calibri"/>
          <w:color w:val="000000"/>
          <w:szCs w:val="22"/>
        </w:rPr>
        <w:t xml:space="preserve"> over 10 years</w:t>
      </w:r>
      <w:r w:rsidRPr="00E151F9">
        <w:rPr>
          <w:rFonts w:eastAsia="Calibri" w:cs="Calibri"/>
          <w:color w:val="000000"/>
          <w:szCs w:val="22"/>
        </w:rPr>
        <w:t xml:space="preserve">. </w:t>
      </w:r>
    </w:p>
    <w:p w14:paraId="5AF5C76A" w14:textId="736F0782" w:rsidR="003A4C1B" w:rsidRPr="00E151F9" w:rsidRDefault="00205DE0">
      <w:pPr>
        <w:numPr>
          <w:ilvl w:val="0"/>
          <w:numId w:val="2"/>
        </w:numPr>
        <w:pBdr>
          <w:top w:val="nil"/>
          <w:left w:val="nil"/>
          <w:bottom w:val="nil"/>
          <w:right w:val="nil"/>
          <w:between w:val="nil"/>
        </w:pBdr>
        <w:spacing w:before="0"/>
      </w:pPr>
      <w:r w:rsidRPr="00E151F9">
        <w:rPr>
          <w:rFonts w:eastAsia="Calibri" w:cs="Calibri"/>
          <w:color w:val="000000"/>
          <w:szCs w:val="22"/>
        </w:rPr>
        <w:t>More member</w:t>
      </w:r>
      <w:r w:rsidRPr="00E151F9">
        <w:t xml:space="preserve">s making informed decisions about their superannuation </w:t>
      </w:r>
      <w:r w:rsidRPr="00E151F9">
        <w:rPr>
          <w:rFonts w:eastAsia="Calibri" w:cs="Calibri"/>
          <w:color w:val="000000"/>
          <w:szCs w:val="22"/>
        </w:rPr>
        <w:t xml:space="preserve">and increased engagement via the YourSuper </w:t>
      </w:r>
      <w:r w:rsidR="001130AD" w:rsidRPr="00E151F9">
        <w:rPr>
          <w:rFonts w:eastAsia="Calibri" w:cs="Calibri"/>
          <w:color w:val="000000"/>
          <w:szCs w:val="22"/>
        </w:rPr>
        <w:t xml:space="preserve">comparison tool </w:t>
      </w:r>
      <w:r w:rsidRPr="00E151F9">
        <w:rPr>
          <w:rFonts w:eastAsia="Calibri" w:cs="Calibri"/>
          <w:color w:val="000000"/>
          <w:szCs w:val="22"/>
        </w:rPr>
        <w:t xml:space="preserve">will provide an additional benefit </w:t>
      </w:r>
      <w:r w:rsidR="00D26619" w:rsidRPr="00E151F9">
        <w:rPr>
          <w:rFonts w:eastAsia="Calibri" w:cs="Calibri"/>
          <w:color w:val="000000"/>
          <w:szCs w:val="22"/>
        </w:rPr>
        <w:t xml:space="preserve">of $3.3 billion </w:t>
      </w:r>
      <w:r w:rsidRPr="00E151F9">
        <w:rPr>
          <w:rFonts w:eastAsia="Calibri" w:cs="Calibri"/>
          <w:color w:val="000000"/>
          <w:szCs w:val="22"/>
        </w:rPr>
        <w:t xml:space="preserve">over </w:t>
      </w:r>
      <w:r w:rsidR="00792856">
        <w:rPr>
          <w:rFonts w:eastAsia="Calibri" w:cs="Calibri"/>
          <w:color w:val="000000"/>
          <w:szCs w:val="22"/>
        </w:rPr>
        <w:t>10 years</w:t>
      </w:r>
      <w:r w:rsidR="006141F6">
        <w:rPr>
          <w:rFonts w:eastAsia="Calibri" w:cs="Calibri"/>
          <w:color w:val="000000"/>
          <w:szCs w:val="22"/>
        </w:rPr>
        <w:t>.</w:t>
      </w:r>
    </w:p>
    <w:p w14:paraId="21F00E64" w14:textId="1AA84921" w:rsidR="003A4C1B" w:rsidRDefault="00205DE0">
      <w:pPr>
        <w:numPr>
          <w:ilvl w:val="0"/>
          <w:numId w:val="2"/>
        </w:numPr>
        <w:pBdr>
          <w:top w:val="nil"/>
          <w:left w:val="nil"/>
          <w:bottom w:val="nil"/>
          <w:right w:val="nil"/>
          <w:between w:val="nil"/>
        </w:pBdr>
        <w:spacing w:before="0"/>
      </w:pPr>
      <w:r w:rsidRPr="00E151F9">
        <w:rPr>
          <w:rFonts w:eastAsia="Calibri" w:cs="Calibri"/>
          <w:color w:val="000000"/>
          <w:szCs w:val="22"/>
        </w:rPr>
        <w:t>Superannuation th</w:t>
      </w:r>
      <w:r w:rsidRPr="00E151F9">
        <w:t>at</w:t>
      </w:r>
      <w:r w:rsidRPr="00E151F9">
        <w:rPr>
          <w:rFonts w:eastAsia="Calibri" w:cs="Calibri"/>
          <w:color w:val="000000"/>
          <w:szCs w:val="22"/>
        </w:rPr>
        <w:t xml:space="preserve"> follows you, by removing the problem of multiple unintended accounts</w:t>
      </w:r>
      <w:r w:rsidR="00A846C5" w:rsidRPr="00E151F9">
        <w:t>,</w:t>
      </w:r>
      <w:r w:rsidR="00A846C5" w:rsidRPr="00E151F9">
        <w:rPr>
          <w:rFonts w:eastAsia="Calibri"/>
        </w:rPr>
        <w:t xml:space="preserve"> </w:t>
      </w:r>
      <w:r w:rsidRPr="00E151F9">
        <w:rPr>
          <w:rFonts w:eastAsia="Calibri" w:cs="Calibri"/>
          <w:color w:val="000000"/>
          <w:szCs w:val="22"/>
        </w:rPr>
        <w:t>will</w:t>
      </w:r>
      <w:r w:rsidR="001D229C">
        <w:rPr>
          <w:rFonts w:eastAsia="Calibri" w:cs="Calibri"/>
          <w:color w:val="000000"/>
          <w:szCs w:val="22"/>
        </w:rPr>
        <w:t xml:space="preserve"> </w:t>
      </w:r>
      <w:r w:rsidRPr="00E151F9">
        <w:rPr>
          <w:rFonts w:eastAsia="Calibri" w:cs="Calibri"/>
          <w:color w:val="000000"/>
          <w:szCs w:val="22"/>
        </w:rPr>
        <w:t>lead to an aggregate increase of superannuation savings of $</w:t>
      </w:r>
      <w:r w:rsidR="001D229C">
        <w:rPr>
          <w:rFonts w:eastAsia="Calibri" w:cs="Calibri"/>
          <w:color w:val="000000"/>
          <w:szCs w:val="22"/>
        </w:rPr>
        <w:t>2.8</w:t>
      </w:r>
      <w:r w:rsidRPr="00E151F9">
        <w:rPr>
          <w:rFonts w:eastAsia="Calibri" w:cs="Calibri"/>
          <w:color w:val="000000"/>
          <w:szCs w:val="22"/>
        </w:rPr>
        <w:t xml:space="preserve"> billion over </w:t>
      </w:r>
      <w:r w:rsidR="00792856">
        <w:rPr>
          <w:rFonts w:eastAsia="Calibri" w:cs="Calibri"/>
          <w:color w:val="000000"/>
          <w:szCs w:val="22"/>
        </w:rPr>
        <w:t>10 years</w:t>
      </w:r>
      <w:r>
        <w:t>.</w:t>
      </w:r>
    </w:p>
    <w:p w14:paraId="1164E6DA" w14:textId="450A3A59" w:rsidR="003A4C1B" w:rsidRPr="00413919" w:rsidRDefault="00205DE0">
      <w:pPr>
        <w:numPr>
          <w:ilvl w:val="0"/>
          <w:numId w:val="2"/>
        </w:numPr>
        <w:pBdr>
          <w:top w:val="nil"/>
          <w:left w:val="nil"/>
          <w:bottom w:val="nil"/>
          <w:right w:val="nil"/>
          <w:between w:val="nil"/>
        </w:pBdr>
        <w:spacing w:before="0"/>
      </w:pPr>
      <w:r w:rsidRPr="00413919">
        <w:t xml:space="preserve">Less waste of members’ money through greater transparency and accountability also has the potential to boost members’ savings </w:t>
      </w:r>
      <w:r w:rsidR="00413919">
        <w:t xml:space="preserve">by </w:t>
      </w:r>
      <w:r w:rsidRPr="00413919">
        <w:t xml:space="preserve">around $1.1 billion over </w:t>
      </w:r>
      <w:r w:rsidR="00792856">
        <w:rPr>
          <w:rFonts w:eastAsia="Calibri" w:cs="Calibri"/>
          <w:color w:val="000000"/>
          <w:szCs w:val="22"/>
        </w:rPr>
        <w:t>10 years</w:t>
      </w:r>
      <w:r w:rsidRPr="00413919">
        <w:t>.</w:t>
      </w:r>
    </w:p>
    <w:p w14:paraId="66F8E879" w14:textId="2C3CAFD0" w:rsidR="003A4C1B" w:rsidRDefault="00205DE0" w:rsidP="00D4085A">
      <w:pPr>
        <w:rPr>
          <w:color w:val="336E98"/>
          <w:sz w:val="26"/>
          <w:szCs w:val="26"/>
        </w:rPr>
      </w:pPr>
      <w:r w:rsidRPr="00413919">
        <w:t xml:space="preserve">These estimates have been developed by Treasury </w:t>
      </w:r>
      <w:r w:rsidR="00234514">
        <w:t xml:space="preserve">in consultation with </w:t>
      </w:r>
      <w:r w:rsidR="00C9575E" w:rsidRPr="00413919">
        <w:t xml:space="preserve">the </w:t>
      </w:r>
      <w:r w:rsidRPr="00413919">
        <w:t xml:space="preserve">Australian Government Actuary, including by updating relevant Productivity Commission analysis.  </w:t>
      </w:r>
    </w:p>
    <w:p w14:paraId="75FB5B65" w14:textId="77777777" w:rsidR="003A4C1B" w:rsidRDefault="00205DE0" w:rsidP="00884CB1">
      <w:pPr>
        <w:pStyle w:val="Heading2"/>
      </w:pPr>
      <w:bookmarkStart w:id="224" w:name="_Toc53397863"/>
      <w:r>
        <w:t>Impacts on members</w:t>
      </w:r>
      <w:bookmarkEnd w:id="224"/>
    </w:p>
    <w:p w14:paraId="46EE320B" w14:textId="346D4D7C" w:rsidR="003A4C1B" w:rsidRDefault="00205DE0" w:rsidP="00234741">
      <w:pPr>
        <w:keepNext/>
      </w:pPr>
      <w:r>
        <w:rPr>
          <w:i/>
        </w:rPr>
        <w:t>Your Future, Your Super</w:t>
      </w:r>
      <w:r>
        <w:t xml:space="preserve"> will make it easier for members to choose a well-performing product and actively engage with their superannuation. Australians will no longer have </w:t>
      </w:r>
      <w:r w:rsidR="004523DD">
        <w:t xml:space="preserve">unintended </w:t>
      </w:r>
      <w:r>
        <w:t xml:space="preserve">superannuation </w:t>
      </w:r>
      <w:r>
        <w:lastRenderedPageBreak/>
        <w:t xml:space="preserve">accounts that result in multiple fees and unnecessary duplicate insurance premiums that reduce their retirement savings.  </w:t>
      </w:r>
    </w:p>
    <w:p w14:paraId="3B02AFAE" w14:textId="6FD472E9" w:rsidR="003A4C1B" w:rsidRDefault="00205DE0">
      <w:r>
        <w:t xml:space="preserve">The reforms will hold superannuation funds to a higher standard in how they spend members’ money. Australians will be told when their product is underperforming and prevented from joining persistently underperforming products. The focus on benchmarked investment performance will also foster competition, encouraging funds to reduce fees and costs, and boost members’ retirement savings. </w:t>
      </w:r>
      <w:r w:rsidR="003C6FC1">
        <w:t>Young Australians entering the workforce could be up to $</w:t>
      </w:r>
      <w:r w:rsidR="001C70AE">
        <w:t>98</w:t>
      </w:r>
      <w:r w:rsidR="003C6FC1">
        <w:t xml:space="preserve">,000 better off at retirement because of these reforms. </w:t>
      </w:r>
      <w:r w:rsidR="003C6FC1" w:rsidRPr="00827815">
        <w:t>Australians approaching retirement will also benefit f</w:t>
      </w:r>
      <w:r w:rsidR="003C6FC1">
        <w:t>rom these reforms. A typical</w:t>
      </w:r>
      <w:r w:rsidR="009D64FA">
        <w:t xml:space="preserve"> </w:t>
      </w:r>
      <w:r w:rsidR="003C6FC1">
        <w:t>50 </w:t>
      </w:r>
      <w:r w:rsidR="003C6FC1" w:rsidRPr="00827815">
        <w:t>year old who uses the YourSuper comparison tool to choose a top performing fund after being notified of underperformance could have around $60,000 more superannuation at retirement.</w:t>
      </w:r>
    </w:p>
    <w:p w14:paraId="711A7E53" w14:textId="77777777" w:rsidR="003A4C1B" w:rsidRDefault="00205DE0">
      <w:r>
        <w:t xml:space="preserve">Ultimately, </w:t>
      </w:r>
      <w:r w:rsidRPr="00D775CC">
        <w:rPr>
          <w:i/>
        </w:rPr>
        <w:t>Your Future, Your Super</w:t>
      </w:r>
      <w:r>
        <w:t xml:space="preserve"> will mean that your super will work harder for you</w:t>
      </w:r>
      <w:r w:rsidR="005D175F">
        <w:t>,</w:t>
      </w:r>
      <w:r>
        <w:t xml:space="preserve"> helping you save more f</w:t>
      </w:r>
      <w:r w:rsidR="000F5715">
        <w:t>or</w:t>
      </w:r>
      <w:r>
        <w:t xml:space="preserve"> your retirement.  </w:t>
      </w:r>
    </w:p>
    <w:p w14:paraId="206D275F" w14:textId="19B6CB74" w:rsidR="005E7FF4" w:rsidRDefault="005E7FF4">
      <w:r>
        <w:br w:type="page"/>
      </w:r>
    </w:p>
    <w:tbl>
      <w:tblPr>
        <w:tblW w:w="9072" w:type="dxa"/>
        <w:tblBorders>
          <w:top w:val="single" w:sz="8" w:space="0" w:color="3A6FAF" w:themeColor="accent2"/>
          <w:left w:val="single" w:sz="8" w:space="0" w:color="3A6FAF" w:themeColor="accent2"/>
          <w:bottom w:val="single" w:sz="8" w:space="0" w:color="3A6FAF" w:themeColor="accent2"/>
          <w:right w:val="single" w:sz="8" w:space="0" w:color="3A6FAF" w:themeColor="accent2"/>
        </w:tblBorders>
        <w:tblLayout w:type="fixed"/>
        <w:tblCellMar>
          <w:left w:w="115" w:type="dxa"/>
          <w:right w:w="115" w:type="dxa"/>
        </w:tblCellMar>
        <w:tblLook w:val="0400" w:firstRow="0" w:lastRow="0" w:firstColumn="0" w:lastColumn="0" w:noHBand="0" w:noVBand="1"/>
      </w:tblPr>
      <w:tblGrid>
        <w:gridCol w:w="9072"/>
      </w:tblGrid>
      <w:tr w:rsidR="003A4C1B" w14:paraId="1A9A8F10" w14:textId="77777777" w:rsidTr="00884CB1">
        <w:tc>
          <w:tcPr>
            <w:tcW w:w="9072" w:type="dxa"/>
            <w:shd w:val="clear" w:color="auto" w:fill="auto"/>
          </w:tcPr>
          <w:p w14:paraId="168C2CAC" w14:textId="2F3184C6" w:rsidR="003A4C1B" w:rsidRDefault="00205DE0" w:rsidP="002D0691">
            <w:pPr>
              <w:keepNext/>
              <w:spacing w:after="0"/>
              <w:rPr>
                <w:b/>
                <w:color w:val="004A7F"/>
                <w:sz w:val="26"/>
                <w:szCs w:val="26"/>
              </w:rPr>
            </w:pPr>
            <w:r>
              <w:rPr>
                <w:b/>
                <w:color w:val="004A7F"/>
                <w:sz w:val="26"/>
                <w:szCs w:val="26"/>
              </w:rPr>
              <w:lastRenderedPageBreak/>
              <w:t xml:space="preserve">Case study </w:t>
            </w:r>
            <w:r w:rsidR="00BE2927" w:rsidRPr="00877831">
              <w:rPr>
                <w:b/>
                <w:color w:val="004A7F"/>
                <w:sz w:val="26"/>
                <w:szCs w:val="26"/>
              </w:rPr>
              <w:t>3</w:t>
            </w:r>
            <w:r>
              <w:rPr>
                <w:b/>
                <w:color w:val="004A7F"/>
                <w:sz w:val="26"/>
                <w:szCs w:val="26"/>
              </w:rPr>
              <w:t xml:space="preserve">: </w:t>
            </w:r>
            <w:r w:rsidRPr="00D775CC">
              <w:rPr>
                <w:b/>
                <w:i/>
                <w:color w:val="004A7F"/>
                <w:sz w:val="26"/>
                <w:szCs w:val="26"/>
              </w:rPr>
              <w:t>Your Future, Your Super</w:t>
            </w:r>
            <w:r>
              <w:rPr>
                <w:b/>
                <w:color w:val="004A7F"/>
                <w:sz w:val="26"/>
                <w:szCs w:val="26"/>
              </w:rPr>
              <w:t xml:space="preserve"> will help young Australians choose the </w:t>
            </w:r>
            <w:r w:rsidR="005D175F">
              <w:rPr>
                <w:b/>
                <w:color w:val="004A7F"/>
                <w:sz w:val="26"/>
                <w:szCs w:val="26"/>
              </w:rPr>
              <w:t xml:space="preserve">superannuation </w:t>
            </w:r>
            <w:r>
              <w:rPr>
                <w:b/>
                <w:color w:val="004A7F"/>
                <w:sz w:val="26"/>
                <w:szCs w:val="26"/>
              </w:rPr>
              <w:t>fund that is right for them, and avoid unnecessary fees</w:t>
            </w:r>
          </w:p>
        </w:tc>
      </w:tr>
      <w:tr w:rsidR="003A4C1B" w14:paraId="1AD87F2A" w14:textId="77777777" w:rsidTr="00884CB1">
        <w:tc>
          <w:tcPr>
            <w:tcW w:w="9072" w:type="dxa"/>
            <w:shd w:val="clear" w:color="auto" w:fill="auto"/>
          </w:tcPr>
          <w:p w14:paraId="366F24B7" w14:textId="77777777" w:rsidR="003A4C1B" w:rsidRDefault="00205DE0">
            <w:pPr>
              <w:spacing w:after="0"/>
            </w:pPr>
            <w:r>
              <w:t xml:space="preserve">Jill enters the workforce as a full-time legal secretary. As Jill hasn’t had a job before, she doesn’t have a superannuation fund. Jill is asked by her employer to fill in a ‘choice of superannuation fund’ form. </w:t>
            </w:r>
          </w:p>
          <w:p w14:paraId="60E05A65" w14:textId="77777777" w:rsidR="003A4C1B" w:rsidRDefault="00205DE0">
            <w:pPr>
              <w:spacing w:after="0"/>
            </w:pPr>
            <w:r>
              <w:t>Jill investigates what funds are available but finds it difficult to compare different superannuation funds and is unsure of how to find a good fund. As a result, Jill signs the paperwork her employer provides and is defaulted into the employer-nominated fund.</w:t>
            </w:r>
          </w:p>
          <w:p w14:paraId="19F8AD56" w14:textId="77777777" w:rsidR="003A4C1B" w:rsidRDefault="00205DE0">
            <w:pPr>
              <w:spacing w:after="0"/>
            </w:pPr>
            <w:r>
              <w:t xml:space="preserve">Jill changes jobs twice early in her career. Each time, she does not nominate a fund and is defaulted into a new superannuation fund by her employer. </w:t>
            </w:r>
          </w:p>
          <w:p w14:paraId="741E6B25" w14:textId="3CB79859" w:rsidR="003A4C1B" w:rsidRDefault="00205DE0">
            <w:pPr>
              <w:spacing w:after="0"/>
            </w:pPr>
            <w:r>
              <w:t>As a result</w:t>
            </w:r>
            <w:r w:rsidR="006D1B1E">
              <w:t>,</w:t>
            </w:r>
            <w:r>
              <w:t xml:space="preserve"> Jill has three separate superannuation accounts. Over time, the superannuation held in Jill’s first two inactive accounts has been </w:t>
            </w:r>
            <w:r w:rsidR="00837C4E">
              <w:t xml:space="preserve">subject to additional </w:t>
            </w:r>
            <w:r>
              <w:t>insurance</w:t>
            </w:r>
            <w:r w:rsidR="00072F3A">
              <w:t>,</w:t>
            </w:r>
            <w:r>
              <w:t xml:space="preserve"> administration</w:t>
            </w:r>
            <w:r w:rsidR="00843247">
              <w:t xml:space="preserve"> and investment fees</w:t>
            </w:r>
            <w:r>
              <w:t xml:space="preserve">. </w:t>
            </w:r>
          </w:p>
          <w:p w14:paraId="4E015F67" w14:textId="77777777" w:rsidR="003A4C1B" w:rsidRDefault="00205DE0">
            <w:pPr>
              <w:spacing w:after="0"/>
            </w:pPr>
            <w:r>
              <w:t xml:space="preserve">At retirement, Jill has had her hard earned retirement savings eaten away by poor performing funds and multiple sets of insurance premiums and fees. </w:t>
            </w:r>
          </w:p>
          <w:p w14:paraId="25B5E117" w14:textId="77777777" w:rsidR="003A4C1B" w:rsidRDefault="00205DE0">
            <w:pPr>
              <w:spacing w:after="0"/>
              <w:rPr>
                <w:b/>
              </w:rPr>
            </w:pPr>
            <w:r>
              <w:rPr>
                <w:b/>
              </w:rPr>
              <w:t xml:space="preserve">Under the reforms introduced in this package, Jill will </w:t>
            </w:r>
            <w:r w:rsidRPr="007A6452">
              <w:rPr>
                <w:b/>
              </w:rPr>
              <w:t xml:space="preserve">be </w:t>
            </w:r>
            <w:r w:rsidR="00B84E2F" w:rsidRPr="007A6452">
              <w:rPr>
                <w:b/>
              </w:rPr>
              <w:t>better</w:t>
            </w:r>
            <w:r w:rsidR="00B84E2F">
              <w:rPr>
                <w:b/>
              </w:rPr>
              <w:t xml:space="preserve"> off</w:t>
            </w:r>
            <w:r>
              <w:rPr>
                <w:b/>
              </w:rPr>
              <w:t>.</w:t>
            </w:r>
          </w:p>
          <w:p w14:paraId="4D88EDB2" w14:textId="08A1FFC3" w:rsidR="003A4C1B" w:rsidRDefault="00205DE0">
            <w:pPr>
              <w:spacing w:after="0"/>
            </w:pPr>
            <w:r>
              <w:t xml:space="preserve">When Jill enters the workforce, she is presented with easy to understand information about </w:t>
            </w:r>
            <w:r w:rsidR="005D175F">
              <w:t>MySuper product</w:t>
            </w:r>
            <w:r>
              <w:t xml:space="preserve"> fees and performance through the YourSuper </w:t>
            </w:r>
            <w:r w:rsidR="007425FE">
              <w:t>comparison tool</w:t>
            </w:r>
            <w:r>
              <w:t xml:space="preserve">. It helps Jill to compare fund performance and choose a </w:t>
            </w:r>
            <w:r w:rsidR="00837C4E">
              <w:t>top</w:t>
            </w:r>
            <w:r w:rsidR="001B1AE9">
              <w:noBreakHyphen/>
            </w:r>
            <w:r w:rsidR="00837C4E">
              <w:t xml:space="preserve">performing </w:t>
            </w:r>
            <w:r>
              <w:t xml:space="preserve">superannuation </w:t>
            </w:r>
            <w:r w:rsidR="005D175F">
              <w:t xml:space="preserve">product </w:t>
            </w:r>
            <w:r>
              <w:t xml:space="preserve">which meets her needs. </w:t>
            </w:r>
          </w:p>
          <w:p w14:paraId="1913A44D" w14:textId="472791FB" w:rsidR="003A4C1B" w:rsidRDefault="00205DE0">
            <w:pPr>
              <w:spacing w:after="0"/>
            </w:pPr>
            <w:r>
              <w:t>When starting a new job, Jill will no longer have to nominate her existing fund and provide its details to avoid being defaulted into a new, duplicate fund. Instead, Jill’s first superannuation account will stay with her throughout her career until she chooses to change fund</w:t>
            </w:r>
            <w:r w:rsidR="004C299C">
              <w:t>s</w:t>
            </w:r>
            <w:r>
              <w:t xml:space="preserve">. When starting a new job, Jill will be encouraged to again access the YourSuper </w:t>
            </w:r>
            <w:r w:rsidDel="0069387A">
              <w:t xml:space="preserve">tool </w:t>
            </w:r>
            <w:r>
              <w:t xml:space="preserve">and confirm she wishes to maintain her existing superannuation account. If she does not, </w:t>
            </w:r>
            <w:r w:rsidR="004523DD">
              <w:t>her employer will get her superannuation details from the ATO</w:t>
            </w:r>
            <w:r>
              <w:t>. This prevents Jill holding unintended duplicate superannuation accounts and incurring unnecessary fees</w:t>
            </w:r>
            <w:r w:rsidR="0069387A">
              <w:t xml:space="preserve"> and insurance premiums</w:t>
            </w:r>
            <w:r>
              <w:t xml:space="preserve">. As a result of these reforms Jill will be </w:t>
            </w:r>
            <w:r w:rsidRPr="000F6AA7">
              <w:t>$</w:t>
            </w:r>
            <w:r w:rsidR="008609D5">
              <w:t>98</w:t>
            </w:r>
            <w:r w:rsidRPr="000F6AA7">
              <w:t>,000 better</w:t>
            </w:r>
            <w:r>
              <w:t xml:space="preserve"> off when she reaches retirement age.</w:t>
            </w:r>
          </w:p>
          <w:p w14:paraId="2192E143" w14:textId="77777777" w:rsidR="003A4C1B" w:rsidRDefault="002609A9" w:rsidP="001A09D3">
            <w:pPr>
              <w:spacing w:after="0"/>
              <w:jc w:val="center"/>
            </w:pPr>
            <w:r w:rsidRPr="00DC11A5">
              <w:rPr>
                <w:noProof/>
              </w:rPr>
              <w:drawing>
                <wp:inline distT="0" distB="0" distL="0" distR="0" wp14:anchorId="4A047D5D" wp14:editId="294A3998">
                  <wp:extent cx="5630545" cy="2987643"/>
                  <wp:effectExtent l="0" t="0" r="825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205" t="7039" r="1842" b="12879"/>
                          <a:stretch/>
                        </pic:blipFill>
                        <pic:spPr bwMode="auto">
                          <a:xfrm>
                            <a:off x="0" y="0"/>
                            <a:ext cx="5847238" cy="310262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9A71F8" w14:textId="77777777" w:rsidR="003A4C1B" w:rsidRDefault="003A4C1B"/>
    <w:tbl>
      <w:tblPr>
        <w:tblW w:w="9072" w:type="dxa"/>
        <w:tblBorders>
          <w:top w:val="single" w:sz="4" w:space="0" w:color="3A6FAF" w:themeColor="accent2"/>
          <w:left w:val="single" w:sz="4" w:space="0" w:color="3A6FAF" w:themeColor="accent2"/>
          <w:bottom w:val="single" w:sz="4" w:space="0" w:color="3A6FAF" w:themeColor="accent2"/>
          <w:right w:val="single" w:sz="4" w:space="0" w:color="3A6FAF" w:themeColor="accent2"/>
        </w:tblBorders>
        <w:tblLayout w:type="fixed"/>
        <w:tblCellMar>
          <w:left w:w="115" w:type="dxa"/>
          <w:right w:w="115" w:type="dxa"/>
        </w:tblCellMar>
        <w:tblLook w:val="0400" w:firstRow="0" w:lastRow="0" w:firstColumn="0" w:lastColumn="0" w:noHBand="0" w:noVBand="1"/>
      </w:tblPr>
      <w:tblGrid>
        <w:gridCol w:w="9072"/>
      </w:tblGrid>
      <w:tr w:rsidR="003A4C1B" w14:paraId="41E81585" w14:textId="77777777" w:rsidTr="00884CB1">
        <w:tc>
          <w:tcPr>
            <w:tcW w:w="9072" w:type="dxa"/>
            <w:shd w:val="clear" w:color="auto" w:fill="auto"/>
          </w:tcPr>
          <w:p w14:paraId="6F5C45A1" w14:textId="7A8E562B" w:rsidR="003A4C1B" w:rsidRDefault="00205DE0">
            <w:pPr>
              <w:keepNext/>
              <w:spacing w:before="240"/>
              <w:rPr>
                <w:b/>
                <w:color w:val="004A7F"/>
                <w:sz w:val="26"/>
                <w:szCs w:val="26"/>
              </w:rPr>
            </w:pPr>
            <w:r>
              <w:rPr>
                <w:b/>
                <w:color w:val="004A7F"/>
                <w:sz w:val="26"/>
                <w:szCs w:val="26"/>
              </w:rPr>
              <w:lastRenderedPageBreak/>
              <w:t xml:space="preserve">Case study </w:t>
            </w:r>
            <w:r w:rsidR="003904C5" w:rsidRPr="00877831">
              <w:rPr>
                <w:b/>
                <w:color w:val="004A7F"/>
                <w:sz w:val="26"/>
                <w:szCs w:val="26"/>
              </w:rPr>
              <w:t>4</w:t>
            </w:r>
            <w:r>
              <w:rPr>
                <w:b/>
                <w:color w:val="004A7F"/>
                <w:sz w:val="26"/>
                <w:szCs w:val="26"/>
              </w:rPr>
              <w:t xml:space="preserve">: </w:t>
            </w:r>
            <w:r w:rsidRPr="00D775CC">
              <w:rPr>
                <w:b/>
                <w:i/>
                <w:color w:val="004A7F"/>
                <w:sz w:val="26"/>
                <w:szCs w:val="26"/>
              </w:rPr>
              <w:t xml:space="preserve">Your Future, Your Super </w:t>
            </w:r>
            <w:r>
              <w:rPr>
                <w:b/>
                <w:color w:val="004A7F"/>
                <w:sz w:val="26"/>
                <w:szCs w:val="26"/>
              </w:rPr>
              <w:t>will help Australians into well</w:t>
            </w:r>
            <w:r w:rsidR="003904C5">
              <w:rPr>
                <w:b/>
                <w:color w:val="004A7F"/>
                <w:sz w:val="26"/>
                <w:szCs w:val="26"/>
              </w:rPr>
              <w:t>-</w:t>
            </w:r>
            <w:r>
              <w:rPr>
                <w:b/>
                <w:color w:val="004A7F"/>
                <w:sz w:val="26"/>
                <w:szCs w:val="26"/>
              </w:rPr>
              <w:t>performing funds</w:t>
            </w:r>
          </w:p>
        </w:tc>
      </w:tr>
      <w:tr w:rsidR="003A4C1B" w14:paraId="2A195833" w14:textId="77777777" w:rsidTr="00884CB1">
        <w:tc>
          <w:tcPr>
            <w:tcW w:w="9072" w:type="dxa"/>
            <w:shd w:val="clear" w:color="auto" w:fill="auto"/>
          </w:tcPr>
          <w:p w14:paraId="7F8E55AC" w14:textId="77777777" w:rsidR="003A4C1B" w:rsidRDefault="00205DE0">
            <w:pPr>
              <w:spacing w:after="0"/>
            </w:pPr>
            <w:r>
              <w:t xml:space="preserve">Sam </w:t>
            </w:r>
            <w:r w:rsidR="002F2817">
              <w:t>enters the workforce as a</w:t>
            </w:r>
            <w:r>
              <w:t xml:space="preserve"> truck driver </w:t>
            </w:r>
            <w:r w:rsidR="002F2817">
              <w:t>and takes the</w:t>
            </w:r>
            <w:r>
              <w:t xml:space="preserve"> superannuation product his employer defaulted him into. When he changes jobs, he maintains his existing superannuation account to avoid having duplicate accounts and being charged a second set of fees. However, his </w:t>
            </w:r>
            <w:r w:rsidR="000F6AA7">
              <w:t xml:space="preserve">superannuation product </w:t>
            </w:r>
            <w:r>
              <w:t xml:space="preserve">performs poorly in terms of </w:t>
            </w:r>
            <w:r w:rsidR="000F68F3">
              <w:t xml:space="preserve">net </w:t>
            </w:r>
            <w:r>
              <w:t xml:space="preserve">investment returns. Sam notices his account balance growing over time due to regular contributions and is unaware that his </w:t>
            </w:r>
            <w:r w:rsidR="0033349A">
              <w:t>product</w:t>
            </w:r>
            <w:r w:rsidR="000F6AA7">
              <w:t xml:space="preserve"> </w:t>
            </w:r>
            <w:r>
              <w:t xml:space="preserve">is underperforming. Upon reaching retirement, Sam’s balance is far lower than what it should have been due to decades of underperformance. </w:t>
            </w:r>
          </w:p>
          <w:p w14:paraId="127996D5" w14:textId="77777777" w:rsidR="003A4C1B" w:rsidRDefault="00205DE0">
            <w:pPr>
              <w:spacing w:after="0"/>
              <w:rPr>
                <w:b/>
              </w:rPr>
            </w:pPr>
            <w:r>
              <w:rPr>
                <w:b/>
              </w:rPr>
              <w:t xml:space="preserve">Under the reforms introduced in this package, Sam will </w:t>
            </w:r>
            <w:r w:rsidRPr="007A6452">
              <w:rPr>
                <w:b/>
              </w:rPr>
              <w:t xml:space="preserve">be </w:t>
            </w:r>
            <w:r w:rsidR="00B84E2F" w:rsidRPr="007A6452">
              <w:rPr>
                <w:b/>
              </w:rPr>
              <w:t>better off</w:t>
            </w:r>
            <w:r w:rsidRPr="007A6452">
              <w:rPr>
                <w:b/>
              </w:rPr>
              <w:t>.</w:t>
            </w:r>
          </w:p>
          <w:p w14:paraId="5D9C19DB" w14:textId="418CA269" w:rsidR="003A4C1B" w:rsidRDefault="00205DE0">
            <w:pPr>
              <w:spacing w:after="0"/>
            </w:pPr>
            <w:r>
              <w:t xml:space="preserve">Sam may still be defaulted into an employer-nominated superannuation fund when he first enters the workforce if he doesn’t make a different choice. However, if his </w:t>
            </w:r>
            <w:r w:rsidR="00D151E1">
              <w:t xml:space="preserve">product </w:t>
            </w:r>
            <w:r>
              <w:t xml:space="preserve">underperforms then Sam will be notified and encouraged to consider using the YourSuper </w:t>
            </w:r>
            <w:r w:rsidR="00C35255">
              <w:t xml:space="preserve">comparison </w:t>
            </w:r>
            <w:r>
              <w:t>tool to make a different choice of fund. If Sam used the YourSuper tool to switch his superannuation to a top</w:t>
            </w:r>
            <w:r w:rsidR="001B1AE9">
              <w:noBreakHyphen/>
            </w:r>
            <w:r>
              <w:t xml:space="preserve">performing fund when notified, he could have </w:t>
            </w:r>
            <w:r w:rsidR="00BC4CBC">
              <w:t xml:space="preserve">had </w:t>
            </w:r>
            <w:r>
              <w:t>an extra $87,000 in superannuation available when he retires.</w:t>
            </w:r>
          </w:p>
          <w:p w14:paraId="4898D467" w14:textId="77777777" w:rsidR="003A4C1B" w:rsidRDefault="003034D6" w:rsidP="00884CB1">
            <w:pPr>
              <w:spacing w:after="240"/>
            </w:pPr>
            <w:r w:rsidRPr="003034D6">
              <w:rPr>
                <w:noProof/>
              </w:rPr>
              <w:drawing>
                <wp:inline distT="0" distB="0" distL="0" distR="0" wp14:anchorId="1F9049C6" wp14:editId="7D6AE454">
                  <wp:extent cx="5571693" cy="29813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88839" cy="2990499"/>
                          </a:xfrm>
                          <a:prstGeom prst="rect">
                            <a:avLst/>
                          </a:prstGeom>
                        </pic:spPr>
                      </pic:pic>
                    </a:graphicData>
                  </a:graphic>
                </wp:inline>
              </w:drawing>
            </w:r>
          </w:p>
        </w:tc>
      </w:tr>
    </w:tbl>
    <w:p w14:paraId="29595BC5" w14:textId="775E736F" w:rsidR="00CB4E20" w:rsidRDefault="00CB4E20" w:rsidP="007A141F">
      <w:bookmarkStart w:id="225" w:name="_heading=h.ppw3gjp87x01" w:colFirst="0" w:colLast="0"/>
      <w:bookmarkStart w:id="226" w:name="_Toc52472744"/>
      <w:bookmarkStart w:id="227" w:name="_Toc52470931"/>
      <w:bookmarkStart w:id="228" w:name="_Toc52472820"/>
      <w:bookmarkEnd w:id="225"/>
    </w:p>
    <w:p w14:paraId="7D7F6D45" w14:textId="77777777" w:rsidR="00CB4E20" w:rsidRDefault="00CB4E20">
      <w:r>
        <w:br w:type="page"/>
      </w:r>
    </w:p>
    <w:tbl>
      <w:tblPr>
        <w:tblW w:w="9302" w:type="dxa"/>
        <w:tblBorders>
          <w:top w:val="single" w:sz="8" w:space="0" w:color="3A6FAF" w:themeColor="accent2"/>
          <w:left w:val="single" w:sz="8" w:space="0" w:color="3A6FAF" w:themeColor="accent2"/>
          <w:bottom w:val="single" w:sz="8" w:space="0" w:color="3A6FAF" w:themeColor="accent2"/>
          <w:right w:val="single" w:sz="8" w:space="0" w:color="3A6FAF" w:themeColor="accent2"/>
        </w:tblBorders>
        <w:tblCellMar>
          <w:left w:w="0" w:type="dxa"/>
          <w:right w:w="0" w:type="dxa"/>
        </w:tblCellMar>
        <w:tblLook w:val="04A0" w:firstRow="1" w:lastRow="0" w:firstColumn="1" w:lastColumn="0" w:noHBand="0" w:noVBand="1"/>
      </w:tblPr>
      <w:tblGrid>
        <w:gridCol w:w="9302"/>
      </w:tblGrid>
      <w:tr w:rsidR="00851CBE" w14:paraId="13F30B7F" w14:textId="77777777" w:rsidTr="00884CB1">
        <w:tc>
          <w:tcPr>
            <w:tcW w:w="9302" w:type="dxa"/>
            <w:shd w:val="clear" w:color="auto" w:fill="auto"/>
            <w:tcMar>
              <w:top w:w="0" w:type="dxa"/>
              <w:left w:w="115" w:type="dxa"/>
              <w:bottom w:w="0" w:type="dxa"/>
              <w:right w:w="115" w:type="dxa"/>
            </w:tcMar>
            <w:hideMark/>
          </w:tcPr>
          <w:p w14:paraId="642253BB" w14:textId="4B3F7A79" w:rsidR="00851CBE" w:rsidRDefault="00851CBE">
            <w:pPr>
              <w:keepNext/>
              <w:spacing w:before="240" w:line="252" w:lineRule="auto"/>
            </w:pPr>
            <w:r>
              <w:rPr>
                <w:b/>
                <w:bCs/>
                <w:color w:val="004A7F"/>
                <w:sz w:val="26"/>
                <w:szCs w:val="26"/>
              </w:rPr>
              <w:lastRenderedPageBreak/>
              <w:t xml:space="preserve">Case </w:t>
            </w:r>
            <w:r>
              <w:rPr>
                <w:b/>
                <w:color w:val="004A7F"/>
                <w:sz w:val="26"/>
                <w:szCs w:val="26"/>
              </w:rPr>
              <w:t xml:space="preserve">study </w:t>
            </w:r>
            <w:r w:rsidR="000F68F3" w:rsidRPr="00877831">
              <w:rPr>
                <w:b/>
                <w:bCs/>
                <w:color w:val="004A7F"/>
                <w:sz w:val="26"/>
                <w:szCs w:val="26"/>
              </w:rPr>
              <w:t>5</w:t>
            </w:r>
            <w:r>
              <w:rPr>
                <w:b/>
                <w:bCs/>
                <w:color w:val="004A7F"/>
                <w:sz w:val="26"/>
                <w:szCs w:val="26"/>
              </w:rPr>
              <w:t xml:space="preserve">: </w:t>
            </w:r>
            <w:r>
              <w:rPr>
                <w:b/>
                <w:bCs/>
                <w:i/>
                <w:iCs/>
                <w:color w:val="004A7F"/>
                <w:sz w:val="26"/>
                <w:szCs w:val="26"/>
              </w:rPr>
              <w:t xml:space="preserve">Your Future, Your Super </w:t>
            </w:r>
            <w:r>
              <w:rPr>
                <w:b/>
                <w:bCs/>
                <w:color w:val="004A7F"/>
                <w:sz w:val="26"/>
                <w:szCs w:val="26"/>
              </w:rPr>
              <w:t>will help Australians approaching retirement</w:t>
            </w:r>
          </w:p>
        </w:tc>
      </w:tr>
      <w:tr w:rsidR="00851CBE" w14:paraId="0013F94A" w14:textId="77777777" w:rsidTr="00884CB1">
        <w:tc>
          <w:tcPr>
            <w:tcW w:w="9302" w:type="dxa"/>
            <w:shd w:val="clear" w:color="auto" w:fill="auto"/>
            <w:tcMar>
              <w:top w:w="0" w:type="dxa"/>
              <w:left w:w="115" w:type="dxa"/>
              <w:bottom w:w="0" w:type="dxa"/>
              <w:right w:w="115" w:type="dxa"/>
            </w:tcMar>
            <w:hideMark/>
          </w:tcPr>
          <w:p w14:paraId="6E0CC374" w14:textId="77777777" w:rsidR="00851CBE" w:rsidRDefault="00851CBE">
            <w:pPr>
              <w:spacing w:line="252" w:lineRule="auto"/>
            </w:pPr>
            <w:r>
              <w:t xml:space="preserve">Maureen is a 50 year old real estate agent, and hasn’t engaged with her superannuation in a while. While she knows the importance of her superannuation and makes regular contributions, she doesn’t have a clear idea of how her fund is performing or how to choose a high performing fund. Unfortunately, the superannuation fund she is with is underperforming just as she’s starting to prepare to retire. And as Maureen is close to retirement, the returns she earns now make a big difference to her final superannuation balance. When she retires, Maureen’s balance is far lower than what it should have been because her savings didn’t grow as much in those final years she was working. </w:t>
            </w:r>
          </w:p>
          <w:p w14:paraId="7AB31B71" w14:textId="77777777" w:rsidR="00851CBE" w:rsidRDefault="00851CBE">
            <w:pPr>
              <w:spacing w:line="252" w:lineRule="auto"/>
            </w:pPr>
            <w:r>
              <w:rPr>
                <w:b/>
                <w:bCs/>
              </w:rPr>
              <w:t>Under the reforms introduced in this package, Maureen will be better off.</w:t>
            </w:r>
          </w:p>
          <w:p w14:paraId="4430CA3E" w14:textId="2C0114D0" w:rsidR="00851CBE" w:rsidRDefault="00851CBE">
            <w:pPr>
              <w:spacing w:line="252" w:lineRule="auto"/>
            </w:pPr>
            <w:r>
              <w:t xml:space="preserve">Maureen can now use the YourSuper comparison tool to check if her superannuation fund is performing well. This tool is also a trusted and easy way for Maureen to compare across </w:t>
            </w:r>
            <w:r w:rsidR="004523DD">
              <w:t xml:space="preserve">MySuper </w:t>
            </w:r>
            <w:r>
              <w:t>funds, and find one that best suits her needs if she decides to switch. If her product underperforms, Maureen will be notified and encouraged to consider using the YourSuper comparison tool to make a different choice of fund. By using the YourSuper tool to switch her superannuation to a top</w:t>
            </w:r>
            <w:r w:rsidR="00AA38EB">
              <w:noBreakHyphen/>
            </w:r>
            <w:r>
              <w:t>performing fund when notified, Maureen’s retirement savings could have been boosted by $60,000.</w:t>
            </w:r>
          </w:p>
          <w:p w14:paraId="1ECB80AC" w14:textId="77777777" w:rsidR="00851CBE" w:rsidRDefault="00777447" w:rsidP="00D76F1B">
            <w:pPr>
              <w:spacing w:line="252" w:lineRule="auto"/>
            </w:pPr>
            <w:r w:rsidRPr="00777447">
              <w:rPr>
                <w:noProof/>
              </w:rPr>
              <w:drawing>
                <wp:inline distT="0" distB="0" distL="0" distR="0" wp14:anchorId="08C65B96" wp14:editId="3CB440B7">
                  <wp:extent cx="5760720" cy="28251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2825115"/>
                          </a:xfrm>
                          <a:prstGeom prst="rect">
                            <a:avLst/>
                          </a:prstGeom>
                        </pic:spPr>
                      </pic:pic>
                    </a:graphicData>
                  </a:graphic>
                </wp:inline>
              </w:drawing>
            </w:r>
          </w:p>
        </w:tc>
      </w:tr>
    </w:tbl>
    <w:p w14:paraId="194F4535" w14:textId="77777777" w:rsidR="00851CBE" w:rsidRPr="00851CBE" w:rsidRDefault="00851CBE" w:rsidP="00FE16E1"/>
    <w:p w14:paraId="111EB403" w14:textId="77777777" w:rsidR="00851CBE" w:rsidRDefault="00851CBE" w:rsidP="00851CBE">
      <w:pPr>
        <w:rPr>
          <w:rFonts w:cs="Arial"/>
          <w:color w:val="002C4A"/>
          <w:kern w:val="32"/>
          <w:sz w:val="48"/>
          <w:szCs w:val="36"/>
        </w:rPr>
      </w:pPr>
      <w:r>
        <w:br w:type="page"/>
      </w:r>
    </w:p>
    <w:p w14:paraId="61EC893C" w14:textId="77777777" w:rsidR="003A4C1B" w:rsidRDefault="00205DE0">
      <w:pPr>
        <w:pStyle w:val="Heading1"/>
      </w:pPr>
      <w:bookmarkStart w:id="229" w:name="_Toc52474239"/>
      <w:bookmarkStart w:id="230" w:name="_Toc52471871"/>
      <w:bookmarkStart w:id="231" w:name="_Toc53397864"/>
      <w:r>
        <w:lastRenderedPageBreak/>
        <w:t>Next steps – roadmap for reform</w:t>
      </w:r>
      <w:bookmarkEnd w:id="226"/>
      <w:bookmarkEnd w:id="227"/>
      <w:bookmarkEnd w:id="228"/>
      <w:bookmarkEnd w:id="229"/>
      <w:bookmarkEnd w:id="230"/>
      <w:bookmarkEnd w:id="231"/>
    </w:p>
    <w:p w14:paraId="6CA78E24" w14:textId="76A21F73" w:rsidR="003A4C1B" w:rsidRDefault="00205DE0">
      <w:r>
        <w:t xml:space="preserve">All measures will commence </w:t>
      </w:r>
      <w:r w:rsidR="004523DD">
        <w:t xml:space="preserve">by </w:t>
      </w:r>
      <w:r>
        <w:t>1 July 2021.</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395DAB"/>
        <w:tblLayout w:type="fixed"/>
        <w:tblCellMar>
          <w:left w:w="115" w:type="dxa"/>
          <w:right w:w="115" w:type="dxa"/>
        </w:tblCellMar>
        <w:tblLook w:val="0400" w:firstRow="0" w:lastRow="0" w:firstColumn="0" w:lastColumn="0" w:noHBand="0" w:noVBand="1"/>
      </w:tblPr>
      <w:tblGrid>
        <w:gridCol w:w="2974"/>
        <w:gridCol w:w="2265"/>
        <w:gridCol w:w="3823"/>
      </w:tblGrid>
      <w:tr w:rsidR="00BE60DC" w:rsidRPr="00BE60DC" w14:paraId="2B81B7B2" w14:textId="77777777" w:rsidTr="00BE60DC">
        <w:tc>
          <w:tcPr>
            <w:tcW w:w="2974" w:type="dxa"/>
            <w:shd w:val="clear" w:color="auto" w:fill="395DAB"/>
          </w:tcPr>
          <w:p w14:paraId="7304F0DD" w14:textId="77777777" w:rsidR="003A4C1B" w:rsidRPr="00BE60DC" w:rsidRDefault="00205DE0">
            <w:pPr>
              <w:pBdr>
                <w:top w:val="nil"/>
                <w:left w:val="nil"/>
                <w:bottom w:val="nil"/>
                <w:right w:val="nil"/>
                <w:between w:val="nil"/>
              </w:pBdr>
              <w:spacing w:before="40" w:after="40"/>
              <w:rPr>
                <w:b/>
                <w:color w:val="FFFFFF" w:themeColor="background1"/>
                <w:szCs w:val="22"/>
              </w:rPr>
            </w:pPr>
            <w:bookmarkStart w:id="232" w:name="_heading=h.41mghml" w:colFirst="0" w:colLast="0"/>
            <w:bookmarkEnd w:id="232"/>
            <w:r w:rsidRPr="00BE60DC">
              <w:rPr>
                <w:b/>
                <w:color w:val="FFFFFF" w:themeColor="background1"/>
                <w:szCs w:val="22"/>
              </w:rPr>
              <w:t>Policy</w:t>
            </w:r>
          </w:p>
        </w:tc>
        <w:tc>
          <w:tcPr>
            <w:tcW w:w="2265" w:type="dxa"/>
            <w:shd w:val="clear" w:color="auto" w:fill="395DAB"/>
          </w:tcPr>
          <w:p w14:paraId="1F993CCF" w14:textId="77777777" w:rsidR="003A4C1B" w:rsidRPr="00BE60DC" w:rsidRDefault="00205DE0">
            <w:pPr>
              <w:pBdr>
                <w:top w:val="nil"/>
                <w:left w:val="nil"/>
                <w:bottom w:val="nil"/>
                <w:right w:val="nil"/>
                <w:between w:val="nil"/>
              </w:pBdr>
              <w:spacing w:before="40" w:after="40"/>
              <w:rPr>
                <w:b/>
                <w:color w:val="FFFFFF" w:themeColor="background1"/>
                <w:szCs w:val="22"/>
              </w:rPr>
            </w:pPr>
            <w:bookmarkStart w:id="233" w:name="_heading=h.2grqrue" w:colFirst="0" w:colLast="0"/>
            <w:bookmarkEnd w:id="233"/>
            <w:r w:rsidRPr="00BE60DC">
              <w:rPr>
                <w:b/>
                <w:color w:val="FFFFFF" w:themeColor="background1"/>
                <w:szCs w:val="22"/>
              </w:rPr>
              <w:t>Commencement date</w:t>
            </w:r>
          </w:p>
        </w:tc>
        <w:tc>
          <w:tcPr>
            <w:tcW w:w="3823" w:type="dxa"/>
            <w:shd w:val="clear" w:color="auto" w:fill="395DAB"/>
          </w:tcPr>
          <w:p w14:paraId="54BE81AD" w14:textId="77777777" w:rsidR="003A4C1B" w:rsidRPr="00BE60DC" w:rsidRDefault="00205DE0">
            <w:pPr>
              <w:pBdr>
                <w:top w:val="nil"/>
                <w:left w:val="nil"/>
                <w:bottom w:val="nil"/>
                <w:right w:val="nil"/>
                <w:between w:val="nil"/>
              </w:pBdr>
              <w:spacing w:before="40" w:after="40"/>
              <w:rPr>
                <w:b/>
                <w:color w:val="FFFFFF" w:themeColor="background1"/>
                <w:szCs w:val="22"/>
              </w:rPr>
            </w:pPr>
            <w:bookmarkStart w:id="234" w:name="_heading=h.vx1227" w:colFirst="0" w:colLast="0"/>
            <w:bookmarkEnd w:id="234"/>
            <w:r w:rsidRPr="00BE60DC">
              <w:rPr>
                <w:b/>
                <w:color w:val="FFFFFF" w:themeColor="background1"/>
                <w:szCs w:val="22"/>
              </w:rPr>
              <w:t>Implementation</w:t>
            </w:r>
          </w:p>
        </w:tc>
      </w:tr>
      <w:tr w:rsidR="00BE60DC" w:rsidRPr="00BE60DC" w14:paraId="4CDD86F6" w14:textId="77777777" w:rsidTr="00BE60DC">
        <w:tc>
          <w:tcPr>
            <w:tcW w:w="2974" w:type="dxa"/>
            <w:shd w:val="clear" w:color="auto" w:fill="395DAB"/>
          </w:tcPr>
          <w:p w14:paraId="2A70E615" w14:textId="77777777" w:rsidR="003A4C1B" w:rsidRPr="00BE60DC" w:rsidRDefault="00205DE0" w:rsidP="00F47AE6">
            <w:pPr>
              <w:rPr>
                <w:b/>
                <w:color w:val="FFFFFF" w:themeColor="background1"/>
                <w:sz w:val="20"/>
              </w:rPr>
            </w:pPr>
            <w:r w:rsidRPr="00BE60DC">
              <w:rPr>
                <w:b/>
                <w:color w:val="FFFFFF" w:themeColor="background1"/>
                <w:sz w:val="20"/>
              </w:rPr>
              <w:t>Your super follows you</w:t>
            </w:r>
          </w:p>
        </w:tc>
        <w:tc>
          <w:tcPr>
            <w:tcW w:w="2265" w:type="dxa"/>
            <w:shd w:val="clear" w:color="auto" w:fill="395DAB"/>
          </w:tcPr>
          <w:p w14:paraId="483772DE" w14:textId="77777777" w:rsidR="003A4C1B" w:rsidRPr="00BE60DC" w:rsidRDefault="00205DE0">
            <w:pPr>
              <w:rPr>
                <w:color w:val="FFFFFF" w:themeColor="background1"/>
                <w:sz w:val="20"/>
              </w:rPr>
            </w:pPr>
            <w:r w:rsidRPr="00BE60DC">
              <w:rPr>
                <w:color w:val="FFFFFF" w:themeColor="background1"/>
                <w:sz w:val="20"/>
              </w:rPr>
              <w:t>1 July 2021</w:t>
            </w:r>
          </w:p>
        </w:tc>
        <w:tc>
          <w:tcPr>
            <w:tcW w:w="3823" w:type="dxa"/>
            <w:shd w:val="clear" w:color="auto" w:fill="395DAB"/>
          </w:tcPr>
          <w:p w14:paraId="123E942E" w14:textId="77777777" w:rsidR="003A4C1B" w:rsidRPr="00BE60DC" w:rsidRDefault="00205DE0">
            <w:pPr>
              <w:rPr>
                <w:color w:val="FFFFFF" w:themeColor="background1"/>
                <w:sz w:val="20"/>
              </w:rPr>
            </w:pPr>
            <w:r w:rsidRPr="00BE60DC">
              <w:rPr>
                <w:color w:val="FFFFFF" w:themeColor="background1"/>
                <w:sz w:val="20"/>
              </w:rPr>
              <w:t>No unintended multiple accounts will be created after 1 July 2021.</w:t>
            </w:r>
          </w:p>
          <w:p w14:paraId="05C760E9" w14:textId="77777777" w:rsidR="003A4C1B" w:rsidRPr="00BE60DC" w:rsidRDefault="003A4C1B">
            <w:pPr>
              <w:rPr>
                <w:color w:val="FFFFFF" w:themeColor="background1"/>
                <w:sz w:val="20"/>
              </w:rPr>
            </w:pPr>
          </w:p>
        </w:tc>
      </w:tr>
      <w:tr w:rsidR="00BE60DC" w:rsidRPr="00BE60DC" w14:paraId="486A048C" w14:textId="77777777" w:rsidTr="00BE60DC">
        <w:tc>
          <w:tcPr>
            <w:tcW w:w="2974" w:type="dxa"/>
            <w:shd w:val="clear" w:color="auto" w:fill="395DAB"/>
          </w:tcPr>
          <w:p w14:paraId="698F6DAC" w14:textId="77777777" w:rsidR="003A4C1B" w:rsidRPr="00BE60DC" w:rsidRDefault="00205DE0">
            <w:pPr>
              <w:rPr>
                <w:b/>
                <w:color w:val="FFFFFF" w:themeColor="background1"/>
                <w:sz w:val="20"/>
              </w:rPr>
            </w:pPr>
            <w:r w:rsidRPr="00BE60DC">
              <w:rPr>
                <w:b/>
                <w:color w:val="FFFFFF" w:themeColor="background1"/>
                <w:sz w:val="20"/>
              </w:rPr>
              <w:t>Empowering members</w:t>
            </w:r>
          </w:p>
        </w:tc>
        <w:tc>
          <w:tcPr>
            <w:tcW w:w="2265" w:type="dxa"/>
            <w:shd w:val="clear" w:color="auto" w:fill="395DAB"/>
          </w:tcPr>
          <w:p w14:paraId="3E6F4550" w14:textId="77777777" w:rsidR="003A4C1B" w:rsidRPr="00BE60DC" w:rsidRDefault="00205DE0">
            <w:pPr>
              <w:rPr>
                <w:color w:val="FFFFFF" w:themeColor="background1"/>
                <w:sz w:val="20"/>
              </w:rPr>
            </w:pPr>
            <w:r w:rsidRPr="00BE60DC">
              <w:rPr>
                <w:color w:val="FFFFFF" w:themeColor="background1"/>
                <w:sz w:val="20"/>
              </w:rPr>
              <w:t>1 July 2021</w:t>
            </w:r>
          </w:p>
        </w:tc>
        <w:tc>
          <w:tcPr>
            <w:tcW w:w="3823" w:type="dxa"/>
            <w:shd w:val="clear" w:color="auto" w:fill="395DAB"/>
          </w:tcPr>
          <w:p w14:paraId="4DC2E222" w14:textId="6A5C56B6" w:rsidR="003A4C1B" w:rsidRPr="00BE60DC" w:rsidRDefault="00205DE0">
            <w:pPr>
              <w:rPr>
                <w:color w:val="FFFFFF" w:themeColor="background1"/>
                <w:sz w:val="20"/>
              </w:rPr>
            </w:pPr>
            <w:r w:rsidRPr="00BE60DC">
              <w:rPr>
                <w:color w:val="FFFFFF" w:themeColor="background1"/>
                <w:sz w:val="20"/>
              </w:rPr>
              <w:t>The YourSuper comparison tool will be available to all Australians by no later than</w:t>
            </w:r>
            <w:r w:rsidR="009F1E88" w:rsidRPr="00BE60DC">
              <w:rPr>
                <w:color w:val="FFFFFF" w:themeColor="background1"/>
                <w:sz w:val="20"/>
              </w:rPr>
              <w:t xml:space="preserve"> </w:t>
            </w:r>
            <w:r w:rsidRPr="00BE60DC">
              <w:rPr>
                <w:color w:val="FFFFFF" w:themeColor="background1"/>
                <w:sz w:val="20"/>
              </w:rPr>
              <w:t>1 July 2021.</w:t>
            </w:r>
          </w:p>
        </w:tc>
      </w:tr>
      <w:tr w:rsidR="00BE60DC" w:rsidRPr="00BE60DC" w14:paraId="2A0C91EA" w14:textId="77777777" w:rsidTr="00BE60DC">
        <w:tc>
          <w:tcPr>
            <w:tcW w:w="2974" w:type="dxa"/>
            <w:vMerge w:val="restart"/>
            <w:shd w:val="clear" w:color="auto" w:fill="395DAB"/>
          </w:tcPr>
          <w:p w14:paraId="263D52AA" w14:textId="77777777" w:rsidR="003A4C1B" w:rsidRPr="00BE60DC" w:rsidRDefault="00205DE0">
            <w:pPr>
              <w:rPr>
                <w:b/>
                <w:color w:val="FFFFFF" w:themeColor="background1"/>
                <w:sz w:val="20"/>
              </w:rPr>
            </w:pPr>
            <w:r w:rsidRPr="00BE60DC">
              <w:rPr>
                <w:b/>
                <w:color w:val="FFFFFF" w:themeColor="background1"/>
                <w:sz w:val="20"/>
              </w:rPr>
              <w:t>Holding funds to account for underperformance</w:t>
            </w:r>
          </w:p>
          <w:p w14:paraId="19991B80" w14:textId="77777777" w:rsidR="003A4C1B" w:rsidRPr="00BE60DC" w:rsidRDefault="003A4C1B">
            <w:pPr>
              <w:rPr>
                <w:b/>
                <w:color w:val="FFFFFF" w:themeColor="background1"/>
                <w:sz w:val="20"/>
              </w:rPr>
            </w:pPr>
          </w:p>
        </w:tc>
        <w:tc>
          <w:tcPr>
            <w:tcW w:w="2265" w:type="dxa"/>
            <w:shd w:val="clear" w:color="auto" w:fill="395DAB"/>
          </w:tcPr>
          <w:p w14:paraId="21C0CBE1" w14:textId="77777777" w:rsidR="003A4C1B" w:rsidRPr="00BE60DC" w:rsidRDefault="00205DE0">
            <w:pPr>
              <w:rPr>
                <w:color w:val="FFFFFF" w:themeColor="background1"/>
                <w:sz w:val="20"/>
              </w:rPr>
            </w:pPr>
            <w:r w:rsidRPr="00BE60DC">
              <w:rPr>
                <w:color w:val="FFFFFF" w:themeColor="background1"/>
                <w:sz w:val="20"/>
              </w:rPr>
              <w:t>1 July 2021</w:t>
            </w:r>
          </w:p>
        </w:tc>
        <w:tc>
          <w:tcPr>
            <w:tcW w:w="3823" w:type="dxa"/>
            <w:shd w:val="clear" w:color="auto" w:fill="395DAB"/>
          </w:tcPr>
          <w:p w14:paraId="7C5A2A10" w14:textId="77777777" w:rsidR="003A4C1B" w:rsidRPr="00BE60DC" w:rsidRDefault="00205DE0">
            <w:pPr>
              <w:rPr>
                <w:color w:val="FFFFFF" w:themeColor="background1"/>
                <w:sz w:val="20"/>
              </w:rPr>
            </w:pPr>
            <w:r w:rsidRPr="00BE60DC">
              <w:rPr>
                <w:color w:val="FFFFFF" w:themeColor="background1"/>
                <w:sz w:val="20"/>
              </w:rPr>
              <w:t xml:space="preserve">APRA will complete the first benchmarking tests for MySuper products in September 2021, with trustees of underperforming products to notify members by 1 October 2021. </w:t>
            </w:r>
          </w:p>
        </w:tc>
      </w:tr>
      <w:tr w:rsidR="00BE60DC" w:rsidRPr="00BE60DC" w14:paraId="4B6AE81C" w14:textId="77777777" w:rsidTr="00BE60DC">
        <w:tc>
          <w:tcPr>
            <w:tcW w:w="2974" w:type="dxa"/>
            <w:vMerge/>
            <w:shd w:val="clear" w:color="auto" w:fill="395DAB"/>
          </w:tcPr>
          <w:p w14:paraId="3F467947" w14:textId="77777777" w:rsidR="003A4C1B" w:rsidRPr="00BE60DC" w:rsidRDefault="003A4C1B">
            <w:pPr>
              <w:widowControl w:val="0"/>
              <w:pBdr>
                <w:top w:val="nil"/>
                <w:left w:val="nil"/>
                <w:bottom w:val="nil"/>
                <w:right w:val="nil"/>
                <w:between w:val="nil"/>
              </w:pBdr>
              <w:spacing w:before="0" w:after="0" w:line="276" w:lineRule="auto"/>
              <w:rPr>
                <w:color w:val="FFFFFF" w:themeColor="background1"/>
                <w:sz w:val="20"/>
              </w:rPr>
            </w:pPr>
          </w:p>
        </w:tc>
        <w:tc>
          <w:tcPr>
            <w:tcW w:w="2265" w:type="dxa"/>
            <w:shd w:val="clear" w:color="auto" w:fill="395DAB"/>
          </w:tcPr>
          <w:p w14:paraId="0DA76646" w14:textId="77777777" w:rsidR="003A4C1B" w:rsidRPr="00BE60DC" w:rsidRDefault="00205DE0">
            <w:pPr>
              <w:rPr>
                <w:color w:val="FFFFFF" w:themeColor="background1"/>
                <w:sz w:val="20"/>
              </w:rPr>
            </w:pPr>
            <w:r w:rsidRPr="00BE60DC">
              <w:rPr>
                <w:color w:val="FFFFFF" w:themeColor="background1"/>
                <w:sz w:val="20"/>
              </w:rPr>
              <w:t>1 July 2022</w:t>
            </w:r>
          </w:p>
        </w:tc>
        <w:tc>
          <w:tcPr>
            <w:tcW w:w="3823" w:type="dxa"/>
            <w:shd w:val="clear" w:color="auto" w:fill="395DAB"/>
          </w:tcPr>
          <w:p w14:paraId="6A0B37DC" w14:textId="77777777" w:rsidR="003A4C1B" w:rsidRPr="00BE60DC" w:rsidRDefault="00205DE0">
            <w:pPr>
              <w:rPr>
                <w:color w:val="FFFFFF" w:themeColor="background1"/>
                <w:sz w:val="20"/>
              </w:rPr>
            </w:pPr>
            <w:r w:rsidRPr="00BE60DC">
              <w:rPr>
                <w:color w:val="FFFFFF" w:themeColor="background1"/>
                <w:sz w:val="20"/>
              </w:rPr>
              <w:t xml:space="preserve">APRA will complete the first benchmarking tests for </w:t>
            </w:r>
            <w:r w:rsidR="000B3EFE" w:rsidRPr="00BE60DC">
              <w:rPr>
                <w:color w:val="FFFFFF" w:themeColor="background1"/>
                <w:sz w:val="20"/>
              </w:rPr>
              <w:t>t</w:t>
            </w:r>
            <w:r w:rsidRPr="00BE60DC">
              <w:rPr>
                <w:color w:val="FFFFFF" w:themeColor="background1"/>
                <w:sz w:val="20"/>
              </w:rPr>
              <w:t>rustee</w:t>
            </w:r>
            <w:r w:rsidR="000B3EFE" w:rsidRPr="00BE60DC">
              <w:rPr>
                <w:color w:val="FFFFFF" w:themeColor="background1"/>
                <w:sz w:val="20"/>
              </w:rPr>
              <w:noBreakHyphen/>
              <w:t>d</w:t>
            </w:r>
            <w:r w:rsidRPr="00BE60DC">
              <w:rPr>
                <w:color w:val="FFFFFF" w:themeColor="background1"/>
                <w:sz w:val="20"/>
              </w:rPr>
              <w:t xml:space="preserve">irected </w:t>
            </w:r>
            <w:r w:rsidR="000B3EFE" w:rsidRPr="00BE60DC">
              <w:rPr>
                <w:color w:val="FFFFFF" w:themeColor="background1"/>
                <w:sz w:val="20"/>
              </w:rPr>
              <w:t>p</w:t>
            </w:r>
            <w:r w:rsidRPr="00BE60DC">
              <w:rPr>
                <w:color w:val="FFFFFF" w:themeColor="background1"/>
                <w:sz w:val="20"/>
              </w:rPr>
              <w:t>roducts in September 2022, with trustees of underperforming products to notify members by 1 October 2022.</w:t>
            </w:r>
          </w:p>
        </w:tc>
      </w:tr>
      <w:tr w:rsidR="00BE60DC" w:rsidRPr="00BE60DC" w14:paraId="34BD4313" w14:textId="77777777" w:rsidTr="00BE60DC">
        <w:tc>
          <w:tcPr>
            <w:tcW w:w="9062" w:type="dxa"/>
            <w:gridSpan w:val="3"/>
            <w:shd w:val="clear" w:color="auto" w:fill="395DAB"/>
          </w:tcPr>
          <w:p w14:paraId="5F57574E" w14:textId="77777777" w:rsidR="003A4C1B" w:rsidRPr="00BE60DC" w:rsidRDefault="00205DE0">
            <w:pPr>
              <w:rPr>
                <w:b/>
                <w:color w:val="FFFFFF" w:themeColor="background1"/>
                <w:sz w:val="20"/>
              </w:rPr>
            </w:pPr>
            <w:r w:rsidRPr="00BE60DC">
              <w:rPr>
                <w:b/>
                <w:color w:val="FFFFFF" w:themeColor="background1"/>
                <w:sz w:val="20"/>
              </w:rPr>
              <w:t>Increasing transparency and accountability</w:t>
            </w:r>
          </w:p>
        </w:tc>
      </w:tr>
      <w:tr w:rsidR="00BE60DC" w:rsidRPr="00BE60DC" w14:paraId="11846FAB" w14:textId="77777777" w:rsidTr="00BE60DC">
        <w:tc>
          <w:tcPr>
            <w:tcW w:w="2974" w:type="dxa"/>
            <w:shd w:val="clear" w:color="auto" w:fill="395DAB"/>
          </w:tcPr>
          <w:p w14:paraId="5BC2ED6B" w14:textId="77777777" w:rsidR="003A4C1B" w:rsidRPr="00BE60DC" w:rsidRDefault="00205DE0">
            <w:pPr>
              <w:rPr>
                <w:color w:val="FFFFFF" w:themeColor="background1"/>
                <w:sz w:val="20"/>
              </w:rPr>
            </w:pPr>
            <w:r w:rsidRPr="00BE60DC">
              <w:rPr>
                <w:color w:val="FFFFFF" w:themeColor="background1"/>
                <w:sz w:val="20"/>
              </w:rPr>
              <w:t xml:space="preserve">   Best financial interest</w:t>
            </w:r>
            <w:r w:rsidR="000B3EFE" w:rsidRPr="00BE60DC">
              <w:rPr>
                <w:color w:val="FFFFFF" w:themeColor="background1"/>
                <w:sz w:val="20"/>
              </w:rPr>
              <w:t>s</w:t>
            </w:r>
            <w:r w:rsidRPr="00BE60DC">
              <w:rPr>
                <w:color w:val="FFFFFF" w:themeColor="background1"/>
                <w:sz w:val="20"/>
              </w:rPr>
              <w:t xml:space="preserve"> duty</w:t>
            </w:r>
          </w:p>
        </w:tc>
        <w:tc>
          <w:tcPr>
            <w:tcW w:w="2265" w:type="dxa"/>
            <w:shd w:val="clear" w:color="auto" w:fill="395DAB"/>
          </w:tcPr>
          <w:p w14:paraId="601B0094" w14:textId="77777777" w:rsidR="003A4C1B" w:rsidRPr="00BE60DC" w:rsidRDefault="00205DE0">
            <w:pPr>
              <w:rPr>
                <w:color w:val="FFFFFF" w:themeColor="background1"/>
                <w:sz w:val="20"/>
              </w:rPr>
            </w:pPr>
            <w:r w:rsidRPr="00BE60DC">
              <w:rPr>
                <w:color w:val="FFFFFF" w:themeColor="background1"/>
                <w:sz w:val="20"/>
              </w:rPr>
              <w:t>1 July 2021</w:t>
            </w:r>
          </w:p>
        </w:tc>
        <w:tc>
          <w:tcPr>
            <w:tcW w:w="3823" w:type="dxa"/>
            <w:shd w:val="clear" w:color="auto" w:fill="395DAB"/>
          </w:tcPr>
          <w:p w14:paraId="06F21E63" w14:textId="77777777" w:rsidR="003A4C1B" w:rsidRPr="00BE60DC" w:rsidRDefault="00205DE0">
            <w:pPr>
              <w:rPr>
                <w:color w:val="FFFFFF" w:themeColor="background1"/>
                <w:sz w:val="20"/>
              </w:rPr>
            </w:pPr>
            <w:r w:rsidRPr="00BE60DC">
              <w:rPr>
                <w:color w:val="FFFFFF" w:themeColor="background1"/>
                <w:sz w:val="20"/>
              </w:rPr>
              <w:t>Obligations will apply to trustee decisions taken on or after 1 July 2021.</w:t>
            </w:r>
          </w:p>
        </w:tc>
      </w:tr>
      <w:tr w:rsidR="00BE60DC" w:rsidRPr="00BE60DC" w14:paraId="08CC4711" w14:textId="77777777" w:rsidTr="00BE60DC">
        <w:tc>
          <w:tcPr>
            <w:tcW w:w="2974" w:type="dxa"/>
            <w:shd w:val="clear" w:color="auto" w:fill="395DAB"/>
          </w:tcPr>
          <w:p w14:paraId="20BCB356" w14:textId="77777777" w:rsidR="003A4C1B" w:rsidRPr="00BE60DC" w:rsidRDefault="00205DE0">
            <w:pPr>
              <w:rPr>
                <w:color w:val="FFFFFF" w:themeColor="background1"/>
                <w:sz w:val="20"/>
              </w:rPr>
            </w:pPr>
            <w:r w:rsidRPr="00BE60DC">
              <w:rPr>
                <w:color w:val="FFFFFF" w:themeColor="background1"/>
                <w:sz w:val="20"/>
              </w:rPr>
              <w:t xml:space="preserve">   Annual Members’ Meetings</w:t>
            </w:r>
          </w:p>
        </w:tc>
        <w:tc>
          <w:tcPr>
            <w:tcW w:w="2265" w:type="dxa"/>
            <w:shd w:val="clear" w:color="auto" w:fill="395DAB"/>
          </w:tcPr>
          <w:p w14:paraId="0238B746" w14:textId="77777777" w:rsidR="003A4C1B" w:rsidRPr="00BE60DC" w:rsidRDefault="00205DE0">
            <w:pPr>
              <w:rPr>
                <w:color w:val="FFFFFF" w:themeColor="background1"/>
                <w:sz w:val="20"/>
              </w:rPr>
            </w:pPr>
            <w:r w:rsidRPr="00BE60DC">
              <w:rPr>
                <w:color w:val="FFFFFF" w:themeColor="background1"/>
                <w:sz w:val="20"/>
              </w:rPr>
              <w:t>1 July 2021</w:t>
            </w:r>
          </w:p>
        </w:tc>
        <w:tc>
          <w:tcPr>
            <w:tcW w:w="3823" w:type="dxa"/>
            <w:shd w:val="clear" w:color="auto" w:fill="395DAB"/>
          </w:tcPr>
          <w:p w14:paraId="54DBA16A" w14:textId="77777777" w:rsidR="003A4C1B" w:rsidRPr="00BE60DC" w:rsidRDefault="00205DE0">
            <w:pPr>
              <w:rPr>
                <w:color w:val="FFFFFF" w:themeColor="background1"/>
                <w:sz w:val="20"/>
              </w:rPr>
            </w:pPr>
            <w:r w:rsidRPr="00BE60DC">
              <w:rPr>
                <w:color w:val="FFFFFF" w:themeColor="background1"/>
                <w:sz w:val="20"/>
              </w:rPr>
              <w:t>Trustees will be required to send information for Annual Members’ Meetings from 1 July 2021.</w:t>
            </w:r>
          </w:p>
        </w:tc>
      </w:tr>
    </w:tbl>
    <w:p w14:paraId="1FCEFC58" w14:textId="77777777" w:rsidR="00D52E09" w:rsidRPr="00DA2B80" w:rsidRDefault="00205DE0" w:rsidP="007353DC">
      <w:pPr>
        <w:pStyle w:val="Heading1"/>
        <w:rPr>
          <w:szCs w:val="48"/>
        </w:rPr>
      </w:pPr>
      <w:r>
        <w:br w:type="column"/>
      </w:r>
      <w:bookmarkStart w:id="235" w:name="_Toc53397865"/>
      <w:r w:rsidR="00D52E09" w:rsidRPr="00DA2B80">
        <w:rPr>
          <w:szCs w:val="48"/>
        </w:rPr>
        <w:lastRenderedPageBreak/>
        <w:t>Appendix</w:t>
      </w:r>
      <w:r w:rsidR="004C4A05">
        <w:rPr>
          <w:szCs w:val="48"/>
        </w:rPr>
        <w:t xml:space="preserve"> 1</w:t>
      </w:r>
      <w:bookmarkEnd w:id="235"/>
    </w:p>
    <w:p w14:paraId="62B3730A" w14:textId="53482E7F" w:rsidR="00D52E09" w:rsidRDefault="00DB54CD">
      <w:pPr>
        <w:rPr>
          <w:rFonts w:cs="Arial"/>
          <w:color w:val="002C4A"/>
          <w:kern w:val="32"/>
          <w:sz w:val="48"/>
          <w:szCs w:val="36"/>
        </w:rPr>
      </w:pPr>
      <w:r w:rsidRPr="00DB54CD">
        <w:rPr>
          <w:noProof/>
        </w:rPr>
        <w:drawing>
          <wp:inline distT="0" distB="0" distL="0" distR="0" wp14:anchorId="132C9369" wp14:editId="301FD9C5">
            <wp:extent cx="5468113" cy="5915851"/>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68113" cy="5915851"/>
                    </a:xfrm>
                    <a:prstGeom prst="rect">
                      <a:avLst/>
                    </a:prstGeom>
                  </pic:spPr>
                </pic:pic>
              </a:graphicData>
            </a:graphic>
          </wp:inline>
        </w:drawing>
      </w:r>
      <w:r w:rsidR="00D52E09">
        <w:br w:type="page"/>
      </w:r>
    </w:p>
    <w:p w14:paraId="195133E2" w14:textId="77777777" w:rsidR="003A4C1B" w:rsidRDefault="007353DC">
      <w:pPr>
        <w:pStyle w:val="Heading1"/>
      </w:pPr>
      <w:bookmarkStart w:id="236" w:name="_Toc52472745"/>
      <w:bookmarkStart w:id="237" w:name="_Toc52470932"/>
      <w:bookmarkStart w:id="238" w:name="_Toc52472821"/>
      <w:bookmarkStart w:id="239" w:name="_Toc52474240"/>
      <w:bookmarkStart w:id="240" w:name="_Toc53397866"/>
      <w:r>
        <w:lastRenderedPageBreak/>
        <w:t>A</w:t>
      </w:r>
      <w:r w:rsidR="00205DE0">
        <w:t>ppendix</w:t>
      </w:r>
      <w:bookmarkEnd w:id="236"/>
      <w:bookmarkEnd w:id="237"/>
      <w:bookmarkEnd w:id="238"/>
      <w:bookmarkEnd w:id="239"/>
      <w:r w:rsidR="00205DE0">
        <w:t xml:space="preserve"> </w:t>
      </w:r>
      <w:r>
        <w:t>2</w:t>
      </w:r>
      <w:bookmarkEnd w:id="240"/>
    </w:p>
    <w:p w14:paraId="5B401222" w14:textId="77777777" w:rsidR="003A4C1B" w:rsidRDefault="00205DE0">
      <w:pPr>
        <w:pStyle w:val="Heading2"/>
      </w:pPr>
      <w:bookmarkStart w:id="241" w:name="_heading=h.4f1mdlm" w:colFirst="0" w:colLast="0"/>
      <w:bookmarkStart w:id="242" w:name="_Toc52313263"/>
      <w:bookmarkStart w:id="243" w:name="_Toc52472746"/>
      <w:bookmarkStart w:id="244" w:name="_Toc52470933"/>
      <w:bookmarkStart w:id="245" w:name="_Toc52472822"/>
      <w:bookmarkStart w:id="246" w:name="_Toc52474209"/>
      <w:bookmarkStart w:id="247" w:name="_Toc52474241"/>
      <w:bookmarkStart w:id="248" w:name="_Toc52471873"/>
      <w:bookmarkStart w:id="249" w:name="_Toc53397867"/>
      <w:bookmarkEnd w:id="241"/>
      <w:r>
        <w:t>Underperformance benchmarking methodology</w:t>
      </w:r>
      <w:bookmarkEnd w:id="242"/>
      <w:bookmarkEnd w:id="243"/>
      <w:bookmarkEnd w:id="244"/>
      <w:bookmarkEnd w:id="245"/>
      <w:bookmarkEnd w:id="246"/>
      <w:bookmarkEnd w:id="247"/>
      <w:bookmarkEnd w:id="248"/>
      <w:bookmarkEnd w:id="249"/>
    </w:p>
    <w:p w14:paraId="4404828F" w14:textId="77777777" w:rsidR="003A4C1B" w:rsidRDefault="00205DE0">
      <w:r>
        <w:t xml:space="preserve">The regulations will stipulate the benchmarking test as consistent with the current </w:t>
      </w:r>
      <w:r>
        <w:rPr>
          <w:i/>
        </w:rPr>
        <w:t>Heatmap</w:t>
      </w:r>
      <w:r>
        <w:t xml:space="preserve"> methodology employed by APRA. Net investment returns are calculated as:</w:t>
      </w:r>
    </w:p>
    <w:p w14:paraId="7C118A7A" w14:textId="7A0DADBB" w:rsidR="003A4C1B" w:rsidRDefault="00602F6B">
      <w:pPr>
        <w:jc w:val="center"/>
        <w:rPr>
          <w:rFonts w:ascii="Cambria Math" w:eastAsia="Cambria Math" w:hAnsi="Cambria Math" w:cs="Cambria Math"/>
        </w:rPr>
      </w:pPr>
      <m:oMathPara>
        <m:oMath>
          <m:sSup>
            <m:sSupPr>
              <m:ctrlPr>
                <w:rPr>
                  <w:rFonts w:ascii="Cambria Math" w:hAnsi="Cambria Math"/>
                </w:rPr>
              </m:ctrlPr>
            </m:sSupPr>
            <m:e>
              <m:d>
                <m:dPr>
                  <m:begChr m:val="{"/>
                  <m:endChr m:val="}"/>
                  <m:ctrlPr>
                    <w:rPr>
                      <w:rFonts w:ascii="Cambria Math" w:hAnsi="Cambria Math"/>
                    </w:rPr>
                  </m:ctrlPr>
                </m:dPr>
                <m:e>
                  <m:nary>
                    <m:naryPr>
                      <m:chr m:val="∏"/>
                      <m:ctrlPr>
                        <w:rPr>
                          <w:rFonts w:ascii="Cambria Math" w:eastAsia="Cambria Math" w:hAnsi="Cambria Math" w:cs="Cambria Math"/>
                        </w:rPr>
                      </m:ctrlPr>
                    </m:naryPr>
                    <m:sub>
                      <m:r>
                        <m:rPr>
                          <m:sty m:val="p"/>
                        </m:rPr>
                        <w:rPr>
                          <w:rFonts w:ascii="Cambria Math" w:eastAsia="Cambria Math" w:hAnsi="Cambria Math" w:cs="Cambria Math"/>
                        </w:rPr>
                        <m:t xml:space="preserve">t=1 </m:t>
                      </m:r>
                    </m:sub>
                    <m:sup>
                      <m:r>
                        <m:rPr>
                          <m:sty m:val="p"/>
                        </m:rPr>
                        <w:rPr>
                          <w:rFonts w:ascii="Cambria Math" w:eastAsia="Cambria Math" w:hAnsi="Cambria Math" w:cs="Cambria Math"/>
                        </w:rPr>
                        <m:t>n</m:t>
                      </m:r>
                    </m:sup>
                    <m:e>
                      <m:d>
                        <m:dPr>
                          <m:ctrlPr>
                            <w:rPr>
                              <w:rFonts w:ascii="Cambria Math" w:eastAsia="Cambria Math" w:hAnsi="Cambria Math" w:cs="Cambria Math"/>
                            </w:rPr>
                          </m:ctrlPr>
                        </m:dPr>
                        <m:e>
                          <m:r>
                            <m:rPr>
                              <m:sty m:val="p"/>
                            </m:rPr>
                            <w:rPr>
                              <w:rFonts w:ascii="Cambria Math" w:eastAsia="Cambria Math" w:hAnsi="Cambria Math" w:cs="Cambria Math"/>
                            </w:rPr>
                            <m:t>1+NI</m:t>
                          </m:r>
                          <m:sSub>
                            <m:sSubPr>
                              <m:ctrlPr>
                                <w:rPr>
                                  <w:rFonts w:ascii="Cambria Math" w:eastAsia="Cambria Math" w:hAnsi="Cambria Math" w:cs="Cambria Math"/>
                                </w:rPr>
                              </m:ctrlPr>
                            </m:sSubPr>
                            <m:e>
                              <m:r>
                                <m:rPr>
                                  <m:sty m:val="p"/>
                                </m:rPr>
                                <w:rPr>
                                  <w:rFonts w:ascii="Cambria Math" w:eastAsia="Cambria Math" w:hAnsi="Cambria Math" w:cs="Cambria Math"/>
                                </w:rPr>
                                <m:t>R</m:t>
                              </m:r>
                            </m:e>
                            <m:sub>
                              <m:r>
                                <m:rPr>
                                  <m:sty m:val="p"/>
                                </m:rPr>
                                <w:rPr>
                                  <w:rFonts w:ascii="Cambria Math" w:eastAsia="Cambria Math" w:hAnsi="Cambria Math" w:cs="Cambria Math"/>
                                </w:rPr>
                                <m:t>t</m:t>
                              </m:r>
                            </m:sub>
                          </m:sSub>
                        </m:e>
                      </m:d>
                    </m:e>
                  </m:nary>
                </m:e>
              </m:d>
            </m:e>
            <m:sup>
              <m:f>
                <m:fPr>
                  <m:ctrlPr>
                    <w:rPr>
                      <w:rFonts w:ascii="Cambria Math" w:eastAsia="Cambria Math" w:hAnsi="Cambria Math" w:cs="Cambria Math"/>
                    </w:rPr>
                  </m:ctrlPr>
                </m:fPr>
                <m:num>
                  <m:r>
                    <m:rPr>
                      <m:sty m:val="p"/>
                    </m:rPr>
                    <w:rPr>
                      <w:rFonts w:ascii="Cambria Math" w:eastAsia="Cambria Math" w:hAnsi="Cambria Math" w:cs="Cambria Math"/>
                    </w:rPr>
                    <m:t>1</m:t>
                  </m:r>
                </m:num>
                <m:den>
                  <m:r>
                    <m:rPr>
                      <m:sty m:val="p"/>
                    </m:rPr>
                    <w:rPr>
                      <w:rFonts w:ascii="Cambria Math" w:eastAsia="Cambria Math" w:hAnsi="Cambria Math" w:cs="Cambria Math"/>
                    </w:rPr>
                    <m:t>n</m:t>
                  </m:r>
                </m:den>
              </m:f>
            </m:sup>
          </m:sSup>
          <m:r>
            <m:rPr>
              <m:sty m:val="p"/>
            </m:rPr>
            <w:rPr>
              <w:rFonts w:ascii="Cambria Math" w:eastAsia="Cambria Math" w:hAnsi="Cambria Math" w:cs="Cambria Math"/>
            </w:rPr>
            <m:t>-1</m:t>
          </m:r>
        </m:oMath>
      </m:oMathPara>
    </w:p>
    <w:p w14:paraId="47FA650D" w14:textId="77777777" w:rsidR="003A4C1B" w:rsidRDefault="00205DE0">
      <w:r>
        <w:t>And strategic asset allocation benchmark portfolio returns are calculated as:</w:t>
      </w:r>
    </w:p>
    <w:p w14:paraId="6C0391F1" w14:textId="2AC139E9" w:rsidR="003A4C1B" w:rsidRDefault="00602F6B">
      <w:pPr>
        <w:jc w:val="center"/>
        <w:rPr>
          <w:rFonts w:ascii="Cambria Math" w:eastAsia="Cambria Math" w:hAnsi="Cambria Math" w:cs="Cambria Math"/>
        </w:rPr>
      </w:pPr>
      <m:oMathPara>
        <m:oMath>
          <m:sSup>
            <m:sSupPr>
              <m:ctrlPr>
                <w:rPr>
                  <w:rFonts w:ascii="Cambria Math" w:hAnsi="Cambria Math"/>
                </w:rPr>
              </m:ctrlPr>
            </m:sSupPr>
            <m:e>
              <m:d>
                <m:dPr>
                  <m:begChr m:val="{"/>
                  <m:endChr m:val="}"/>
                  <m:ctrlPr>
                    <w:rPr>
                      <w:rFonts w:ascii="Cambria Math" w:hAnsi="Cambria Math"/>
                    </w:rPr>
                  </m:ctrlPr>
                </m:dPr>
                <m:e>
                  <m:nary>
                    <m:naryPr>
                      <m:chr m:val="∏"/>
                      <m:ctrlPr>
                        <w:rPr>
                          <w:rFonts w:ascii="Cambria Math" w:eastAsia="Cambria Math" w:hAnsi="Cambria Math" w:cs="Cambria Math"/>
                        </w:rPr>
                      </m:ctrlPr>
                    </m:naryPr>
                    <m:sub>
                      <m:r>
                        <m:rPr>
                          <m:sty m:val="p"/>
                        </m:rPr>
                        <w:rPr>
                          <w:rFonts w:ascii="Cambria Math" w:eastAsia="Cambria Math" w:hAnsi="Cambria Math" w:cs="Cambria Math"/>
                        </w:rPr>
                        <m:t>t=1</m:t>
                      </m:r>
                    </m:sub>
                    <m:sup>
                      <m:r>
                        <m:rPr>
                          <m:sty m:val="p"/>
                        </m:rPr>
                        <w:rPr>
                          <w:rFonts w:ascii="Cambria Math" w:eastAsia="Cambria Math" w:hAnsi="Cambria Math" w:cs="Cambria Math"/>
                        </w:rPr>
                        <m:t>n</m:t>
                      </m:r>
                    </m:sup>
                    <m:e>
                      <m:d>
                        <m:dPr>
                          <m:ctrlPr>
                            <w:rPr>
                              <w:rFonts w:ascii="Cambria Math" w:eastAsia="Cambria Math" w:hAnsi="Cambria Math" w:cs="Cambria Math"/>
                            </w:rPr>
                          </m:ctrlPr>
                        </m:dPr>
                        <m:e>
                          <m:r>
                            <m:rPr>
                              <m:sty m:val="p"/>
                            </m:rPr>
                            <w:rPr>
                              <w:rFonts w:ascii="Cambria Math" w:eastAsia="Cambria Math" w:hAnsi="Cambria Math" w:cs="Cambria Math"/>
                            </w:rPr>
                            <m:t>1+</m:t>
                          </m:r>
                          <m:nary>
                            <m:naryPr>
                              <m:chr m:val="∑"/>
                              <m:ctrlPr>
                                <w:rPr>
                                  <w:rFonts w:ascii="Cambria Math" w:eastAsia="Cambria Math" w:hAnsi="Cambria Math" w:cs="Cambria Math"/>
                                </w:rPr>
                              </m:ctrlPr>
                            </m:naryPr>
                            <m:sub>
                              <m:r>
                                <m:rPr>
                                  <m:sty m:val="p"/>
                                </m:rPr>
                                <w:rPr>
                                  <w:rFonts w:ascii="Cambria Math" w:eastAsia="Cambria Math" w:hAnsi="Cambria Math" w:cs="Cambria Math"/>
                                </w:rPr>
                                <m:t>a=1</m:t>
                              </m:r>
                            </m:sub>
                            <m:sup>
                              <m:r>
                                <m:rPr>
                                  <m:sty m:val="p"/>
                                </m:rPr>
                                <w:rPr>
                                  <w:rFonts w:ascii="Cambria Math" w:eastAsia="Cambria Math" w:hAnsi="Cambria Math" w:cs="Cambria Math"/>
                                </w:rPr>
                                <m:t>A</m:t>
                              </m:r>
                            </m:sup>
                            <m:e>
                              <m:d>
                                <m:dPr>
                                  <m:ctrlPr>
                                    <w:rPr>
                                      <w:rFonts w:ascii="Cambria Math" w:eastAsia="Cambria Math" w:hAnsi="Cambria Math" w:cs="Cambria Math"/>
                                    </w:rPr>
                                  </m:ctrlPr>
                                </m:dPr>
                                <m:e>
                                  <m:r>
                                    <m:rPr>
                                      <m:sty m:val="p"/>
                                    </m:rPr>
                                    <w:rPr>
                                      <w:rFonts w:ascii="Cambria Math" w:eastAsia="Cambria Math" w:hAnsi="Cambria Math" w:cs="Cambria Math"/>
                                    </w:rPr>
                                    <m:t>SA</m:t>
                                  </m:r>
                                  <m:sSub>
                                    <m:sSubPr>
                                      <m:ctrlPr>
                                        <w:rPr>
                                          <w:rFonts w:ascii="Cambria Math" w:eastAsia="Cambria Math" w:hAnsi="Cambria Math" w:cs="Cambria Math"/>
                                        </w:rPr>
                                      </m:ctrlPr>
                                    </m:sSubPr>
                                    <m:e>
                                      <m:r>
                                        <m:rPr>
                                          <m:sty m:val="p"/>
                                        </m:rPr>
                                        <w:rPr>
                                          <w:rFonts w:ascii="Cambria Math" w:eastAsia="Cambria Math" w:hAnsi="Cambria Math" w:cs="Cambria Math"/>
                                        </w:rPr>
                                        <m:t>A</m:t>
                                      </m:r>
                                    </m:e>
                                    <m:sub>
                                      <m:r>
                                        <m:rPr>
                                          <m:sty m:val="p"/>
                                        </m:rPr>
                                        <w:rPr>
                                          <w:rFonts w:ascii="Cambria Math" w:eastAsia="Cambria Math" w:hAnsi="Cambria Math" w:cs="Cambria Math"/>
                                        </w:rPr>
                                        <m:t>a,t-1</m:t>
                                      </m:r>
                                    </m:sub>
                                  </m:sSub>
                                  <m:r>
                                    <m:rPr>
                                      <m:sty m:val="p"/>
                                    </m:rPr>
                                    <w:rPr>
                                      <w:rFonts w:ascii="Cambria Math" w:eastAsia="Cambria Math" w:hAnsi="Cambria Math" w:cs="Cambria Math"/>
                                    </w:rPr>
                                    <m:t>*</m:t>
                                  </m:r>
                                  <m:sSub>
                                    <m:sSubPr>
                                      <m:ctrlPr>
                                        <w:rPr>
                                          <w:rFonts w:ascii="Cambria Math" w:eastAsia="Cambria Math" w:hAnsi="Cambria Math" w:cs="Cambria Math"/>
                                        </w:rPr>
                                      </m:ctrlPr>
                                    </m:sSubPr>
                                    <m:e>
                                      <m:r>
                                        <m:rPr>
                                          <m:sty m:val="p"/>
                                        </m:rPr>
                                        <w:rPr>
                                          <w:rFonts w:ascii="Cambria Math" w:eastAsia="Cambria Math" w:hAnsi="Cambria Math" w:cs="Cambria Math"/>
                                        </w:rPr>
                                        <m:t>R</m:t>
                                      </m:r>
                                    </m:e>
                                    <m:sub>
                                      <m:r>
                                        <m:rPr>
                                          <m:sty m:val="p"/>
                                        </m:rPr>
                                        <w:rPr>
                                          <w:rFonts w:ascii="Cambria Math" w:eastAsia="Cambria Math" w:hAnsi="Cambria Math" w:cs="Cambria Math"/>
                                        </w:rPr>
                                        <m:t>a,t</m:t>
                                      </m:r>
                                    </m:sub>
                                  </m:sSub>
                                </m:e>
                              </m:d>
                            </m:e>
                          </m:nary>
                        </m:e>
                      </m:d>
                    </m:e>
                  </m:nary>
                </m:e>
              </m:d>
            </m:e>
            <m:sup>
              <m:f>
                <m:fPr>
                  <m:ctrlPr>
                    <w:rPr>
                      <w:rFonts w:ascii="Cambria Math" w:eastAsia="Cambria Math" w:hAnsi="Cambria Math" w:cs="Cambria Math"/>
                    </w:rPr>
                  </m:ctrlPr>
                </m:fPr>
                <m:num>
                  <m:r>
                    <m:rPr>
                      <m:sty m:val="p"/>
                    </m:rPr>
                    <w:rPr>
                      <w:rFonts w:ascii="Cambria Math" w:eastAsia="Cambria Math" w:hAnsi="Cambria Math" w:cs="Cambria Math"/>
                    </w:rPr>
                    <m:t>1</m:t>
                  </m:r>
                </m:num>
                <m:den>
                  <m:r>
                    <m:rPr>
                      <m:sty m:val="p"/>
                    </m:rPr>
                    <w:rPr>
                      <w:rFonts w:ascii="Cambria Math" w:eastAsia="Cambria Math" w:hAnsi="Cambria Math" w:cs="Cambria Math"/>
                    </w:rPr>
                    <m:t>n</m:t>
                  </m:r>
                </m:den>
              </m:f>
            </m:sup>
          </m:sSup>
          <m:r>
            <m:rPr>
              <m:sty m:val="p"/>
            </m:rPr>
            <w:rPr>
              <w:rFonts w:ascii="Cambria Math" w:eastAsia="Cambria Math" w:hAnsi="Cambria Math" w:cs="Cambria Math"/>
            </w:rPr>
            <m:t>-1</m:t>
          </m:r>
        </m:oMath>
      </m:oMathPara>
    </w:p>
    <w:p w14:paraId="6002ABCE" w14:textId="77777777" w:rsidR="003A4C1B" w:rsidRDefault="00205DE0">
      <w:r>
        <w:t>Where:</w:t>
      </w:r>
    </w:p>
    <w:p w14:paraId="6185F558" w14:textId="77777777" w:rsidR="003A4C1B" w:rsidRDefault="00205DE0">
      <w:pPr>
        <w:numPr>
          <w:ilvl w:val="0"/>
          <w:numId w:val="3"/>
        </w:numPr>
        <w:pBdr>
          <w:top w:val="nil"/>
          <w:left w:val="nil"/>
          <w:bottom w:val="nil"/>
          <w:right w:val="nil"/>
          <w:between w:val="nil"/>
        </w:pBdr>
        <w:spacing w:before="0"/>
      </w:pPr>
      <w:r w:rsidRPr="00A576AE">
        <w:rPr>
          <w:color w:val="000000"/>
        </w:rPr>
        <w:t xml:space="preserve">n </w:t>
      </w:r>
      <w:r>
        <w:rPr>
          <w:color w:val="000000"/>
        </w:rPr>
        <w:t>= number of periods</w:t>
      </w:r>
    </w:p>
    <w:p w14:paraId="6B22264E" w14:textId="77777777" w:rsidR="003A4C1B" w:rsidRDefault="00205DE0">
      <w:pPr>
        <w:numPr>
          <w:ilvl w:val="0"/>
          <w:numId w:val="3"/>
        </w:numPr>
        <w:pBdr>
          <w:top w:val="nil"/>
          <w:left w:val="nil"/>
          <w:bottom w:val="nil"/>
          <w:right w:val="nil"/>
          <w:between w:val="nil"/>
        </w:pBdr>
        <w:spacing w:before="0"/>
      </w:pPr>
      <w:r w:rsidRPr="00A576AE">
        <w:rPr>
          <w:color w:val="000000"/>
        </w:rPr>
        <w:t xml:space="preserve">t </w:t>
      </w:r>
      <w:r>
        <w:rPr>
          <w:color w:val="000000"/>
        </w:rPr>
        <w:t xml:space="preserve">= period </w:t>
      </w:r>
      <w:r w:rsidRPr="00A576AE">
        <w:rPr>
          <w:color w:val="000000"/>
        </w:rPr>
        <w:t>t</w:t>
      </w:r>
    </w:p>
    <w:p w14:paraId="18246969" w14:textId="77777777" w:rsidR="003A4C1B" w:rsidRDefault="00205DE0">
      <w:pPr>
        <w:numPr>
          <w:ilvl w:val="0"/>
          <w:numId w:val="3"/>
        </w:numPr>
        <w:pBdr>
          <w:top w:val="nil"/>
          <w:left w:val="nil"/>
          <w:bottom w:val="nil"/>
          <w:right w:val="nil"/>
          <w:between w:val="nil"/>
        </w:pBdr>
        <w:spacing w:before="0"/>
      </w:pPr>
      <w:r w:rsidRPr="00A576AE">
        <w:rPr>
          <w:color w:val="000000"/>
        </w:rPr>
        <w:t>NIR</w:t>
      </w:r>
      <w:r w:rsidRPr="00A576AE">
        <w:rPr>
          <w:color w:val="000000"/>
          <w:vertAlign w:val="subscript"/>
        </w:rPr>
        <w:t>t</w:t>
      </w:r>
      <w:r w:rsidRPr="00A576AE">
        <w:rPr>
          <w:color w:val="000000"/>
        </w:rPr>
        <w:t xml:space="preserve"> </w:t>
      </w:r>
      <w:r>
        <w:rPr>
          <w:color w:val="000000"/>
        </w:rPr>
        <w:t xml:space="preserve">= net investment return in period </w:t>
      </w:r>
      <w:r w:rsidRPr="00A576AE">
        <w:rPr>
          <w:color w:val="000000"/>
        </w:rPr>
        <w:t>t</w:t>
      </w:r>
    </w:p>
    <w:p w14:paraId="47ECAA59" w14:textId="4E7F8835" w:rsidR="003A4C1B" w:rsidRDefault="00B84AF5">
      <w:pPr>
        <w:numPr>
          <w:ilvl w:val="0"/>
          <w:numId w:val="3"/>
        </w:numPr>
        <w:pBdr>
          <w:top w:val="nil"/>
          <w:left w:val="nil"/>
          <w:bottom w:val="nil"/>
          <w:right w:val="nil"/>
          <w:between w:val="nil"/>
        </w:pBdr>
        <w:spacing w:before="0"/>
      </w:pPr>
      <m:oMath>
        <m:r>
          <m:rPr>
            <m:sty m:val="p"/>
          </m:rPr>
          <w:rPr>
            <w:rFonts w:ascii="Cambria Math" w:eastAsia="Cambria Math" w:hAnsi="Cambria Math" w:cs="Cambria Math"/>
            <w:color w:val="000000"/>
          </w:rPr>
          <m:t>a</m:t>
        </m:r>
      </m:oMath>
      <w:r w:rsidR="00205DE0" w:rsidRPr="00A576AE">
        <w:rPr>
          <w:color w:val="000000"/>
        </w:rPr>
        <w:t xml:space="preserve"> = </w:t>
      </w:r>
      <w:r w:rsidR="00205DE0">
        <w:rPr>
          <w:color w:val="000000"/>
        </w:rPr>
        <w:t xml:space="preserve">asset class </w:t>
      </w:r>
      <m:oMath>
        <m:r>
          <m:rPr>
            <m:sty m:val="p"/>
          </m:rPr>
          <w:rPr>
            <w:rFonts w:ascii="Cambria Math" w:eastAsia="Cambria Math" w:hAnsi="Cambria Math" w:cs="Cambria Math"/>
            <w:color w:val="000000"/>
          </w:rPr>
          <m:t>a</m:t>
        </m:r>
      </m:oMath>
    </w:p>
    <w:p w14:paraId="5D5003ED" w14:textId="77777777" w:rsidR="003A4C1B" w:rsidRDefault="00205DE0">
      <w:pPr>
        <w:numPr>
          <w:ilvl w:val="0"/>
          <w:numId w:val="3"/>
        </w:numPr>
        <w:pBdr>
          <w:top w:val="nil"/>
          <w:left w:val="nil"/>
          <w:bottom w:val="nil"/>
          <w:right w:val="nil"/>
          <w:between w:val="nil"/>
        </w:pBdr>
        <w:spacing w:before="0"/>
      </w:pPr>
      <w:r w:rsidRPr="00A576AE">
        <w:rPr>
          <w:color w:val="000000"/>
        </w:rPr>
        <w:t xml:space="preserve">A </w:t>
      </w:r>
      <w:r>
        <w:rPr>
          <w:color w:val="000000"/>
        </w:rPr>
        <w:t>= the number of asset classes in the benchmark</w:t>
      </w:r>
    </w:p>
    <w:p w14:paraId="14D64B9D" w14:textId="48F3B545" w:rsidR="00990F2D" w:rsidRDefault="00205DE0" w:rsidP="00990F2D">
      <w:pPr>
        <w:numPr>
          <w:ilvl w:val="0"/>
          <w:numId w:val="3"/>
        </w:numPr>
        <w:pBdr>
          <w:top w:val="nil"/>
          <w:left w:val="nil"/>
          <w:bottom w:val="nil"/>
          <w:right w:val="nil"/>
          <w:between w:val="nil"/>
        </w:pBdr>
        <w:spacing w:before="0"/>
      </w:pPr>
      <w:r w:rsidRPr="00A576AE">
        <w:rPr>
          <w:color w:val="000000"/>
        </w:rPr>
        <w:t>SAA</w:t>
      </w:r>
      <w:r w:rsidR="00990F2D" w:rsidRPr="00A576AE">
        <w:rPr>
          <w:color w:val="000000"/>
          <w:vertAlign w:val="subscript"/>
        </w:rPr>
        <w:t>a</w:t>
      </w:r>
      <w:r w:rsidRPr="00A576AE">
        <w:rPr>
          <w:color w:val="000000"/>
          <w:vertAlign w:val="subscript"/>
        </w:rPr>
        <w:t>,t</w:t>
      </w:r>
      <m:oMath>
        <m:r>
          <m:rPr>
            <m:sty m:val="p"/>
          </m:rPr>
          <w:rPr>
            <w:rFonts w:ascii="Cambria Math" w:eastAsia="Cambria Math" w:hAnsi="Cambria Math" w:cs="Cambria Math"/>
            <w:sz w:val="14"/>
            <w:szCs w:val="14"/>
          </w:rPr>
          <m:t>-</m:t>
        </m:r>
      </m:oMath>
      <w:r w:rsidR="00990F2D" w:rsidRPr="00A576AE">
        <w:rPr>
          <w:color w:val="000000"/>
          <w:sz w:val="14"/>
          <w:szCs w:val="14"/>
        </w:rPr>
        <w:t>1</w:t>
      </w:r>
      <w:r w:rsidRPr="00A576AE">
        <w:rPr>
          <w:color w:val="000000"/>
        </w:rPr>
        <w:t xml:space="preserve"> </w:t>
      </w:r>
      <w:r>
        <w:rPr>
          <w:color w:val="000000"/>
        </w:rPr>
        <w:t xml:space="preserve">= the allocation to asset class </w:t>
      </w:r>
      <m:oMath>
        <m:r>
          <m:rPr>
            <m:sty m:val="p"/>
          </m:rPr>
          <w:rPr>
            <w:rFonts w:ascii="Cambria Math" w:eastAsia="Cambria Math" w:hAnsi="Cambria Math" w:cs="Cambria Math"/>
            <w:color w:val="000000"/>
          </w:rPr>
          <m:t>a</m:t>
        </m:r>
      </m:oMath>
      <w:r w:rsidRPr="00A576AE">
        <w:rPr>
          <w:color w:val="000000"/>
        </w:rPr>
        <w:t xml:space="preserve"> </w:t>
      </w:r>
      <w:r>
        <w:rPr>
          <w:color w:val="000000"/>
        </w:rPr>
        <w:t xml:space="preserve">in period </w:t>
      </w:r>
      <w:r w:rsidRPr="00A576AE">
        <w:rPr>
          <w:color w:val="000000"/>
        </w:rPr>
        <w:t>t</w:t>
      </w:r>
      <m:oMath>
        <m:r>
          <m:rPr>
            <m:sty m:val="p"/>
          </m:rPr>
          <w:rPr>
            <w:rFonts w:ascii="Cambria Math" w:eastAsia="Cambria Math" w:hAnsi="Cambria Math" w:cs="Cambria Math"/>
          </w:rPr>
          <m:t>-</m:t>
        </m:r>
      </m:oMath>
      <w:r w:rsidR="00990F2D" w:rsidRPr="00A576AE">
        <w:rPr>
          <w:color w:val="000000"/>
        </w:rPr>
        <w:t>1</w:t>
      </w:r>
    </w:p>
    <w:p w14:paraId="41683582" w14:textId="4C0A0B08" w:rsidR="003A4C1B" w:rsidRDefault="00602F6B">
      <w:pPr>
        <w:numPr>
          <w:ilvl w:val="0"/>
          <w:numId w:val="3"/>
        </w:numPr>
        <w:pBdr>
          <w:top w:val="nil"/>
          <w:left w:val="nil"/>
          <w:bottom w:val="nil"/>
          <w:right w:val="nil"/>
          <w:between w:val="nil"/>
        </w:pBdr>
        <w:spacing w:before="0"/>
      </w:pPr>
      <m:oMath>
        <m:sSub>
          <m:sSubPr>
            <m:ctrlPr>
              <w:rPr>
                <w:rFonts w:ascii="Cambria Math" w:eastAsia="Cambria Math" w:hAnsi="Cambria Math" w:cs="Cambria Math"/>
                <w:color w:val="000000"/>
              </w:rPr>
            </m:ctrlPr>
          </m:sSubPr>
          <m:e>
            <m:r>
              <m:rPr>
                <m:sty m:val="p"/>
              </m:rPr>
              <w:rPr>
                <w:rFonts w:ascii="Cambria Math" w:eastAsia="Cambria Math" w:hAnsi="Cambria Math" w:cs="Cambria Math"/>
                <w:color w:val="000000"/>
              </w:rPr>
              <m:t>R</m:t>
            </m:r>
          </m:e>
          <m:sub>
            <m:r>
              <m:rPr>
                <m:sty m:val="p"/>
              </m:rPr>
              <w:rPr>
                <w:rFonts w:ascii="Cambria Math" w:eastAsia="Cambria Math" w:hAnsi="Cambria Math" w:cs="Cambria Math"/>
                <w:color w:val="000000"/>
              </w:rPr>
              <m:t>a,t</m:t>
            </m:r>
          </m:sub>
        </m:sSub>
      </m:oMath>
      <w:r w:rsidR="00205DE0" w:rsidRPr="00CC07B9">
        <w:rPr>
          <w:color w:val="000000"/>
          <w:sz w:val="20"/>
        </w:rPr>
        <w:t xml:space="preserve"> = </w:t>
      </w:r>
      <m:oMath>
        <m:d>
          <m:dPr>
            <m:ctrlPr>
              <w:rPr>
                <w:rFonts w:ascii="Cambria Math" w:eastAsia="Cambria Math" w:hAnsi="Cambria Math" w:cs="Cambria Math"/>
                <w:color w:val="000000"/>
                <w:sz w:val="20"/>
              </w:rPr>
            </m:ctrlPr>
          </m:dPr>
          <m:e>
            <m:r>
              <m:rPr>
                <m:sty m:val="p"/>
              </m:rPr>
              <w:rPr>
                <w:rFonts w:ascii="Cambria Math" w:eastAsia="Cambria Math" w:hAnsi="Cambria Math" w:cs="Cambria Math"/>
                <w:color w:val="000000"/>
                <w:sz w:val="20"/>
              </w:rPr>
              <m:t>Inde</m:t>
            </m:r>
            <m:sSub>
              <m:sSubPr>
                <m:ctrlPr>
                  <w:rPr>
                    <w:rFonts w:ascii="Cambria Math" w:eastAsia="Cambria Math" w:hAnsi="Cambria Math" w:cs="Cambria Math"/>
                    <w:color w:val="000000"/>
                    <w:sz w:val="20"/>
                  </w:rPr>
                </m:ctrlPr>
              </m:sSubPr>
              <m:e>
                <m:r>
                  <m:rPr>
                    <m:sty m:val="p"/>
                  </m:rPr>
                  <w:rPr>
                    <w:rFonts w:ascii="Cambria Math" w:eastAsia="Cambria Math" w:hAnsi="Cambria Math" w:cs="Cambria Math"/>
                    <w:color w:val="000000"/>
                    <w:sz w:val="20"/>
                  </w:rPr>
                  <m:t>x</m:t>
                </m:r>
              </m:e>
              <m:sub>
                <m:r>
                  <m:rPr>
                    <m:sty m:val="p"/>
                  </m:rPr>
                  <w:rPr>
                    <w:rFonts w:ascii="Cambria Math" w:eastAsia="Cambria Math" w:hAnsi="Cambria Math" w:cs="Cambria Math"/>
                    <w:color w:val="000000"/>
                    <w:sz w:val="20"/>
                  </w:rPr>
                  <m:t>a,t</m:t>
                </m:r>
              </m:sub>
            </m:sSub>
            <m:r>
              <m:rPr>
                <m:sty m:val="p"/>
              </m:rPr>
              <w:rPr>
                <w:rFonts w:ascii="Cambria Math" w:eastAsia="Cambria Math" w:hAnsi="Cambria Math" w:cs="Cambria Math"/>
                <w:color w:val="000000"/>
                <w:sz w:val="20"/>
              </w:rPr>
              <m:t>-Fe</m:t>
            </m:r>
            <m:sSub>
              <m:sSubPr>
                <m:ctrlPr>
                  <w:rPr>
                    <w:rFonts w:ascii="Cambria Math" w:eastAsia="Cambria Math" w:hAnsi="Cambria Math" w:cs="Cambria Math"/>
                    <w:color w:val="000000"/>
                    <w:sz w:val="20"/>
                  </w:rPr>
                </m:ctrlPr>
              </m:sSubPr>
              <m:e>
                <m:r>
                  <m:rPr>
                    <m:sty m:val="p"/>
                  </m:rPr>
                  <w:rPr>
                    <w:rFonts w:ascii="Cambria Math" w:eastAsia="Cambria Math" w:hAnsi="Cambria Math" w:cs="Cambria Math"/>
                    <w:color w:val="000000"/>
                    <w:sz w:val="20"/>
                  </w:rPr>
                  <m:t>e</m:t>
                </m:r>
              </m:e>
              <m:sub>
                <m:r>
                  <m:rPr>
                    <m:sty m:val="p"/>
                  </m:rPr>
                  <w:rPr>
                    <w:rFonts w:ascii="Cambria Math" w:eastAsia="Cambria Math" w:hAnsi="Cambria Math" w:cs="Cambria Math"/>
                    <w:color w:val="000000"/>
                    <w:sz w:val="20"/>
                  </w:rPr>
                  <m:t>a</m:t>
                </m:r>
              </m:sub>
            </m:sSub>
          </m:e>
        </m:d>
        <m:r>
          <m:rPr>
            <m:sty m:val="p"/>
          </m:rPr>
          <w:rPr>
            <w:rFonts w:ascii="Cambria Math" w:eastAsia="Cambria Math" w:hAnsi="Cambria Math" w:cs="Cambria Math"/>
            <w:color w:val="000000"/>
            <w:sz w:val="20"/>
          </w:rPr>
          <m:t>*</m:t>
        </m:r>
        <m:d>
          <m:dPr>
            <m:ctrlPr>
              <w:rPr>
                <w:rFonts w:ascii="Cambria Math" w:eastAsia="Cambria Math" w:hAnsi="Cambria Math" w:cs="Cambria Math"/>
                <w:color w:val="000000"/>
                <w:sz w:val="20"/>
              </w:rPr>
            </m:ctrlPr>
          </m:dPr>
          <m:e>
            <m:r>
              <m:rPr>
                <m:sty m:val="p"/>
              </m:rPr>
              <w:rPr>
                <w:rFonts w:ascii="Cambria Math" w:eastAsia="Cambria Math" w:hAnsi="Cambria Math" w:cs="Cambria Math"/>
                <w:color w:val="000000"/>
                <w:sz w:val="20"/>
              </w:rPr>
              <m:t>1-ET</m:t>
            </m:r>
            <m:sSub>
              <m:sSubPr>
                <m:ctrlPr>
                  <w:rPr>
                    <w:rFonts w:ascii="Cambria Math" w:eastAsia="Cambria Math" w:hAnsi="Cambria Math" w:cs="Cambria Math"/>
                    <w:color w:val="000000"/>
                    <w:sz w:val="20"/>
                  </w:rPr>
                </m:ctrlPr>
              </m:sSubPr>
              <m:e>
                <m:r>
                  <m:rPr>
                    <m:sty m:val="p"/>
                  </m:rPr>
                  <w:rPr>
                    <w:rFonts w:ascii="Cambria Math" w:eastAsia="Cambria Math" w:hAnsi="Cambria Math" w:cs="Cambria Math"/>
                    <w:color w:val="000000"/>
                    <w:sz w:val="20"/>
                  </w:rPr>
                  <m:t>R</m:t>
                </m:r>
              </m:e>
              <m:sub>
                <m:r>
                  <m:rPr>
                    <m:sty m:val="p"/>
                  </m:rPr>
                  <w:rPr>
                    <w:rFonts w:ascii="Cambria Math" w:eastAsia="Cambria Math" w:hAnsi="Cambria Math" w:cs="Cambria Math"/>
                    <w:color w:val="000000"/>
                    <w:sz w:val="20"/>
                  </w:rPr>
                  <m:t>a</m:t>
                </m:r>
              </m:sub>
            </m:sSub>
          </m:e>
        </m:d>
      </m:oMath>
    </w:p>
    <w:p w14:paraId="55D99684" w14:textId="566F82AE" w:rsidR="003A4C1B" w:rsidRDefault="00B84AF5">
      <w:pPr>
        <w:numPr>
          <w:ilvl w:val="1"/>
          <w:numId w:val="3"/>
        </w:numPr>
        <w:pBdr>
          <w:top w:val="nil"/>
          <w:left w:val="nil"/>
          <w:bottom w:val="nil"/>
          <w:right w:val="nil"/>
          <w:between w:val="nil"/>
        </w:pBdr>
        <w:spacing w:before="0"/>
      </w:pPr>
      <m:oMath>
        <m:r>
          <m:rPr>
            <m:sty m:val="p"/>
          </m:rPr>
          <w:rPr>
            <w:rFonts w:ascii="Cambria Math" w:eastAsia="Cambria Math" w:hAnsi="Cambria Math" w:cs="Cambria Math"/>
            <w:color w:val="000000"/>
            <w:sz w:val="20"/>
          </w:rPr>
          <m:t>Inde</m:t>
        </m:r>
        <m:sSub>
          <m:sSubPr>
            <m:ctrlPr>
              <w:rPr>
                <w:rFonts w:ascii="Cambria Math" w:eastAsia="Cambria Math" w:hAnsi="Cambria Math" w:cs="Cambria Math"/>
                <w:color w:val="000000"/>
                <w:sz w:val="20"/>
              </w:rPr>
            </m:ctrlPr>
          </m:sSubPr>
          <m:e>
            <m:r>
              <m:rPr>
                <m:sty m:val="p"/>
              </m:rPr>
              <w:rPr>
                <w:rFonts w:ascii="Cambria Math" w:eastAsia="Cambria Math" w:hAnsi="Cambria Math" w:cs="Cambria Math"/>
                <w:color w:val="000000"/>
                <w:sz w:val="20"/>
              </w:rPr>
              <m:t>x</m:t>
            </m:r>
          </m:e>
          <m:sub>
            <m:r>
              <m:rPr>
                <m:sty m:val="p"/>
              </m:rPr>
              <w:rPr>
                <w:rFonts w:ascii="Cambria Math" w:eastAsia="Cambria Math" w:hAnsi="Cambria Math" w:cs="Cambria Math"/>
                <w:color w:val="000000"/>
                <w:sz w:val="20"/>
              </w:rPr>
              <m:t>a,t</m:t>
            </m:r>
          </m:sub>
        </m:sSub>
      </m:oMath>
      <w:r w:rsidR="00205DE0">
        <w:rPr>
          <w:color w:val="000000"/>
          <w:sz w:val="20"/>
        </w:rPr>
        <w:t xml:space="preserve"> = the return for the index chosen to reflect asset class </w:t>
      </w:r>
      <m:oMath>
        <m:r>
          <m:rPr>
            <m:sty m:val="p"/>
          </m:rPr>
          <w:rPr>
            <w:rFonts w:ascii="Cambria Math" w:eastAsia="Cambria Math" w:hAnsi="Cambria Math" w:cs="Cambria Math"/>
            <w:color w:val="000000"/>
          </w:rPr>
          <m:t>a</m:t>
        </m:r>
      </m:oMath>
      <w:r w:rsidR="00205DE0">
        <w:rPr>
          <w:color w:val="000000"/>
        </w:rPr>
        <w:t xml:space="preserve"> in period </w:t>
      </w:r>
      <w:r w:rsidR="00205DE0" w:rsidRPr="00A576AE">
        <w:rPr>
          <w:color w:val="000000"/>
        </w:rPr>
        <w:t>t</w:t>
      </w:r>
    </w:p>
    <w:p w14:paraId="17701B13" w14:textId="70889121" w:rsidR="003A4C1B" w:rsidRDefault="00B84AF5">
      <w:pPr>
        <w:numPr>
          <w:ilvl w:val="1"/>
          <w:numId w:val="3"/>
        </w:numPr>
        <w:pBdr>
          <w:top w:val="nil"/>
          <w:left w:val="nil"/>
          <w:bottom w:val="nil"/>
          <w:right w:val="nil"/>
          <w:between w:val="nil"/>
        </w:pBdr>
        <w:spacing w:before="0"/>
      </w:pPr>
      <m:oMath>
        <m:r>
          <m:rPr>
            <m:sty m:val="p"/>
          </m:rPr>
          <w:rPr>
            <w:rFonts w:ascii="Cambria Math" w:eastAsia="Cambria Math" w:hAnsi="Cambria Math" w:cs="Cambria Math"/>
            <w:color w:val="000000"/>
            <w:sz w:val="20"/>
          </w:rPr>
          <m:t>Fe</m:t>
        </m:r>
        <m:sSub>
          <m:sSubPr>
            <m:ctrlPr>
              <w:rPr>
                <w:rFonts w:ascii="Cambria Math" w:eastAsia="Cambria Math" w:hAnsi="Cambria Math" w:cs="Cambria Math"/>
                <w:color w:val="000000"/>
                <w:sz w:val="20"/>
              </w:rPr>
            </m:ctrlPr>
          </m:sSubPr>
          <m:e>
            <m:r>
              <m:rPr>
                <m:sty m:val="p"/>
              </m:rPr>
              <w:rPr>
                <w:rFonts w:ascii="Cambria Math" w:eastAsia="Cambria Math" w:hAnsi="Cambria Math" w:cs="Cambria Math"/>
                <w:color w:val="000000"/>
                <w:sz w:val="20"/>
              </w:rPr>
              <m:t>e</m:t>
            </m:r>
          </m:e>
          <m:sub>
            <m:r>
              <m:rPr>
                <m:sty m:val="p"/>
              </m:rPr>
              <w:rPr>
                <w:rFonts w:ascii="Cambria Math" w:eastAsia="Cambria Math" w:hAnsi="Cambria Math" w:cs="Cambria Math"/>
                <w:color w:val="000000"/>
                <w:sz w:val="20"/>
              </w:rPr>
              <m:t>a</m:t>
            </m:r>
          </m:sub>
        </m:sSub>
      </m:oMath>
      <w:r w:rsidR="00205DE0">
        <w:rPr>
          <w:color w:val="000000"/>
          <w:sz w:val="20"/>
        </w:rPr>
        <w:t xml:space="preserve"> = the fee assumed for asset class </w:t>
      </w:r>
      <m:oMath>
        <m:r>
          <m:rPr>
            <m:sty m:val="p"/>
          </m:rPr>
          <w:rPr>
            <w:rFonts w:ascii="Cambria Math" w:eastAsia="Cambria Math" w:hAnsi="Cambria Math" w:cs="Cambria Math"/>
            <w:color w:val="000000"/>
          </w:rPr>
          <m:t>a</m:t>
        </m:r>
      </m:oMath>
    </w:p>
    <w:p w14:paraId="42CB6891" w14:textId="76F17660" w:rsidR="003A4C1B" w:rsidRDefault="00B84AF5">
      <w:pPr>
        <w:numPr>
          <w:ilvl w:val="1"/>
          <w:numId w:val="3"/>
        </w:numPr>
        <w:pBdr>
          <w:top w:val="nil"/>
          <w:left w:val="nil"/>
          <w:bottom w:val="nil"/>
          <w:right w:val="nil"/>
          <w:between w:val="nil"/>
        </w:pBdr>
        <w:spacing w:before="0"/>
      </w:pPr>
      <m:oMath>
        <m:r>
          <m:rPr>
            <m:sty m:val="p"/>
          </m:rPr>
          <w:rPr>
            <w:rFonts w:ascii="Cambria Math" w:eastAsia="Cambria Math" w:hAnsi="Cambria Math" w:cs="Cambria Math"/>
            <w:color w:val="000000"/>
            <w:sz w:val="20"/>
          </w:rPr>
          <m:t>ET</m:t>
        </m:r>
        <m:sSub>
          <m:sSubPr>
            <m:ctrlPr>
              <w:rPr>
                <w:rFonts w:ascii="Cambria Math" w:eastAsia="Cambria Math" w:hAnsi="Cambria Math" w:cs="Cambria Math"/>
                <w:color w:val="000000"/>
                <w:sz w:val="20"/>
              </w:rPr>
            </m:ctrlPr>
          </m:sSubPr>
          <m:e>
            <m:r>
              <m:rPr>
                <m:sty m:val="p"/>
              </m:rPr>
              <w:rPr>
                <w:rFonts w:ascii="Cambria Math" w:eastAsia="Cambria Math" w:hAnsi="Cambria Math" w:cs="Cambria Math"/>
                <w:color w:val="000000"/>
                <w:sz w:val="20"/>
              </w:rPr>
              <m:t>R</m:t>
            </m:r>
          </m:e>
          <m:sub>
            <m:r>
              <m:rPr>
                <m:sty m:val="p"/>
              </m:rPr>
              <w:rPr>
                <w:rFonts w:ascii="Cambria Math" w:eastAsia="Cambria Math" w:hAnsi="Cambria Math" w:cs="Cambria Math"/>
                <w:color w:val="000000"/>
                <w:sz w:val="20"/>
              </w:rPr>
              <m:t>a</m:t>
            </m:r>
          </m:sub>
        </m:sSub>
      </m:oMath>
      <w:r w:rsidR="00205DE0">
        <w:rPr>
          <w:color w:val="000000"/>
          <w:sz w:val="20"/>
        </w:rPr>
        <w:t xml:space="preserve"> = the assumed effective tax rate for asset class </w:t>
      </w:r>
      <m:oMath>
        <m:r>
          <m:rPr>
            <m:sty m:val="p"/>
          </m:rPr>
          <w:rPr>
            <w:rFonts w:ascii="Cambria Math" w:eastAsia="Cambria Math" w:hAnsi="Cambria Math" w:cs="Cambria Math"/>
            <w:color w:val="000000"/>
          </w:rPr>
          <m:t>a</m:t>
        </m:r>
      </m:oMath>
    </w:p>
    <w:p w14:paraId="10775327" w14:textId="77777777" w:rsidR="003A4C1B" w:rsidRDefault="00205DE0">
      <w:r>
        <w:t>The indexes used, fee and tax rate assumptions used in the Heatmap for each asset class are as follows:</w:t>
      </w:r>
    </w:p>
    <w:tbl>
      <w:tblPr>
        <w:tblW w:w="8813" w:type="dxa"/>
        <w:tblBorders>
          <w:top w:val="single" w:sz="4" w:space="0" w:color="4FBCFF"/>
          <w:left w:val="single" w:sz="4" w:space="0" w:color="4FBCFF"/>
          <w:bottom w:val="single" w:sz="4" w:space="0" w:color="4FBCFF"/>
          <w:right w:val="single" w:sz="4" w:space="0" w:color="4FBCFF"/>
          <w:insideH w:val="single" w:sz="4" w:space="0" w:color="4FBCFF"/>
          <w:insideV w:val="single" w:sz="4" w:space="0" w:color="4FBCFF"/>
        </w:tblBorders>
        <w:tblLayout w:type="fixed"/>
        <w:tblCellMar>
          <w:left w:w="115" w:type="dxa"/>
          <w:right w:w="115" w:type="dxa"/>
        </w:tblCellMar>
        <w:tblLook w:val="0400" w:firstRow="0" w:lastRow="0" w:firstColumn="0" w:lastColumn="0" w:noHBand="0" w:noVBand="1"/>
      </w:tblPr>
      <w:tblGrid>
        <w:gridCol w:w="2203"/>
        <w:gridCol w:w="4767"/>
        <w:gridCol w:w="850"/>
        <w:gridCol w:w="993"/>
      </w:tblGrid>
      <w:tr w:rsidR="003A4C1B" w14:paraId="4F96DFE7" w14:textId="77777777">
        <w:tc>
          <w:tcPr>
            <w:tcW w:w="2203" w:type="dxa"/>
            <w:shd w:val="clear" w:color="auto" w:fill="E6E6E6"/>
          </w:tcPr>
          <w:p w14:paraId="4CBDB5CA" w14:textId="77777777" w:rsidR="003A4C1B" w:rsidRDefault="00205DE0">
            <w:r>
              <w:t>Asset class</w:t>
            </w:r>
          </w:p>
        </w:tc>
        <w:tc>
          <w:tcPr>
            <w:tcW w:w="4767" w:type="dxa"/>
            <w:shd w:val="clear" w:color="auto" w:fill="E6E6E6"/>
          </w:tcPr>
          <w:p w14:paraId="24F3F02F" w14:textId="77777777" w:rsidR="003A4C1B" w:rsidRDefault="00205DE0">
            <w:r>
              <w:t>Index</w:t>
            </w:r>
          </w:p>
        </w:tc>
        <w:tc>
          <w:tcPr>
            <w:tcW w:w="850" w:type="dxa"/>
            <w:shd w:val="clear" w:color="auto" w:fill="E6E6E6"/>
          </w:tcPr>
          <w:p w14:paraId="3D5200D5" w14:textId="77777777" w:rsidR="003A4C1B" w:rsidRDefault="00205DE0">
            <w:r>
              <w:t>Fee</w:t>
            </w:r>
          </w:p>
        </w:tc>
        <w:tc>
          <w:tcPr>
            <w:tcW w:w="993" w:type="dxa"/>
            <w:shd w:val="clear" w:color="auto" w:fill="E6E6E6"/>
          </w:tcPr>
          <w:p w14:paraId="0DF6C958" w14:textId="77777777" w:rsidR="003A4C1B" w:rsidRDefault="00205DE0">
            <w:r>
              <w:t>Tax</w:t>
            </w:r>
          </w:p>
        </w:tc>
      </w:tr>
      <w:tr w:rsidR="003A4C1B" w14:paraId="10B71336" w14:textId="77777777">
        <w:tc>
          <w:tcPr>
            <w:tcW w:w="2203" w:type="dxa"/>
            <w:shd w:val="clear" w:color="auto" w:fill="E6E6E6"/>
          </w:tcPr>
          <w:p w14:paraId="6A187DD4" w14:textId="77777777" w:rsidR="003A4C1B" w:rsidRDefault="00205DE0">
            <w:pPr>
              <w:spacing w:before="40" w:after="40"/>
              <w:rPr>
                <w:sz w:val="18"/>
                <w:szCs w:val="18"/>
              </w:rPr>
            </w:pPr>
            <w:r>
              <w:rPr>
                <w:sz w:val="18"/>
                <w:szCs w:val="18"/>
              </w:rPr>
              <w:t>Australian Equity</w:t>
            </w:r>
          </w:p>
        </w:tc>
        <w:tc>
          <w:tcPr>
            <w:tcW w:w="4767" w:type="dxa"/>
            <w:shd w:val="clear" w:color="auto" w:fill="E6E6E6"/>
          </w:tcPr>
          <w:p w14:paraId="48A010D9" w14:textId="77777777" w:rsidR="003A4C1B" w:rsidRDefault="00205DE0">
            <w:pPr>
              <w:spacing w:before="40" w:after="40"/>
              <w:rPr>
                <w:sz w:val="18"/>
                <w:szCs w:val="18"/>
              </w:rPr>
            </w:pPr>
            <w:r>
              <w:rPr>
                <w:sz w:val="18"/>
                <w:szCs w:val="18"/>
              </w:rPr>
              <w:t>S&amp;P/ASX 300</w:t>
            </w:r>
          </w:p>
        </w:tc>
        <w:tc>
          <w:tcPr>
            <w:tcW w:w="850" w:type="dxa"/>
            <w:shd w:val="clear" w:color="auto" w:fill="E6E6E6"/>
          </w:tcPr>
          <w:p w14:paraId="3FB31EB6" w14:textId="77777777" w:rsidR="003A4C1B" w:rsidRDefault="00205DE0">
            <w:pPr>
              <w:spacing w:before="40" w:after="40"/>
              <w:rPr>
                <w:sz w:val="18"/>
                <w:szCs w:val="18"/>
              </w:rPr>
            </w:pPr>
            <w:r>
              <w:rPr>
                <w:sz w:val="18"/>
                <w:szCs w:val="18"/>
              </w:rPr>
              <w:t>0.05%</w:t>
            </w:r>
          </w:p>
        </w:tc>
        <w:tc>
          <w:tcPr>
            <w:tcW w:w="993" w:type="dxa"/>
            <w:shd w:val="clear" w:color="auto" w:fill="E6E6E6"/>
          </w:tcPr>
          <w:p w14:paraId="55AE09B4" w14:textId="77777777" w:rsidR="003A4C1B" w:rsidRDefault="00205DE0">
            <w:pPr>
              <w:spacing w:before="40" w:after="40"/>
              <w:rPr>
                <w:sz w:val="18"/>
                <w:szCs w:val="18"/>
              </w:rPr>
            </w:pPr>
            <w:r>
              <w:rPr>
                <w:sz w:val="18"/>
                <w:szCs w:val="18"/>
              </w:rPr>
              <w:t>0.00%</w:t>
            </w:r>
          </w:p>
        </w:tc>
      </w:tr>
      <w:tr w:rsidR="003A4C1B" w14:paraId="4CFF4065" w14:textId="77777777">
        <w:tc>
          <w:tcPr>
            <w:tcW w:w="2203" w:type="dxa"/>
            <w:shd w:val="clear" w:color="auto" w:fill="E6E6E6"/>
          </w:tcPr>
          <w:p w14:paraId="5A68C9C5" w14:textId="77777777" w:rsidR="003A4C1B" w:rsidRDefault="00205DE0">
            <w:pPr>
              <w:spacing w:before="40" w:after="40"/>
              <w:rPr>
                <w:sz w:val="18"/>
                <w:szCs w:val="18"/>
              </w:rPr>
            </w:pPr>
            <w:r>
              <w:rPr>
                <w:sz w:val="18"/>
                <w:szCs w:val="18"/>
              </w:rPr>
              <w:t>International Equity (hedged)</w:t>
            </w:r>
          </w:p>
        </w:tc>
        <w:tc>
          <w:tcPr>
            <w:tcW w:w="4767" w:type="dxa"/>
            <w:shd w:val="clear" w:color="auto" w:fill="E6E6E6"/>
          </w:tcPr>
          <w:p w14:paraId="01116B87" w14:textId="77777777" w:rsidR="003A4C1B" w:rsidRDefault="00205DE0">
            <w:pPr>
              <w:spacing w:before="40" w:after="40"/>
              <w:rPr>
                <w:sz w:val="18"/>
                <w:szCs w:val="18"/>
              </w:rPr>
            </w:pPr>
            <w:r>
              <w:rPr>
                <w:sz w:val="18"/>
                <w:szCs w:val="18"/>
              </w:rPr>
              <w:t>MSCI All Country World Ex-Australia Equities Index with Special Tax (100% hedged to AUD)</w:t>
            </w:r>
          </w:p>
        </w:tc>
        <w:tc>
          <w:tcPr>
            <w:tcW w:w="850" w:type="dxa"/>
            <w:shd w:val="clear" w:color="auto" w:fill="E6E6E6"/>
          </w:tcPr>
          <w:p w14:paraId="1456CF2C" w14:textId="77777777" w:rsidR="003A4C1B" w:rsidRDefault="00205DE0">
            <w:pPr>
              <w:spacing w:before="40" w:after="40"/>
              <w:rPr>
                <w:sz w:val="18"/>
                <w:szCs w:val="18"/>
              </w:rPr>
            </w:pPr>
            <w:r>
              <w:rPr>
                <w:sz w:val="18"/>
                <w:szCs w:val="18"/>
              </w:rPr>
              <w:t>0.11%</w:t>
            </w:r>
          </w:p>
        </w:tc>
        <w:tc>
          <w:tcPr>
            <w:tcW w:w="993" w:type="dxa"/>
            <w:shd w:val="clear" w:color="auto" w:fill="E6E6E6"/>
          </w:tcPr>
          <w:p w14:paraId="61567624" w14:textId="77777777" w:rsidR="003A4C1B" w:rsidRDefault="00205DE0">
            <w:pPr>
              <w:spacing w:before="40" w:after="40"/>
              <w:rPr>
                <w:sz w:val="18"/>
                <w:szCs w:val="18"/>
              </w:rPr>
            </w:pPr>
            <w:r>
              <w:rPr>
                <w:sz w:val="18"/>
                <w:szCs w:val="18"/>
              </w:rPr>
              <w:t>14.00%</w:t>
            </w:r>
          </w:p>
        </w:tc>
      </w:tr>
      <w:tr w:rsidR="003A4C1B" w14:paraId="2C3BE457" w14:textId="77777777">
        <w:tc>
          <w:tcPr>
            <w:tcW w:w="2203" w:type="dxa"/>
            <w:shd w:val="clear" w:color="auto" w:fill="E6E6E6"/>
          </w:tcPr>
          <w:p w14:paraId="775647D7" w14:textId="77777777" w:rsidR="003A4C1B" w:rsidRDefault="00205DE0">
            <w:pPr>
              <w:spacing w:before="40" w:after="40"/>
              <w:rPr>
                <w:sz w:val="18"/>
                <w:szCs w:val="18"/>
              </w:rPr>
            </w:pPr>
            <w:r>
              <w:rPr>
                <w:sz w:val="18"/>
                <w:szCs w:val="18"/>
              </w:rPr>
              <w:t>International Equity (unhedged)</w:t>
            </w:r>
          </w:p>
        </w:tc>
        <w:tc>
          <w:tcPr>
            <w:tcW w:w="4767" w:type="dxa"/>
            <w:shd w:val="clear" w:color="auto" w:fill="E6E6E6"/>
          </w:tcPr>
          <w:p w14:paraId="440F0B8D" w14:textId="77777777" w:rsidR="003A4C1B" w:rsidRDefault="00205DE0">
            <w:pPr>
              <w:spacing w:before="40" w:after="40"/>
              <w:rPr>
                <w:sz w:val="18"/>
                <w:szCs w:val="18"/>
              </w:rPr>
            </w:pPr>
            <w:r>
              <w:rPr>
                <w:sz w:val="18"/>
                <w:szCs w:val="18"/>
              </w:rPr>
              <w:t>MSCI All Country World Ex-Australia Equities Index with Special Tax (unhedged in AUD)</w:t>
            </w:r>
          </w:p>
        </w:tc>
        <w:tc>
          <w:tcPr>
            <w:tcW w:w="850" w:type="dxa"/>
            <w:shd w:val="clear" w:color="auto" w:fill="E6E6E6"/>
          </w:tcPr>
          <w:p w14:paraId="103AF139" w14:textId="77777777" w:rsidR="003A4C1B" w:rsidRDefault="00205DE0">
            <w:pPr>
              <w:spacing w:before="40" w:after="40"/>
              <w:rPr>
                <w:sz w:val="18"/>
                <w:szCs w:val="18"/>
              </w:rPr>
            </w:pPr>
            <w:r>
              <w:rPr>
                <w:sz w:val="18"/>
                <w:szCs w:val="18"/>
              </w:rPr>
              <w:t>0.09%</w:t>
            </w:r>
          </w:p>
        </w:tc>
        <w:tc>
          <w:tcPr>
            <w:tcW w:w="993" w:type="dxa"/>
            <w:shd w:val="clear" w:color="auto" w:fill="E6E6E6"/>
          </w:tcPr>
          <w:p w14:paraId="4044D8BF" w14:textId="77777777" w:rsidR="003A4C1B" w:rsidRDefault="00205DE0">
            <w:pPr>
              <w:spacing w:before="40" w:after="40"/>
              <w:rPr>
                <w:sz w:val="18"/>
                <w:szCs w:val="18"/>
              </w:rPr>
            </w:pPr>
            <w:r>
              <w:rPr>
                <w:sz w:val="18"/>
                <w:szCs w:val="18"/>
              </w:rPr>
              <w:t>14.00%</w:t>
            </w:r>
          </w:p>
        </w:tc>
      </w:tr>
      <w:tr w:rsidR="003A4C1B" w14:paraId="60B7EBCA" w14:textId="77777777">
        <w:tc>
          <w:tcPr>
            <w:tcW w:w="2203" w:type="dxa"/>
            <w:shd w:val="clear" w:color="auto" w:fill="E6E6E6"/>
          </w:tcPr>
          <w:p w14:paraId="10B3A5FD" w14:textId="77777777" w:rsidR="003A4C1B" w:rsidRDefault="00205DE0">
            <w:pPr>
              <w:spacing w:before="40" w:after="40"/>
              <w:rPr>
                <w:sz w:val="18"/>
                <w:szCs w:val="18"/>
              </w:rPr>
            </w:pPr>
            <w:r>
              <w:rPr>
                <w:sz w:val="18"/>
                <w:szCs w:val="18"/>
              </w:rPr>
              <w:t>Australian Property</w:t>
            </w:r>
          </w:p>
        </w:tc>
        <w:tc>
          <w:tcPr>
            <w:tcW w:w="4767" w:type="dxa"/>
            <w:shd w:val="clear" w:color="auto" w:fill="E6E6E6"/>
          </w:tcPr>
          <w:p w14:paraId="56F3A038" w14:textId="77777777" w:rsidR="003A4C1B" w:rsidRDefault="00205DE0">
            <w:pPr>
              <w:spacing w:before="40" w:after="40"/>
              <w:rPr>
                <w:sz w:val="18"/>
                <w:szCs w:val="18"/>
              </w:rPr>
            </w:pPr>
            <w:r>
              <w:rPr>
                <w:sz w:val="18"/>
                <w:szCs w:val="18"/>
              </w:rPr>
              <w:t>S&amp;P/ASX 300 A-REIT Index</w:t>
            </w:r>
          </w:p>
        </w:tc>
        <w:tc>
          <w:tcPr>
            <w:tcW w:w="850" w:type="dxa"/>
            <w:shd w:val="clear" w:color="auto" w:fill="E6E6E6"/>
          </w:tcPr>
          <w:p w14:paraId="5B565EDB" w14:textId="77777777" w:rsidR="003A4C1B" w:rsidRDefault="00205DE0">
            <w:pPr>
              <w:spacing w:before="40" w:after="40"/>
              <w:rPr>
                <w:sz w:val="18"/>
                <w:szCs w:val="18"/>
              </w:rPr>
            </w:pPr>
            <w:r>
              <w:rPr>
                <w:sz w:val="18"/>
                <w:szCs w:val="18"/>
              </w:rPr>
              <w:t>0.12%</w:t>
            </w:r>
          </w:p>
        </w:tc>
        <w:tc>
          <w:tcPr>
            <w:tcW w:w="993" w:type="dxa"/>
            <w:shd w:val="clear" w:color="auto" w:fill="E6E6E6"/>
          </w:tcPr>
          <w:p w14:paraId="1B81E196" w14:textId="77777777" w:rsidR="003A4C1B" w:rsidRDefault="00205DE0">
            <w:pPr>
              <w:spacing w:before="40" w:after="40"/>
              <w:rPr>
                <w:sz w:val="18"/>
                <w:szCs w:val="18"/>
              </w:rPr>
            </w:pPr>
            <w:r>
              <w:rPr>
                <w:sz w:val="18"/>
                <w:szCs w:val="18"/>
              </w:rPr>
              <w:t>14.00%</w:t>
            </w:r>
          </w:p>
        </w:tc>
      </w:tr>
      <w:tr w:rsidR="003A4C1B" w14:paraId="41265C71" w14:textId="77777777">
        <w:tc>
          <w:tcPr>
            <w:tcW w:w="2203" w:type="dxa"/>
            <w:shd w:val="clear" w:color="auto" w:fill="E6E6E6"/>
          </w:tcPr>
          <w:p w14:paraId="0ADD9C59" w14:textId="77777777" w:rsidR="003A4C1B" w:rsidRDefault="00205DE0">
            <w:pPr>
              <w:spacing w:before="40" w:after="40"/>
              <w:rPr>
                <w:sz w:val="18"/>
                <w:szCs w:val="18"/>
              </w:rPr>
            </w:pPr>
            <w:r>
              <w:rPr>
                <w:sz w:val="18"/>
                <w:szCs w:val="18"/>
              </w:rPr>
              <w:t>International Property</w:t>
            </w:r>
          </w:p>
        </w:tc>
        <w:tc>
          <w:tcPr>
            <w:tcW w:w="4767" w:type="dxa"/>
            <w:shd w:val="clear" w:color="auto" w:fill="E6E6E6"/>
          </w:tcPr>
          <w:p w14:paraId="72C3AE63" w14:textId="77777777" w:rsidR="003A4C1B" w:rsidRDefault="00205DE0">
            <w:pPr>
              <w:spacing w:before="40" w:after="40"/>
              <w:rPr>
                <w:sz w:val="18"/>
                <w:szCs w:val="18"/>
              </w:rPr>
            </w:pPr>
            <w:r>
              <w:rPr>
                <w:sz w:val="18"/>
                <w:szCs w:val="18"/>
              </w:rPr>
              <w:t>FTSE EPRA/NAREIT developed ex Australia rental hedged to AUD</w:t>
            </w:r>
          </w:p>
        </w:tc>
        <w:tc>
          <w:tcPr>
            <w:tcW w:w="850" w:type="dxa"/>
            <w:shd w:val="clear" w:color="auto" w:fill="E6E6E6"/>
          </w:tcPr>
          <w:p w14:paraId="580604AC" w14:textId="77777777" w:rsidR="003A4C1B" w:rsidRDefault="00205DE0">
            <w:pPr>
              <w:spacing w:before="40" w:after="40"/>
              <w:rPr>
                <w:sz w:val="18"/>
                <w:szCs w:val="18"/>
              </w:rPr>
            </w:pPr>
            <w:r>
              <w:rPr>
                <w:sz w:val="18"/>
                <w:szCs w:val="18"/>
              </w:rPr>
              <w:t>0.22%</w:t>
            </w:r>
          </w:p>
        </w:tc>
        <w:tc>
          <w:tcPr>
            <w:tcW w:w="993" w:type="dxa"/>
            <w:shd w:val="clear" w:color="auto" w:fill="E6E6E6"/>
          </w:tcPr>
          <w:p w14:paraId="79EE2C4C" w14:textId="77777777" w:rsidR="003A4C1B" w:rsidRDefault="00205DE0">
            <w:pPr>
              <w:spacing w:before="40" w:after="40"/>
              <w:rPr>
                <w:sz w:val="18"/>
                <w:szCs w:val="18"/>
              </w:rPr>
            </w:pPr>
            <w:r>
              <w:rPr>
                <w:sz w:val="18"/>
                <w:szCs w:val="18"/>
              </w:rPr>
              <w:t>14.00%</w:t>
            </w:r>
          </w:p>
        </w:tc>
      </w:tr>
      <w:tr w:rsidR="003A4C1B" w14:paraId="7B77082A" w14:textId="77777777">
        <w:tc>
          <w:tcPr>
            <w:tcW w:w="2203" w:type="dxa"/>
            <w:shd w:val="clear" w:color="auto" w:fill="E6E6E6"/>
          </w:tcPr>
          <w:p w14:paraId="77B52633" w14:textId="77777777" w:rsidR="003A4C1B" w:rsidRDefault="00205DE0">
            <w:pPr>
              <w:spacing w:before="40" w:after="40"/>
              <w:rPr>
                <w:sz w:val="18"/>
                <w:szCs w:val="18"/>
              </w:rPr>
            </w:pPr>
            <w:r>
              <w:rPr>
                <w:sz w:val="18"/>
                <w:szCs w:val="18"/>
              </w:rPr>
              <w:t>Australian Infrastructure</w:t>
            </w:r>
          </w:p>
        </w:tc>
        <w:tc>
          <w:tcPr>
            <w:tcW w:w="4767" w:type="dxa"/>
            <w:shd w:val="clear" w:color="auto" w:fill="E6E6E6"/>
          </w:tcPr>
          <w:p w14:paraId="7B8779D8" w14:textId="77777777" w:rsidR="003A4C1B" w:rsidRDefault="00205DE0">
            <w:pPr>
              <w:spacing w:before="40" w:after="40"/>
              <w:rPr>
                <w:sz w:val="18"/>
                <w:szCs w:val="18"/>
              </w:rPr>
            </w:pPr>
            <w:r>
              <w:rPr>
                <w:sz w:val="18"/>
                <w:szCs w:val="18"/>
              </w:rPr>
              <w:t>FTSE Developed Core Infrastructure Index hedged to AUD</w:t>
            </w:r>
          </w:p>
        </w:tc>
        <w:tc>
          <w:tcPr>
            <w:tcW w:w="850" w:type="dxa"/>
            <w:shd w:val="clear" w:color="auto" w:fill="E6E6E6"/>
          </w:tcPr>
          <w:p w14:paraId="175A5579" w14:textId="77777777" w:rsidR="003A4C1B" w:rsidRDefault="00205DE0">
            <w:pPr>
              <w:spacing w:before="40" w:after="40"/>
              <w:rPr>
                <w:sz w:val="18"/>
                <w:szCs w:val="18"/>
              </w:rPr>
            </w:pPr>
            <w:r>
              <w:rPr>
                <w:sz w:val="18"/>
                <w:szCs w:val="18"/>
              </w:rPr>
              <w:t>0.26%</w:t>
            </w:r>
          </w:p>
        </w:tc>
        <w:tc>
          <w:tcPr>
            <w:tcW w:w="993" w:type="dxa"/>
            <w:shd w:val="clear" w:color="auto" w:fill="E6E6E6"/>
          </w:tcPr>
          <w:p w14:paraId="7F8DBC20" w14:textId="77777777" w:rsidR="003A4C1B" w:rsidRDefault="00205DE0">
            <w:pPr>
              <w:spacing w:before="40" w:after="40"/>
              <w:rPr>
                <w:sz w:val="18"/>
                <w:szCs w:val="18"/>
              </w:rPr>
            </w:pPr>
            <w:r>
              <w:rPr>
                <w:sz w:val="18"/>
                <w:szCs w:val="18"/>
              </w:rPr>
              <w:t>14.00%</w:t>
            </w:r>
          </w:p>
        </w:tc>
      </w:tr>
      <w:tr w:rsidR="003A4C1B" w14:paraId="1B4613C4" w14:textId="77777777">
        <w:tc>
          <w:tcPr>
            <w:tcW w:w="2203" w:type="dxa"/>
            <w:shd w:val="clear" w:color="auto" w:fill="E6E6E6"/>
          </w:tcPr>
          <w:p w14:paraId="20812CDE" w14:textId="77777777" w:rsidR="003A4C1B" w:rsidRDefault="00205DE0">
            <w:pPr>
              <w:spacing w:before="40" w:after="40"/>
              <w:rPr>
                <w:sz w:val="18"/>
                <w:szCs w:val="18"/>
              </w:rPr>
            </w:pPr>
            <w:r>
              <w:rPr>
                <w:sz w:val="18"/>
                <w:szCs w:val="18"/>
              </w:rPr>
              <w:t>International Infrastructure</w:t>
            </w:r>
          </w:p>
        </w:tc>
        <w:tc>
          <w:tcPr>
            <w:tcW w:w="4767" w:type="dxa"/>
            <w:shd w:val="clear" w:color="auto" w:fill="E6E6E6"/>
          </w:tcPr>
          <w:p w14:paraId="16A312FF" w14:textId="77777777" w:rsidR="003A4C1B" w:rsidRDefault="00205DE0">
            <w:pPr>
              <w:spacing w:before="40" w:after="40"/>
              <w:rPr>
                <w:sz w:val="18"/>
                <w:szCs w:val="18"/>
              </w:rPr>
            </w:pPr>
            <w:r>
              <w:rPr>
                <w:sz w:val="18"/>
                <w:szCs w:val="18"/>
              </w:rPr>
              <w:t>FTSE Developed Core Infrastructure Index hedged to AUD</w:t>
            </w:r>
          </w:p>
        </w:tc>
        <w:tc>
          <w:tcPr>
            <w:tcW w:w="850" w:type="dxa"/>
            <w:shd w:val="clear" w:color="auto" w:fill="E6E6E6"/>
          </w:tcPr>
          <w:p w14:paraId="091C8C05" w14:textId="77777777" w:rsidR="003A4C1B" w:rsidRDefault="00205DE0">
            <w:pPr>
              <w:spacing w:before="40" w:after="40"/>
              <w:rPr>
                <w:sz w:val="18"/>
                <w:szCs w:val="18"/>
              </w:rPr>
            </w:pPr>
            <w:r>
              <w:rPr>
                <w:sz w:val="18"/>
                <w:szCs w:val="18"/>
              </w:rPr>
              <w:t>0.26%</w:t>
            </w:r>
          </w:p>
        </w:tc>
        <w:tc>
          <w:tcPr>
            <w:tcW w:w="993" w:type="dxa"/>
            <w:shd w:val="clear" w:color="auto" w:fill="E6E6E6"/>
          </w:tcPr>
          <w:p w14:paraId="273444F4" w14:textId="77777777" w:rsidR="003A4C1B" w:rsidRDefault="00205DE0">
            <w:pPr>
              <w:spacing w:before="40" w:after="40"/>
              <w:rPr>
                <w:sz w:val="18"/>
                <w:szCs w:val="18"/>
              </w:rPr>
            </w:pPr>
            <w:r>
              <w:rPr>
                <w:sz w:val="18"/>
                <w:szCs w:val="18"/>
              </w:rPr>
              <w:t>14.00%</w:t>
            </w:r>
          </w:p>
        </w:tc>
      </w:tr>
      <w:tr w:rsidR="003A4C1B" w14:paraId="1D232142" w14:textId="77777777">
        <w:tc>
          <w:tcPr>
            <w:tcW w:w="2203" w:type="dxa"/>
            <w:shd w:val="clear" w:color="auto" w:fill="E6E6E6"/>
          </w:tcPr>
          <w:p w14:paraId="6A7118D9" w14:textId="77777777" w:rsidR="003A4C1B" w:rsidRDefault="00205DE0">
            <w:pPr>
              <w:spacing w:before="40" w:after="40"/>
              <w:rPr>
                <w:sz w:val="18"/>
                <w:szCs w:val="18"/>
              </w:rPr>
            </w:pPr>
            <w:r>
              <w:rPr>
                <w:sz w:val="18"/>
                <w:szCs w:val="18"/>
              </w:rPr>
              <w:t>Australian Fixed Interest</w:t>
            </w:r>
          </w:p>
        </w:tc>
        <w:tc>
          <w:tcPr>
            <w:tcW w:w="4767" w:type="dxa"/>
            <w:shd w:val="clear" w:color="auto" w:fill="E6E6E6"/>
          </w:tcPr>
          <w:p w14:paraId="0FD32416" w14:textId="77777777" w:rsidR="003A4C1B" w:rsidRDefault="00205DE0">
            <w:pPr>
              <w:spacing w:before="40" w:after="40"/>
              <w:rPr>
                <w:sz w:val="18"/>
                <w:szCs w:val="18"/>
              </w:rPr>
            </w:pPr>
            <w:r>
              <w:rPr>
                <w:sz w:val="18"/>
                <w:szCs w:val="18"/>
              </w:rPr>
              <w:t>Bloomberg Ausbond Composite 0+ Index</w:t>
            </w:r>
          </w:p>
        </w:tc>
        <w:tc>
          <w:tcPr>
            <w:tcW w:w="850" w:type="dxa"/>
            <w:shd w:val="clear" w:color="auto" w:fill="E6E6E6"/>
          </w:tcPr>
          <w:p w14:paraId="321C1F02" w14:textId="77777777" w:rsidR="003A4C1B" w:rsidRDefault="00205DE0">
            <w:pPr>
              <w:spacing w:before="40" w:after="40"/>
              <w:rPr>
                <w:sz w:val="18"/>
                <w:szCs w:val="18"/>
              </w:rPr>
            </w:pPr>
            <w:r>
              <w:rPr>
                <w:sz w:val="18"/>
                <w:szCs w:val="18"/>
              </w:rPr>
              <w:t>0.10%</w:t>
            </w:r>
          </w:p>
        </w:tc>
        <w:tc>
          <w:tcPr>
            <w:tcW w:w="993" w:type="dxa"/>
            <w:shd w:val="clear" w:color="auto" w:fill="E6E6E6"/>
          </w:tcPr>
          <w:p w14:paraId="7BDE6059" w14:textId="77777777" w:rsidR="003A4C1B" w:rsidRDefault="00205DE0">
            <w:pPr>
              <w:spacing w:before="40" w:after="40"/>
              <w:rPr>
                <w:sz w:val="18"/>
                <w:szCs w:val="18"/>
              </w:rPr>
            </w:pPr>
            <w:r>
              <w:rPr>
                <w:sz w:val="18"/>
                <w:szCs w:val="18"/>
              </w:rPr>
              <w:t>15.00%</w:t>
            </w:r>
          </w:p>
        </w:tc>
      </w:tr>
      <w:tr w:rsidR="003A4C1B" w14:paraId="424EABC7" w14:textId="77777777">
        <w:tc>
          <w:tcPr>
            <w:tcW w:w="2203" w:type="dxa"/>
            <w:shd w:val="clear" w:color="auto" w:fill="E6E6E6"/>
          </w:tcPr>
          <w:p w14:paraId="67BF9C3E" w14:textId="77777777" w:rsidR="003A4C1B" w:rsidRDefault="00205DE0">
            <w:pPr>
              <w:spacing w:before="40" w:after="40"/>
              <w:rPr>
                <w:sz w:val="18"/>
                <w:szCs w:val="18"/>
              </w:rPr>
            </w:pPr>
            <w:r>
              <w:rPr>
                <w:sz w:val="18"/>
                <w:szCs w:val="18"/>
              </w:rPr>
              <w:t>International Fixed Interest</w:t>
            </w:r>
          </w:p>
        </w:tc>
        <w:tc>
          <w:tcPr>
            <w:tcW w:w="4767" w:type="dxa"/>
            <w:shd w:val="clear" w:color="auto" w:fill="E6E6E6"/>
          </w:tcPr>
          <w:p w14:paraId="3CD9EA5D" w14:textId="77777777" w:rsidR="003A4C1B" w:rsidRDefault="00205DE0">
            <w:pPr>
              <w:spacing w:before="40" w:after="40"/>
              <w:rPr>
                <w:sz w:val="18"/>
                <w:szCs w:val="18"/>
              </w:rPr>
            </w:pPr>
            <w:r>
              <w:rPr>
                <w:sz w:val="18"/>
                <w:szCs w:val="18"/>
              </w:rPr>
              <w:t>Bloomberg Barclays Global Aggregate Index (hedged in AUD)</w:t>
            </w:r>
          </w:p>
        </w:tc>
        <w:tc>
          <w:tcPr>
            <w:tcW w:w="850" w:type="dxa"/>
            <w:shd w:val="clear" w:color="auto" w:fill="E6E6E6"/>
          </w:tcPr>
          <w:p w14:paraId="0F00C496" w14:textId="77777777" w:rsidR="003A4C1B" w:rsidRDefault="00205DE0">
            <w:pPr>
              <w:spacing w:before="40" w:after="40"/>
              <w:rPr>
                <w:sz w:val="18"/>
                <w:szCs w:val="18"/>
              </w:rPr>
            </w:pPr>
            <w:r>
              <w:rPr>
                <w:sz w:val="18"/>
                <w:szCs w:val="18"/>
              </w:rPr>
              <w:t>0.10%</w:t>
            </w:r>
          </w:p>
        </w:tc>
        <w:tc>
          <w:tcPr>
            <w:tcW w:w="993" w:type="dxa"/>
            <w:shd w:val="clear" w:color="auto" w:fill="E6E6E6"/>
          </w:tcPr>
          <w:p w14:paraId="2B8256F4" w14:textId="77777777" w:rsidR="003A4C1B" w:rsidRDefault="00205DE0">
            <w:pPr>
              <w:spacing w:before="40" w:after="40"/>
              <w:rPr>
                <w:sz w:val="18"/>
                <w:szCs w:val="18"/>
              </w:rPr>
            </w:pPr>
            <w:r>
              <w:rPr>
                <w:sz w:val="18"/>
                <w:szCs w:val="18"/>
              </w:rPr>
              <w:t>15.00%</w:t>
            </w:r>
          </w:p>
        </w:tc>
      </w:tr>
      <w:tr w:rsidR="003A4C1B" w14:paraId="3415C2C3" w14:textId="77777777">
        <w:tc>
          <w:tcPr>
            <w:tcW w:w="2203" w:type="dxa"/>
            <w:shd w:val="clear" w:color="auto" w:fill="E6E6E6"/>
          </w:tcPr>
          <w:p w14:paraId="5F20C2AA" w14:textId="77777777" w:rsidR="003A4C1B" w:rsidRDefault="00205DE0">
            <w:pPr>
              <w:spacing w:before="40" w:after="40"/>
              <w:rPr>
                <w:sz w:val="18"/>
                <w:szCs w:val="18"/>
              </w:rPr>
            </w:pPr>
            <w:r>
              <w:rPr>
                <w:sz w:val="18"/>
                <w:szCs w:val="18"/>
              </w:rPr>
              <w:lastRenderedPageBreak/>
              <w:t>Australian Cash</w:t>
            </w:r>
          </w:p>
        </w:tc>
        <w:tc>
          <w:tcPr>
            <w:tcW w:w="4767" w:type="dxa"/>
            <w:shd w:val="clear" w:color="auto" w:fill="E6E6E6"/>
          </w:tcPr>
          <w:p w14:paraId="06D8D7A4" w14:textId="77777777" w:rsidR="003A4C1B" w:rsidRDefault="00205DE0">
            <w:pPr>
              <w:spacing w:before="40" w:after="40"/>
              <w:rPr>
                <w:sz w:val="18"/>
                <w:szCs w:val="18"/>
              </w:rPr>
            </w:pPr>
            <w:r>
              <w:rPr>
                <w:sz w:val="18"/>
                <w:szCs w:val="18"/>
              </w:rPr>
              <w:t>Bloomberg Ausbond Bank Bill Index</w:t>
            </w:r>
          </w:p>
        </w:tc>
        <w:tc>
          <w:tcPr>
            <w:tcW w:w="850" w:type="dxa"/>
            <w:shd w:val="clear" w:color="auto" w:fill="E6E6E6"/>
          </w:tcPr>
          <w:p w14:paraId="47D566ED" w14:textId="77777777" w:rsidR="003A4C1B" w:rsidRDefault="00205DE0">
            <w:pPr>
              <w:spacing w:before="40" w:after="40"/>
              <w:rPr>
                <w:sz w:val="18"/>
                <w:szCs w:val="18"/>
              </w:rPr>
            </w:pPr>
            <w:r>
              <w:rPr>
                <w:sz w:val="18"/>
                <w:szCs w:val="18"/>
              </w:rPr>
              <w:t>0.04%</w:t>
            </w:r>
          </w:p>
        </w:tc>
        <w:tc>
          <w:tcPr>
            <w:tcW w:w="993" w:type="dxa"/>
            <w:shd w:val="clear" w:color="auto" w:fill="E6E6E6"/>
          </w:tcPr>
          <w:p w14:paraId="60DA5C5A" w14:textId="77777777" w:rsidR="003A4C1B" w:rsidRDefault="00205DE0">
            <w:pPr>
              <w:spacing w:before="40" w:after="40"/>
              <w:rPr>
                <w:sz w:val="18"/>
                <w:szCs w:val="18"/>
              </w:rPr>
            </w:pPr>
            <w:r>
              <w:rPr>
                <w:sz w:val="18"/>
                <w:szCs w:val="18"/>
              </w:rPr>
              <w:t>15.00%</w:t>
            </w:r>
          </w:p>
        </w:tc>
      </w:tr>
      <w:tr w:rsidR="003A4C1B" w14:paraId="6BAE728E" w14:textId="77777777">
        <w:tc>
          <w:tcPr>
            <w:tcW w:w="2203" w:type="dxa"/>
            <w:shd w:val="clear" w:color="auto" w:fill="E6E6E6"/>
          </w:tcPr>
          <w:p w14:paraId="41DD730E" w14:textId="77777777" w:rsidR="003A4C1B" w:rsidRDefault="00205DE0">
            <w:pPr>
              <w:spacing w:before="40" w:after="40"/>
              <w:rPr>
                <w:sz w:val="18"/>
                <w:szCs w:val="18"/>
              </w:rPr>
            </w:pPr>
            <w:r>
              <w:rPr>
                <w:sz w:val="18"/>
                <w:szCs w:val="18"/>
              </w:rPr>
              <w:t>International Cash</w:t>
            </w:r>
          </w:p>
        </w:tc>
        <w:tc>
          <w:tcPr>
            <w:tcW w:w="4767" w:type="dxa"/>
            <w:shd w:val="clear" w:color="auto" w:fill="E6E6E6"/>
          </w:tcPr>
          <w:p w14:paraId="6793AD1C" w14:textId="77777777" w:rsidR="003A4C1B" w:rsidRDefault="00205DE0">
            <w:pPr>
              <w:spacing w:before="40" w:after="40"/>
              <w:rPr>
                <w:sz w:val="18"/>
                <w:szCs w:val="18"/>
              </w:rPr>
            </w:pPr>
            <w:r>
              <w:rPr>
                <w:sz w:val="18"/>
                <w:szCs w:val="18"/>
              </w:rPr>
              <w:t>Bloomberg Ausbond Bank Bill Index</w:t>
            </w:r>
          </w:p>
        </w:tc>
        <w:tc>
          <w:tcPr>
            <w:tcW w:w="850" w:type="dxa"/>
            <w:shd w:val="clear" w:color="auto" w:fill="E6E6E6"/>
          </w:tcPr>
          <w:p w14:paraId="276500E3" w14:textId="77777777" w:rsidR="003A4C1B" w:rsidRDefault="00205DE0">
            <w:pPr>
              <w:spacing w:before="40" w:after="40"/>
              <w:rPr>
                <w:sz w:val="18"/>
                <w:szCs w:val="18"/>
              </w:rPr>
            </w:pPr>
            <w:r>
              <w:rPr>
                <w:sz w:val="18"/>
                <w:szCs w:val="18"/>
              </w:rPr>
              <w:t>0.04%</w:t>
            </w:r>
          </w:p>
        </w:tc>
        <w:tc>
          <w:tcPr>
            <w:tcW w:w="993" w:type="dxa"/>
            <w:shd w:val="clear" w:color="auto" w:fill="E6E6E6"/>
          </w:tcPr>
          <w:p w14:paraId="68DFC5A6" w14:textId="77777777" w:rsidR="003A4C1B" w:rsidRDefault="00205DE0">
            <w:pPr>
              <w:spacing w:before="40" w:after="40"/>
              <w:rPr>
                <w:sz w:val="18"/>
                <w:szCs w:val="18"/>
              </w:rPr>
            </w:pPr>
            <w:r>
              <w:rPr>
                <w:sz w:val="18"/>
                <w:szCs w:val="18"/>
              </w:rPr>
              <w:t>15.00%</w:t>
            </w:r>
          </w:p>
        </w:tc>
      </w:tr>
      <w:tr w:rsidR="003A4C1B" w14:paraId="37760F26" w14:textId="77777777">
        <w:tc>
          <w:tcPr>
            <w:tcW w:w="2203" w:type="dxa"/>
            <w:shd w:val="clear" w:color="auto" w:fill="E6E6E6"/>
          </w:tcPr>
          <w:p w14:paraId="1E6D9817" w14:textId="77777777" w:rsidR="003A4C1B" w:rsidRDefault="00205DE0">
            <w:pPr>
              <w:spacing w:before="40" w:after="40"/>
              <w:rPr>
                <w:sz w:val="18"/>
                <w:szCs w:val="18"/>
              </w:rPr>
            </w:pPr>
            <w:r>
              <w:rPr>
                <w:sz w:val="18"/>
                <w:szCs w:val="18"/>
              </w:rPr>
              <w:t>Other (assets categorised as Other / Commodities)</w:t>
            </w:r>
          </w:p>
        </w:tc>
        <w:tc>
          <w:tcPr>
            <w:tcW w:w="4767" w:type="dxa"/>
            <w:shd w:val="clear" w:color="auto" w:fill="E6E6E6"/>
          </w:tcPr>
          <w:p w14:paraId="6D707069" w14:textId="77777777" w:rsidR="003A4C1B" w:rsidRDefault="00205DE0">
            <w:pPr>
              <w:spacing w:before="40" w:after="40"/>
              <w:rPr>
                <w:sz w:val="18"/>
                <w:szCs w:val="18"/>
              </w:rPr>
            </w:pPr>
            <w:r>
              <w:rPr>
                <w:sz w:val="18"/>
                <w:szCs w:val="18"/>
              </w:rPr>
              <w:t>25% International Equity (hedged), 25% International Equity (unhedged), 50% International Fixed Interest</w:t>
            </w:r>
          </w:p>
        </w:tc>
        <w:tc>
          <w:tcPr>
            <w:tcW w:w="1843" w:type="dxa"/>
            <w:gridSpan w:val="2"/>
            <w:shd w:val="clear" w:color="auto" w:fill="E6E6E6"/>
          </w:tcPr>
          <w:p w14:paraId="0D9565FB" w14:textId="77777777" w:rsidR="003A4C1B" w:rsidRDefault="00205DE0">
            <w:pPr>
              <w:spacing w:before="40" w:after="40"/>
              <w:rPr>
                <w:sz w:val="18"/>
                <w:szCs w:val="18"/>
              </w:rPr>
            </w:pPr>
            <w:r>
              <w:rPr>
                <w:sz w:val="18"/>
                <w:szCs w:val="18"/>
              </w:rPr>
              <w:t>As per the underlying asset classes</w:t>
            </w:r>
          </w:p>
        </w:tc>
      </w:tr>
    </w:tbl>
    <w:p w14:paraId="472FEACA" w14:textId="77777777" w:rsidR="003A4C1B" w:rsidRDefault="00205DE0">
      <w:r>
        <w:rPr>
          <w:i/>
          <w:sz w:val="16"/>
          <w:szCs w:val="16"/>
        </w:rPr>
        <w:t>Source: APRA MySuper Product Heatmap information paper.</w:t>
      </w:r>
    </w:p>
    <w:p w14:paraId="5EC57759" w14:textId="5AAD6DEC" w:rsidR="00BE60DC" w:rsidRDefault="00C11A35" w:rsidP="00522C94">
      <w:pPr>
        <w:rPr>
          <w:color w:val="000000"/>
        </w:rPr>
      </w:pPr>
      <w:r>
        <w:rPr>
          <w:color w:val="000000"/>
        </w:rPr>
        <w:br w:type="page"/>
      </w:r>
      <w:r w:rsidR="00BE60DC">
        <w:rPr>
          <w:noProof/>
          <w:color w:val="000000"/>
        </w:rPr>
        <w:lastRenderedPageBreak/>
        <w:drawing>
          <wp:anchor distT="0" distB="0" distL="114300" distR="114300" simplePos="0" relativeHeight="251658244" behindDoc="0" locked="0" layoutInCell="1" allowOverlap="1" wp14:anchorId="4F774AA8" wp14:editId="1CD0D0AC">
            <wp:simplePos x="0" y="0"/>
            <wp:positionH relativeFrom="margin">
              <wp:posOffset>-404495</wp:posOffset>
            </wp:positionH>
            <wp:positionV relativeFrom="paragraph">
              <wp:posOffset>-442172</wp:posOffset>
            </wp:positionV>
            <wp:extent cx="6671159" cy="94361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dget2020_Glossy_SPD_p38.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671159" cy="9436100"/>
                    </a:xfrm>
                    <a:prstGeom prst="rect">
                      <a:avLst/>
                    </a:prstGeom>
                  </pic:spPr>
                </pic:pic>
              </a:graphicData>
            </a:graphic>
            <wp14:sizeRelH relativeFrom="page">
              <wp14:pctWidth>0</wp14:pctWidth>
            </wp14:sizeRelH>
            <wp14:sizeRelV relativeFrom="page">
              <wp14:pctHeight>0</wp14:pctHeight>
            </wp14:sizeRelV>
          </wp:anchor>
        </w:drawing>
      </w:r>
      <w:r w:rsidR="00177633">
        <w:rPr>
          <w:color w:val="000000"/>
        </w:rPr>
        <w:t>How your future your super will benefit you</w:t>
      </w:r>
    </w:p>
    <w:p w14:paraId="66535860" w14:textId="37B5F60F" w:rsidR="003A4C1B" w:rsidRDefault="00177633" w:rsidP="00522C94">
      <w:pPr>
        <w:rPr>
          <w:color w:val="000000"/>
        </w:rPr>
      </w:pPr>
      <w:r>
        <w:rPr>
          <w:color w:val="000000"/>
        </w:rPr>
        <w:t xml:space="preserve"> </w:t>
      </w:r>
    </w:p>
    <w:sectPr w:rsidR="003A4C1B" w:rsidSect="00884CB1">
      <w:headerReference w:type="even" r:id="rId61"/>
      <w:headerReference w:type="default" r:id="rId62"/>
      <w:footerReference w:type="even" r:id="rId63"/>
      <w:footerReference w:type="default" r:id="rId64"/>
      <w:headerReference w:type="first" r:id="rId65"/>
      <w:footerReference w:type="first" r:id="rId66"/>
      <w:endnotePr>
        <w:numFmt w:val="decimal"/>
      </w:endnotePr>
      <w:pgSz w:w="11906" w:h="16838"/>
      <w:pgMar w:top="1417" w:right="1417" w:bottom="1417" w:left="1417" w:header="709" w:footer="709" w:gutter="0"/>
      <w:pgNumType w:start="1"/>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330727" w14:textId="77777777" w:rsidR="00CC07B9" w:rsidRDefault="00CC07B9">
      <w:pPr>
        <w:spacing w:before="0" w:after="0"/>
      </w:pPr>
      <w:r>
        <w:separator/>
      </w:r>
    </w:p>
  </w:endnote>
  <w:endnote w:type="continuationSeparator" w:id="0">
    <w:p w14:paraId="4D42BE9B" w14:textId="77777777" w:rsidR="00CC07B9" w:rsidRDefault="00CC07B9">
      <w:pPr>
        <w:spacing w:before="0" w:after="0"/>
      </w:pPr>
      <w:r>
        <w:continuationSeparator/>
      </w:r>
    </w:p>
  </w:endnote>
  <w:endnote w:type="continuationNotice" w:id="1">
    <w:p w14:paraId="02014A6E" w14:textId="77777777" w:rsidR="00CC07B9" w:rsidRDefault="00CC07B9">
      <w:pPr>
        <w:spacing w:before="0" w:after="0"/>
      </w:pPr>
    </w:p>
  </w:endnote>
  <w:endnote w:id="2">
    <w:p w14:paraId="61DEBDA8" w14:textId="66C19016" w:rsidR="00CC07B9" w:rsidRPr="00E226FC" w:rsidRDefault="00CC07B9">
      <w:pPr>
        <w:pBdr>
          <w:top w:val="nil"/>
          <w:left w:val="nil"/>
          <w:bottom w:val="nil"/>
          <w:right w:val="nil"/>
          <w:between w:val="nil"/>
        </w:pBdr>
        <w:spacing w:before="0" w:after="0"/>
        <w:rPr>
          <w:color w:val="000000"/>
          <w:sz w:val="20"/>
        </w:rPr>
      </w:pPr>
      <w:r w:rsidRPr="00E226FC">
        <w:rPr>
          <w:rStyle w:val="EndnoteReference"/>
        </w:rPr>
        <w:endnoteRef/>
      </w:r>
      <w:r w:rsidRPr="00E226FC">
        <w:rPr>
          <w:color w:val="000000"/>
          <w:sz w:val="20"/>
        </w:rPr>
        <w:t xml:space="preserve"> </w:t>
      </w:r>
      <w:r w:rsidRPr="00E226FC">
        <w:rPr>
          <w:sz w:val="20"/>
        </w:rPr>
        <w:t>ASX</w:t>
      </w:r>
      <w:r>
        <w:rPr>
          <w:sz w:val="20"/>
        </w:rPr>
        <w:t xml:space="preserve"> (Australian Securities Exchange), </w:t>
      </w:r>
      <w:r>
        <w:rPr>
          <w:i/>
          <w:sz w:val="20"/>
        </w:rPr>
        <w:t>Corporate Overview</w:t>
      </w:r>
      <w:r>
        <w:rPr>
          <w:sz w:val="20"/>
        </w:rPr>
        <w:t xml:space="preserve">, ASX website, 2020; Parliament of Australia, </w:t>
      </w:r>
      <w:r w:rsidRPr="00E349F8">
        <w:rPr>
          <w:i/>
          <w:sz w:val="20"/>
        </w:rPr>
        <w:t>Chronology of superannuation and retirement income in Austral</w:t>
      </w:r>
      <w:r w:rsidRPr="00BC3870">
        <w:rPr>
          <w:i/>
          <w:sz w:val="20"/>
        </w:rPr>
        <w:t>ia</w:t>
      </w:r>
      <w:r>
        <w:rPr>
          <w:sz w:val="20"/>
        </w:rPr>
        <w:t>, Australian Parliament House website &lt;</w:t>
      </w:r>
      <w:r w:rsidRPr="00FC05C3">
        <w:rPr>
          <w:sz w:val="20"/>
        </w:rPr>
        <w:t>https://www.aph.gov.au/About_Parliament/Parliamentary_Departments/Parliamentary_Library/pubs/BN/0910/ChronSuperannuation</w:t>
      </w:r>
      <w:r>
        <w:t>&gt;</w:t>
      </w:r>
      <w:r>
        <w:rPr>
          <w:sz w:val="20"/>
        </w:rPr>
        <w:t>, 2010.</w:t>
      </w:r>
    </w:p>
  </w:endnote>
  <w:endnote w:id="3">
    <w:p w14:paraId="391EC108" w14:textId="77777777" w:rsidR="00CC07B9" w:rsidRPr="00B1501C" w:rsidRDefault="00CC07B9" w:rsidP="00A91EE0">
      <w:pPr>
        <w:autoSpaceDE w:val="0"/>
        <w:autoSpaceDN w:val="0"/>
        <w:adjustRightInd w:val="0"/>
        <w:spacing w:before="0" w:after="0"/>
        <w:rPr>
          <w:sz w:val="20"/>
        </w:rPr>
      </w:pPr>
      <w:r>
        <w:rPr>
          <w:rStyle w:val="EndnoteReference"/>
          <w:sz w:val="20"/>
        </w:rPr>
        <w:endnoteRef/>
      </w:r>
      <w:r w:rsidRPr="00E226FC">
        <w:rPr>
          <w:rFonts w:eastAsia="Calibri" w:cs="Calibri"/>
          <w:color w:val="000000"/>
          <w:sz w:val="20"/>
        </w:rPr>
        <w:t xml:space="preserve"> Productivity Commission, </w:t>
      </w:r>
      <w:r w:rsidRPr="00E226FC">
        <w:rPr>
          <w:rFonts w:eastAsia="Calibri" w:cs="Calibri"/>
          <w:i/>
          <w:color w:val="000000"/>
          <w:sz w:val="20"/>
        </w:rPr>
        <w:t>Superannuation: Assessing Efficiency and Competitiveness, Inquiry Report</w:t>
      </w:r>
      <w:r w:rsidRPr="00E226FC">
        <w:rPr>
          <w:rFonts w:eastAsia="Calibri" w:cs="Calibri"/>
          <w:color w:val="000000"/>
          <w:sz w:val="20"/>
        </w:rPr>
        <w:t xml:space="preserve">, published online, 2018; </w:t>
      </w:r>
      <w:r w:rsidRPr="004934DA">
        <w:rPr>
          <w:rFonts w:eastAsia="Calibri" w:cs="Calibri"/>
          <w:color w:val="000000"/>
          <w:sz w:val="20"/>
        </w:rPr>
        <w:t xml:space="preserve">Rainmaker Information, </w:t>
      </w:r>
      <w:r w:rsidRPr="004934DA">
        <w:rPr>
          <w:rFonts w:eastAsia="Calibri" w:cs="Calibri"/>
          <w:i/>
          <w:color w:val="000000"/>
          <w:sz w:val="20"/>
        </w:rPr>
        <w:t xml:space="preserve">Superannuation, </w:t>
      </w:r>
      <w:r w:rsidRPr="004934DA">
        <w:rPr>
          <w:rFonts w:eastAsia="Calibri" w:cs="Calibri"/>
          <w:color w:val="000000"/>
          <w:sz w:val="20"/>
        </w:rPr>
        <w:t>published online, 2020</w:t>
      </w:r>
      <w:r w:rsidRPr="00E226FC">
        <w:rPr>
          <w:rFonts w:eastAsia="Calibri" w:cs="Calibri"/>
          <w:color w:val="000000"/>
          <w:sz w:val="20"/>
        </w:rPr>
        <w:t>.</w:t>
      </w:r>
    </w:p>
  </w:endnote>
  <w:endnote w:id="4">
    <w:p w14:paraId="6BE01211" w14:textId="5F026DD0" w:rsidR="00CC07B9" w:rsidRPr="00E226FC" w:rsidRDefault="00CC07B9" w:rsidP="00A91EE0">
      <w:pPr>
        <w:pStyle w:val="EndnoteText"/>
      </w:pPr>
      <w:r w:rsidRPr="00E226FC">
        <w:rPr>
          <w:rStyle w:val="EndnoteReference"/>
        </w:rPr>
        <w:endnoteRef/>
      </w:r>
      <w:r w:rsidRPr="00E226FC">
        <w:t xml:space="preserve"> </w:t>
      </w:r>
      <w:r w:rsidRPr="000B53C7">
        <w:t>Treasury analysis.</w:t>
      </w:r>
    </w:p>
  </w:endnote>
  <w:endnote w:id="5">
    <w:p w14:paraId="0E21FEEE" w14:textId="7B3B9B54" w:rsidR="00CC07B9" w:rsidRPr="00E226FC" w:rsidRDefault="00CC07B9">
      <w:pPr>
        <w:pBdr>
          <w:top w:val="nil"/>
          <w:left w:val="nil"/>
          <w:bottom w:val="nil"/>
          <w:right w:val="nil"/>
          <w:between w:val="nil"/>
        </w:pBdr>
        <w:spacing w:before="0" w:after="0"/>
        <w:rPr>
          <w:color w:val="000000"/>
          <w:sz w:val="20"/>
        </w:rPr>
      </w:pPr>
      <w:r w:rsidRPr="00E226FC">
        <w:rPr>
          <w:rStyle w:val="EndnoteReference"/>
        </w:rPr>
        <w:endnoteRef/>
      </w:r>
      <w:r w:rsidRPr="00E226FC">
        <w:rPr>
          <w:color w:val="000000"/>
          <w:sz w:val="20"/>
        </w:rPr>
        <w:t xml:space="preserve"> </w:t>
      </w:r>
      <w:r w:rsidRPr="00E226FC">
        <w:rPr>
          <w:rFonts w:eastAsia="Calibri"/>
          <w:color w:val="000000"/>
          <w:sz w:val="20"/>
        </w:rPr>
        <w:t>Rice Warner</w:t>
      </w:r>
      <w:r w:rsidRPr="00E226FC">
        <w:rPr>
          <w:rFonts w:eastAsia="Calibri" w:cs="Calibri"/>
          <w:color w:val="000000"/>
          <w:sz w:val="20"/>
        </w:rPr>
        <w:t>,</w:t>
      </w:r>
      <w:r w:rsidRPr="00E226FC">
        <w:rPr>
          <w:rFonts w:eastAsia="Calibri"/>
          <w:color w:val="000000"/>
          <w:sz w:val="20"/>
        </w:rPr>
        <w:t xml:space="preserve"> </w:t>
      </w:r>
      <w:r w:rsidRPr="00E226FC">
        <w:rPr>
          <w:rFonts w:eastAsia="Calibri" w:cs="Calibri"/>
          <w:i/>
          <w:color w:val="000000"/>
          <w:sz w:val="20"/>
        </w:rPr>
        <w:t>Superannuation Market Projections Report</w:t>
      </w:r>
      <w:r w:rsidRPr="00E226FC">
        <w:rPr>
          <w:rFonts w:eastAsia="Calibri" w:cs="Calibri"/>
          <w:color w:val="000000"/>
          <w:sz w:val="20"/>
        </w:rPr>
        <w:t>, 2019.</w:t>
      </w:r>
    </w:p>
  </w:endnote>
  <w:endnote w:id="6">
    <w:p w14:paraId="493DA18A" w14:textId="309CACC1" w:rsidR="00CC07B9" w:rsidRPr="00E226FC" w:rsidRDefault="00CC07B9">
      <w:pPr>
        <w:pStyle w:val="EndnoteText"/>
      </w:pPr>
      <w:r w:rsidRPr="00E226FC">
        <w:rPr>
          <w:rStyle w:val="EndnoteReference"/>
        </w:rPr>
        <w:endnoteRef/>
      </w:r>
      <w:r w:rsidRPr="00E226FC">
        <w:t xml:space="preserve"> </w:t>
      </w:r>
      <w:r w:rsidRPr="00E226FC">
        <w:rPr>
          <w:rFonts w:eastAsia="Calibri"/>
          <w:color w:val="000000"/>
        </w:rPr>
        <w:t>Rice Warner</w:t>
      </w:r>
      <w:r w:rsidRPr="00E226FC">
        <w:rPr>
          <w:rFonts w:eastAsia="Calibri" w:cs="Calibri"/>
          <w:color w:val="000000"/>
        </w:rPr>
        <w:t>,</w:t>
      </w:r>
      <w:r w:rsidRPr="00E226FC">
        <w:rPr>
          <w:rFonts w:eastAsia="Calibri"/>
          <w:color w:val="000000"/>
        </w:rPr>
        <w:t xml:space="preserve"> </w:t>
      </w:r>
      <w:r w:rsidRPr="00E226FC">
        <w:rPr>
          <w:rFonts w:eastAsia="Calibri" w:cs="Calibri"/>
          <w:i/>
          <w:color w:val="000000"/>
        </w:rPr>
        <w:t>Superannuation Market Projections Report</w:t>
      </w:r>
      <w:r w:rsidRPr="00E226FC">
        <w:rPr>
          <w:rFonts w:eastAsia="Calibri" w:cs="Calibri"/>
          <w:color w:val="000000"/>
        </w:rPr>
        <w:t>, 2019</w:t>
      </w:r>
      <w:r>
        <w:rPr>
          <w:rFonts w:eastAsia="Calibri" w:cs="Calibri"/>
          <w:color w:val="000000"/>
        </w:rPr>
        <w:t>.</w:t>
      </w:r>
    </w:p>
  </w:endnote>
  <w:endnote w:id="7">
    <w:p w14:paraId="5C6B03FF" w14:textId="77777777" w:rsidR="00CC07B9" w:rsidRPr="00E226FC" w:rsidRDefault="00CC07B9" w:rsidP="00B1501C">
      <w:pPr>
        <w:pBdr>
          <w:top w:val="nil"/>
          <w:left w:val="nil"/>
          <w:bottom w:val="nil"/>
          <w:right w:val="nil"/>
          <w:between w:val="nil"/>
        </w:pBdr>
        <w:spacing w:before="0" w:after="0"/>
        <w:rPr>
          <w:color w:val="000000"/>
          <w:sz w:val="20"/>
        </w:rPr>
      </w:pPr>
      <w:r w:rsidRPr="00E226FC">
        <w:rPr>
          <w:rStyle w:val="EndnoteReference"/>
        </w:rPr>
        <w:endnoteRef/>
      </w:r>
      <w:r w:rsidRPr="00E226FC">
        <w:rPr>
          <w:color w:val="000000"/>
          <w:sz w:val="20"/>
        </w:rPr>
        <w:t xml:space="preserve"> </w:t>
      </w:r>
      <w:r w:rsidRPr="00E226FC">
        <w:rPr>
          <w:rFonts w:eastAsia="Calibri" w:cs="Calibri"/>
          <w:color w:val="000000"/>
          <w:sz w:val="20"/>
        </w:rPr>
        <w:t xml:space="preserve">APRA (Australian Prudential Regulation Authority), </w:t>
      </w:r>
      <w:r w:rsidRPr="00E226FC">
        <w:rPr>
          <w:rFonts w:eastAsia="Calibri" w:cs="Calibri"/>
          <w:i/>
          <w:color w:val="000000"/>
          <w:sz w:val="20"/>
        </w:rPr>
        <w:t>Quarterly superannuation performance statistics highlights</w:t>
      </w:r>
      <w:r w:rsidRPr="00E226FC">
        <w:rPr>
          <w:rFonts w:eastAsia="Calibri" w:cs="Calibri"/>
          <w:color w:val="000000"/>
          <w:sz w:val="20"/>
        </w:rPr>
        <w:t xml:space="preserve">, </w:t>
      </w:r>
      <w:r w:rsidRPr="00E226FC">
        <w:rPr>
          <w:rFonts w:eastAsia="Calibri" w:cs="Calibri"/>
          <w:i/>
          <w:color w:val="000000"/>
          <w:sz w:val="20"/>
        </w:rPr>
        <w:t>June 2020</w:t>
      </w:r>
      <w:r w:rsidRPr="00E226FC">
        <w:rPr>
          <w:rFonts w:eastAsia="Calibri" w:cs="Calibri"/>
          <w:color w:val="000000"/>
          <w:sz w:val="20"/>
        </w:rPr>
        <w:t>, published online, released 25 August 2020;</w:t>
      </w:r>
      <w:r w:rsidRPr="00E226FC">
        <w:rPr>
          <w:color w:val="000000"/>
          <w:sz w:val="20"/>
        </w:rPr>
        <w:t xml:space="preserve"> </w:t>
      </w:r>
      <w:r w:rsidRPr="00B1501C">
        <w:rPr>
          <w:rFonts w:eastAsia="Calibri" w:cs="Calibri"/>
          <w:color w:val="000000"/>
          <w:sz w:val="20"/>
        </w:rPr>
        <w:t xml:space="preserve">Productivity Commission, </w:t>
      </w:r>
      <w:r w:rsidRPr="00B1501C">
        <w:rPr>
          <w:rFonts w:eastAsia="Calibri" w:cs="Calibri"/>
          <w:i/>
          <w:color w:val="000000"/>
          <w:sz w:val="20"/>
        </w:rPr>
        <w:t>Superannuation: Assessing Efficiency and Competitiveness, Inquiry Report</w:t>
      </w:r>
      <w:r w:rsidRPr="00B1501C">
        <w:rPr>
          <w:rFonts w:eastAsia="Calibri" w:cs="Calibri"/>
          <w:color w:val="000000"/>
          <w:sz w:val="20"/>
        </w:rPr>
        <w:t>, published online, 2018, p 554</w:t>
      </w:r>
      <w:r w:rsidRPr="00E226FC">
        <w:rPr>
          <w:rFonts w:eastAsia="Calibri" w:cs="Calibri"/>
          <w:color w:val="000000"/>
          <w:sz w:val="20"/>
        </w:rPr>
        <w:t>.</w:t>
      </w:r>
    </w:p>
  </w:endnote>
  <w:endnote w:id="8">
    <w:p w14:paraId="108537D0" w14:textId="38C2CC65" w:rsidR="00CC07B9" w:rsidRPr="00E226FC" w:rsidRDefault="00CC07B9" w:rsidP="00E6042E">
      <w:pPr>
        <w:pStyle w:val="EndnoteText"/>
      </w:pPr>
      <w:r w:rsidRPr="00E226FC">
        <w:rPr>
          <w:rStyle w:val="EndnoteReference"/>
        </w:rPr>
        <w:endnoteRef/>
      </w:r>
      <w:r w:rsidRPr="00E226FC">
        <w:t xml:space="preserve"> </w:t>
      </w:r>
      <w:r>
        <w:t>Australian Government</w:t>
      </w:r>
      <w:r w:rsidRPr="00E226FC">
        <w:t xml:space="preserve">, </w:t>
      </w:r>
      <w:r w:rsidRPr="00E226FC">
        <w:rPr>
          <w:i/>
        </w:rPr>
        <w:t>Financial System Inquiry Final Report</w:t>
      </w:r>
      <w:r w:rsidRPr="00E226FC">
        <w:t>, published online, November 2014.</w:t>
      </w:r>
    </w:p>
  </w:endnote>
  <w:endnote w:id="9">
    <w:p w14:paraId="61BAE8CC" w14:textId="77777777" w:rsidR="00CC07B9" w:rsidRPr="00E226FC" w:rsidRDefault="00CC07B9" w:rsidP="00E6042E">
      <w:pPr>
        <w:pStyle w:val="EndnoteText"/>
      </w:pPr>
      <w:r w:rsidRPr="00E226FC">
        <w:rPr>
          <w:rStyle w:val="EndnoteReference"/>
        </w:rPr>
        <w:endnoteRef/>
      </w:r>
      <w:r w:rsidRPr="00E226FC">
        <w:t xml:space="preserve"> </w:t>
      </w:r>
      <w:r w:rsidRPr="00E226FC">
        <w:rPr>
          <w:rFonts w:eastAsia="Calibri" w:cs="Calibri"/>
          <w:color w:val="000000"/>
        </w:rPr>
        <w:t xml:space="preserve">Productivity Commission, </w:t>
      </w:r>
      <w:r w:rsidRPr="00E226FC">
        <w:rPr>
          <w:rFonts w:eastAsia="Calibri" w:cs="Calibri"/>
          <w:i/>
          <w:color w:val="000000"/>
        </w:rPr>
        <w:t>Superannuation: Assessing Efficiency and Competitiveness, Inquiry Report</w:t>
      </w:r>
      <w:r w:rsidRPr="00E226FC">
        <w:rPr>
          <w:rFonts w:eastAsia="Calibri" w:cs="Calibri"/>
          <w:color w:val="000000"/>
        </w:rPr>
        <w:t>, published online, 2018.</w:t>
      </w:r>
    </w:p>
  </w:endnote>
  <w:endnote w:id="10">
    <w:p w14:paraId="5A81C9D3" w14:textId="77777777" w:rsidR="00CC07B9" w:rsidRPr="00E226FC" w:rsidRDefault="00CC07B9" w:rsidP="00E6042E">
      <w:pPr>
        <w:pStyle w:val="EndnoteText"/>
      </w:pPr>
      <w:r w:rsidRPr="00E226FC">
        <w:rPr>
          <w:rStyle w:val="EndnoteReference"/>
        </w:rPr>
        <w:endnoteRef/>
      </w:r>
      <w:r w:rsidRPr="00E226FC">
        <w:t xml:space="preserve"> </w:t>
      </w:r>
      <w:r w:rsidRPr="00E226FC">
        <w:rPr>
          <w:rFonts w:eastAsia="Calibri" w:cs="Calibri"/>
          <w:color w:val="000000"/>
        </w:rPr>
        <w:t xml:space="preserve">Productivity Commission, </w:t>
      </w:r>
      <w:r w:rsidRPr="00E226FC">
        <w:rPr>
          <w:rFonts w:eastAsia="Calibri" w:cs="Calibri"/>
          <w:i/>
          <w:color w:val="000000"/>
        </w:rPr>
        <w:t>Superannuation: Assessing Efficiency and Competitiveness, Inquiry Report</w:t>
      </w:r>
      <w:r w:rsidRPr="00E226FC">
        <w:rPr>
          <w:rFonts w:eastAsia="Calibri" w:cs="Calibri"/>
          <w:color w:val="000000"/>
        </w:rPr>
        <w:t>, published online, 2018, pp 23, 30, 247.</w:t>
      </w:r>
    </w:p>
  </w:endnote>
  <w:endnote w:id="11">
    <w:p w14:paraId="40289D30" w14:textId="2428014E" w:rsidR="00CC07B9" w:rsidRPr="00E226FC" w:rsidRDefault="00CC07B9" w:rsidP="00E6042E">
      <w:pPr>
        <w:pStyle w:val="EndnoteText"/>
      </w:pPr>
      <w:r w:rsidRPr="00E226FC">
        <w:rPr>
          <w:rStyle w:val="EndnoteReference"/>
        </w:rPr>
        <w:endnoteRef/>
      </w:r>
      <w:r w:rsidRPr="00E226FC">
        <w:t xml:space="preserve"> Commonwealth of Australia, </w:t>
      </w:r>
      <w:r w:rsidRPr="00E226FC">
        <w:rPr>
          <w:i/>
        </w:rPr>
        <w:t>Royal Commission into Misconduct in the Banking, Superannuation and Financial Services Industry</w:t>
      </w:r>
      <w:r w:rsidRPr="00E226FC">
        <w:t>, 2019, pp 250-251, 253.</w:t>
      </w:r>
    </w:p>
  </w:endnote>
  <w:endnote w:id="12">
    <w:p w14:paraId="712305BD" w14:textId="2DC6D32C" w:rsidR="00CC07B9" w:rsidRPr="00E226FC" w:rsidRDefault="00CC07B9">
      <w:pPr>
        <w:pStyle w:val="EndnoteText"/>
      </w:pPr>
      <w:r w:rsidRPr="00E226FC">
        <w:rPr>
          <w:rStyle w:val="EndnoteReference"/>
        </w:rPr>
        <w:endnoteRef/>
      </w:r>
      <w:r w:rsidRPr="00E226FC">
        <w:t xml:space="preserve"> Commonwealth of Australia, </w:t>
      </w:r>
      <w:r w:rsidRPr="00E226FC">
        <w:rPr>
          <w:i/>
        </w:rPr>
        <w:t>Royal Commission into Misconduct in the Banking, Superannuation and Financial Services Industry</w:t>
      </w:r>
      <w:r w:rsidRPr="00E226FC">
        <w:t>, 2019,</w:t>
      </w:r>
      <w:r>
        <w:t xml:space="preserve"> pp 28-30.</w:t>
      </w:r>
    </w:p>
  </w:endnote>
  <w:endnote w:id="13">
    <w:p w14:paraId="67A0128D" w14:textId="77777777" w:rsidR="00CC07B9" w:rsidRPr="00E226FC" w:rsidRDefault="00CC07B9" w:rsidP="00222E50">
      <w:pPr>
        <w:pStyle w:val="EndnoteText"/>
      </w:pPr>
      <w:r w:rsidRPr="00E226FC">
        <w:rPr>
          <w:rStyle w:val="EndnoteReference"/>
        </w:rPr>
        <w:endnoteRef/>
      </w:r>
      <w:r w:rsidRPr="00E226FC">
        <w:t xml:space="preserve"> Australian Government, </w:t>
      </w:r>
      <w:r w:rsidRPr="00B1501C">
        <w:rPr>
          <w:i/>
        </w:rPr>
        <w:t>The Government response to the Royal Commission into Misconduct in the Banking, Superannuation and Financial Services Industry</w:t>
      </w:r>
      <w:r w:rsidRPr="00E226FC">
        <w:t>, published online, February 2019.</w:t>
      </w:r>
    </w:p>
  </w:endnote>
  <w:endnote w:id="14">
    <w:p w14:paraId="7E6451A6" w14:textId="77777777" w:rsidR="00CC07B9" w:rsidRPr="00E226FC" w:rsidRDefault="00CC07B9">
      <w:pPr>
        <w:pBdr>
          <w:top w:val="nil"/>
          <w:left w:val="nil"/>
          <w:bottom w:val="nil"/>
          <w:right w:val="nil"/>
          <w:between w:val="nil"/>
        </w:pBdr>
        <w:spacing w:before="0" w:after="0"/>
        <w:rPr>
          <w:rFonts w:eastAsia="Calibri" w:cs="Calibri"/>
          <w:color w:val="000000"/>
          <w:sz w:val="20"/>
        </w:rPr>
      </w:pPr>
      <w:r w:rsidRPr="00E226FC">
        <w:rPr>
          <w:rStyle w:val="EndnoteReference"/>
        </w:rPr>
        <w:endnoteRef/>
      </w:r>
      <w:r w:rsidRPr="00E226FC">
        <w:rPr>
          <w:rFonts w:eastAsia="Calibri" w:cs="Calibri"/>
          <w:color w:val="000000"/>
          <w:sz w:val="20"/>
        </w:rPr>
        <w:t xml:space="preserve"> </w:t>
      </w:r>
      <w:r w:rsidRPr="00877831">
        <w:rPr>
          <w:rFonts w:eastAsia="Calibri"/>
          <w:sz w:val="20"/>
        </w:rPr>
        <w:t xml:space="preserve">Productivity </w:t>
      </w:r>
      <w:r w:rsidRPr="00B1501C">
        <w:rPr>
          <w:rFonts w:eastAsia="Calibri" w:cs="Calibri"/>
          <w:color w:val="000000"/>
          <w:sz w:val="20"/>
        </w:rPr>
        <w:t xml:space="preserve">Commission, </w:t>
      </w:r>
      <w:r w:rsidRPr="00B1501C">
        <w:rPr>
          <w:rFonts w:eastAsia="Calibri" w:cs="Calibri"/>
          <w:i/>
          <w:color w:val="000000"/>
          <w:sz w:val="20"/>
        </w:rPr>
        <w:t>Superannuation: Assessing Efficiency and Competitiveness, Inquiry Report</w:t>
      </w:r>
      <w:r w:rsidRPr="00B1501C">
        <w:rPr>
          <w:rFonts w:eastAsia="Calibri" w:cs="Calibri"/>
          <w:color w:val="000000"/>
          <w:sz w:val="20"/>
        </w:rPr>
        <w:t>, published online, 2018, p 245.</w:t>
      </w:r>
    </w:p>
  </w:endnote>
  <w:endnote w:id="15">
    <w:p w14:paraId="699D3814" w14:textId="77777777" w:rsidR="00CC07B9" w:rsidRPr="00E226FC" w:rsidRDefault="00CC07B9" w:rsidP="00B27AB7">
      <w:pPr>
        <w:pStyle w:val="EndnoteText"/>
      </w:pPr>
      <w:r w:rsidRPr="00E226FC">
        <w:rPr>
          <w:rStyle w:val="EndnoteReference"/>
        </w:rPr>
        <w:endnoteRef/>
      </w:r>
      <w:r w:rsidRPr="00E226FC">
        <w:t xml:space="preserve"> </w:t>
      </w:r>
      <w:r w:rsidRPr="00E226FC">
        <w:rPr>
          <w:rFonts w:eastAsia="Calibri" w:cs="Calibri"/>
          <w:color w:val="000000"/>
        </w:rPr>
        <w:t xml:space="preserve">Productivity Commission, </w:t>
      </w:r>
      <w:r w:rsidRPr="00E226FC">
        <w:rPr>
          <w:rFonts w:eastAsia="Calibri" w:cs="Calibri"/>
          <w:i/>
          <w:color w:val="000000"/>
        </w:rPr>
        <w:t>Superannuation: Assessing Efficiency and Competitiveness, Inquiry Report</w:t>
      </w:r>
      <w:r w:rsidRPr="00E226FC">
        <w:rPr>
          <w:rFonts w:eastAsia="Calibri" w:cs="Calibri"/>
          <w:color w:val="000000"/>
        </w:rPr>
        <w:t>, published online, 2018, p 248.</w:t>
      </w:r>
    </w:p>
  </w:endnote>
  <w:endnote w:id="16">
    <w:p w14:paraId="4F7D41E3" w14:textId="77777777" w:rsidR="00CC07B9" w:rsidRPr="00E226FC" w:rsidRDefault="00CC07B9" w:rsidP="00B27AB7">
      <w:pPr>
        <w:pStyle w:val="EndnoteText"/>
      </w:pPr>
      <w:r w:rsidRPr="00E226FC">
        <w:rPr>
          <w:rStyle w:val="EndnoteReference"/>
        </w:rPr>
        <w:endnoteRef/>
      </w:r>
      <w:r w:rsidRPr="00E226FC">
        <w:t xml:space="preserve"> </w:t>
      </w:r>
      <w:r>
        <w:t>Australian Government</w:t>
      </w:r>
      <w:r w:rsidRPr="00E226FC">
        <w:t xml:space="preserve">, </w:t>
      </w:r>
      <w:r w:rsidRPr="00E226FC">
        <w:rPr>
          <w:i/>
        </w:rPr>
        <w:t>Financial System Inquiry Final Report</w:t>
      </w:r>
      <w:r w:rsidRPr="00E226FC">
        <w:t>, published online, November 2014, p</w:t>
      </w:r>
      <w:r>
        <w:t> </w:t>
      </w:r>
      <w:r w:rsidRPr="00E226FC">
        <w:t>105</w:t>
      </w:r>
      <w:r w:rsidRPr="00E226FC">
        <w:rPr>
          <w:rFonts w:eastAsia="Calibri" w:cs="Calibri"/>
          <w:color w:val="000000"/>
        </w:rPr>
        <w:t>.</w:t>
      </w:r>
    </w:p>
  </w:endnote>
  <w:endnote w:id="17">
    <w:p w14:paraId="13558D84" w14:textId="77777777" w:rsidR="00CC07B9" w:rsidRPr="00E226FC" w:rsidRDefault="00CC07B9">
      <w:pPr>
        <w:pStyle w:val="EndnoteText"/>
      </w:pPr>
      <w:r w:rsidRPr="00E226FC">
        <w:rPr>
          <w:rStyle w:val="EndnoteReference"/>
        </w:rPr>
        <w:endnoteRef/>
      </w:r>
      <w:r w:rsidRPr="00E226FC">
        <w:t xml:space="preserve"> </w:t>
      </w:r>
      <w:r>
        <w:t>Australian Government</w:t>
      </w:r>
      <w:r w:rsidRPr="00E226FC">
        <w:t xml:space="preserve">, </w:t>
      </w:r>
      <w:r w:rsidRPr="00E226FC">
        <w:rPr>
          <w:i/>
        </w:rPr>
        <w:t>Financial System Inquiry Final Report</w:t>
      </w:r>
      <w:r w:rsidRPr="00E226FC">
        <w:t>, publ</w:t>
      </w:r>
      <w:r>
        <w:t>ished online, November 2014, p 103</w:t>
      </w:r>
      <w:r w:rsidRPr="00E226FC">
        <w:t>.</w:t>
      </w:r>
    </w:p>
  </w:endnote>
  <w:endnote w:id="18">
    <w:p w14:paraId="5422B195" w14:textId="77777777" w:rsidR="00CC07B9" w:rsidRPr="00E226FC" w:rsidRDefault="00CC07B9" w:rsidP="00B27AB7">
      <w:pPr>
        <w:pStyle w:val="EndnoteText"/>
      </w:pPr>
      <w:r w:rsidRPr="00E226FC">
        <w:rPr>
          <w:rStyle w:val="EndnoteReference"/>
        </w:rPr>
        <w:endnoteRef/>
      </w:r>
      <w:r w:rsidRPr="00E226FC">
        <w:t xml:space="preserve"> </w:t>
      </w:r>
      <w:r w:rsidRPr="00E226FC">
        <w:rPr>
          <w:rFonts w:eastAsia="Calibri" w:cs="Calibri"/>
          <w:color w:val="000000"/>
        </w:rPr>
        <w:t xml:space="preserve">Productivity Commission, </w:t>
      </w:r>
      <w:r w:rsidRPr="00E226FC">
        <w:rPr>
          <w:rFonts w:eastAsia="Calibri" w:cs="Calibri"/>
          <w:i/>
          <w:color w:val="000000"/>
        </w:rPr>
        <w:t>Superannuation: Assessing Efficiency and Competitiveness, Inquiry Report</w:t>
      </w:r>
      <w:r w:rsidRPr="00E226FC">
        <w:rPr>
          <w:rFonts w:eastAsia="Calibri" w:cs="Calibri"/>
          <w:color w:val="000000"/>
        </w:rPr>
        <w:t>, published online, 2018, p 337.</w:t>
      </w:r>
    </w:p>
  </w:endnote>
  <w:endnote w:id="19">
    <w:p w14:paraId="5203768C" w14:textId="77777777" w:rsidR="00CC07B9" w:rsidRPr="00E226FC" w:rsidRDefault="00CC07B9" w:rsidP="00B27AB7">
      <w:pPr>
        <w:pStyle w:val="EndnoteText"/>
      </w:pPr>
      <w:r w:rsidRPr="00E226FC">
        <w:rPr>
          <w:rStyle w:val="EndnoteReference"/>
        </w:rPr>
        <w:endnoteRef/>
      </w:r>
      <w:r w:rsidRPr="00E226FC">
        <w:t xml:space="preserve"> </w:t>
      </w:r>
      <w:r w:rsidRPr="00E226FC">
        <w:rPr>
          <w:rFonts w:eastAsia="Calibri" w:cs="Calibri"/>
          <w:color w:val="000000"/>
        </w:rPr>
        <w:t xml:space="preserve">Productivity Commission, </w:t>
      </w:r>
      <w:r w:rsidRPr="00E226FC">
        <w:rPr>
          <w:rFonts w:eastAsia="Calibri" w:cs="Calibri"/>
          <w:i/>
          <w:color w:val="000000"/>
        </w:rPr>
        <w:t>Superannuation: Assessing Efficiency and Competitiveness, Inquiry Report</w:t>
      </w:r>
      <w:r w:rsidRPr="00E226FC">
        <w:rPr>
          <w:rFonts w:eastAsia="Calibri" w:cs="Calibri"/>
          <w:color w:val="000000"/>
        </w:rPr>
        <w:t>, published online, 2018, pp 245, 251-3.</w:t>
      </w:r>
    </w:p>
  </w:endnote>
  <w:endnote w:id="20">
    <w:p w14:paraId="62B72B5F" w14:textId="6F0D4916" w:rsidR="00CC07B9" w:rsidRDefault="00CC07B9">
      <w:pPr>
        <w:pStyle w:val="EndnoteText"/>
      </w:pPr>
      <w:r>
        <w:rPr>
          <w:rStyle w:val="EndnoteReference"/>
        </w:rPr>
        <w:endnoteRef/>
      </w:r>
      <w:r>
        <w:t xml:space="preserve"> </w:t>
      </w:r>
      <w:r w:rsidRPr="00B1501C">
        <w:rPr>
          <w:rFonts w:eastAsia="Calibri" w:cs="Calibri"/>
          <w:color w:val="000000"/>
        </w:rPr>
        <w:t xml:space="preserve">Productivity Commission, </w:t>
      </w:r>
      <w:r w:rsidRPr="00B1501C">
        <w:rPr>
          <w:rFonts w:eastAsia="Calibri" w:cs="Calibri"/>
          <w:i/>
          <w:color w:val="000000"/>
        </w:rPr>
        <w:t>Superannuation: Assessing Efficiency and Competitiveness, Inquiry Report</w:t>
      </w:r>
      <w:r>
        <w:rPr>
          <w:rFonts w:eastAsia="Calibri" w:cs="Calibri"/>
          <w:color w:val="000000"/>
        </w:rPr>
        <w:t>, published online, 2018, p 157.</w:t>
      </w:r>
    </w:p>
  </w:endnote>
  <w:endnote w:id="21">
    <w:p w14:paraId="15506807" w14:textId="3F9FFD8D" w:rsidR="00CC07B9" w:rsidRPr="008B648D" w:rsidRDefault="00CC07B9" w:rsidP="00463141">
      <w:pPr>
        <w:pStyle w:val="EndnoteText"/>
      </w:pPr>
      <w:r w:rsidRPr="00FC05C3">
        <w:rPr>
          <w:rStyle w:val="EndnoteReference"/>
        </w:rPr>
        <w:endnoteRef/>
      </w:r>
      <w:r w:rsidRPr="00FC05C3">
        <w:t xml:space="preserve"> Grattan Institute (Jim Minifie), </w:t>
      </w:r>
      <w:r w:rsidRPr="00FC05C3">
        <w:rPr>
          <w:i/>
        </w:rPr>
        <w:t>Super Sting: how to stop Australians paying too much for superannuation</w:t>
      </w:r>
      <w:r w:rsidRPr="00FC05C3">
        <w:t>, published online, 2014</w:t>
      </w:r>
      <w:r>
        <w:t xml:space="preserve"> &lt;</w:t>
      </w:r>
      <w:r w:rsidRPr="00C643D4">
        <w:t>https://grattan.edu.au/report/super-sting-how-to-stop-australians-paying-too-much-for-superannuation/</w:t>
      </w:r>
      <w:r>
        <w:t>&gt;</w:t>
      </w:r>
      <w:r w:rsidRPr="00FC05C3">
        <w:t>.</w:t>
      </w:r>
    </w:p>
  </w:endnote>
  <w:endnote w:id="22">
    <w:p w14:paraId="69E7B565" w14:textId="77777777" w:rsidR="00CC07B9" w:rsidRDefault="00CC07B9">
      <w:pPr>
        <w:pStyle w:val="EndnoteText"/>
      </w:pPr>
      <w:r>
        <w:rPr>
          <w:rStyle w:val="EndnoteReference"/>
        </w:rPr>
        <w:endnoteRef/>
      </w:r>
      <w:r>
        <w:t xml:space="preserve"> </w:t>
      </w:r>
      <w:r w:rsidRPr="00B1501C">
        <w:rPr>
          <w:rFonts w:eastAsia="Calibri" w:cs="Calibri"/>
          <w:color w:val="000000"/>
        </w:rPr>
        <w:t xml:space="preserve">Productivity Commission, </w:t>
      </w:r>
      <w:r w:rsidRPr="00B1501C">
        <w:rPr>
          <w:rFonts w:eastAsia="Calibri" w:cs="Calibri"/>
          <w:i/>
          <w:color w:val="000000"/>
        </w:rPr>
        <w:t>Superannuation: Assessing Efficiency and Competitiveness, Inquiry Report</w:t>
      </w:r>
      <w:r>
        <w:rPr>
          <w:rFonts w:eastAsia="Calibri" w:cs="Calibri"/>
          <w:color w:val="000000"/>
        </w:rPr>
        <w:t>, published online, 2018.</w:t>
      </w:r>
    </w:p>
  </w:endnote>
  <w:endnote w:id="23">
    <w:p w14:paraId="7926CA0A" w14:textId="480872E5" w:rsidR="00CC07B9" w:rsidRPr="00E226FC" w:rsidRDefault="00CC07B9">
      <w:pPr>
        <w:pBdr>
          <w:top w:val="nil"/>
          <w:left w:val="nil"/>
          <w:bottom w:val="nil"/>
          <w:right w:val="nil"/>
          <w:between w:val="nil"/>
        </w:pBdr>
        <w:spacing w:before="0" w:after="0"/>
        <w:rPr>
          <w:rFonts w:eastAsia="Calibri" w:cs="Calibri"/>
          <w:color w:val="000000"/>
          <w:sz w:val="20"/>
        </w:rPr>
      </w:pPr>
      <w:r w:rsidRPr="00E226FC">
        <w:rPr>
          <w:rStyle w:val="EndnoteReference"/>
        </w:rPr>
        <w:endnoteRef/>
      </w:r>
      <w:r w:rsidRPr="00E226FC">
        <w:rPr>
          <w:rFonts w:eastAsia="Calibri" w:cs="Calibri"/>
          <w:color w:val="000000"/>
          <w:sz w:val="20"/>
        </w:rPr>
        <w:t xml:space="preserve"> </w:t>
      </w:r>
      <w:r w:rsidRPr="00B1501C">
        <w:rPr>
          <w:rFonts w:eastAsia="Calibri" w:cs="Calibri"/>
          <w:color w:val="000000"/>
          <w:sz w:val="20"/>
        </w:rPr>
        <w:t xml:space="preserve">Productivity Commission, </w:t>
      </w:r>
      <w:r w:rsidRPr="00B1501C">
        <w:rPr>
          <w:rFonts w:eastAsia="Calibri" w:cs="Calibri"/>
          <w:i/>
          <w:color w:val="000000"/>
          <w:sz w:val="20"/>
        </w:rPr>
        <w:t>Superannuation: Assessing Efficiency and Competitiveness, Inquiry Report</w:t>
      </w:r>
      <w:r w:rsidRPr="00B1501C">
        <w:rPr>
          <w:rFonts w:eastAsia="Calibri" w:cs="Calibri"/>
          <w:color w:val="000000"/>
          <w:sz w:val="20"/>
        </w:rPr>
        <w:t xml:space="preserve">, published online, 2018, </w:t>
      </w:r>
      <w:r w:rsidRPr="00A576AE">
        <w:rPr>
          <w:rFonts w:eastAsia="Calibri" w:cs="Calibri"/>
          <w:color w:val="000000"/>
          <w:sz w:val="20"/>
        </w:rPr>
        <w:t>p295</w:t>
      </w:r>
      <w:r w:rsidRPr="00B1501C">
        <w:rPr>
          <w:rFonts w:eastAsia="Calibri" w:cs="Calibri"/>
          <w:color w:val="000000"/>
          <w:sz w:val="20"/>
        </w:rPr>
        <w:t>.</w:t>
      </w:r>
    </w:p>
  </w:endnote>
  <w:endnote w:id="24">
    <w:p w14:paraId="6021E67B" w14:textId="77CED765" w:rsidR="00CC07B9" w:rsidRPr="00E226FC" w:rsidRDefault="00CC07B9">
      <w:pPr>
        <w:spacing w:before="0" w:after="0"/>
        <w:rPr>
          <w:color w:val="000000"/>
          <w:sz w:val="20"/>
        </w:rPr>
      </w:pPr>
      <w:r w:rsidRPr="00E226FC">
        <w:rPr>
          <w:rStyle w:val="EndnoteReference"/>
        </w:rPr>
        <w:endnoteRef/>
      </w:r>
      <w:r w:rsidRPr="00E226FC">
        <w:rPr>
          <w:sz w:val="20"/>
        </w:rPr>
        <w:t xml:space="preserve"> </w:t>
      </w:r>
      <w:r w:rsidRPr="00E226FC">
        <w:rPr>
          <w:color w:val="000000"/>
          <w:sz w:val="20"/>
        </w:rPr>
        <w:t>The latest data are sourced from real time event reporting (Member Account Transaction Service/</w:t>
      </w:r>
      <w:r w:rsidRPr="00B1501C">
        <w:rPr>
          <w:rFonts w:ascii="Arial" w:eastAsia="Arial" w:hAnsi="Arial" w:cs="Arial"/>
          <w:color w:val="4D5156"/>
          <w:sz w:val="20"/>
        </w:rPr>
        <w:t xml:space="preserve"> </w:t>
      </w:r>
      <w:r w:rsidRPr="00E226FC">
        <w:rPr>
          <w:color w:val="000000"/>
          <w:sz w:val="20"/>
        </w:rPr>
        <w:t>Member Account Attribute Service, except for self-managed superannuation funds) during 2018-19 to 2020-21 for open accumulation phase accounts (including with zero balance), as at the end of August 2020. The data has been sourced from a range of time because of differences in the frequency in which funds report to the ATO.</w:t>
      </w:r>
    </w:p>
  </w:endnote>
  <w:endnote w:id="25">
    <w:p w14:paraId="0F93D879" w14:textId="77777777" w:rsidR="00CC07B9" w:rsidRPr="00E226FC" w:rsidRDefault="00CC07B9">
      <w:pPr>
        <w:spacing w:before="0" w:after="0"/>
        <w:rPr>
          <w:sz w:val="20"/>
        </w:rPr>
      </w:pPr>
      <w:r w:rsidRPr="00E226FC">
        <w:rPr>
          <w:rStyle w:val="EndnoteReference"/>
        </w:rPr>
        <w:endnoteRef/>
      </w:r>
      <w:r w:rsidRPr="00E226FC">
        <w:rPr>
          <w:sz w:val="20"/>
        </w:rPr>
        <w:t xml:space="preserve"> </w:t>
      </w:r>
      <w:r w:rsidRPr="00E226FC">
        <w:rPr>
          <w:rFonts w:eastAsia="Calibri"/>
          <w:color w:val="000000"/>
          <w:sz w:val="20"/>
        </w:rPr>
        <w:t xml:space="preserve">Productivity Commission, </w:t>
      </w:r>
      <w:r w:rsidRPr="00E226FC">
        <w:rPr>
          <w:rFonts w:eastAsia="Calibri" w:cs="Calibri"/>
          <w:i/>
          <w:color w:val="000000"/>
          <w:sz w:val="20"/>
        </w:rPr>
        <w:t>Superannuation: Assessing Efficiency and Competitiveness, Inquiry Report</w:t>
      </w:r>
      <w:r w:rsidRPr="00E226FC">
        <w:rPr>
          <w:rFonts w:eastAsia="Calibri" w:cs="Calibri"/>
          <w:color w:val="000000"/>
          <w:sz w:val="20"/>
        </w:rPr>
        <w:t xml:space="preserve">, published online, </w:t>
      </w:r>
      <w:r w:rsidRPr="00E226FC">
        <w:rPr>
          <w:rFonts w:eastAsia="Calibri"/>
          <w:color w:val="000000"/>
          <w:sz w:val="20"/>
        </w:rPr>
        <w:t>2018</w:t>
      </w:r>
      <w:r w:rsidRPr="00E226FC">
        <w:rPr>
          <w:rFonts w:eastAsia="Calibri" w:cs="Calibri"/>
          <w:color w:val="000000"/>
          <w:sz w:val="20"/>
        </w:rPr>
        <w:t xml:space="preserve">, p </w:t>
      </w:r>
      <w:r w:rsidRPr="00E226FC">
        <w:rPr>
          <w:sz w:val="20"/>
        </w:rPr>
        <w:t>554.</w:t>
      </w:r>
    </w:p>
  </w:endnote>
  <w:endnote w:id="26">
    <w:p w14:paraId="35E460FD" w14:textId="77777777" w:rsidR="00CC07B9" w:rsidRDefault="00CC07B9">
      <w:pPr>
        <w:pStyle w:val="EndnoteText"/>
      </w:pPr>
      <w:r>
        <w:rPr>
          <w:rStyle w:val="EndnoteReference"/>
        </w:rPr>
        <w:endnoteRef/>
      </w:r>
      <w:r>
        <w:t xml:space="preserve"> Treasury analysis.</w:t>
      </w:r>
    </w:p>
  </w:endnote>
  <w:endnote w:id="27">
    <w:p w14:paraId="1569AB3F" w14:textId="77777777" w:rsidR="00CC07B9" w:rsidRPr="00E226FC" w:rsidRDefault="00CC07B9">
      <w:pPr>
        <w:pStyle w:val="EndnoteText"/>
      </w:pPr>
      <w:r w:rsidRPr="00E226FC">
        <w:rPr>
          <w:rStyle w:val="EndnoteReference"/>
        </w:rPr>
        <w:endnoteRef/>
      </w:r>
      <w:r w:rsidRPr="00E226FC">
        <w:t xml:space="preserve"> </w:t>
      </w:r>
      <w:r>
        <w:rPr>
          <w:i/>
        </w:rPr>
        <w:t>Superannuation Industry (Supervision) Act 1993</w:t>
      </w:r>
      <w:r>
        <w:t>, section 52.</w:t>
      </w:r>
    </w:p>
  </w:endnote>
  <w:endnote w:id="28">
    <w:p w14:paraId="11DB417E" w14:textId="77777777" w:rsidR="00CC07B9" w:rsidRPr="00E226FC" w:rsidRDefault="00CC07B9" w:rsidP="00180369">
      <w:pPr>
        <w:pStyle w:val="EndnoteText"/>
      </w:pPr>
      <w:r w:rsidRPr="00E226FC">
        <w:rPr>
          <w:rStyle w:val="EndnoteReference"/>
        </w:rPr>
        <w:endnoteRef/>
      </w:r>
      <w:r w:rsidRPr="00E226FC">
        <w:t xml:space="preserve"> </w:t>
      </w:r>
      <w:r w:rsidRPr="00E226FC">
        <w:rPr>
          <w:rFonts w:eastAsia="Calibri" w:cs="Calibri"/>
          <w:color w:val="000000"/>
        </w:rPr>
        <w:t xml:space="preserve">Productivity Commission, </w:t>
      </w:r>
      <w:r w:rsidRPr="00E226FC">
        <w:rPr>
          <w:rFonts w:eastAsia="Calibri" w:cs="Calibri"/>
          <w:i/>
          <w:color w:val="000000"/>
        </w:rPr>
        <w:t>Superannuation: Assessing Efficiency and Competitiveness, Inquiry Report</w:t>
      </w:r>
      <w:r w:rsidRPr="00E226FC">
        <w:rPr>
          <w:rFonts w:eastAsia="Calibri" w:cs="Calibri"/>
          <w:color w:val="000000"/>
        </w:rPr>
        <w:t>, published online, 2018, p 455, see also p 610.</w:t>
      </w:r>
    </w:p>
  </w:endnote>
  <w:endnote w:id="29">
    <w:p w14:paraId="236C3BB1" w14:textId="77777777" w:rsidR="00CC07B9" w:rsidRPr="00B1501C" w:rsidRDefault="00CC07B9" w:rsidP="00E72E8E">
      <w:pPr>
        <w:pBdr>
          <w:top w:val="nil"/>
          <w:left w:val="nil"/>
          <w:bottom w:val="nil"/>
          <w:right w:val="nil"/>
          <w:between w:val="nil"/>
        </w:pBdr>
        <w:spacing w:before="0" w:after="0"/>
        <w:rPr>
          <w:rFonts w:eastAsia="Calibri"/>
          <w:sz w:val="20"/>
        </w:rPr>
      </w:pPr>
      <w:r w:rsidRPr="00E226FC">
        <w:rPr>
          <w:rStyle w:val="EndnoteReference"/>
        </w:rPr>
        <w:endnoteRef/>
      </w:r>
      <w:r w:rsidRPr="00B1501C">
        <w:rPr>
          <w:sz w:val="20"/>
        </w:rPr>
        <w:t xml:space="preserve"> </w:t>
      </w:r>
      <w:r w:rsidRPr="00B1501C">
        <w:rPr>
          <w:rFonts w:eastAsia="Calibri" w:cs="Calibri"/>
          <w:color w:val="000000"/>
          <w:sz w:val="20"/>
        </w:rPr>
        <w:t xml:space="preserve">Productivity Commission, </w:t>
      </w:r>
      <w:r w:rsidRPr="00B1501C">
        <w:rPr>
          <w:rFonts w:eastAsia="Calibri" w:cs="Calibri"/>
          <w:i/>
          <w:color w:val="000000"/>
          <w:sz w:val="20"/>
        </w:rPr>
        <w:t>Superannuation: Assessing Efficiency and Competitiveness, Inquiry Report</w:t>
      </w:r>
      <w:r w:rsidRPr="00B1501C">
        <w:rPr>
          <w:rFonts w:eastAsia="Calibri" w:cs="Calibri"/>
          <w:color w:val="000000"/>
          <w:sz w:val="20"/>
        </w:rPr>
        <w:t>, published online, 2018, p 611</w:t>
      </w:r>
      <w:r>
        <w:rPr>
          <w:rFonts w:eastAsia="Calibri" w:cs="Calibri"/>
          <w:color w:val="000000"/>
          <w:sz w:val="20"/>
        </w:rPr>
        <w:t>.</w:t>
      </w:r>
    </w:p>
  </w:endnote>
  <w:endnote w:id="30">
    <w:p w14:paraId="0A3AC2A1" w14:textId="77777777" w:rsidR="00CC07B9" w:rsidRPr="00E226FC" w:rsidRDefault="00CC07B9">
      <w:pPr>
        <w:pStyle w:val="EndnoteText"/>
      </w:pPr>
      <w:r w:rsidRPr="00E226FC">
        <w:rPr>
          <w:rStyle w:val="EndnoteReference"/>
        </w:rPr>
        <w:endnoteRef/>
      </w:r>
      <w:r w:rsidRPr="00E226FC">
        <w:t xml:space="preserve"> Michael Hodge QC, Senior Counsel assisting the Royal Commission, Transcript of Proceedings, Round 5, 6 August 2018, Royal Commission into Misconduct in the Banking, Superannuation and Financial Services Industry.</w:t>
      </w:r>
    </w:p>
  </w:endnote>
  <w:endnote w:id="31">
    <w:p w14:paraId="0B495F5A" w14:textId="77777777" w:rsidR="00CC07B9" w:rsidRPr="00E226FC" w:rsidRDefault="00CC07B9">
      <w:pPr>
        <w:pStyle w:val="EndnoteText"/>
      </w:pPr>
      <w:r w:rsidRPr="00E226FC">
        <w:rPr>
          <w:rStyle w:val="EndnoteReference"/>
        </w:rPr>
        <w:endnoteRef/>
      </w:r>
      <w:r w:rsidRPr="00E226FC">
        <w:t xml:space="preserve"> </w:t>
      </w:r>
      <w:r w:rsidRPr="00E226FC">
        <w:rPr>
          <w:rFonts w:eastAsia="Calibri" w:cs="Calibri"/>
          <w:color w:val="000000"/>
        </w:rPr>
        <w:t xml:space="preserve">Productivity Commission, </w:t>
      </w:r>
      <w:r w:rsidRPr="00E226FC">
        <w:rPr>
          <w:rFonts w:eastAsia="Calibri" w:cs="Calibri"/>
          <w:i/>
          <w:color w:val="000000"/>
        </w:rPr>
        <w:t>Superannuation: Assessing Efficiency and Competitiveness, Inquiry Report</w:t>
      </w:r>
      <w:r w:rsidRPr="00E226FC">
        <w:rPr>
          <w:rFonts w:eastAsia="Calibri" w:cs="Calibri"/>
          <w:color w:val="000000"/>
        </w:rPr>
        <w:t>, published online, 2018, p 576.</w:t>
      </w:r>
    </w:p>
  </w:endnote>
  <w:endnote w:id="32">
    <w:p w14:paraId="18DBB067" w14:textId="552A4157" w:rsidR="00CC07B9" w:rsidRPr="00E226FC" w:rsidRDefault="00CC07B9" w:rsidP="00B1501C">
      <w:pPr>
        <w:spacing w:before="0" w:after="0"/>
        <w:rPr>
          <w:sz w:val="20"/>
        </w:rPr>
      </w:pPr>
      <w:r w:rsidRPr="00E226FC">
        <w:rPr>
          <w:rStyle w:val="EndnoteReference"/>
        </w:rPr>
        <w:endnoteRef/>
      </w:r>
      <w:r>
        <w:rPr>
          <w:sz w:val="20"/>
        </w:rPr>
        <w:t xml:space="preserve"> </w:t>
      </w:r>
      <w:r w:rsidRPr="00E226FC">
        <w:rPr>
          <w:sz w:val="20"/>
        </w:rPr>
        <w:t xml:space="preserve">Commonwealth of Australia, </w:t>
      </w:r>
      <w:r w:rsidRPr="00E226FC">
        <w:rPr>
          <w:i/>
          <w:sz w:val="20"/>
        </w:rPr>
        <w:t>Royal Commission into Misconduct in the Banking, Superannuation and Financial Services Industry</w:t>
      </w:r>
      <w:r w:rsidRPr="00E226FC">
        <w:rPr>
          <w:sz w:val="20"/>
        </w:rPr>
        <w:t>, 219, pp 250-251.</w:t>
      </w:r>
    </w:p>
  </w:endnote>
  <w:endnote w:id="33">
    <w:p w14:paraId="3F0B1571" w14:textId="059C32AC" w:rsidR="00CC07B9" w:rsidRPr="00E226FC" w:rsidRDefault="00CC07B9" w:rsidP="00E72E8E">
      <w:pPr>
        <w:pStyle w:val="EndnoteText"/>
      </w:pPr>
      <w:r w:rsidRPr="00E226FC">
        <w:rPr>
          <w:rStyle w:val="EndnoteReference"/>
        </w:rPr>
        <w:endnoteRef/>
      </w:r>
      <w:r w:rsidRPr="00E226FC">
        <w:t xml:space="preserve"> </w:t>
      </w:r>
      <w:r w:rsidRPr="00E226FC">
        <w:rPr>
          <w:rFonts w:eastAsia="Calibri" w:cs="Calibri"/>
          <w:color w:val="000000"/>
        </w:rPr>
        <w:t xml:space="preserve">Productivity Commission, </w:t>
      </w:r>
      <w:r w:rsidRPr="00E226FC">
        <w:rPr>
          <w:rFonts w:eastAsia="Calibri" w:cs="Calibri"/>
          <w:i/>
          <w:color w:val="000000"/>
        </w:rPr>
        <w:t>Superannuation: Assessing Efficiency and Competitiveness, Inquiry Report</w:t>
      </w:r>
      <w:r w:rsidRPr="00E226FC">
        <w:rPr>
          <w:rFonts w:eastAsia="Calibri" w:cs="Calibri"/>
          <w:color w:val="000000"/>
        </w:rPr>
        <w:t xml:space="preserve">, published online, 2018, pp </w:t>
      </w:r>
      <w:r>
        <w:rPr>
          <w:rFonts w:eastAsia="Calibri" w:cs="Calibri"/>
          <w:color w:val="000000"/>
        </w:rPr>
        <w:t>6-14</w:t>
      </w:r>
      <w:r w:rsidRPr="00E226FC">
        <w:rPr>
          <w:rFonts w:eastAsia="Calibri" w:cs="Calibri"/>
          <w:color w:val="000000"/>
        </w:rPr>
        <w:t>.</w:t>
      </w:r>
    </w:p>
  </w:endnote>
  <w:endnote w:id="34">
    <w:p w14:paraId="27426878" w14:textId="77777777" w:rsidR="00CC07B9" w:rsidRPr="00E226FC" w:rsidRDefault="00CC07B9" w:rsidP="00F11626">
      <w:pPr>
        <w:pStyle w:val="EndnoteText"/>
      </w:pPr>
      <w:r w:rsidRPr="00E226FC">
        <w:rPr>
          <w:rStyle w:val="EndnoteReference"/>
        </w:rPr>
        <w:endnoteRef/>
      </w:r>
      <w:r w:rsidRPr="00E226FC">
        <w:t xml:space="preserve"> </w:t>
      </w:r>
      <w:r w:rsidRPr="00E226FC">
        <w:rPr>
          <w:rFonts w:eastAsia="Calibri" w:cs="Calibri"/>
          <w:color w:val="000000"/>
        </w:rPr>
        <w:t xml:space="preserve">Productivity Commission, </w:t>
      </w:r>
      <w:r w:rsidRPr="00E226FC">
        <w:rPr>
          <w:rFonts w:eastAsia="Calibri" w:cs="Calibri"/>
          <w:i/>
          <w:color w:val="000000"/>
        </w:rPr>
        <w:t>Superannuation: Assessing Efficiency and Competitiveness, Inquiry Report</w:t>
      </w:r>
      <w:r w:rsidRPr="00E226FC">
        <w:rPr>
          <w:rFonts w:eastAsia="Calibri" w:cs="Calibri"/>
          <w:color w:val="000000"/>
        </w:rPr>
        <w:t>, published online, 2018, p 43.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71356" w14:textId="77777777" w:rsidR="00CC07B9" w:rsidRDefault="00CC07B9">
    <w:pPr>
      <w:widowControl w:val="0"/>
      <w:pBdr>
        <w:top w:val="nil"/>
        <w:left w:val="nil"/>
        <w:bottom w:val="nil"/>
        <w:right w:val="nil"/>
        <w:between w:val="nil"/>
      </w:pBdr>
      <w:spacing w:before="0" w:after="0" w:line="276" w:lineRule="auto"/>
      <w:rPr>
        <w:b/>
        <w:smallCaps/>
        <w:color w:val="004A7F"/>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656E6" w14:textId="36B8506B" w:rsidR="00CC07B9" w:rsidRPr="00884CB1" w:rsidRDefault="00CC07B9" w:rsidP="00884CB1">
    <w:pPr>
      <w:keepNext/>
      <w:pBdr>
        <w:top w:val="nil"/>
        <w:left w:val="nil"/>
        <w:bottom w:val="nil"/>
        <w:right w:val="nil"/>
        <w:between w:val="nil"/>
      </w:pBdr>
      <w:tabs>
        <w:tab w:val="center" w:pos="4513"/>
        <w:tab w:val="right" w:pos="9026"/>
      </w:tabs>
      <w:spacing w:before="0" w:after="0"/>
      <w:jc w:val="right"/>
      <w:rPr>
        <w:color w:val="002C47"/>
        <w:sz w:val="20"/>
      </w:rPr>
    </w:pPr>
    <w:r>
      <w:rPr>
        <w:color w:val="002C47"/>
        <w:sz w:val="20"/>
      </w:rPr>
      <w:fldChar w:fldCharType="begin"/>
    </w:r>
    <w:r>
      <w:rPr>
        <w:color w:val="002C47"/>
        <w:sz w:val="20"/>
      </w:rPr>
      <w:instrText>PAGE</w:instrText>
    </w:r>
    <w:r>
      <w:rPr>
        <w:color w:val="002C47"/>
        <w:sz w:val="20"/>
      </w:rPr>
      <w:fldChar w:fldCharType="separate"/>
    </w:r>
    <w:r w:rsidR="00602F6B">
      <w:rPr>
        <w:noProof/>
        <w:color w:val="002C47"/>
        <w:sz w:val="20"/>
      </w:rPr>
      <w:t>v</w:t>
    </w:r>
    <w:r>
      <w:rPr>
        <w:color w:val="002C47"/>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CD670" w14:textId="77777777" w:rsidR="00CC07B9" w:rsidRDefault="00CC07B9">
    <w:pPr>
      <w:widowControl w:val="0"/>
      <w:pBdr>
        <w:top w:val="nil"/>
        <w:left w:val="nil"/>
        <w:bottom w:val="nil"/>
        <w:right w:val="nil"/>
        <w:between w:val="nil"/>
      </w:pBdr>
      <w:spacing w:before="0" w:after="0" w:line="276" w:lineRule="auto"/>
      <w:rPr>
        <w:b/>
        <w:smallCaps/>
        <w:color w:val="004A7F"/>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72525" w14:textId="40A22E14" w:rsidR="00CC07B9" w:rsidRPr="00884CB1" w:rsidRDefault="00CC07B9" w:rsidP="00884CB1">
    <w:pPr>
      <w:keepNext/>
      <w:pBdr>
        <w:top w:val="nil"/>
        <w:left w:val="nil"/>
        <w:bottom w:val="nil"/>
        <w:right w:val="nil"/>
        <w:between w:val="nil"/>
      </w:pBdr>
      <w:tabs>
        <w:tab w:val="center" w:pos="4513"/>
        <w:tab w:val="right" w:pos="9026"/>
      </w:tabs>
      <w:spacing w:before="0" w:after="0"/>
      <w:rPr>
        <w:color w:val="002C47"/>
        <w:sz w:val="20"/>
      </w:rPr>
    </w:pPr>
    <w:r>
      <w:rPr>
        <w:color w:val="002C47"/>
        <w:sz w:val="20"/>
      </w:rPr>
      <w:fldChar w:fldCharType="begin"/>
    </w:r>
    <w:r>
      <w:rPr>
        <w:color w:val="002C47"/>
        <w:sz w:val="20"/>
      </w:rPr>
      <w:instrText>PAGE</w:instrText>
    </w:r>
    <w:r>
      <w:rPr>
        <w:color w:val="002C47"/>
        <w:sz w:val="20"/>
      </w:rPr>
      <w:fldChar w:fldCharType="separate"/>
    </w:r>
    <w:r w:rsidR="00884CB1">
      <w:rPr>
        <w:noProof/>
        <w:color w:val="002C47"/>
        <w:sz w:val="20"/>
      </w:rPr>
      <w:t>vi</w:t>
    </w:r>
    <w:r>
      <w:rPr>
        <w:color w:val="002C47"/>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65152" w14:textId="77777777" w:rsidR="00CC07B9" w:rsidRDefault="00CC07B9">
    <w:pPr>
      <w:widowControl w:val="0"/>
      <w:pBdr>
        <w:top w:val="nil"/>
        <w:left w:val="nil"/>
        <w:bottom w:val="nil"/>
        <w:right w:val="nil"/>
        <w:between w:val="nil"/>
      </w:pBdr>
      <w:spacing w:before="0" w:after="0" w:line="276" w:lineRule="auto"/>
      <w:rPr>
        <w:b/>
        <w:smallCaps/>
        <w:color w:val="004A7F"/>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D584F" w14:textId="4FC0BD7D" w:rsidR="00CC07B9" w:rsidRPr="00884CB1" w:rsidRDefault="00CC07B9" w:rsidP="00884CB1">
    <w:pPr>
      <w:keepNext/>
      <w:pBdr>
        <w:top w:val="nil"/>
        <w:left w:val="nil"/>
        <w:bottom w:val="nil"/>
        <w:right w:val="nil"/>
        <w:between w:val="nil"/>
      </w:pBdr>
      <w:tabs>
        <w:tab w:val="center" w:pos="4513"/>
        <w:tab w:val="right" w:pos="9026"/>
      </w:tabs>
      <w:spacing w:before="0" w:after="0"/>
      <w:rPr>
        <w:color w:val="002C47"/>
        <w:sz w:val="20"/>
      </w:rPr>
    </w:pPr>
    <w:r>
      <w:rPr>
        <w:color w:val="002C47"/>
        <w:sz w:val="20"/>
      </w:rPr>
      <w:fldChar w:fldCharType="begin"/>
    </w:r>
    <w:r>
      <w:rPr>
        <w:color w:val="002C47"/>
        <w:sz w:val="20"/>
      </w:rPr>
      <w:instrText>PAGE</w:instrText>
    </w:r>
    <w:r>
      <w:rPr>
        <w:color w:val="002C47"/>
        <w:sz w:val="20"/>
      </w:rPr>
      <w:fldChar w:fldCharType="separate"/>
    </w:r>
    <w:r w:rsidR="00602F6B">
      <w:rPr>
        <w:noProof/>
        <w:color w:val="002C47"/>
        <w:sz w:val="20"/>
      </w:rPr>
      <w:t>14</w:t>
    </w:r>
    <w:r>
      <w:rPr>
        <w:color w:val="002C47"/>
        <w:sz w:val="20"/>
      </w:rPr>
      <w:fldChar w:fldCharType="end"/>
    </w:r>
    <w:r>
      <w:rPr>
        <w:color w:val="002C47"/>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61A0A" w14:textId="12431228" w:rsidR="00CC07B9" w:rsidRPr="00884CB1" w:rsidRDefault="00CC07B9" w:rsidP="00884CB1">
    <w:pPr>
      <w:keepNext/>
      <w:pBdr>
        <w:top w:val="nil"/>
        <w:left w:val="nil"/>
        <w:bottom w:val="nil"/>
        <w:right w:val="nil"/>
        <w:between w:val="nil"/>
      </w:pBdr>
      <w:tabs>
        <w:tab w:val="center" w:pos="4513"/>
        <w:tab w:val="right" w:pos="9026"/>
      </w:tabs>
      <w:spacing w:before="0" w:after="0"/>
      <w:jc w:val="right"/>
      <w:rPr>
        <w:color w:val="002C47"/>
        <w:sz w:val="20"/>
      </w:rPr>
    </w:pPr>
    <w:r>
      <w:rPr>
        <w:color w:val="002C47"/>
        <w:sz w:val="20"/>
      </w:rPr>
      <w:fldChar w:fldCharType="begin"/>
    </w:r>
    <w:r>
      <w:rPr>
        <w:color w:val="002C47"/>
        <w:sz w:val="20"/>
      </w:rPr>
      <w:instrText>PAGE</w:instrText>
    </w:r>
    <w:r>
      <w:rPr>
        <w:color w:val="002C47"/>
        <w:sz w:val="20"/>
      </w:rPr>
      <w:fldChar w:fldCharType="separate"/>
    </w:r>
    <w:r w:rsidR="00602F6B">
      <w:rPr>
        <w:noProof/>
        <w:color w:val="002C47"/>
        <w:sz w:val="20"/>
      </w:rPr>
      <w:t>15</w:t>
    </w:r>
    <w:r>
      <w:rPr>
        <w:color w:val="002C47"/>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5E088" w14:textId="77777777" w:rsidR="00CC07B9" w:rsidRDefault="00CC07B9">
    <w:pPr>
      <w:widowControl w:val="0"/>
      <w:pBdr>
        <w:top w:val="nil"/>
        <w:left w:val="nil"/>
        <w:bottom w:val="nil"/>
        <w:right w:val="nil"/>
        <w:between w:val="nil"/>
      </w:pBdr>
      <w:spacing w:before="0" w:after="0" w:line="276" w:lineRule="auto"/>
      <w:rPr>
        <w:b/>
        <w:smallCaps/>
        <w:color w:val="004A7F"/>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AD1AA9" w14:textId="77777777" w:rsidR="00CC07B9" w:rsidRDefault="00CC07B9">
      <w:pPr>
        <w:spacing w:before="0" w:after="0"/>
      </w:pPr>
      <w:r>
        <w:separator/>
      </w:r>
    </w:p>
  </w:footnote>
  <w:footnote w:type="continuationSeparator" w:id="0">
    <w:p w14:paraId="19592282" w14:textId="77777777" w:rsidR="00CC07B9" w:rsidRDefault="00CC07B9">
      <w:pPr>
        <w:spacing w:before="0" w:after="0"/>
      </w:pPr>
      <w:r>
        <w:continuationSeparator/>
      </w:r>
    </w:p>
  </w:footnote>
  <w:footnote w:type="continuationNotice" w:id="1">
    <w:p w14:paraId="51885EA1" w14:textId="77777777" w:rsidR="00CC07B9" w:rsidRDefault="00CC07B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A9093" w14:textId="77777777" w:rsidR="00CC07B9" w:rsidRDefault="00CC07B9">
    <w:pPr>
      <w:widowControl w:val="0"/>
      <w:pBdr>
        <w:top w:val="nil"/>
        <w:left w:val="nil"/>
        <w:bottom w:val="nil"/>
        <w:right w:val="nil"/>
        <w:between w:val="nil"/>
      </w:pBdr>
      <w:spacing w:before="0" w:after="0" w:line="276" w:lineRule="auto"/>
      <w:rPr>
        <w:b/>
        <w:smallCaps/>
        <w:color w:val="004A7F"/>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4CD7F" w14:textId="77777777" w:rsidR="00CC07B9" w:rsidRDefault="00CC07B9">
    <w:pPr>
      <w:widowControl w:val="0"/>
      <w:pBdr>
        <w:top w:val="nil"/>
        <w:left w:val="nil"/>
        <w:bottom w:val="nil"/>
        <w:right w:val="nil"/>
        <w:between w:val="nil"/>
      </w:pBdr>
      <w:spacing w:before="0" w:after="0" w:line="276" w:lineRule="auto"/>
      <w:rPr>
        <w:b/>
        <w:smallCaps/>
        <w:color w:val="004A7F"/>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C91CE" w14:textId="77777777" w:rsidR="00CC07B9" w:rsidRDefault="00CC07B9">
    <w:pPr>
      <w:widowControl w:val="0"/>
      <w:pBdr>
        <w:top w:val="nil"/>
        <w:left w:val="nil"/>
        <w:bottom w:val="nil"/>
        <w:right w:val="nil"/>
        <w:between w:val="nil"/>
      </w:pBdr>
      <w:spacing w:before="0" w:after="0" w:line="276" w:lineRule="auto"/>
      <w:rPr>
        <w:b/>
        <w:smallCaps/>
        <w:color w:val="004A7F"/>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09824" w14:textId="06554404" w:rsidR="00CC07B9" w:rsidRPr="001265AB" w:rsidRDefault="00CC07B9" w:rsidP="001265A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BFF55" w14:textId="77777777" w:rsidR="00CC07B9" w:rsidRDefault="00CC07B9">
    <w:pPr>
      <w:widowControl w:val="0"/>
      <w:pBdr>
        <w:top w:val="nil"/>
        <w:left w:val="nil"/>
        <w:bottom w:val="nil"/>
        <w:right w:val="nil"/>
        <w:between w:val="nil"/>
      </w:pBdr>
      <w:spacing w:before="0" w:after="0" w:line="276" w:lineRule="auto"/>
      <w:rPr>
        <w:b/>
        <w:smallCaps/>
        <w:color w:val="004A7F"/>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C3744" w14:textId="77777777" w:rsidR="00CC07B9" w:rsidRDefault="00CC07B9">
    <w:pPr>
      <w:widowControl w:val="0"/>
      <w:pBdr>
        <w:top w:val="nil"/>
        <w:left w:val="nil"/>
        <w:bottom w:val="nil"/>
        <w:right w:val="nil"/>
        <w:between w:val="nil"/>
      </w:pBdr>
      <w:spacing w:before="0" w:after="0" w:line="276" w:lineRule="auto"/>
      <w:rPr>
        <w:b/>
        <w:smallCaps/>
        <w:color w:val="004A7F"/>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E3932" w14:textId="6F5FBE20" w:rsidR="00CC07B9" w:rsidRPr="00884CB1" w:rsidRDefault="00602F6B" w:rsidP="00674F03">
    <w:pPr>
      <w:pStyle w:val="HeaderEven"/>
    </w:pPr>
    <w:r>
      <w:fldChar w:fldCharType="begin"/>
    </w:r>
    <w:r>
      <w:instrText xml:space="preserve"> TITLE   \* MERGEFORMAT </w:instrText>
    </w:r>
    <w:r>
      <w:fldChar w:fldCharType="separate"/>
    </w:r>
    <w:r w:rsidR="002D0691">
      <w:t>Your Future, Your Super</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04186" w14:textId="757FE30E" w:rsidR="00CC07B9" w:rsidRDefault="00602F6B" w:rsidP="00674F03">
    <w:pPr>
      <w:pStyle w:val="HeaderOdd"/>
    </w:pPr>
    <w:r>
      <w:fldChar w:fldCharType="begin"/>
    </w:r>
    <w:r>
      <w:instrText xml:space="preserve"> TITLE   \* MERGEFORMAT </w:instrText>
    </w:r>
    <w:r>
      <w:fldChar w:fldCharType="separate"/>
    </w:r>
    <w:r w:rsidR="002D0691">
      <w:t>Your Future, Your Super</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6F40C" w14:textId="77777777" w:rsidR="00CC07B9" w:rsidRDefault="00CC07B9">
    <w:pPr>
      <w:widowControl w:val="0"/>
      <w:pBdr>
        <w:top w:val="nil"/>
        <w:left w:val="nil"/>
        <w:bottom w:val="nil"/>
        <w:right w:val="nil"/>
        <w:between w:val="nil"/>
      </w:pBdr>
      <w:spacing w:before="0" w:after="0" w:line="276" w:lineRule="auto"/>
      <w:rPr>
        <w:b/>
        <w:smallCaps/>
        <w:color w:val="004A7F"/>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18EF"/>
    <w:multiLevelType w:val="multilevel"/>
    <w:tmpl w:val="9602691C"/>
    <w:lvl w:ilvl="0">
      <w:start w:val="1"/>
      <w:numFmt w:val="decimal"/>
      <w:lvlText w:val="%1."/>
      <w:lvlJc w:val="left"/>
      <w:pPr>
        <w:ind w:left="1211" w:hanging="360"/>
      </w:pPr>
      <w:rPr>
        <w:b/>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CA565A"/>
    <w:multiLevelType w:val="multilevel"/>
    <w:tmpl w:val="E108B2F2"/>
    <w:lvl w:ilvl="0">
      <w:start w:val="1"/>
      <w:numFmt w:val="bullet"/>
      <w:lvlText w:val="•"/>
      <w:lvlJc w:val="left"/>
      <w:pPr>
        <w:ind w:left="520" w:hanging="520"/>
      </w:pPr>
      <w:rPr>
        <w:rFonts w:ascii="Times New Roman" w:eastAsia="Times New Roman" w:hAnsi="Times New Roman" w:cs="Times New Roman"/>
      </w:rPr>
    </w:lvl>
    <w:lvl w:ilvl="1">
      <w:start w:val="1"/>
      <w:numFmt w:val="bullet"/>
      <w:lvlText w:val="–"/>
      <w:lvlJc w:val="left"/>
      <w:pPr>
        <w:ind w:left="1040" w:hanging="520"/>
      </w:pPr>
      <w:rPr>
        <w:rFonts w:ascii="Times New Roman" w:eastAsia="Times New Roman" w:hAnsi="Times New Roman" w:cs="Times New Roman"/>
      </w:rPr>
    </w:lvl>
    <w:lvl w:ilvl="2">
      <w:start w:val="1"/>
      <w:numFmt w:val="bullet"/>
      <w:lvlText w:val=":"/>
      <w:lvlJc w:val="left"/>
      <w:pPr>
        <w:ind w:left="1560" w:hanging="520"/>
      </w:pPr>
      <w:rPr>
        <w:rFonts w:ascii="Times New Roman" w:eastAsia="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B5E7BAD"/>
    <w:multiLevelType w:val="hybridMultilevel"/>
    <w:tmpl w:val="C4A693C2"/>
    <w:lvl w:ilvl="0" w:tplc="0F882E08">
      <w:start w:val="1"/>
      <w:numFmt w:val="decimal"/>
      <w:pStyle w:val="Heading3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C23093A"/>
    <w:multiLevelType w:val="multilevel"/>
    <w:tmpl w:val="44AE297C"/>
    <w:lvl w:ilvl="0">
      <w:start w:val="1"/>
      <w:numFmt w:val="bullet"/>
      <w:lvlText w:val="•"/>
      <w:lvlJc w:val="left"/>
      <w:pPr>
        <w:ind w:left="520" w:hanging="520"/>
      </w:pPr>
      <w:rPr>
        <w:rFonts w:ascii="Times New Roman" w:eastAsia="Times New Roman" w:hAnsi="Times New Roman" w:cs="Times New Roman"/>
      </w:rPr>
    </w:lvl>
    <w:lvl w:ilvl="1">
      <w:start w:val="1"/>
      <w:numFmt w:val="bullet"/>
      <w:lvlText w:val="–"/>
      <w:lvlJc w:val="left"/>
      <w:pPr>
        <w:ind w:left="1040" w:hanging="520"/>
      </w:pPr>
      <w:rPr>
        <w:rFonts w:ascii="Times New Roman" w:eastAsia="Times New Roman" w:hAnsi="Times New Roman" w:cs="Times New Roman"/>
      </w:rPr>
    </w:lvl>
    <w:lvl w:ilvl="2">
      <w:start w:val="1"/>
      <w:numFmt w:val="bullet"/>
      <w:lvlText w:val=":"/>
      <w:lvlJc w:val="left"/>
      <w:pPr>
        <w:ind w:left="1560" w:hanging="520"/>
      </w:pPr>
      <w:rPr>
        <w:rFonts w:ascii="Times New Roman" w:eastAsia="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850592B"/>
    <w:multiLevelType w:val="multilevel"/>
    <w:tmpl w:val="0BA65E76"/>
    <w:lvl w:ilvl="0">
      <w:start w:val="1"/>
      <w:numFmt w:val="bullet"/>
      <w:lvlText w:val="•"/>
      <w:lvlJc w:val="left"/>
      <w:pPr>
        <w:ind w:left="520" w:hanging="520"/>
      </w:pPr>
      <w:rPr>
        <w:rFonts w:ascii="Times New Roman" w:eastAsia="Times New Roman" w:hAnsi="Times New Roman" w:cs="Times New Roman"/>
      </w:rPr>
    </w:lvl>
    <w:lvl w:ilvl="1">
      <w:start w:val="1"/>
      <w:numFmt w:val="bullet"/>
      <w:lvlText w:val="–"/>
      <w:lvlJc w:val="left"/>
      <w:pPr>
        <w:ind w:left="1040" w:hanging="520"/>
      </w:pPr>
      <w:rPr>
        <w:rFonts w:ascii="Times New Roman" w:eastAsia="Times New Roman" w:hAnsi="Times New Roman" w:cs="Times New Roman"/>
      </w:rPr>
    </w:lvl>
    <w:lvl w:ilvl="2">
      <w:start w:val="1"/>
      <w:numFmt w:val="bullet"/>
      <w:lvlText w:val=":"/>
      <w:lvlJc w:val="left"/>
      <w:pPr>
        <w:ind w:left="1560" w:hanging="520"/>
      </w:pPr>
      <w:rPr>
        <w:rFonts w:ascii="Times New Roman" w:eastAsia="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E7D58E1"/>
    <w:multiLevelType w:val="hybridMultilevel"/>
    <w:tmpl w:val="D4B838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50713D47"/>
    <w:multiLevelType w:val="multilevel"/>
    <w:tmpl w:val="1F88F5A6"/>
    <w:lvl w:ilvl="0">
      <w:start w:val="1"/>
      <w:numFmt w:val="bullet"/>
      <w:pStyle w:val="BoxBullet"/>
      <w:lvlText w:val="•"/>
      <w:lvlJc w:val="left"/>
      <w:pPr>
        <w:ind w:left="520" w:hanging="520"/>
      </w:pPr>
      <w:rPr>
        <w:rFonts w:ascii="Times New Roman" w:eastAsia="Times New Roman" w:hAnsi="Times New Roman" w:cs="Times New Roman"/>
      </w:rPr>
    </w:lvl>
    <w:lvl w:ilvl="1">
      <w:start w:val="1"/>
      <w:numFmt w:val="bullet"/>
      <w:pStyle w:val="BoxDash"/>
      <w:lvlText w:val="–"/>
      <w:lvlJc w:val="left"/>
      <w:pPr>
        <w:ind w:left="1040" w:hanging="520"/>
      </w:pPr>
      <w:rPr>
        <w:rFonts w:ascii="Times New Roman" w:eastAsia="Times New Roman" w:hAnsi="Times New Roman" w:cs="Times New Roman"/>
      </w:rPr>
    </w:lvl>
    <w:lvl w:ilvl="2">
      <w:start w:val="1"/>
      <w:numFmt w:val="bullet"/>
      <w:pStyle w:val="BoxDoubleDot"/>
      <w:lvlText w:val=":"/>
      <w:lvlJc w:val="left"/>
      <w:pPr>
        <w:ind w:left="1560" w:hanging="520"/>
      </w:pPr>
      <w:rPr>
        <w:rFonts w:ascii="Times New Roman" w:eastAsia="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54771A2D"/>
    <w:multiLevelType w:val="multilevel"/>
    <w:tmpl w:val="EB4EC852"/>
    <w:lvl w:ilvl="0">
      <w:start w:val="1"/>
      <w:numFmt w:val="decimal"/>
      <w:lvlText w:val="%1)"/>
      <w:lvlJc w:val="left"/>
      <w:pPr>
        <w:ind w:left="880" w:hanging="360"/>
      </w:pPr>
    </w:lvl>
    <w:lvl w:ilvl="1">
      <w:start w:val="1"/>
      <w:numFmt w:val="lowerLetter"/>
      <w:lvlText w:val="%2."/>
      <w:lvlJc w:val="left"/>
      <w:pPr>
        <w:ind w:left="1600" w:hanging="360"/>
      </w:pPr>
    </w:lvl>
    <w:lvl w:ilvl="2">
      <w:start w:val="1"/>
      <w:numFmt w:val="lowerRoman"/>
      <w:lvlText w:val="%3."/>
      <w:lvlJc w:val="right"/>
      <w:pPr>
        <w:ind w:left="2320" w:hanging="180"/>
      </w:pPr>
    </w:lvl>
    <w:lvl w:ilvl="3">
      <w:start w:val="1"/>
      <w:numFmt w:val="decimal"/>
      <w:lvlText w:val="%4."/>
      <w:lvlJc w:val="left"/>
      <w:pPr>
        <w:ind w:left="3040" w:hanging="360"/>
      </w:pPr>
    </w:lvl>
    <w:lvl w:ilvl="4">
      <w:start w:val="1"/>
      <w:numFmt w:val="lowerLetter"/>
      <w:lvlText w:val="%5."/>
      <w:lvlJc w:val="left"/>
      <w:pPr>
        <w:ind w:left="3760" w:hanging="360"/>
      </w:pPr>
    </w:lvl>
    <w:lvl w:ilvl="5">
      <w:start w:val="1"/>
      <w:numFmt w:val="lowerRoman"/>
      <w:lvlText w:val="%6."/>
      <w:lvlJc w:val="right"/>
      <w:pPr>
        <w:ind w:left="4480" w:hanging="180"/>
      </w:pPr>
    </w:lvl>
    <w:lvl w:ilvl="6">
      <w:start w:val="1"/>
      <w:numFmt w:val="decimal"/>
      <w:lvlText w:val="%7."/>
      <w:lvlJc w:val="left"/>
      <w:pPr>
        <w:ind w:left="5200" w:hanging="360"/>
      </w:pPr>
    </w:lvl>
    <w:lvl w:ilvl="7">
      <w:start w:val="1"/>
      <w:numFmt w:val="lowerLetter"/>
      <w:lvlText w:val="%8."/>
      <w:lvlJc w:val="left"/>
      <w:pPr>
        <w:ind w:left="5920" w:hanging="360"/>
      </w:pPr>
    </w:lvl>
    <w:lvl w:ilvl="8">
      <w:start w:val="1"/>
      <w:numFmt w:val="lowerRoman"/>
      <w:lvlText w:val="%9."/>
      <w:lvlJc w:val="right"/>
      <w:pPr>
        <w:ind w:left="6640" w:hanging="180"/>
      </w:pPr>
    </w:lvl>
  </w:abstractNum>
  <w:abstractNum w:abstractNumId="8" w15:restartNumberingAfterBreak="0">
    <w:nsid w:val="5E064FBC"/>
    <w:multiLevelType w:val="multilevel"/>
    <w:tmpl w:val="F9DE511E"/>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960" w:hanging="360"/>
      </w:pPr>
    </w:lvl>
    <w:lvl w:ilvl="4">
      <w:start w:val="1"/>
      <w:numFmt w:val="lowerLetter"/>
      <w:lvlText w:val="(%5)"/>
      <w:lvlJc w:val="left"/>
      <w:pPr>
        <w:ind w:left="2320" w:hanging="360"/>
      </w:pPr>
    </w:lvl>
    <w:lvl w:ilvl="5">
      <w:start w:val="1"/>
      <w:numFmt w:val="lowerRoman"/>
      <w:lvlText w:val="(%6)"/>
      <w:lvlJc w:val="left"/>
      <w:pPr>
        <w:ind w:left="2680" w:hanging="360"/>
      </w:pPr>
    </w:lvl>
    <w:lvl w:ilvl="6">
      <w:start w:val="1"/>
      <w:numFmt w:val="decimal"/>
      <w:lvlText w:val="%7."/>
      <w:lvlJc w:val="left"/>
      <w:pPr>
        <w:ind w:left="3040" w:hanging="360"/>
      </w:pPr>
    </w:lvl>
    <w:lvl w:ilvl="7">
      <w:start w:val="1"/>
      <w:numFmt w:val="lowerLetter"/>
      <w:lvlText w:val="%8."/>
      <w:lvlJc w:val="left"/>
      <w:pPr>
        <w:ind w:left="3400" w:hanging="360"/>
      </w:pPr>
    </w:lvl>
    <w:lvl w:ilvl="8">
      <w:start w:val="1"/>
      <w:numFmt w:val="lowerRoman"/>
      <w:lvlText w:val="%9."/>
      <w:lvlJc w:val="left"/>
      <w:pPr>
        <w:ind w:left="3760" w:hanging="360"/>
      </w:pPr>
    </w:lvl>
  </w:abstractNum>
  <w:abstractNum w:abstractNumId="9" w15:restartNumberingAfterBreak="0">
    <w:nsid w:val="726E3F23"/>
    <w:multiLevelType w:val="multilevel"/>
    <w:tmpl w:val="CACA2E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8F64C4E"/>
    <w:multiLevelType w:val="multilevel"/>
    <w:tmpl w:val="BF8A8754"/>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7"/>
  </w:num>
  <w:num w:numId="2">
    <w:abstractNumId w:val="6"/>
  </w:num>
  <w:num w:numId="3">
    <w:abstractNumId w:val="4"/>
  </w:num>
  <w:num w:numId="4">
    <w:abstractNumId w:val="3"/>
  </w:num>
  <w:num w:numId="5">
    <w:abstractNumId w:val="0"/>
  </w:num>
  <w:num w:numId="6">
    <w:abstractNumId w:val="9"/>
  </w:num>
  <w:num w:numId="7">
    <w:abstractNumId w:val="1"/>
  </w:num>
  <w:num w:numId="8">
    <w:abstractNumId w:val="5"/>
  </w:num>
  <w:num w:numId="9">
    <w:abstractNumId w:val="5"/>
  </w:num>
  <w:num w:numId="10">
    <w:abstractNumId w:val="8"/>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evenAndOddHeaders/>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3A4C1B"/>
    <w:rsid w:val="0000231D"/>
    <w:rsid w:val="000024A3"/>
    <w:rsid w:val="00002A14"/>
    <w:rsid w:val="00003D5B"/>
    <w:rsid w:val="00005151"/>
    <w:rsid w:val="000052F1"/>
    <w:rsid w:val="000068BD"/>
    <w:rsid w:val="00007D87"/>
    <w:rsid w:val="00010A9B"/>
    <w:rsid w:val="000110BE"/>
    <w:rsid w:val="000132BA"/>
    <w:rsid w:val="000140B3"/>
    <w:rsid w:val="000145A5"/>
    <w:rsid w:val="000148D8"/>
    <w:rsid w:val="0001496B"/>
    <w:rsid w:val="00014D3F"/>
    <w:rsid w:val="00015237"/>
    <w:rsid w:val="00016524"/>
    <w:rsid w:val="00016D56"/>
    <w:rsid w:val="00016FFA"/>
    <w:rsid w:val="000170D0"/>
    <w:rsid w:val="00020483"/>
    <w:rsid w:val="0002131D"/>
    <w:rsid w:val="00021C93"/>
    <w:rsid w:val="00023F19"/>
    <w:rsid w:val="00025D6C"/>
    <w:rsid w:val="00026541"/>
    <w:rsid w:val="00026E63"/>
    <w:rsid w:val="0003001C"/>
    <w:rsid w:val="000311CA"/>
    <w:rsid w:val="000316C5"/>
    <w:rsid w:val="000316FE"/>
    <w:rsid w:val="000319AF"/>
    <w:rsid w:val="00031D33"/>
    <w:rsid w:val="000320A4"/>
    <w:rsid w:val="000341DE"/>
    <w:rsid w:val="0003435C"/>
    <w:rsid w:val="000344B7"/>
    <w:rsid w:val="0003480C"/>
    <w:rsid w:val="00034ADD"/>
    <w:rsid w:val="00035C2D"/>
    <w:rsid w:val="0004017D"/>
    <w:rsid w:val="00040388"/>
    <w:rsid w:val="000408C5"/>
    <w:rsid w:val="00040DA1"/>
    <w:rsid w:val="00041587"/>
    <w:rsid w:val="00042C69"/>
    <w:rsid w:val="00043119"/>
    <w:rsid w:val="000434DE"/>
    <w:rsid w:val="00043C6F"/>
    <w:rsid w:val="00044494"/>
    <w:rsid w:val="00044CB7"/>
    <w:rsid w:val="000454A7"/>
    <w:rsid w:val="00045746"/>
    <w:rsid w:val="00047394"/>
    <w:rsid w:val="00051F97"/>
    <w:rsid w:val="00054AE9"/>
    <w:rsid w:val="00056158"/>
    <w:rsid w:val="00056C6B"/>
    <w:rsid w:val="000617AF"/>
    <w:rsid w:val="00063539"/>
    <w:rsid w:val="000648EB"/>
    <w:rsid w:val="00064AA5"/>
    <w:rsid w:val="0006568C"/>
    <w:rsid w:val="00065DA0"/>
    <w:rsid w:val="000664BC"/>
    <w:rsid w:val="00066CFC"/>
    <w:rsid w:val="00067AEB"/>
    <w:rsid w:val="0007028A"/>
    <w:rsid w:val="000715AB"/>
    <w:rsid w:val="00071616"/>
    <w:rsid w:val="000717DC"/>
    <w:rsid w:val="00071852"/>
    <w:rsid w:val="000722AD"/>
    <w:rsid w:val="00072F3A"/>
    <w:rsid w:val="0007384B"/>
    <w:rsid w:val="00074A0B"/>
    <w:rsid w:val="0007505B"/>
    <w:rsid w:val="00075604"/>
    <w:rsid w:val="00076D3B"/>
    <w:rsid w:val="0007767E"/>
    <w:rsid w:val="00077A72"/>
    <w:rsid w:val="00077E26"/>
    <w:rsid w:val="00080565"/>
    <w:rsid w:val="00081170"/>
    <w:rsid w:val="0008187F"/>
    <w:rsid w:val="0008210F"/>
    <w:rsid w:val="0008247C"/>
    <w:rsid w:val="0008279B"/>
    <w:rsid w:val="0008286D"/>
    <w:rsid w:val="000829F8"/>
    <w:rsid w:val="00083395"/>
    <w:rsid w:val="00085C39"/>
    <w:rsid w:val="000861A2"/>
    <w:rsid w:val="00086A0D"/>
    <w:rsid w:val="0008709D"/>
    <w:rsid w:val="000904D0"/>
    <w:rsid w:val="00090812"/>
    <w:rsid w:val="00091634"/>
    <w:rsid w:val="00092948"/>
    <w:rsid w:val="00093238"/>
    <w:rsid w:val="000940EF"/>
    <w:rsid w:val="00094A98"/>
    <w:rsid w:val="0009524D"/>
    <w:rsid w:val="000952D8"/>
    <w:rsid w:val="0009716A"/>
    <w:rsid w:val="000A0099"/>
    <w:rsid w:val="000A03B4"/>
    <w:rsid w:val="000A10B4"/>
    <w:rsid w:val="000A1EA1"/>
    <w:rsid w:val="000A3FAD"/>
    <w:rsid w:val="000A5C83"/>
    <w:rsid w:val="000A7107"/>
    <w:rsid w:val="000B01A8"/>
    <w:rsid w:val="000B10C2"/>
    <w:rsid w:val="000B2391"/>
    <w:rsid w:val="000B2B60"/>
    <w:rsid w:val="000B30A0"/>
    <w:rsid w:val="000B313D"/>
    <w:rsid w:val="000B3506"/>
    <w:rsid w:val="000B3EFE"/>
    <w:rsid w:val="000B53C7"/>
    <w:rsid w:val="000B62EE"/>
    <w:rsid w:val="000B6BFB"/>
    <w:rsid w:val="000B73E7"/>
    <w:rsid w:val="000C1813"/>
    <w:rsid w:val="000C2470"/>
    <w:rsid w:val="000C33CC"/>
    <w:rsid w:val="000C39E0"/>
    <w:rsid w:val="000C5E7D"/>
    <w:rsid w:val="000C656F"/>
    <w:rsid w:val="000D0096"/>
    <w:rsid w:val="000D274A"/>
    <w:rsid w:val="000D411B"/>
    <w:rsid w:val="000D5B48"/>
    <w:rsid w:val="000D5C17"/>
    <w:rsid w:val="000D6016"/>
    <w:rsid w:val="000E10BF"/>
    <w:rsid w:val="000E29AC"/>
    <w:rsid w:val="000E302A"/>
    <w:rsid w:val="000E404D"/>
    <w:rsid w:val="000F0335"/>
    <w:rsid w:val="000F034F"/>
    <w:rsid w:val="000F29B0"/>
    <w:rsid w:val="000F2BC3"/>
    <w:rsid w:val="000F5715"/>
    <w:rsid w:val="000F599B"/>
    <w:rsid w:val="000F5C13"/>
    <w:rsid w:val="000F6783"/>
    <w:rsid w:val="000F68F3"/>
    <w:rsid w:val="000F69BC"/>
    <w:rsid w:val="000F6AA7"/>
    <w:rsid w:val="000F7047"/>
    <w:rsid w:val="0010086D"/>
    <w:rsid w:val="00102000"/>
    <w:rsid w:val="00102572"/>
    <w:rsid w:val="00102610"/>
    <w:rsid w:val="0010382D"/>
    <w:rsid w:val="00103A98"/>
    <w:rsid w:val="001056A1"/>
    <w:rsid w:val="00106763"/>
    <w:rsid w:val="00106EE2"/>
    <w:rsid w:val="0010730C"/>
    <w:rsid w:val="00107A83"/>
    <w:rsid w:val="0011013C"/>
    <w:rsid w:val="00110753"/>
    <w:rsid w:val="00110CAD"/>
    <w:rsid w:val="00111E49"/>
    <w:rsid w:val="00112D59"/>
    <w:rsid w:val="001130AD"/>
    <w:rsid w:val="00113E50"/>
    <w:rsid w:val="0011408F"/>
    <w:rsid w:val="00115280"/>
    <w:rsid w:val="0011609A"/>
    <w:rsid w:val="001162CE"/>
    <w:rsid w:val="00116463"/>
    <w:rsid w:val="00117711"/>
    <w:rsid w:val="001201C5"/>
    <w:rsid w:val="00121D4C"/>
    <w:rsid w:val="0012216B"/>
    <w:rsid w:val="00123355"/>
    <w:rsid w:val="00123774"/>
    <w:rsid w:val="0012378D"/>
    <w:rsid w:val="0012496B"/>
    <w:rsid w:val="001254DA"/>
    <w:rsid w:val="001265AB"/>
    <w:rsid w:val="00126E0E"/>
    <w:rsid w:val="00126FDB"/>
    <w:rsid w:val="001274CB"/>
    <w:rsid w:val="00131640"/>
    <w:rsid w:val="00131FA2"/>
    <w:rsid w:val="0013237C"/>
    <w:rsid w:val="00134284"/>
    <w:rsid w:val="001350C9"/>
    <w:rsid w:val="0013590A"/>
    <w:rsid w:val="00136087"/>
    <w:rsid w:val="00136C0D"/>
    <w:rsid w:val="00136D60"/>
    <w:rsid w:val="00136F21"/>
    <w:rsid w:val="00137B80"/>
    <w:rsid w:val="00137D58"/>
    <w:rsid w:val="00137F68"/>
    <w:rsid w:val="0014064C"/>
    <w:rsid w:val="00141360"/>
    <w:rsid w:val="00141ABE"/>
    <w:rsid w:val="00143A3F"/>
    <w:rsid w:val="00143F1F"/>
    <w:rsid w:val="00143F2F"/>
    <w:rsid w:val="001455D1"/>
    <w:rsid w:val="0014562F"/>
    <w:rsid w:val="00151A2B"/>
    <w:rsid w:val="00151F4C"/>
    <w:rsid w:val="00152459"/>
    <w:rsid w:val="00153206"/>
    <w:rsid w:val="00154F5F"/>
    <w:rsid w:val="001550B0"/>
    <w:rsid w:val="001554A4"/>
    <w:rsid w:val="00155DFF"/>
    <w:rsid w:val="00155FF3"/>
    <w:rsid w:val="00156D26"/>
    <w:rsid w:val="00157936"/>
    <w:rsid w:val="00160032"/>
    <w:rsid w:val="0016027C"/>
    <w:rsid w:val="00160317"/>
    <w:rsid w:val="00160325"/>
    <w:rsid w:val="00160E34"/>
    <w:rsid w:val="00160EAD"/>
    <w:rsid w:val="0016150C"/>
    <w:rsid w:val="0016160F"/>
    <w:rsid w:val="001617F7"/>
    <w:rsid w:val="00161BC0"/>
    <w:rsid w:val="00161BC5"/>
    <w:rsid w:val="00163694"/>
    <w:rsid w:val="00164E70"/>
    <w:rsid w:val="00166874"/>
    <w:rsid w:val="001706E3"/>
    <w:rsid w:val="001711C7"/>
    <w:rsid w:val="00171399"/>
    <w:rsid w:val="00172B2B"/>
    <w:rsid w:val="00174BDA"/>
    <w:rsid w:val="0017638B"/>
    <w:rsid w:val="00176B08"/>
    <w:rsid w:val="001775EC"/>
    <w:rsid w:val="00177633"/>
    <w:rsid w:val="00177E70"/>
    <w:rsid w:val="00177EE8"/>
    <w:rsid w:val="00180369"/>
    <w:rsid w:val="00181306"/>
    <w:rsid w:val="001828A7"/>
    <w:rsid w:val="00182AEB"/>
    <w:rsid w:val="00182CED"/>
    <w:rsid w:val="00183045"/>
    <w:rsid w:val="00183F12"/>
    <w:rsid w:val="00184716"/>
    <w:rsid w:val="0018604C"/>
    <w:rsid w:val="00186991"/>
    <w:rsid w:val="00187E37"/>
    <w:rsid w:val="00190598"/>
    <w:rsid w:val="00190F1D"/>
    <w:rsid w:val="001910E0"/>
    <w:rsid w:val="001911FE"/>
    <w:rsid w:val="0019141E"/>
    <w:rsid w:val="001918B1"/>
    <w:rsid w:val="00191984"/>
    <w:rsid w:val="001921E7"/>
    <w:rsid w:val="00192558"/>
    <w:rsid w:val="00193681"/>
    <w:rsid w:val="00193709"/>
    <w:rsid w:val="001939F6"/>
    <w:rsid w:val="001A09D3"/>
    <w:rsid w:val="001A332F"/>
    <w:rsid w:val="001A3362"/>
    <w:rsid w:val="001A36DE"/>
    <w:rsid w:val="001A3D9A"/>
    <w:rsid w:val="001A3E1A"/>
    <w:rsid w:val="001A4287"/>
    <w:rsid w:val="001A45ED"/>
    <w:rsid w:val="001A463E"/>
    <w:rsid w:val="001A4ADD"/>
    <w:rsid w:val="001A67F4"/>
    <w:rsid w:val="001A757F"/>
    <w:rsid w:val="001A7971"/>
    <w:rsid w:val="001B0C1B"/>
    <w:rsid w:val="001B13EC"/>
    <w:rsid w:val="001B1AE9"/>
    <w:rsid w:val="001B2DA1"/>
    <w:rsid w:val="001B3894"/>
    <w:rsid w:val="001B3C08"/>
    <w:rsid w:val="001B3E7A"/>
    <w:rsid w:val="001B5387"/>
    <w:rsid w:val="001B563C"/>
    <w:rsid w:val="001B5FE0"/>
    <w:rsid w:val="001B6CDB"/>
    <w:rsid w:val="001B6D26"/>
    <w:rsid w:val="001B7E06"/>
    <w:rsid w:val="001C1721"/>
    <w:rsid w:val="001C3340"/>
    <w:rsid w:val="001C48C5"/>
    <w:rsid w:val="001C5DCD"/>
    <w:rsid w:val="001C70AE"/>
    <w:rsid w:val="001C7F09"/>
    <w:rsid w:val="001D0A9C"/>
    <w:rsid w:val="001D229C"/>
    <w:rsid w:val="001D269E"/>
    <w:rsid w:val="001D2813"/>
    <w:rsid w:val="001D2863"/>
    <w:rsid w:val="001D36FA"/>
    <w:rsid w:val="001D39E2"/>
    <w:rsid w:val="001D4EC4"/>
    <w:rsid w:val="001D6C64"/>
    <w:rsid w:val="001E0288"/>
    <w:rsid w:val="001E1552"/>
    <w:rsid w:val="001E1BFA"/>
    <w:rsid w:val="001E2099"/>
    <w:rsid w:val="001E3AE4"/>
    <w:rsid w:val="001E3BB9"/>
    <w:rsid w:val="001E53F2"/>
    <w:rsid w:val="001E5B87"/>
    <w:rsid w:val="001E5FD3"/>
    <w:rsid w:val="001F258E"/>
    <w:rsid w:val="001F2963"/>
    <w:rsid w:val="001F3C9B"/>
    <w:rsid w:val="001F4104"/>
    <w:rsid w:val="001F4257"/>
    <w:rsid w:val="001F525A"/>
    <w:rsid w:val="001F6917"/>
    <w:rsid w:val="001F7A7F"/>
    <w:rsid w:val="0020062D"/>
    <w:rsid w:val="00200842"/>
    <w:rsid w:val="00200C2B"/>
    <w:rsid w:val="00201F23"/>
    <w:rsid w:val="00205082"/>
    <w:rsid w:val="00205B3D"/>
    <w:rsid w:val="00205DE0"/>
    <w:rsid w:val="00205E0A"/>
    <w:rsid w:val="00207617"/>
    <w:rsid w:val="00210058"/>
    <w:rsid w:val="002105D5"/>
    <w:rsid w:val="00210923"/>
    <w:rsid w:val="00211B8E"/>
    <w:rsid w:val="00212142"/>
    <w:rsid w:val="002133D4"/>
    <w:rsid w:val="00213985"/>
    <w:rsid w:val="0021467E"/>
    <w:rsid w:val="00216AFE"/>
    <w:rsid w:val="00220708"/>
    <w:rsid w:val="00221FED"/>
    <w:rsid w:val="0022293C"/>
    <w:rsid w:val="00222E50"/>
    <w:rsid w:val="00222EA8"/>
    <w:rsid w:val="00223729"/>
    <w:rsid w:val="00224397"/>
    <w:rsid w:val="00224493"/>
    <w:rsid w:val="00224D37"/>
    <w:rsid w:val="002250B1"/>
    <w:rsid w:val="002255F9"/>
    <w:rsid w:val="00226A85"/>
    <w:rsid w:val="00226DF9"/>
    <w:rsid w:val="00227443"/>
    <w:rsid w:val="00227C77"/>
    <w:rsid w:val="002306DF"/>
    <w:rsid w:val="00231734"/>
    <w:rsid w:val="0023289A"/>
    <w:rsid w:val="00232A6E"/>
    <w:rsid w:val="00233395"/>
    <w:rsid w:val="0023391E"/>
    <w:rsid w:val="00234514"/>
    <w:rsid w:val="00234741"/>
    <w:rsid w:val="002362BD"/>
    <w:rsid w:val="00236419"/>
    <w:rsid w:val="002371D4"/>
    <w:rsid w:val="002372EA"/>
    <w:rsid w:val="00237AF5"/>
    <w:rsid w:val="00240430"/>
    <w:rsid w:val="00240CEF"/>
    <w:rsid w:val="00240DCA"/>
    <w:rsid w:val="00241553"/>
    <w:rsid w:val="00241682"/>
    <w:rsid w:val="00242139"/>
    <w:rsid w:val="00242780"/>
    <w:rsid w:val="00242BD5"/>
    <w:rsid w:val="00242C8F"/>
    <w:rsid w:val="002431F5"/>
    <w:rsid w:val="0024354A"/>
    <w:rsid w:val="00244B1C"/>
    <w:rsid w:val="00245FE1"/>
    <w:rsid w:val="002460A5"/>
    <w:rsid w:val="00246A01"/>
    <w:rsid w:val="00246BF6"/>
    <w:rsid w:val="002475FC"/>
    <w:rsid w:val="00247CE7"/>
    <w:rsid w:val="002511A0"/>
    <w:rsid w:val="002519B3"/>
    <w:rsid w:val="00251B8B"/>
    <w:rsid w:val="002527E9"/>
    <w:rsid w:val="00253596"/>
    <w:rsid w:val="00253EC4"/>
    <w:rsid w:val="00254285"/>
    <w:rsid w:val="00254914"/>
    <w:rsid w:val="00255AD0"/>
    <w:rsid w:val="0025670A"/>
    <w:rsid w:val="00257D4F"/>
    <w:rsid w:val="002609A9"/>
    <w:rsid w:val="00261654"/>
    <w:rsid w:val="00261A16"/>
    <w:rsid w:val="00261F93"/>
    <w:rsid w:val="00262412"/>
    <w:rsid w:val="00263A58"/>
    <w:rsid w:val="002654BE"/>
    <w:rsid w:val="002659D4"/>
    <w:rsid w:val="00265B91"/>
    <w:rsid w:val="00265DDD"/>
    <w:rsid w:val="00271504"/>
    <w:rsid w:val="00271724"/>
    <w:rsid w:val="00271C9E"/>
    <w:rsid w:val="00271F58"/>
    <w:rsid w:val="002730D2"/>
    <w:rsid w:val="0027328F"/>
    <w:rsid w:val="00273F70"/>
    <w:rsid w:val="002758F7"/>
    <w:rsid w:val="002760EF"/>
    <w:rsid w:val="00276CD9"/>
    <w:rsid w:val="002775AB"/>
    <w:rsid w:val="00277B8F"/>
    <w:rsid w:val="0028016B"/>
    <w:rsid w:val="002805CF"/>
    <w:rsid w:val="002809BD"/>
    <w:rsid w:val="002819DC"/>
    <w:rsid w:val="00282013"/>
    <w:rsid w:val="00283376"/>
    <w:rsid w:val="00283523"/>
    <w:rsid w:val="002846B5"/>
    <w:rsid w:val="0028579E"/>
    <w:rsid w:val="00286EC6"/>
    <w:rsid w:val="00290659"/>
    <w:rsid w:val="00290953"/>
    <w:rsid w:val="0029103C"/>
    <w:rsid w:val="002916FC"/>
    <w:rsid w:val="00292178"/>
    <w:rsid w:val="00292ADA"/>
    <w:rsid w:val="002932C3"/>
    <w:rsid w:val="002945F1"/>
    <w:rsid w:val="002961F0"/>
    <w:rsid w:val="002979AF"/>
    <w:rsid w:val="00297AFA"/>
    <w:rsid w:val="002A143F"/>
    <w:rsid w:val="002A1B3F"/>
    <w:rsid w:val="002A20B5"/>
    <w:rsid w:val="002A255B"/>
    <w:rsid w:val="002A2997"/>
    <w:rsid w:val="002A3CCF"/>
    <w:rsid w:val="002A42C2"/>
    <w:rsid w:val="002A4B35"/>
    <w:rsid w:val="002A5587"/>
    <w:rsid w:val="002A5FFD"/>
    <w:rsid w:val="002A6429"/>
    <w:rsid w:val="002B0C8A"/>
    <w:rsid w:val="002B0E92"/>
    <w:rsid w:val="002B149E"/>
    <w:rsid w:val="002B196D"/>
    <w:rsid w:val="002B2CBB"/>
    <w:rsid w:val="002B2CD8"/>
    <w:rsid w:val="002B4436"/>
    <w:rsid w:val="002B4B64"/>
    <w:rsid w:val="002B572A"/>
    <w:rsid w:val="002B624F"/>
    <w:rsid w:val="002C05AE"/>
    <w:rsid w:val="002C3286"/>
    <w:rsid w:val="002C3E76"/>
    <w:rsid w:val="002C42B8"/>
    <w:rsid w:val="002C5D28"/>
    <w:rsid w:val="002C78DE"/>
    <w:rsid w:val="002C7B73"/>
    <w:rsid w:val="002D032B"/>
    <w:rsid w:val="002D0691"/>
    <w:rsid w:val="002D1B95"/>
    <w:rsid w:val="002D1C83"/>
    <w:rsid w:val="002D350D"/>
    <w:rsid w:val="002D4C8A"/>
    <w:rsid w:val="002D5323"/>
    <w:rsid w:val="002D69A2"/>
    <w:rsid w:val="002D729E"/>
    <w:rsid w:val="002E202F"/>
    <w:rsid w:val="002E39A6"/>
    <w:rsid w:val="002E4D73"/>
    <w:rsid w:val="002E4F42"/>
    <w:rsid w:val="002E5634"/>
    <w:rsid w:val="002E5A4C"/>
    <w:rsid w:val="002E7366"/>
    <w:rsid w:val="002E745A"/>
    <w:rsid w:val="002E7537"/>
    <w:rsid w:val="002E772C"/>
    <w:rsid w:val="002F0232"/>
    <w:rsid w:val="002F1524"/>
    <w:rsid w:val="002F1882"/>
    <w:rsid w:val="002F258D"/>
    <w:rsid w:val="002F2817"/>
    <w:rsid w:val="002F386C"/>
    <w:rsid w:val="002F4197"/>
    <w:rsid w:val="002F4209"/>
    <w:rsid w:val="002F4AB2"/>
    <w:rsid w:val="002F53F0"/>
    <w:rsid w:val="002F5498"/>
    <w:rsid w:val="002F5B07"/>
    <w:rsid w:val="002F620B"/>
    <w:rsid w:val="002F62C2"/>
    <w:rsid w:val="002F6921"/>
    <w:rsid w:val="002F73E9"/>
    <w:rsid w:val="00300A1E"/>
    <w:rsid w:val="00300B89"/>
    <w:rsid w:val="00300E57"/>
    <w:rsid w:val="0030122B"/>
    <w:rsid w:val="00301428"/>
    <w:rsid w:val="0030149C"/>
    <w:rsid w:val="00301FBC"/>
    <w:rsid w:val="003029C9"/>
    <w:rsid w:val="003029F6"/>
    <w:rsid w:val="003034D6"/>
    <w:rsid w:val="00305819"/>
    <w:rsid w:val="00305C7C"/>
    <w:rsid w:val="00305D41"/>
    <w:rsid w:val="003060BE"/>
    <w:rsid w:val="00306594"/>
    <w:rsid w:val="00306B52"/>
    <w:rsid w:val="00306E42"/>
    <w:rsid w:val="00306F25"/>
    <w:rsid w:val="00306FF1"/>
    <w:rsid w:val="00311109"/>
    <w:rsid w:val="00312822"/>
    <w:rsid w:val="0031436B"/>
    <w:rsid w:val="003143C6"/>
    <w:rsid w:val="00315A1F"/>
    <w:rsid w:val="003171DB"/>
    <w:rsid w:val="003177A9"/>
    <w:rsid w:val="00317BCC"/>
    <w:rsid w:val="00320579"/>
    <w:rsid w:val="00320A69"/>
    <w:rsid w:val="003224FD"/>
    <w:rsid w:val="00323ACC"/>
    <w:rsid w:val="00324282"/>
    <w:rsid w:val="00325827"/>
    <w:rsid w:val="003274E4"/>
    <w:rsid w:val="003309A4"/>
    <w:rsid w:val="00331196"/>
    <w:rsid w:val="003315F8"/>
    <w:rsid w:val="0033182C"/>
    <w:rsid w:val="00332C7B"/>
    <w:rsid w:val="00332E3A"/>
    <w:rsid w:val="0033349A"/>
    <w:rsid w:val="0033352A"/>
    <w:rsid w:val="00335640"/>
    <w:rsid w:val="00335CA2"/>
    <w:rsid w:val="00336C46"/>
    <w:rsid w:val="00337AAC"/>
    <w:rsid w:val="00337AEB"/>
    <w:rsid w:val="00337BC1"/>
    <w:rsid w:val="00340808"/>
    <w:rsid w:val="00341902"/>
    <w:rsid w:val="003425A4"/>
    <w:rsid w:val="00343B50"/>
    <w:rsid w:val="00343F04"/>
    <w:rsid w:val="0034423E"/>
    <w:rsid w:val="0034507E"/>
    <w:rsid w:val="00345873"/>
    <w:rsid w:val="00345A2A"/>
    <w:rsid w:val="00346E9F"/>
    <w:rsid w:val="00347BD4"/>
    <w:rsid w:val="00350799"/>
    <w:rsid w:val="00351160"/>
    <w:rsid w:val="0035181F"/>
    <w:rsid w:val="00351E8B"/>
    <w:rsid w:val="00352000"/>
    <w:rsid w:val="00352AB9"/>
    <w:rsid w:val="00353003"/>
    <w:rsid w:val="003537C2"/>
    <w:rsid w:val="003541E3"/>
    <w:rsid w:val="003561A6"/>
    <w:rsid w:val="003561F4"/>
    <w:rsid w:val="00356830"/>
    <w:rsid w:val="00357638"/>
    <w:rsid w:val="003603D6"/>
    <w:rsid w:val="00361056"/>
    <w:rsid w:val="003614C3"/>
    <w:rsid w:val="00362CE2"/>
    <w:rsid w:val="00363DDA"/>
    <w:rsid w:val="00365582"/>
    <w:rsid w:val="00365833"/>
    <w:rsid w:val="003678C5"/>
    <w:rsid w:val="00372C31"/>
    <w:rsid w:val="00373460"/>
    <w:rsid w:val="0037539E"/>
    <w:rsid w:val="00375B76"/>
    <w:rsid w:val="00375E24"/>
    <w:rsid w:val="00375F56"/>
    <w:rsid w:val="0037770D"/>
    <w:rsid w:val="00377D04"/>
    <w:rsid w:val="00380626"/>
    <w:rsid w:val="00380B7D"/>
    <w:rsid w:val="00380C06"/>
    <w:rsid w:val="00381A2D"/>
    <w:rsid w:val="00382789"/>
    <w:rsid w:val="003839C2"/>
    <w:rsid w:val="0038440A"/>
    <w:rsid w:val="0038453D"/>
    <w:rsid w:val="0038478E"/>
    <w:rsid w:val="00384B0D"/>
    <w:rsid w:val="00386500"/>
    <w:rsid w:val="0038674E"/>
    <w:rsid w:val="003874FB"/>
    <w:rsid w:val="00387734"/>
    <w:rsid w:val="00387EE7"/>
    <w:rsid w:val="003904C5"/>
    <w:rsid w:val="00391113"/>
    <w:rsid w:val="003912AC"/>
    <w:rsid w:val="00391824"/>
    <w:rsid w:val="00393895"/>
    <w:rsid w:val="00394037"/>
    <w:rsid w:val="0039497E"/>
    <w:rsid w:val="00394CEE"/>
    <w:rsid w:val="0039502C"/>
    <w:rsid w:val="00395ABC"/>
    <w:rsid w:val="00396D5F"/>
    <w:rsid w:val="00396FD9"/>
    <w:rsid w:val="00397F25"/>
    <w:rsid w:val="003A0804"/>
    <w:rsid w:val="003A1282"/>
    <w:rsid w:val="003A19BE"/>
    <w:rsid w:val="003A1D5F"/>
    <w:rsid w:val="003A2C81"/>
    <w:rsid w:val="003A3FE7"/>
    <w:rsid w:val="003A44C8"/>
    <w:rsid w:val="003A45F7"/>
    <w:rsid w:val="003A4C1B"/>
    <w:rsid w:val="003A52BE"/>
    <w:rsid w:val="003A56FC"/>
    <w:rsid w:val="003A5800"/>
    <w:rsid w:val="003A61D1"/>
    <w:rsid w:val="003A6910"/>
    <w:rsid w:val="003A6BA3"/>
    <w:rsid w:val="003A7182"/>
    <w:rsid w:val="003A753C"/>
    <w:rsid w:val="003B14DA"/>
    <w:rsid w:val="003B3CBC"/>
    <w:rsid w:val="003B49F6"/>
    <w:rsid w:val="003B4DD7"/>
    <w:rsid w:val="003B4F1D"/>
    <w:rsid w:val="003B536E"/>
    <w:rsid w:val="003B570C"/>
    <w:rsid w:val="003B5D1E"/>
    <w:rsid w:val="003B615A"/>
    <w:rsid w:val="003B769C"/>
    <w:rsid w:val="003C0822"/>
    <w:rsid w:val="003C11EF"/>
    <w:rsid w:val="003C14AE"/>
    <w:rsid w:val="003C3B8C"/>
    <w:rsid w:val="003C487F"/>
    <w:rsid w:val="003C63BA"/>
    <w:rsid w:val="003C6D74"/>
    <w:rsid w:val="003C6FC1"/>
    <w:rsid w:val="003C7027"/>
    <w:rsid w:val="003C7041"/>
    <w:rsid w:val="003C7376"/>
    <w:rsid w:val="003C7817"/>
    <w:rsid w:val="003D0081"/>
    <w:rsid w:val="003D01C8"/>
    <w:rsid w:val="003D115D"/>
    <w:rsid w:val="003D13C8"/>
    <w:rsid w:val="003D158D"/>
    <w:rsid w:val="003D2649"/>
    <w:rsid w:val="003D3669"/>
    <w:rsid w:val="003D3C23"/>
    <w:rsid w:val="003D40C5"/>
    <w:rsid w:val="003D4E94"/>
    <w:rsid w:val="003D776F"/>
    <w:rsid w:val="003E0F1F"/>
    <w:rsid w:val="003E1038"/>
    <w:rsid w:val="003E19EC"/>
    <w:rsid w:val="003E1DD6"/>
    <w:rsid w:val="003E3F68"/>
    <w:rsid w:val="003E452F"/>
    <w:rsid w:val="003E49C2"/>
    <w:rsid w:val="003E5154"/>
    <w:rsid w:val="003E66BF"/>
    <w:rsid w:val="003E7CE2"/>
    <w:rsid w:val="003F0CE6"/>
    <w:rsid w:val="003F1470"/>
    <w:rsid w:val="003F195F"/>
    <w:rsid w:val="003F4479"/>
    <w:rsid w:val="003F5F43"/>
    <w:rsid w:val="003F65B2"/>
    <w:rsid w:val="003F6B6B"/>
    <w:rsid w:val="003F7C3E"/>
    <w:rsid w:val="004004FD"/>
    <w:rsid w:val="00400FF3"/>
    <w:rsid w:val="004011EA"/>
    <w:rsid w:val="0040215D"/>
    <w:rsid w:val="00402B65"/>
    <w:rsid w:val="00402C91"/>
    <w:rsid w:val="00402DBD"/>
    <w:rsid w:val="00403479"/>
    <w:rsid w:val="0040418A"/>
    <w:rsid w:val="0040453C"/>
    <w:rsid w:val="004058FA"/>
    <w:rsid w:val="00405B84"/>
    <w:rsid w:val="004063C5"/>
    <w:rsid w:val="00407399"/>
    <w:rsid w:val="00407C54"/>
    <w:rsid w:val="004110D5"/>
    <w:rsid w:val="004118E0"/>
    <w:rsid w:val="00413024"/>
    <w:rsid w:val="00413919"/>
    <w:rsid w:val="0041470D"/>
    <w:rsid w:val="0041488F"/>
    <w:rsid w:val="0041556B"/>
    <w:rsid w:val="00416A1D"/>
    <w:rsid w:val="00417318"/>
    <w:rsid w:val="00417472"/>
    <w:rsid w:val="004215F5"/>
    <w:rsid w:val="00421642"/>
    <w:rsid w:val="004219A8"/>
    <w:rsid w:val="00424D38"/>
    <w:rsid w:val="0042555E"/>
    <w:rsid w:val="00425BE4"/>
    <w:rsid w:val="00427230"/>
    <w:rsid w:val="004275FF"/>
    <w:rsid w:val="00430A46"/>
    <w:rsid w:val="00431B9F"/>
    <w:rsid w:val="00432DC2"/>
    <w:rsid w:val="00432EA4"/>
    <w:rsid w:val="00432F32"/>
    <w:rsid w:val="00433797"/>
    <w:rsid w:val="00433E97"/>
    <w:rsid w:val="004346E7"/>
    <w:rsid w:val="00434DBF"/>
    <w:rsid w:val="004357EE"/>
    <w:rsid w:val="004357F9"/>
    <w:rsid w:val="004367C1"/>
    <w:rsid w:val="00436AB2"/>
    <w:rsid w:val="00437152"/>
    <w:rsid w:val="00437245"/>
    <w:rsid w:val="00437B0F"/>
    <w:rsid w:val="0044078B"/>
    <w:rsid w:val="00441E0F"/>
    <w:rsid w:val="00443EFB"/>
    <w:rsid w:val="004440D9"/>
    <w:rsid w:val="00444709"/>
    <w:rsid w:val="00446D24"/>
    <w:rsid w:val="00447338"/>
    <w:rsid w:val="00447763"/>
    <w:rsid w:val="00450315"/>
    <w:rsid w:val="00450AB6"/>
    <w:rsid w:val="00450D28"/>
    <w:rsid w:val="00451670"/>
    <w:rsid w:val="00451B82"/>
    <w:rsid w:val="00451BF7"/>
    <w:rsid w:val="004522BD"/>
    <w:rsid w:val="004523DD"/>
    <w:rsid w:val="0045444F"/>
    <w:rsid w:val="00454621"/>
    <w:rsid w:val="0045473D"/>
    <w:rsid w:val="00455777"/>
    <w:rsid w:val="00455F1A"/>
    <w:rsid w:val="004561FB"/>
    <w:rsid w:val="00457264"/>
    <w:rsid w:val="004574B0"/>
    <w:rsid w:val="0046006A"/>
    <w:rsid w:val="00460B6A"/>
    <w:rsid w:val="00460C3F"/>
    <w:rsid w:val="00461C0D"/>
    <w:rsid w:val="004629E7"/>
    <w:rsid w:val="0046300C"/>
    <w:rsid w:val="00463141"/>
    <w:rsid w:val="00463425"/>
    <w:rsid w:val="00463C9C"/>
    <w:rsid w:val="0046570E"/>
    <w:rsid w:val="0046617A"/>
    <w:rsid w:val="00466B9C"/>
    <w:rsid w:val="004700F0"/>
    <w:rsid w:val="004704E2"/>
    <w:rsid w:val="00470DBC"/>
    <w:rsid w:val="00471583"/>
    <w:rsid w:val="00472364"/>
    <w:rsid w:val="0047307F"/>
    <w:rsid w:val="00474263"/>
    <w:rsid w:val="00474777"/>
    <w:rsid w:val="00477192"/>
    <w:rsid w:val="004775FA"/>
    <w:rsid w:val="00480FF5"/>
    <w:rsid w:val="004822C8"/>
    <w:rsid w:val="00482E27"/>
    <w:rsid w:val="00484286"/>
    <w:rsid w:val="00486380"/>
    <w:rsid w:val="0048665F"/>
    <w:rsid w:val="00486C6C"/>
    <w:rsid w:val="00487784"/>
    <w:rsid w:val="00487A6B"/>
    <w:rsid w:val="00487AC5"/>
    <w:rsid w:val="0049095F"/>
    <w:rsid w:val="00491960"/>
    <w:rsid w:val="00491C3B"/>
    <w:rsid w:val="00491E0A"/>
    <w:rsid w:val="00492C34"/>
    <w:rsid w:val="00492D37"/>
    <w:rsid w:val="004933D0"/>
    <w:rsid w:val="0049408B"/>
    <w:rsid w:val="004945CE"/>
    <w:rsid w:val="00494AC8"/>
    <w:rsid w:val="004964CC"/>
    <w:rsid w:val="004968CD"/>
    <w:rsid w:val="004968E7"/>
    <w:rsid w:val="0049706B"/>
    <w:rsid w:val="00497368"/>
    <w:rsid w:val="004973D1"/>
    <w:rsid w:val="00497C98"/>
    <w:rsid w:val="004A116F"/>
    <w:rsid w:val="004A2F3F"/>
    <w:rsid w:val="004A36A4"/>
    <w:rsid w:val="004A38E6"/>
    <w:rsid w:val="004A4AC1"/>
    <w:rsid w:val="004A541A"/>
    <w:rsid w:val="004A7264"/>
    <w:rsid w:val="004A7407"/>
    <w:rsid w:val="004A7E16"/>
    <w:rsid w:val="004B087A"/>
    <w:rsid w:val="004B0B25"/>
    <w:rsid w:val="004B1852"/>
    <w:rsid w:val="004B1E5A"/>
    <w:rsid w:val="004B3DCA"/>
    <w:rsid w:val="004B452F"/>
    <w:rsid w:val="004B4E5C"/>
    <w:rsid w:val="004B529F"/>
    <w:rsid w:val="004B5B79"/>
    <w:rsid w:val="004B60C9"/>
    <w:rsid w:val="004B6C0D"/>
    <w:rsid w:val="004B6ECC"/>
    <w:rsid w:val="004B77EC"/>
    <w:rsid w:val="004B7BC6"/>
    <w:rsid w:val="004C1712"/>
    <w:rsid w:val="004C1EC1"/>
    <w:rsid w:val="004C299C"/>
    <w:rsid w:val="004C2B14"/>
    <w:rsid w:val="004C332C"/>
    <w:rsid w:val="004C33C9"/>
    <w:rsid w:val="004C3D31"/>
    <w:rsid w:val="004C4413"/>
    <w:rsid w:val="004C49AD"/>
    <w:rsid w:val="004C4A05"/>
    <w:rsid w:val="004C5A06"/>
    <w:rsid w:val="004C5F72"/>
    <w:rsid w:val="004D0C02"/>
    <w:rsid w:val="004D4286"/>
    <w:rsid w:val="004D4314"/>
    <w:rsid w:val="004D536E"/>
    <w:rsid w:val="004D6A22"/>
    <w:rsid w:val="004D72B0"/>
    <w:rsid w:val="004E161C"/>
    <w:rsid w:val="004E2BDC"/>
    <w:rsid w:val="004E356F"/>
    <w:rsid w:val="004E3D84"/>
    <w:rsid w:val="004E3E0C"/>
    <w:rsid w:val="004E41D2"/>
    <w:rsid w:val="004E4C36"/>
    <w:rsid w:val="004E64F6"/>
    <w:rsid w:val="004E67BE"/>
    <w:rsid w:val="004E6BC9"/>
    <w:rsid w:val="004F0299"/>
    <w:rsid w:val="004F1518"/>
    <w:rsid w:val="004F2510"/>
    <w:rsid w:val="004F6784"/>
    <w:rsid w:val="004F6B3D"/>
    <w:rsid w:val="004F72E8"/>
    <w:rsid w:val="004F7851"/>
    <w:rsid w:val="0050076C"/>
    <w:rsid w:val="0050100F"/>
    <w:rsid w:val="00501F04"/>
    <w:rsid w:val="0050215F"/>
    <w:rsid w:val="005028D7"/>
    <w:rsid w:val="0050294B"/>
    <w:rsid w:val="00503E6D"/>
    <w:rsid w:val="00504A45"/>
    <w:rsid w:val="00505FEB"/>
    <w:rsid w:val="00506E57"/>
    <w:rsid w:val="00507106"/>
    <w:rsid w:val="005072F7"/>
    <w:rsid w:val="0051067C"/>
    <w:rsid w:val="00510722"/>
    <w:rsid w:val="00511E39"/>
    <w:rsid w:val="00512D2A"/>
    <w:rsid w:val="00513233"/>
    <w:rsid w:val="00513FE6"/>
    <w:rsid w:val="00514140"/>
    <w:rsid w:val="0051449E"/>
    <w:rsid w:val="005148B0"/>
    <w:rsid w:val="0051519B"/>
    <w:rsid w:val="0051617C"/>
    <w:rsid w:val="00517775"/>
    <w:rsid w:val="00517FB6"/>
    <w:rsid w:val="00520ABA"/>
    <w:rsid w:val="005214FD"/>
    <w:rsid w:val="00521CD2"/>
    <w:rsid w:val="00522C94"/>
    <w:rsid w:val="0052347F"/>
    <w:rsid w:val="005238F0"/>
    <w:rsid w:val="00523A49"/>
    <w:rsid w:val="00523FA4"/>
    <w:rsid w:val="0052405C"/>
    <w:rsid w:val="00526314"/>
    <w:rsid w:val="0052663C"/>
    <w:rsid w:val="00526846"/>
    <w:rsid w:val="00526B08"/>
    <w:rsid w:val="00526EDF"/>
    <w:rsid w:val="0053045D"/>
    <w:rsid w:val="00531F89"/>
    <w:rsid w:val="00532558"/>
    <w:rsid w:val="005329BC"/>
    <w:rsid w:val="00532CB7"/>
    <w:rsid w:val="00533AB4"/>
    <w:rsid w:val="005342F5"/>
    <w:rsid w:val="00534420"/>
    <w:rsid w:val="00534E6D"/>
    <w:rsid w:val="00537373"/>
    <w:rsid w:val="00537976"/>
    <w:rsid w:val="00540137"/>
    <w:rsid w:val="005406AC"/>
    <w:rsid w:val="00540F0F"/>
    <w:rsid w:val="00541BF7"/>
    <w:rsid w:val="00543A32"/>
    <w:rsid w:val="00543BB5"/>
    <w:rsid w:val="00544CF3"/>
    <w:rsid w:val="00544D9A"/>
    <w:rsid w:val="0054582D"/>
    <w:rsid w:val="00546908"/>
    <w:rsid w:val="005470B0"/>
    <w:rsid w:val="0055052B"/>
    <w:rsid w:val="00550BDD"/>
    <w:rsid w:val="0055155F"/>
    <w:rsid w:val="00551BA5"/>
    <w:rsid w:val="005531A1"/>
    <w:rsid w:val="00553887"/>
    <w:rsid w:val="0055420D"/>
    <w:rsid w:val="005553A1"/>
    <w:rsid w:val="0055702A"/>
    <w:rsid w:val="0056021D"/>
    <w:rsid w:val="00560E2F"/>
    <w:rsid w:val="00561529"/>
    <w:rsid w:val="00561C44"/>
    <w:rsid w:val="00561D0C"/>
    <w:rsid w:val="0056258E"/>
    <w:rsid w:val="00563466"/>
    <w:rsid w:val="005639DB"/>
    <w:rsid w:val="005645AF"/>
    <w:rsid w:val="005647A9"/>
    <w:rsid w:val="0056486E"/>
    <w:rsid w:val="0056502D"/>
    <w:rsid w:val="00565DC0"/>
    <w:rsid w:val="00566697"/>
    <w:rsid w:val="00567FF7"/>
    <w:rsid w:val="00570DDA"/>
    <w:rsid w:val="005710FB"/>
    <w:rsid w:val="00571F02"/>
    <w:rsid w:val="00573628"/>
    <w:rsid w:val="0057473D"/>
    <w:rsid w:val="00574BCD"/>
    <w:rsid w:val="005754BA"/>
    <w:rsid w:val="005757BB"/>
    <w:rsid w:val="005762A3"/>
    <w:rsid w:val="00576505"/>
    <w:rsid w:val="005819D7"/>
    <w:rsid w:val="005820D9"/>
    <w:rsid w:val="0058298E"/>
    <w:rsid w:val="00584562"/>
    <w:rsid w:val="00584E0C"/>
    <w:rsid w:val="0058590D"/>
    <w:rsid w:val="00586BB7"/>
    <w:rsid w:val="00587064"/>
    <w:rsid w:val="00587E2E"/>
    <w:rsid w:val="00591223"/>
    <w:rsid w:val="00591241"/>
    <w:rsid w:val="00591A9A"/>
    <w:rsid w:val="00591A9E"/>
    <w:rsid w:val="005923C5"/>
    <w:rsid w:val="00592979"/>
    <w:rsid w:val="00596F84"/>
    <w:rsid w:val="00597D2D"/>
    <w:rsid w:val="005A06B8"/>
    <w:rsid w:val="005A25BB"/>
    <w:rsid w:val="005A3C7D"/>
    <w:rsid w:val="005A4927"/>
    <w:rsid w:val="005A4C62"/>
    <w:rsid w:val="005A5860"/>
    <w:rsid w:val="005A6229"/>
    <w:rsid w:val="005A695A"/>
    <w:rsid w:val="005A6DD4"/>
    <w:rsid w:val="005B009D"/>
    <w:rsid w:val="005B117E"/>
    <w:rsid w:val="005B1C12"/>
    <w:rsid w:val="005B304A"/>
    <w:rsid w:val="005B35F3"/>
    <w:rsid w:val="005B439F"/>
    <w:rsid w:val="005B47AA"/>
    <w:rsid w:val="005B5BEE"/>
    <w:rsid w:val="005B74C4"/>
    <w:rsid w:val="005B77FC"/>
    <w:rsid w:val="005B7DFF"/>
    <w:rsid w:val="005C0177"/>
    <w:rsid w:val="005C04E0"/>
    <w:rsid w:val="005C175F"/>
    <w:rsid w:val="005C287C"/>
    <w:rsid w:val="005C3381"/>
    <w:rsid w:val="005C3833"/>
    <w:rsid w:val="005C3D76"/>
    <w:rsid w:val="005C5AFD"/>
    <w:rsid w:val="005C5C72"/>
    <w:rsid w:val="005D0D32"/>
    <w:rsid w:val="005D175F"/>
    <w:rsid w:val="005D1B4F"/>
    <w:rsid w:val="005D5EC5"/>
    <w:rsid w:val="005E1358"/>
    <w:rsid w:val="005E163C"/>
    <w:rsid w:val="005E342A"/>
    <w:rsid w:val="005E35F2"/>
    <w:rsid w:val="005E43F4"/>
    <w:rsid w:val="005E5BE2"/>
    <w:rsid w:val="005E5C9D"/>
    <w:rsid w:val="005E6936"/>
    <w:rsid w:val="005E69D7"/>
    <w:rsid w:val="005E7A34"/>
    <w:rsid w:val="005E7E2C"/>
    <w:rsid w:val="005E7F8C"/>
    <w:rsid w:val="005E7FF4"/>
    <w:rsid w:val="005F0A77"/>
    <w:rsid w:val="005F1FB9"/>
    <w:rsid w:val="005F26DB"/>
    <w:rsid w:val="005F2A7B"/>
    <w:rsid w:val="005F3941"/>
    <w:rsid w:val="005F4EA9"/>
    <w:rsid w:val="005F53A4"/>
    <w:rsid w:val="005F5A79"/>
    <w:rsid w:val="005F73AA"/>
    <w:rsid w:val="005F7AAE"/>
    <w:rsid w:val="006001D7"/>
    <w:rsid w:val="00601CA4"/>
    <w:rsid w:val="0060243A"/>
    <w:rsid w:val="006027D4"/>
    <w:rsid w:val="00602F6B"/>
    <w:rsid w:val="0060300A"/>
    <w:rsid w:val="00603A50"/>
    <w:rsid w:val="00604BAE"/>
    <w:rsid w:val="00604D5D"/>
    <w:rsid w:val="00606FEF"/>
    <w:rsid w:val="00610F9D"/>
    <w:rsid w:val="006141F6"/>
    <w:rsid w:val="00615002"/>
    <w:rsid w:val="00615725"/>
    <w:rsid w:val="00615C8A"/>
    <w:rsid w:val="006172F0"/>
    <w:rsid w:val="0062034E"/>
    <w:rsid w:val="006216CC"/>
    <w:rsid w:val="00621909"/>
    <w:rsid w:val="0062376A"/>
    <w:rsid w:val="00623830"/>
    <w:rsid w:val="006242B6"/>
    <w:rsid w:val="00624863"/>
    <w:rsid w:val="006249C6"/>
    <w:rsid w:val="00624F55"/>
    <w:rsid w:val="00625893"/>
    <w:rsid w:val="00626A9B"/>
    <w:rsid w:val="00630AB2"/>
    <w:rsid w:val="00631865"/>
    <w:rsid w:val="0063209B"/>
    <w:rsid w:val="006331A2"/>
    <w:rsid w:val="00635F51"/>
    <w:rsid w:val="0063675A"/>
    <w:rsid w:val="0064094D"/>
    <w:rsid w:val="006423D4"/>
    <w:rsid w:val="006431E1"/>
    <w:rsid w:val="00643582"/>
    <w:rsid w:val="00643895"/>
    <w:rsid w:val="00644F7F"/>
    <w:rsid w:val="006453A3"/>
    <w:rsid w:val="00645A95"/>
    <w:rsid w:val="00645F38"/>
    <w:rsid w:val="00647717"/>
    <w:rsid w:val="00647C2E"/>
    <w:rsid w:val="0065057A"/>
    <w:rsid w:val="00650A91"/>
    <w:rsid w:val="00650F67"/>
    <w:rsid w:val="006510B8"/>
    <w:rsid w:val="006520E6"/>
    <w:rsid w:val="00652140"/>
    <w:rsid w:val="00652246"/>
    <w:rsid w:val="00652642"/>
    <w:rsid w:val="0065330A"/>
    <w:rsid w:val="00654AD3"/>
    <w:rsid w:val="006552DD"/>
    <w:rsid w:val="0065554C"/>
    <w:rsid w:val="006556F5"/>
    <w:rsid w:val="006604C9"/>
    <w:rsid w:val="00660613"/>
    <w:rsid w:val="00660A41"/>
    <w:rsid w:val="00660F8D"/>
    <w:rsid w:val="0066156A"/>
    <w:rsid w:val="006615B8"/>
    <w:rsid w:val="006616D0"/>
    <w:rsid w:val="00663ADA"/>
    <w:rsid w:val="00664E81"/>
    <w:rsid w:val="00665267"/>
    <w:rsid w:val="00665E6E"/>
    <w:rsid w:val="00667404"/>
    <w:rsid w:val="00667A48"/>
    <w:rsid w:val="00667D6D"/>
    <w:rsid w:val="00670FA1"/>
    <w:rsid w:val="006711D3"/>
    <w:rsid w:val="0067317C"/>
    <w:rsid w:val="00673453"/>
    <w:rsid w:val="00674F03"/>
    <w:rsid w:val="00675628"/>
    <w:rsid w:val="006776B0"/>
    <w:rsid w:val="00677EE1"/>
    <w:rsid w:val="00680CDD"/>
    <w:rsid w:val="006815C1"/>
    <w:rsid w:val="00683E5E"/>
    <w:rsid w:val="0068609E"/>
    <w:rsid w:val="00687B82"/>
    <w:rsid w:val="00690142"/>
    <w:rsid w:val="0069060C"/>
    <w:rsid w:val="006910C1"/>
    <w:rsid w:val="00691618"/>
    <w:rsid w:val="00692444"/>
    <w:rsid w:val="0069294E"/>
    <w:rsid w:val="00692A9B"/>
    <w:rsid w:val="00692B78"/>
    <w:rsid w:val="00693122"/>
    <w:rsid w:val="0069387A"/>
    <w:rsid w:val="00693CEC"/>
    <w:rsid w:val="00694B66"/>
    <w:rsid w:val="006950A0"/>
    <w:rsid w:val="00696F67"/>
    <w:rsid w:val="006A04D1"/>
    <w:rsid w:val="006A1438"/>
    <w:rsid w:val="006A342C"/>
    <w:rsid w:val="006A349A"/>
    <w:rsid w:val="006A3897"/>
    <w:rsid w:val="006A3C08"/>
    <w:rsid w:val="006A44FB"/>
    <w:rsid w:val="006A5BEB"/>
    <w:rsid w:val="006A5E4C"/>
    <w:rsid w:val="006A6A24"/>
    <w:rsid w:val="006A7A12"/>
    <w:rsid w:val="006B1EDB"/>
    <w:rsid w:val="006B2C52"/>
    <w:rsid w:val="006B3E09"/>
    <w:rsid w:val="006B45B2"/>
    <w:rsid w:val="006B4ACA"/>
    <w:rsid w:val="006B67C0"/>
    <w:rsid w:val="006B6CA6"/>
    <w:rsid w:val="006B7524"/>
    <w:rsid w:val="006C0EAA"/>
    <w:rsid w:val="006C3A41"/>
    <w:rsid w:val="006C3B58"/>
    <w:rsid w:val="006C52E6"/>
    <w:rsid w:val="006C5DC0"/>
    <w:rsid w:val="006C73A5"/>
    <w:rsid w:val="006C76F4"/>
    <w:rsid w:val="006C7914"/>
    <w:rsid w:val="006D06B5"/>
    <w:rsid w:val="006D09D6"/>
    <w:rsid w:val="006D1B1E"/>
    <w:rsid w:val="006D3630"/>
    <w:rsid w:val="006D3E9E"/>
    <w:rsid w:val="006D3F78"/>
    <w:rsid w:val="006D4211"/>
    <w:rsid w:val="006D4BD2"/>
    <w:rsid w:val="006D67C6"/>
    <w:rsid w:val="006D69EE"/>
    <w:rsid w:val="006D6C50"/>
    <w:rsid w:val="006E004B"/>
    <w:rsid w:val="006E1343"/>
    <w:rsid w:val="006E2BB1"/>
    <w:rsid w:val="006E3D27"/>
    <w:rsid w:val="006E47DE"/>
    <w:rsid w:val="006E5888"/>
    <w:rsid w:val="006E6FD9"/>
    <w:rsid w:val="006E7041"/>
    <w:rsid w:val="006E77A1"/>
    <w:rsid w:val="006E7F7C"/>
    <w:rsid w:val="006F00D0"/>
    <w:rsid w:val="006F0DB7"/>
    <w:rsid w:val="006F1418"/>
    <w:rsid w:val="006F2CE7"/>
    <w:rsid w:val="006F37A7"/>
    <w:rsid w:val="006F4217"/>
    <w:rsid w:val="006F72AB"/>
    <w:rsid w:val="006F7632"/>
    <w:rsid w:val="00700A4D"/>
    <w:rsid w:val="0070145D"/>
    <w:rsid w:val="00701C93"/>
    <w:rsid w:val="0070468B"/>
    <w:rsid w:val="00704FA3"/>
    <w:rsid w:val="00705333"/>
    <w:rsid w:val="00705A4E"/>
    <w:rsid w:val="00705EC9"/>
    <w:rsid w:val="007062CB"/>
    <w:rsid w:val="00706D8D"/>
    <w:rsid w:val="007100B9"/>
    <w:rsid w:val="00710438"/>
    <w:rsid w:val="00710DA7"/>
    <w:rsid w:val="00712BB4"/>
    <w:rsid w:val="00712ECA"/>
    <w:rsid w:val="007133EB"/>
    <w:rsid w:val="00713411"/>
    <w:rsid w:val="007136A3"/>
    <w:rsid w:val="007146C8"/>
    <w:rsid w:val="00714AD4"/>
    <w:rsid w:val="00716852"/>
    <w:rsid w:val="0071767B"/>
    <w:rsid w:val="00720A0A"/>
    <w:rsid w:val="0072428C"/>
    <w:rsid w:val="007243C6"/>
    <w:rsid w:val="007245A8"/>
    <w:rsid w:val="00725C10"/>
    <w:rsid w:val="00727EB2"/>
    <w:rsid w:val="00730168"/>
    <w:rsid w:val="007303CC"/>
    <w:rsid w:val="00731F5E"/>
    <w:rsid w:val="00732078"/>
    <w:rsid w:val="007323D3"/>
    <w:rsid w:val="00733143"/>
    <w:rsid w:val="0073335D"/>
    <w:rsid w:val="007335FA"/>
    <w:rsid w:val="007337F2"/>
    <w:rsid w:val="007346CF"/>
    <w:rsid w:val="00734F7B"/>
    <w:rsid w:val="007353DC"/>
    <w:rsid w:val="00735AA3"/>
    <w:rsid w:val="00735C47"/>
    <w:rsid w:val="00736410"/>
    <w:rsid w:val="0073703A"/>
    <w:rsid w:val="00737309"/>
    <w:rsid w:val="00740C45"/>
    <w:rsid w:val="0074215C"/>
    <w:rsid w:val="007425FE"/>
    <w:rsid w:val="00742608"/>
    <w:rsid w:val="00742839"/>
    <w:rsid w:val="00743469"/>
    <w:rsid w:val="00744861"/>
    <w:rsid w:val="00745FCF"/>
    <w:rsid w:val="007471B1"/>
    <w:rsid w:val="007506C1"/>
    <w:rsid w:val="007522C3"/>
    <w:rsid w:val="00752CFC"/>
    <w:rsid w:val="00752D1C"/>
    <w:rsid w:val="007536A8"/>
    <w:rsid w:val="00753DBC"/>
    <w:rsid w:val="00754C0C"/>
    <w:rsid w:val="00755D47"/>
    <w:rsid w:val="0076010A"/>
    <w:rsid w:val="00761983"/>
    <w:rsid w:val="00761B1C"/>
    <w:rsid w:val="00761CBD"/>
    <w:rsid w:val="0076208A"/>
    <w:rsid w:val="007653B1"/>
    <w:rsid w:val="007667F6"/>
    <w:rsid w:val="00770207"/>
    <w:rsid w:val="00772DAC"/>
    <w:rsid w:val="00774E02"/>
    <w:rsid w:val="007750CA"/>
    <w:rsid w:val="00775532"/>
    <w:rsid w:val="00775679"/>
    <w:rsid w:val="0077724F"/>
    <w:rsid w:val="00777447"/>
    <w:rsid w:val="0078020D"/>
    <w:rsid w:val="007814B9"/>
    <w:rsid w:val="00781850"/>
    <w:rsid w:val="007819FF"/>
    <w:rsid w:val="007825C2"/>
    <w:rsid w:val="0078344E"/>
    <w:rsid w:val="0078355A"/>
    <w:rsid w:val="007836BF"/>
    <w:rsid w:val="00785618"/>
    <w:rsid w:val="0078669E"/>
    <w:rsid w:val="007879E5"/>
    <w:rsid w:val="00787B50"/>
    <w:rsid w:val="007906CB"/>
    <w:rsid w:val="00792856"/>
    <w:rsid w:val="00792FD1"/>
    <w:rsid w:val="00792FE2"/>
    <w:rsid w:val="00793AFB"/>
    <w:rsid w:val="00793FFA"/>
    <w:rsid w:val="00795A68"/>
    <w:rsid w:val="00796A35"/>
    <w:rsid w:val="00797392"/>
    <w:rsid w:val="007A0B3D"/>
    <w:rsid w:val="007A0FF3"/>
    <w:rsid w:val="007A141F"/>
    <w:rsid w:val="007A2186"/>
    <w:rsid w:val="007A2378"/>
    <w:rsid w:val="007A270D"/>
    <w:rsid w:val="007A2CB3"/>
    <w:rsid w:val="007A3E1E"/>
    <w:rsid w:val="007A425D"/>
    <w:rsid w:val="007A4BBD"/>
    <w:rsid w:val="007A50E2"/>
    <w:rsid w:val="007A629E"/>
    <w:rsid w:val="007A6452"/>
    <w:rsid w:val="007A701A"/>
    <w:rsid w:val="007A71DF"/>
    <w:rsid w:val="007A7BAF"/>
    <w:rsid w:val="007B04AD"/>
    <w:rsid w:val="007B0CD0"/>
    <w:rsid w:val="007B0D0B"/>
    <w:rsid w:val="007B0E98"/>
    <w:rsid w:val="007B360C"/>
    <w:rsid w:val="007B4E74"/>
    <w:rsid w:val="007B6758"/>
    <w:rsid w:val="007B6884"/>
    <w:rsid w:val="007B6A78"/>
    <w:rsid w:val="007B7873"/>
    <w:rsid w:val="007C3040"/>
    <w:rsid w:val="007C3D07"/>
    <w:rsid w:val="007C4D4B"/>
    <w:rsid w:val="007C5B2D"/>
    <w:rsid w:val="007C5F9D"/>
    <w:rsid w:val="007C736C"/>
    <w:rsid w:val="007D11A2"/>
    <w:rsid w:val="007D1312"/>
    <w:rsid w:val="007D1AA5"/>
    <w:rsid w:val="007D1CB6"/>
    <w:rsid w:val="007D2066"/>
    <w:rsid w:val="007D222F"/>
    <w:rsid w:val="007D2AF6"/>
    <w:rsid w:val="007D3156"/>
    <w:rsid w:val="007D382A"/>
    <w:rsid w:val="007D39A3"/>
    <w:rsid w:val="007D3BE8"/>
    <w:rsid w:val="007D5F62"/>
    <w:rsid w:val="007D61BA"/>
    <w:rsid w:val="007D6A5E"/>
    <w:rsid w:val="007D7E64"/>
    <w:rsid w:val="007E169E"/>
    <w:rsid w:val="007E1FF2"/>
    <w:rsid w:val="007E2488"/>
    <w:rsid w:val="007E32B1"/>
    <w:rsid w:val="007E3371"/>
    <w:rsid w:val="007E5012"/>
    <w:rsid w:val="007E5114"/>
    <w:rsid w:val="007E5354"/>
    <w:rsid w:val="007E53FA"/>
    <w:rsid w:val="007E57CF"/>
    <w:rsid w:val="007E65B7"/>
    <w:rsid w:val="007F11E5"/>
    <w:rsid w:val="007F133E"/>
    <w:rsid w:val="007F18FE"/>
    <w:rsid w:val="007F3C9D"/>
    <w:rsid w:val="007F4354"/>
    <w:rsid w:val="007F4C79"/>
    <w:rsid w:val="007F4D26"/>
    <w:rsid w:val="007F5197"/>
    <w:rsid w:val="007F56A9"/>
    <w:rsid w:val="007F5E02"/>
    <w:rsid w:val="007F78FE"/>
    <w:rsid w:val="007F79D7"/>
    <w:rsid w:val="008000CB"/>
    <w:rsid w:val="00801E55"/>
    <w:rsid w:val="008023ED"/>
    <w:rsid w:val="008033A9"/>
    <w:rsid w:val="0080353F"/>
    <w:rsid w:val="00804E5C"/>
    <w:rsid w:val="00805169"/>
    <w:rsid w:val="0080516A"/>
    <w:rsid w:val="00806198"/>
    <w:rsid w:val="00806899"/>
    <w:rsid w:val="00806CFB"/>
    <w:rsid w:val="00807448"/>
    <w:rsid w:val="008075CD"/>
    <w:rsid w:val="00807B99"/>
    <w:rsid w:val="00807BEC"/>
    <w:rsid w:val="00807D9A"/>
    <w:rsid w:val="00811C92"/>
    <w:rsid w:val="008120D9"/>
    <w:rsid w:val="008125CD"/>
    <w:rsid w:val="008132C8"/>
    <w:rsid w:val="00814396"/>
    <w:rsid w:val="00815A77"/>
    <w:rsid w:val="00816324"/>
    <w:rsid w:val="00817CF0"/>
    <w:rsid w:val="00820B7B"/>
    <w:rsid w:val="0082141F"/>
    <w:rsid w:val="00823210"/>
    <w:rsid w:val="00823FA8"/>
    <w:rsid w:val="00825334"/>
    <w:rsid w:val="0082543B"/>
    <w:rsid w:val="00826105"/>
    <w:rsid w:val="008265C2"/>
    <w:rsid w:val="008271F8"/>
    <w:rsid w:val="0082735C"/>
    <w:rsid w:val="0082749C"/>
    <w:rsid w:val="008310B8"/>
    <w:rsid w:val="00832267"/>
    <w:rsid w:val="008323CB"/>
    <w:rsid w:val="00833BE7"/>
    <w:rsid w:val="008343F0"/>
    <w:rsid w:val="00834A79"/>
    <w:rsid w:val="00835245"/>
    <w:rsid w:val="008365E8"/>
    <w:rsid w:val="00837C4E"/>
    <w:rsid w:val="00837D5E"/>
    <w:rsid w:val="00840350"/>
    <w:rsid w:val="0084169F"/>
    <w:rsid w:val="00842633"/>
    <w:rsid w:val="00842A28"/>
    <w:rsid w:val="00842C22"/>
    <w:rsid w:val="00843247"/>
    <w:rsid w:val="0084343F"/>
    <w:rsid w:val="008439F7"/>
    <w:rsid w:val="00843D7B"/>
    <w:rsid w:val="008440BA"/>
    <w:rsid w:val="008443F0"/>
    <w:rsid w:val="0084479B"/>
    <w:rsid w:val="00844D08"/>
    <w:rsid w:val="0084739B"/>
    <w:rsid w:val="00847457"/>
    <w:rsid w:val="00847D0C"/>
    <w:rsid w:val="00847EB7"/>
    <w:rsid w:val="00847F56"/>
    <w:rsid w:val="0085070F"/>
    <w:rsid w:val="00851366"/>
    <w:rsid w:val="008514F0"/>
    <w:rsid w:val="00851CBE"/>
    <w:rsid w:val="00851F55"/>
    <w:rsid w:val="00852BD6"/>
    <w:rsid w:val="008530F1"/>
    <w:rsid w:val="008536BF"/>
    <w:rsid w:val="00853AD6"/>
    <w:rsid w:val="008547CF"/>
    <w:rsid w:val="00854F7F"/>
    <w:rsid w:val="0085564F"/>
    <w:rsid w:val="00856718"/>
    <w:rsid w:val="0085696E"/>
    <w:rsid w:val="008609D5"/>
    <w:rsid w:val="00860D18"/>
    <w:rsid w:val="00861A34"/>
    <w:rsid w:val="00861E12"/>
    <w:rsid w:val="00863880"/>
    <w:rsid w:val="008638FA"/>
    <w:rsid w:val="008655FF"/>
    <w:rsid w:val="00865692"/>
    <w:rsid w:val="00866649"/>
    <w:rsid w:val="008703A9"/>
    <w:rsid w:val="008706DF"/>
    <w:rsid w:val="00871967"/>
    <w:rsid w:val="00871AD6"/>
    <w:rsid w:val="00873E54"/>
    <w:rsid w:val="0087409B"/>
    <w:rsid w:val="00874DF0"/>
    <w:rsid w:val="00875AF0"/>
    <w:rsid w:val="00876065"/>
    <w:rsid w:val="00876BCB"/>
    <w:rsid w:val="00876E0D"/>
    <w:rsid w:val="00877831"/>
    <w:rsid w:val="00881047"/>
    <w:rsid w:val="0088105B"/>
    <w:rsid w:val="00881B25"/>
    <w:rsid w:val="00881E37"/>
    <w:rsid w:val="0088265E"/>
    <w:rsid w:val="0088343D"/>
    <w:rsid w:val="00884CB1"/>
    <w:rsid w:val="0088514A"/>
    <w:rsid w:val="00885237"/>
    <w:rsid w:val="00885309"/>
    <w:rsid w:val="0088567F"/>
    <w:rsid w:val="008856FC"/>
    <w:rsid w:val="0088642E"/>
    <w:rsid w:val="008867BF"/>
    <w:rsid w:val="00887801"/>
    <w:rsid w:val="008905F8"/>
    <w:rsid w:val="00890BC1"/>
    <w:rsid w:val="0089149E"/>
    <w:rsid w:val="0089157E"/>
    <w:rsid w:val="00892A7A"/>
    <w:rsid w:val="00893FD8"/>
    <w:rsid w:val="00894E0D"/>
    <w:rsid w:val="00895870"/>
    <w:rsid w:val="00896EA6"/>
    <w:rsid w:val="00897F91"/>
    <w:rsid w:val="008A0C2C"/>
    <w:rsid w:val="008A20C8"/>
    <w:rsid w:val="008A2458"/>
    <w:rsid w:val="008A359B"/>
    <w:rsid w:val="008A4C2E"/>
    <w:rsid w:val="008A59AF"/>
    <w:rsid w:val="008A5D59"/>
    <w:rsid w:val="008A64C4"/>
    <w:rsid w:val="008A7104"/>
    <w:rsid w:val="008A749C"/>
    <w:rsid w:val="008B1246"/>
    <w:rsid w:val="008B1C35"/>
    <w:rsid w:val="008B1CB2"/>
    <w:rsid w:val="008B2327"/>
    <w:rsid w:val="008B502B"/>
    <w:rsid w:val="008B5795"/>
    <w:rsid w:val="008B61A0"/>
    <w:rsid w:val="008B66AC"/>
    <w:rsid w:val="008B6C65"/>
    <w:rsid w:val="008B6EC9"/>
    <w:rsid w:val="008B7A4B"/>
    <w:rsid w:val="008B7AC4"/>
    <w:rsid w:val="008C0B9D"/>
    <w:rsid w:val="008C2F8A"/>
    <w:rsid w:val="008C3A4F"/>
    <w:rsid w:val="008C3B09"/>
    <w:rsid w:val="008C4EE5"/>
    <w:rsid w:val="008C5E28"/>
    <w:rsid w:val="008C6FC5"/>
    <w:rsid w:val="008D1182"/>
    <w:rsid w:val="008D15CD"/>
    <w:rsid w:val="008D2214"/>
    <w:rsid w:val="008D2450"/>
    <w:rsid w:val="008D247E"/>
    <w:rsid w:val="008D26A5"/>
    <w:rsid w:val="008D37FE"/>
    <w:rsid w:val="008D4EC0"/>
    <w:rsid w:val="008D5A24"/>
    <w:rsid w:val="008D5DEB"/>
    <w:rsid w:val="008D684D"/>
    <w:rsid w:val="008D69A0"/>
    <w:rsid w:val="008D7687"/>
    <w:rsid w:val="008D7B51"/>
    <w:rsid w:val="008D7C97"/>
    <w:rsid w:val="008D7D93"/>
    <w:rsid w:val="008E07C4"/>
    <w:rsid w:val="008E1464"/>
    <w:rsid w:val="008E1B61"/>
    <w:rsid w:val="008E1ECB"/>
    <w:rsid w:val="008E2F54"/>
    <w:rsid w:val="008E4394"/>
    <w:rsid w:val="008E448A"/>
    <w:rsid w:val="008E5559"/>
    <w:rsid w:val="008E62DE"/>
    <w:rsid w:val="008E69A1"/>
    <w:rsid w:val="008E6A3C"/>
    <w:rsid w:val="008E6B6C"/>
    <w:rsid w:val="008E724D"/>
    <w:rsid w:val="008E7A6C"/>
    <w:rsid w:val="008E7EA9"/>
    <w:rsid w:val="008F045D"/>
    <w:rsid w:val="008F062E"/>
    <w:rsid w:val="008F17E0"/>
    <w:rsid w:val="008F1A20"/>
    <w:rsid w:val="008F20D4"/>
    <w:rsid w:val="008F2917"/>
    <w:rsid w:val="008F2DB4"/>
    <w:rsid w:val="008F3C0F"/>
    <w:rsid w:val="008F4714"/>
    <w:rsid w:val="008F6257"/>
    <w:rsid w:val="008F7544"/>
    <w:rsid w:val="008F75CE"/>
    <w:rsid w:val="008F7920"/>
    <w:rsid w:val="008F7B5D"/>
    <w:rsid w:val="008F7E4F"/>
    <w:rsid w:val="00900D91"/>
    <w:rsid w:val="00901C2C"/>
    <w:rsid w:val="00901F4C"/>
    <w:rsid w:val="0090209F"/>
    <w:rsid w:val="00902147"/>
    <w:rsid w:val="00902BCC"/>
    <w:rsid w:val="009032CC"/>
    <w:rsid w:val="00904178"/>
    <w:rsid w:val="00904B70"/>
    <w:rsid w:val="00904D6D"/>
    <w:rsid w:val="009056C3"/>
    <w:rsid w:val="0090684A"/>
    <w:rsid w:val="0090716A"/>
    <w:rsid w:val="00912976"/>
    <w:rsid w:val="00912B98"/>
    <w:rsid w:val="00912E1F"/>
    <w:rsid w:val="00914B40"/>
    <w:rsid w:val="00915059"/>
    <w:rsid w:val="0091550B"/>
    <w:rsid w:val="009163E6"/>
    <w:rsid w:val="00916A8E"/>
    <w:rsid w:val="00916E04"/>
    <w:rsid w:val="00921D4E"/>
    <w:rsid w:val="00922D83"/>
    <w:rsid w:val="00923245"/>
    <w:rsid w:val="009248F1"/>
    <w:rsid w:val="00925830"/>
    <w:rsid w:val="0092601F"/>
    <w:rsid w:val="00926C01"/>
    <w:rsid w:val="00927351"/>
    <w:rsid w:val="00927723"/>
    <w:rsid w:val="00927A7E"/>
    <w:rsid w:val="00927B94"/>
    <w:rsid w:val="00927FE1"/>
    <w:rsid w:val="009305DA"/>
    <w:rsid w:val="0093090B"/>
    <w:rsid w:val="009346BE"/>
    <w:rsid w:val="0093477A"/>
    <w:rsid w:val="0093731B"/>
    <w:rsid w:val="009379E3"/>
    <w:rsid w:val="0094232F"/>
    <w:rsid w:val="00942815"/>
    <w:rsid w:val="00943F73"/>
    <w:rsid w:val="009473C6"/>
    <w:rsid w:val="00947E4D"/>
    <w:rsid w:val="009508A1"/>
    <w:rsid w:val="00950B97"/>
    <w:rsid w:val="00950E1E"/>
    <w:rsid w:val="00951262"/>
    <w:rsid w:val="0095192B"/>
    <w:rsid w:val="00951BDE"/>
    <w:rsid w:val="009529BB"/>
    <w:rsid w:val="00953996"/>
    <w:rsid w:val="009545F5"/>
    <w:rsid w:val="009547CA"/>
    <w:rsid w:val="0095633F"/>
    <w:rsid w:val="00956710"/>
    <w:rsid w:val="00956E7C"/>
    <w:rsid w:val="0095712C"/>
    <w:rsid w:val="009573E9"/>
    <w:rsid w:val="0096069A"/>
    <w:rsid w:val="009614CB"/>
    <w:rsid w:val="00963D50"/>
    <w:rsid w:val="009655C5"/>
    <w:rsid w:val="00965798"/>
    <w:rsid w:val="009659F9"/>
    <w:rsid w:val="009664A0"/>
    <w:rsid w:val="00966ABD"/>
    <w:rsid w:val="00967824"/>
    <w:rsid w:val="009700AE"/>
    <w:rsid w:val="00970290"/>
    <w:rsid w:val="00970514"/>
    <w:rsid w:val="00970BA3"/>
    <w:rsid w:val="00970E5C"/>
    <w:rsid w:val="00971179"/>
    <w:rsid w:val="00971A40"/>
    <w:rsid w:val="00972960"/>
    <w:rsid w:val="00973120"/>
    <w:rsid w:val="00973A29"/>
    <w:rsid w:val="00973D36"/>
    <w:rsid w:val="009749C9"/>
    <w:rsid w:val="00974C23"/>
    <w:rsid w:val="00975B7A"/>
    <w:rsid w:val="00976087"/>
    <w:rsid w:val="009767B2"/>
    <w:rsid w:val="009803FB"/>
    <w:rsid w:val="009804A8"/>
    <w:rsid w:val="00980CC7"/>
    <w:rsid w:val="00981637"/>
    <w:rsid w:val="0098167E"/>
    <w:rsid w:val="00981CB0"/>
    <w:rsid w:val="00982ADC"/>
    <w:rsid w:val="00982C50"/>
    <w:rsid w:val="009833D5"/>
    <w:rsid w:val="00984856"/>
    <w:rsid w:val="009848FE"/>
    <w:rsid w:val="00984E5E"/>
    <w:rsid w:val="00986450"/>
    <w:rsid w:val="00986E41"/>
    <w:rsid w:val="009873BE"/>
    <w:rsid w:val="00987C13"/>
    <w:rsid w:val="00987D09"/>
    <w:rsid w:val="00990807"/>
    <w:rsid w:val="00990DE5"/>
    <w:rsid w:val="00990F2D"/>
    <w:rsid w:val="0099101A"/>
    <w:rsid w:val="00991114"/>
    <w:rsid w:val="009913FD"/>
    <w:rsid w:val="00993319"/>
    <w:rsid w:val="009947A4"/>
    <w:rsid w:val="009A08EC"/>
    <w:rsid w:val="009A1176"/>
    <w:rsid w:val="009A23EC"/>
    <w:rsid w:val="009A249F"/>
    <w:rsid w:val="009A4CD6"/>
    <w:rsid w:val="009A6170"/>
    <w:rsid w:val="009A63B1"/>
    <w:rsid w:val="009B047D"/>
    <w:rsid w:val="009B0AE9"/>
    <w:rsid w:val="009B0DDC"/>
    <w:rsid w:val="009B17ED"/>
    <w:rsid w:val="009B18F9"/>
    <w:rsid w:val="009B1DD9"/>
    <w:rsid w:val="009B2077"/>
    <w:rsid w:val="009B28DA"/>
    <w:rsid w:val="009B31FA"/>
    <w:rsid w:val="009B5454"/>
    <w:rsid w:val="009B6A11"/>
    <w:rsid w:val="009B6F3F"/>
    <w:rsid w:val="009B7066"/>
    <w:rsid w:val="009B7EE9"/>
    <w:rsid w:val="009C019A"/>
    <w:rsid w:val="009C0AE1"/>
    <w:rsid w:val="009C0EC4"/>
    <w:rsid w:val="009C18D9"/>
    <w:rsid w:val="009C1931"/>
    <w:rsid w:val="009C1A74"/>
    <w:rsid w:val="009C24C6"/>
    <w:rsid w:val="009C2EC8"/>
    <w:rsid w:val="009C3006"/>
    <w:rsid w:val="009C5560"/>
    <w:rsid w:val="009C5D24"/>
    <w:rsid w:val="009C5EA4"/>
    <w:rsid w:val="009C672A"/>
    <w:rsid w:val="009D0A3A"/>
    <w:rsid w:val="009D2772"/>
    <w:rsid w:val="009D2B7D"/>
    <w:rsid w:val="009D51BC"/>
    <w:rsid w:val="009D552A"/>
    <w:rsid w:val="009D5EAF"/>
    <w:rsid w:val="009D64FA"/>
    <w:rsid w:val="009D757B"/>
    <w:rsid w:val="009D779B"/>
    <w:rsid w:val="009E0D32"/>
    <w:rsid w:val="009E0F94"/>
    <w:rsid w:val="009E2D3E"/>
    <w:rsid w:val="009E35E6"/>
    <w:rsid w:val="009E3E0E"/>
    <w:rsid w:val="009E3FF7"/>
    <w:rsid w:val="009E4696"/>
    <w:rsid w:val="009E5DEB"/>
    <w:rsid w:val="009E6900"/>
    <w:rsid w:val="009E7A7B"/>
    <w:rsid w:val="009E7D90"/>
    <w:rsid w:val="009F08C4"/>
    <w:rsid w:val="009F1893"/>
    <w:rsid w:val="009F18C5"/>
    <w:rsid w:val="009F1E88"/>
    <w:rsid w:val="009F2B67"/>
    <w:rsid w:val="009F2E5C"/>
    <w:rsid w:val="009F3854"/>
    <w:rsid w:val="009F478A"/>
    <w:rsid w:val="009F4C22"/>
    <w:rsid w:val="009F56FB"/>
    <w:rsid w:val="009F5A86"/>
    <w:rsid w:val="009F5E51"/>
    <w:rsid w:val="009F65B3"/>
    <w:rsid w:val="009F7AB3"/>
    <w:rsid w:val="00A0046B"/>
    <w:rsid w:val="00A0086F"/>
    <w:rsid w:val="00A00D8A"/>
    <w:rsid w:val="00A00F2D"/>
    <w:rsid w:val="00A011CE"/>
    <w:rsid w:val="00A01252"/>
    <w:rsid w:val="00A0208C"/>
    <w:rsid w:val="00A02B48"/>
    <w:rsid w:val="00A0399A"/>
    <w:rsid w:val="00A03CCF"/>
    <w:rsid w:val="00A05BD2"/>
    <w:rsid w:val="00A0672E"/>
    <w:rsid w:val="00A06CF2"/>
    <w:rsid w:val="00A074C3"/>
    <w:rsid w:val="00A108DD"/>
    <w:rsid w:val="00A1137A"/>
    <w:rsid w:val="00A11E17"/>
    <w:rsid w:val="00A123B5"/>
    <w:rsid w:val="00A12594"/>
    <w:rsid w:val="00A13261"/>
    <w:rsid w:val="00A137BB"/>
    <w:rsid w:val="00A13979"/>
    <w:rsid w:val="00A14368"/>
    <w:rsid w:val="00A144A9"/>
    <w:rsid w:val="00A150B4"/>
    <w:rsid w:val="00A15CB2"/>
    <w:rsid w:val="00A167F6"/>
    <w:rsid w:val="00A16B5A"/>
    <w:rsid w:val="00A17D36"/>
    <w:rsid w:val="00A240F2"/>
    <w:rsid w:val="00A2434E"/>
    <w:rsid w:val="00A245D3"/>
    <w:rsid w:val="00A26818"/>
    <w:rsid w:val="00A26891"/>
    <w:rsid w:val="00A2749C"/>
    <w:rsid w:val="00A30B19"/>
    <w:rsid w:val="00A31BA7"/>
    <w:rsid w:val="00A320E7"/>
    <w:rsid w:val="00A329ED"/>
    <w:rsid w:val="00A32D69"/>
    <w:rsid w:val="00A33AF5"/>
    <w:rsid w:val="00A3450F"/>
    <w:rsid w:val="00A355E2"/>
    <w:rsid w:val="00A378AA"/>
    <w:rsid w:val="00A4035B"/>
    <w:rsid w:val="00A4146B"/>
    <w:rsid w:val="00A416CD"/>
    <w:rsid w:val="00A421B5"/>
    <w:rsid w:val="00A42F40"/>
    <w:rsid w:val="00A433EB"/>
    <w:rsid w:val="00A4388C"/>
    <w:rsid w:val="00A43F55"/>
    <w:rsid w:val="00A44E71"/>
    <w:rsid w:val="00A46688"/>
    <w:rsid w:val="00A47A19"/>
    <w:rsid w:val="00A51FAC"/>
    <w:rsid w:val="00A521D1"/>
    <w:rsid w:val="00A5220A"/>
    <w:rsid w:val="00A52979"/>
    <w:rsid w:val="00A53EB3"/>
    <w:rsid w:val="00A543C5"/>
    <w:rsid w:val="00A54A89"/>
    <w:rsid w:val="00A55527"/>
    <w:rsid w:val="00A55A72"/>
    <w:rsid w:val="00A56F53"/>
    <w:rsid w:val="00A576AE"/>
    <w:rsid w:val="00A57DD5"/>
    <w:rsid w:val="00A60CC0"/>
    <w:rsid w:val="00A6136F"/>
    <w:rsid w:val="00A633FC"/>
    <w:rsid w:val="00A64683"/>
    <w:rsid w:val="00A659C3"/>
    <w:rsid w:val="00A662E4"/>
    <w:rsid w:val="00A668C7"/>
    <w:rsid w:val="00A669C7"/>
    <w:rsid w:val="00A66AEF"/>
    <w:rsid w:val="00A70065"/>
    <w:rsid w:val="00A70144"/>
    <w:rsid w:val="00A70C8C"/>
    <w:rsid w:val="00A7192B"/>
    <w:rsid w:val="00A71E8C"/>
    <w:rsid w:val="00A7200B"/>
    <w:rsid w:val="00A7200E"/>
    <w:rsid w:val="00A727C7"/>
    <w:rsid w:val="00A73921"/>
    <w:rsid w:val="00A74A24"/>
    <w:rsid w:val="00A75C2E"/>
    <w:rsid w:val="00A76924"/>
    <w:rsid w:val="00A81143"/>
    <w:rsid w:val="00A81377"/>
    <w:rsid w:val="00A814B2"/>
    <w:rsid w:val="00A83CD5"/>
    <w:rsid w:val="00A83FA8"/>
    <w:rsid w:val="00A846C5"/>
    <w:rsid w:val="00A84EB9"/>
    <w:rsid w:val="00A856EC"/>
    <w:rsid w:val="00A85823"/>
    <w:rsid w:val="00A85A3C"/>
    <w:rsid w:val="00A8715B"/>
    <w:rsid w:val="00A87169"/>
    <w:rsid w:val="00A901F7"/>
    <w:rsid w:val="00A90E6D"/>
    <w:rsid w:val="00A913B2"/>
    <w:rsid w:val="00A91EE0"/>
    <w:rsid w:val="00A929F6"/>
    <w:rsid w:val="00A92B9A"/>
    <w:rsid w:val="00A937AC"/>
    <w:rsid w:val="00A93BF7"/>
    <w:rsid w:val="00A93F21"/>
    <w:rsid w:val="00A94367"/>
    <w:rsid w:val="00A956D5"/>
    <w:rsid w:val="00A95FFE"/>
    <w:rsid w:val="00A960E2"/>
    <w:rsid w:val="00A96959"/>
    <w:rsid w:val="00A96A8A"/>
    <w:rsid w:val="00A971B7"/>
    <w:rsid w:val="00A97FE8"/>
    <w:rsid w:val="00AA0E14"/>
    <w:rsid w:val="00AA1E51"/>
    <w:rsid w:val="00AA21F5"/>
    <w:rsid w:val="00AA29C0"/>
    <w:rsid w:val="00AA38EB"/>
    <w:rsid w:val="00AA4E73"/>
    <w:rsid w:val="00AA5589"/>
    <w:rsid w:val="00AA5BF7"/>
    <w:rsid w:val="00AA7511"/>
    <w:rsid w:val="00AA754A"/>
    <w:rsid w:val="00AA758D"/>
    <w:rsid w:val="00AB0C5E"/>
    <w:rsid w:val="00AB0C97"/>
    <w:rsid w:val="00AB109B"/>
    <w:rsid w:val="00AB1297"/>
    <w:rsid w:val="00AB13C8"/>
    <w:rsid w:val="00AB1993"/>
    <w:rsid w:val="00AB20B6"/>
    <w:rsid w:val="00AB23B0"/>
    <w:rsid w:val="00AB298F"/>
    <w:rsid w:val="00AB3187"/>
    <w:rsid w:val="00AB36FC"/>
    <w:rsid w:val="00AB3AAD"/>
    <w:rsid w:val="00AB3CB5"/>
    <w:rsid w:val="00AB53D0"/>
    <w:rsid w:val="00AB62FA"/>
    <w:rsid w:val="00AB6A43"/>
    <w:rsid w:val="00AB7317"/>
    <w:rsid w:val="00AB7453"/>
    <w:rsid w:val="00AC09CB"/>
    <w:rsid w:val="00AC36F8"/>
    <w:rsid w:val="00AC3BD6"/>
    <w:rsid w:val="00AC4392"/>
    <w:rsid w:val="00AC460F"/>
    <w:rsid w:val="00AC48ED"/>
    <w:rsid w:val="00AC4DF6"/>
    <w:rsid w:val="00AC4F2A"/>
    <w:rsid w:val="00AC55EC"/>
    <w:rsid w:val="00AC5893"/>
    <w:rsid w:val="00AC5BAA"/>
    <w:rsid w:val="00AC7E2F"/>
    <w:rsid w:val="00AD1D42"/>
    <w:rsid w:val="00AD1F1E"/>
    <w:rsid w:val="00AD2937"/>
    <w:rsid w:val="00AD31D9"/>
    <w:rsid w:val="00AD442C"/>
    <w:rsid w:val="00AD5C2B"/>
    <w:rsid w:val="00AD670A"/>
    <w:rsid w:val="00AD692B"/>
    <w:rsid w:val="00AD7DEC"/>
    <w:rsid w:val="00AE02AC"/>
    <w:rsid w:val="00AE107D"/>
    <w:rsid w:val="00AE23EE"/>
    <w:rsid w:val="00AE365A"/>
    <w:rsid w:val="00AE438E"/>
    <w:rsid w:val="00AE4ED2"/>
    <w:rsid w:val="00AE5463"/>
    <w:rsid w:val="00AE5869"/>
    <w:rsid w:val="00AE5C17"/>
    <w:rsid w:val="00AE6577"/>
    <w:rsid w:val="00AE6A32"/>
    <w:rsid w:val="00AE6AB8"/>
    <w:rsid w:val="00AE6C1C"/>
    <w:rsid w:val="00AE7E88"/>
    <w:rsid w:val="00AF0EE2"/>
    <w:rsid w:val="00AF17BD"/>
    <w:rsid w:val="00AF2F91"/>
    <w:rsid w:val="00AF3583"/>
    <w:rsid w:val="00AF37DC"/>
    <w:rsid w:val="00AF4D8E"/>
    <w:rsid w:val="00AF4EFA"/>
    <w:rsid w:val="00AF5159"/>
    <w:rsid w:val="00AF52C1"/>
    <w:rsid w:val="00AF62AE"/>
    <w:rsid w:val="00AF6496"/>
    <w:rsid w:val="00AF78C1"/>
    <w:rsid w:val="00AF79B3"/>
    <w:rsid w:val="00B00C9A"/>
    <w:rsid w:val="00B01232"/>
    <w:rsid w:val="00B01572"/>
    <w:rsid w:val="00B01AB1"/>
    <w:rsid w:val="00B020F0"/>
    <w:rsid w:val="00B025BC"/>
    <w:rsid w:val="00B034C7"/>
    <w:rsid w:val="00B03A83"/>
    <w:rsid w:val="00B044CA"/>
    <w:rsid w:val="00B0516B"/>
    <w:rsid w:val="00B0531C"/>
    <w:rsid w:val="00B054B3"/>
    <w:rsid w:val="00B06B34"/>
    <w:rsid w:val="00B07C33"/>
    <w:rsid w:val="00B10090"/>
    <w:rsid w:val="00B1118E"/>
    <w:rsid w:val="00B12712"/>
    <w:rsid w:val="00B12BC5"/>
    <w:rsid w:val="00B132DB"/>
    <w:rsid w:val="00B134D6"/>
    <w:rsid w:val="00B13A30"/>
    <w:rsid w:val="00B1481C"/>
    <w:rsid w:val="00B1501C"/>
    <w:rsid w:val="00B1519A"/>
    <w:rsid w:val="00B15A0A"/>
    <w:rsid w:val="00B16E1D"/>
    <w:rsid w:val="00B1718B"/>
    <w:rsid w:val="00B20B68"/>
    <w:rsid w:val="00B20CC8"/>
    <w:rsid w:val="00B2166A"/>
    <w:rsid w:val="00B220A5"/>
    <w:rsid w:val="00B24CCE"/>
    <w:rsid w:val="00B25009"/>
    <w:rsid w:val="00B26F10"/>
    <w:rsid w:val="00B27AB7"/>
    <w:rsid w:val="00B31B78"/>
    <w:rsid w:val="00B32064"/>
    <w:rsid w:val="00B326BB"/>
    <w:rsid w:val="00B32795"/>
    <w:rsid w:val="00B32DBA"/>
    <w:rsid w:val="00B331D7"/>
    <w:rsid w:val="00B33371"/>
    <w:rsid w:val="00B336CD"/>
    <w:rsid w:val="00B35356"/>
    <w:rsid w:val="00B35588"/>
    <w:rsid w:val="00B35F4A"/>
    <w:rsid w:val="00B37AFE"/>
    <w:rsid w:val="00B37C0A"/>
    <w:rsid w:val="00B40340"/>
    <w:rsid w:val="00B41099"/>
    <w:rsid w:val="00B41243"/>
    <w:rsid w:val="00B42DC1"/>
    <w:rsid w:val="00B4308B"/>
    <w:rsid w:val="00B43154"/>
    <w:rsid w:val="00B436F6"/>
    <w:rsid w:val="00B46190"/>
    <w:rsid w:val="00B47309"/>
    <w:rsid w:val="00B47AC4"/>
    <w:rsid w:val="00B51AC1"/>
    <w:rsid w:val="00B52E14"/>
    <w:rsid w:val="00B52ECE"/>
    <w:rsid w:val="00B530AD"/>
    <w:rsid w:val="00B531A3"/>
    <w:rsid w:val="00B53D75"/>
    <w:rsid w:val="00B54028"/>
    <w:rsid w:val="00B56B9A"/>
    <w:rsid w:val="00B606BE"/>
    <w:rsid w:val="00B60A93"/>
    <w:rsid w:val="00B60E65"/>
    <w:rsid w:val="00B629C6"/>
    <w:rsid w:val="00B63197"/>
    <w:rsid w:val="00B6450F"/>
    <w:rsid w:val="00B65995"/>
    <w:rsid w:val="00B65AB4"/>
    <w:rsid w:val="00B6689C"/>
    <w:rsid w:val="00B66CE4"/>
    <w:rsid w:val="00B67721"/>
    <w:rsid w:val="00B6788C"/>
    <w:rsid w:val="00B70FDF"/>
    <w:rsid w:val="00B7174B"/>
    <w:rsid w:val="00B728C4"/>
    <w:rsid w:val="00B72B27"/>
    <w:rsid w:val="00B73748"/>
    <w:rsid w:val="00B74304"/>
    <w:rsid w:val="00B748F8"/>
    <w:rsid w:val="00B748F9"/>
    <w:rsid w:val="00B76739"/>
    <w:rsid w:val="00B7692A"/>
    <w:rsid w:val="00B77F26"/>
    <w:rsid w:val="00B80FC2"/>
    <w:rsid w:val="00B8197E"/>
    <w:rsid w:val="00B82811"/>
    <w:rsid w:val="00B83A56"/>
    <w:rsid w:val="00B842B1"/>
    <w:rsid w:val="00B84AF5"/>
    <w:rsid w:val="00B84E2F"/>
    <w:rsid w:val="00B85359"/>
    <w:rsid w:val="00B86721"/>
    <w:rsid w:val="00B867F6"/>
    <w:rsid w:val="00B909AB"/>
    <w:rsid w:val="00B91050"/>
    <w:rsid w:val="00B9156A"/>
    <w:rsid w:val="00B91D50"/>
    <w:rsid w:val="00B91F70"/>
    <w:rsid w:val="00B91FF0"/>
    <w:rsid w:val="00B92141"/>
    <w:rsid w:val="00B922F6"/>
    <w:rsid w:val="00B93CF3"/>
    <w:rsid w:val="00B96136"/>
    <w:rsid w:val="00B9620F"/>
    <w:rsid w:val="00B97F5B"/>
    <w:rsid w:val="00BA11CD"/>
    <w:rsid w:val="00BA2C4C"/>
    <w:rsid w:val="00BA3373"/>
    <w:rsid w:val="00BA46DE"/>
    <w:rsid w:val="00BA47B4"/>
    <w:rsid w:val="00BA496B"/>
    <w:rsid w:val="00BA632E"/>
    <w:rsid w:val="00BA729F"/>
    <w:rsid w:val="00BB08BC"/>
    <w:rsid w:val="00BB563B"/>
    <w:rsid w:val="00BB5885"/>
    <w:rsid w:val="00BB7645"/>
    <w:rsid w:val="00BB782E"/>
    <w:rsid w:val="00BC1656"/>
    <w:rsid w:val="00BC2E84"/>
    <w:rsid w:val="00BC3870"/>
    <w:rsid w:val="00BC3976"/>
    <w:rsid w:val="00BC412D"/>
    <w:rsid w:val="00BC4CBC"/>
    <w:rsid w:val="00BC4E99"/>
    <w:rsid w:val="00BC5025"/>
    <w:rsid w:val="00BC6A58"/>
    <w:rsid w:val="00BC6C3B"/>
    <w:rsid w:val="00BC7E62"/>
    <w:rsid w:val="00BD0D82"/>
    <w:rsid w:val="00BD152B"/>
    <w:rsid w:val="00BD1537"/>
    <w:rsid w:val="00BD16C5"/>
    <w:rsid w:val="00BD1806"/>
    <w:rsid w:val="00BD1B2F"/>
    <w:rsid w:val="00BD20CA"/>
    <w:rsid w:val="00BD2880"/>
    <w:rsid w:val="00BD3A8E"/>
    <w:rsid w:val="00BD4413"/>
    <w:rsid w:val="00BD4A13"/>
    <w:rsid w:val="00BD4A71"/>
    <w:rsid w:val="00BD7405"/>
    <w:rsid w:val="00BD7CB0"/>
    <w:rsid w:val="00BE04B5"/>
    <w:rsid w:val="00BE0674"/>
    <w:rsid w:val="00BE1162"/>
    <w:rsid w:val="00BE1475"/>
    <w:rsid w:val="00BE18B2"/>
    <w:rsid w:val="00BE1C5E"/>
    <w:rsid w:val="00BE2927"/>
    <w:rsid w:val="00BE314F"/>
    <w:rsid w:val="00BE4743"/>
    <w:rsid w:val="00BE4A8E"/>
    <w:rsid w:val="00BE4BBB"/>
    <w:rsid w:val="00BE4D3C"/>
    <w:rsid w:val="00BE5D45"/>
    <w:rsid w:val="00BE5FC0"/>
    <w:rsid w:val="00BE60DC"/>
    <w:rsid w:val="00BE61CF"/>
    <w:rsid w:val="00BE6F89"/>
    <w:rsid w:val="00BF3799"/>
    <w:rsid w:val="00BF4C5E"/>
    <w:rsid w:val="00BF4F5D"/>
    <w:rsid w:val="00BF7CA7"/>
    <w:rsid w:val="00C00038"/>
    <w:rsid w:val="00C005C7"/>
    <w:rsid w:val="00C02048"/>
    <w:rsid w:val="00C049C8"/>
    <w:rsid w:val="00C04AF5"/>
    <w:rsid w:val="00C04F95"/>
    <w:rsid w:val="00C05116"/>
    <w:rsid w:val="00C11A35"/>
    <w:rsid w:val="00C1226F"/>
    <w:rsid w:val="00C1256C"/>
    <w:rsid w:val="00C12B7B"/>
    <w:rsid w:val="00C14250"/>
    <w:rsid w:val="00C145CA"/>
    <w:rsid w:val="00C14741"/>
    <w:rsid w:val="00C149C1"/>
    <w:rsid w:val="00C15202"/>
    <w:rsid w:val="00C156B6"/>
    <w:rsid w:val="00C1791B"/>
    <w:rsid w:val="00C21125"/>
    <w:rsid w:val="00C21811"/>
    <w:rsid w:val="00C22730"/>
    <w:rsid w:val="00C2287F"/>
    <w:rsid w:val="00C23133"/>
    <w:rsid w:val="00C238EB"/>
    <w:rsid w:val="00C25C1D"/>
    <w:rsid w:val="00C2674D"/>
    <w:rsid w:val="00C27E59"/>
    <w:rsid w:val="00C31CBC"/>
    <w:rsid w:val="00C329DA"/>
    <w:rsid w:val="00C34F4A"/>
    <w:rsid w:val="00C350E7"/>
    <w:rsid w:val="00C35255"/>
    <w:rsid w:val="00C35675"/>
    <w:rsid w:val="00C37441"/>
    <w:rsid w:val="00C415DC"/>
    <w:rsid w:val="00C41ED3"/>
    <w:rsid w:val="00C4291C"/>
    <w:rsid w:val="00C431EE"/>
    <w:rsid w:val="00C4320C"/>
    <w:rsid w:val="00C43912"/>
    <w:rsid w:val="00C44118"/>
    <w:rsid w:val="00C44291"/>
    <w:rsid w:val="00C442C2"/>
    <w:rsid w:val="00C4536B"/>
    <w:rsid w:val="00C53A37"/>
    <w:rsid w:val="00C5440F"/>
    <w:rsid w:val="00C5505A"/>
    <w:rsid w:val="00C55C6B"/>
    <w:rsid w:val="00C603FE"/>
    <w:rsid w:val="00C61E4F"/>
    <w:rsid w:val="00C62541"/>
    <w:rsid w:val="00C629D8"/>
    <w:rsid w:val="00C62D26"/>
    <w:rsid w:val="00C643D4"/>
    <w:rsid w:val="00C64AFD"/>
    <w:rsid w:val="00C65503"/>
    <w:rsid w:val="00C663C1"/>
    <w:rsid w:val="00C672F9"/>
    <w:rsid w:val="00C70A58"/>
    <w:rsid w:val="00C71595"/>
    <w:rsid w:val="00C717D6"/>
    <w:rsid w:val="00C718DB"/>
    <w:rsid w:val="00C71D6A"/>
    <w:rsid w:val="00C73223"/>
    <w:rsid w:val="00C773B8"/>
    <w:rsid w:val="00C775FD"/>
    <w:rsid w:val="00C7779C"/>
    <w:rsid w:val="00C80A4D"/>
    <w:rsid w:val="00C80E76"/>
    <w:rsid w:val="00C81AE8"/>
    <w:rsid w:val="00C8340C"/>
    <w:rsid w:val="00C83BEF"/>
    <w:rsid w:val="00C83C42"/>
    <w:rsid w:val="00C83EAA"/>
    <w:rsid w:val="00C84ADB"/>
    <w:rsid w:val="00C856DF"/>
    <w:rsid w:val="00C863AC"/>
    <w:rsid w:val="00C86AC0"/>
    <w:rsid w:val="00C86BC6"/>
    <w:rsid w:val="00C8726D"/>
    <w:rsid w:val="00C90B2E"/>
    <w:rsid w:val="00C922AC"/>
    <w:rsid w:val="00C925E9"/>
    <w:rsid w:val="00C94BB5"/>
    <w:rsid w:val="00C94ED4"/>
    <w:rsid w:val="00C951B5"/>
    <w:rsid w:val="00C9575E"/>
    <w:rsid w:val="00C96685"/>
    <w:rsid w:val="00CA00D6"/>
    <w:rsid w:val="00CA258D"/>
    <w:rsid w:val="00CA2904"/>
    <w:rsid w:val="00CA3062"/>
    <w:rsid w:val="00CA318B"/>
    <w:rsid w:val="00CA3555"/>
    <w:rsid w:val="00CA39B8"/>
    <w:rsid w:val="00CA4AF0"/>
    <w:rsid w:val="00CA5278"/>
    <w:rsid w:val="00CA5719"/>
    <w:rsid w:val="00CA5747"/>
    <w:rsid w:val="00CA57A6"/>
    <w:rsid w:val="00CA5B64"/>
    <w:rsid w:val="00CA77F8"/>
    <w:rsid w:val="00CA7E00"/>
    <w:rsid w:val="00CB0563"/>
    <w:rsid w:val="00CB077E"/>
    <w:rsid w:val="00CB124F"/>
    <w:rsid w:val="00CB1C23"/>
    <w:rsid w:val="00CB2060"/>
    <w:rsid w:val="00CB2F71"/>
    <w:rsid w:val="00CB4787"/>
    <w:rsid w:val="00CB4E20"/>
    <w:rsid w:val="00CB518C"/>
    <w:rsid w:val="00CB63CD"/>
    <w:rsid w:val="00CB6845"/>
    <w:rsid w:val="00CB7792"/>
    <w:rsid w:val="00CC0788"/>
    <w:rsid w:val="00CC07B9"/>
    <w:rsid w:val="00CC0D6E"/>
    <w:rsid w:val="00CC23CB"/>
    <w:rsid w:val="00CC37F3"/>
    <w:rsid w:val="00CC397F"/>
    <w:rsid w:val="00CC4740"/>
    <w:rsid w:val="00CC4DE0"/>
    <w:rsid w:val="00CD03A9"/>
    <w:rsid w:val="00CD0DC9"/>
    <w:rsid w:val="00CD250F"/>
    <w:rsid w:val="00CD7676"/>
    <w:rsid w:val="00CD788E"/>
    <w:rsid w:val="00CD7BA5"/>
    <w:rsid w:val="00CE0BDA"/>
    <w:rsid w:val="00CE203C"/>
    <w:rsid w:val="00CE2DFA"/>
    <w:rsid w:val="00CE2DFF"/>
    <w:rsid w:val="00CE32EE"/>
    <w:rsid w:val="00CE32FC"/>
    <w:rsid w:val="00CE3301"/>
    <w:rsid w:val="00CE3863"/>
    <w:rsid w:val="00CE4080"/>
    <w:rsid w:val="00CE4B8C"/>
    <w:rsid w:val="00CE4EC8"/>
    <w:rsid w:val="00CE5D03"/>
    <w:rsid w:val="00CE7581"/>
    <w:rsid w:val="00CE78EA"/>
    <w:rsid w:val="00CE7FC4"/>
    <w:rsid w:val="00CF1CF5"/>
    <w:rsid w:val="00CF1EFC"/>
    <w:rsid w:val="00CF36F4"/>
    <w:rsid w:val="00CF4643"/>
    <w:rsid w:val="00CF678B"/>
    <w:rsid w:val="00CF75CE"/>
    <w:rsid w:val="00D01049"/>
    <w:rsid w:val="00D01181"/>
    <w:rsid w:val="00D01F1B"/>
    <w:rsid w:val="00D02909"/>
    <w:rsid w:val="00D03023"/>
    <w:rsid w:val="00D034D4"/>
    <w:rsid w:val="00D03E57"/>
    <w:rsid w:val="00D03F5F"/>
    <w:rsid w:val="00D04586"/>
    <w:rsid w:val="00D046A5"/>
    <w:rsid w:val="00D064C1"/>
    <w:rsid w:val="00D067D2"/>
    <w:rsid w:val="00D06C96"/>
    <w:rsid w:val="00D07525"/>
    <w:rsid w:val="00D1089C"/>
    <w:rsid w:val="00D10A26"/>
    <w:rsid w:val="00D110B2"/>
    <w:rsid w:val="00D11399"/>
    <w:rsid w:val="00D1309A"/>
    <w:rsid w:val="00D145C1"/>
    <w:rsid w:val="00D14ADB"/>
    <w:rsid w:val="00D151E1"/>
    <w:rsid w:val="00D159D8"/>
    <w:rsid w:val="00D203C8"/>
    <w:rsid w:val="00D205AB"/>
    <w:rsid w:val="00D22A1D"/>
    <w:rsid w:val="00D23864"/>
    <w:rsid w:val="00D23D38"/>
    <w:rsid w:val="00D24461"/>
    <w:rsid w:val="00D24964"/>
    <w:rsid w:val="00D25A5A"/>
    <w:rsid w:val="00D26619"/>
    <w:rsid w:val="00D269FD"/>
    <w:rsid w:val="00D2774C"/>
    <w:rsid w:val="00D27768"/>
    <w:rsid w:val="00D27875"/>
    <w:rsid w:val="00D27FB7"/>
    <w:rsid w:val="00D308B9"/>
    <w:rsid w:val="00D3260A"/>
    <w:rsid w:val="00D32AFA"/>
    <w:rsid w:val="00D32BF6"/>
    <w:rsid w:val="00D335CE"/>
    <w:rsid w:val="00D34125"/>
    <w:rsid w:val="00D34D94"/>
    <w:rsid w:val="00D356F8"/>
    <w:rsid w:val="00D357AD"/>
    <w:rsid w:val="00D3662C"/>
    <w:rsid w:val="00D406B0"/>
    <w:rsid w:val="00D4085A"/>
    <w:rsid w:val="00D411BB"/>
    <w:rsid w:val="00D42CE6"/>
    <w:rsid w:val="00D44355"/>
    <w:rsid w:val="00D46F0D"/>
    <w:rsid w:val="00D4785F"/>
    <w:rsid w:val="00D47D62"/>
    <w:rsid w:val="00D47DA1"/>
    <w:rsid w:val="00D50330"/>
    <w:rsid w:val="00D50485"/>
    <w:rsid w:val="00D51433"/>
    <w:rsid w:val="00D52E09"/>
    <w:rsid w:val="00D537D2"/>
    <w:rsid w:val="00D5545A"/>
    <w:rsid w:val="00D56800"/>
    <w:rsid w:val="00D57152"/>
    <w:rsid w:val="00D615BD"/>
    <w:rsid w:val="00D61F5E"/>
    <w:rsid w:val="00D62355"/>
    <w:rsid w:val="00D63E27"/>
    <w:rsid w:val="00D647BA"/>
    <w:rsid w:val="00D65126"/>
    <w:rsid w:val="00D65E07"/>
    <w:rsid w:val="00D66EE2"/>
    <w:rsid w:val="00D67CE0"/>
    <w:rsid w:val="00D67E94"/>
    <w:rsid w:val="00D706EC"/>
    <w:rsid w:val="00D70D31"/>
    <w:rsid w:val="00D71088"/>
    <w:rsid w:val="00D710DC"/>
    <w:rsid w:val="00D71382"/>
    <w:rsid w:val="00D71D08"/>
    <w:rsid w:val="00D72D56"/>
    <w:rsid w:val="00D73971"/>
    <w:rsid w:val="00D754E7"/>
    <w:rsid w:val="00D758FE"/>
    <w:rsid w:val="00D76168"/>
    <w:rsid w:val="00D76F1B"/>
    <w:rsid w:val="00D775CC"/>
    <w:rsid w:val="00D7774E"/>
    <w:rsid w:val="00D77964"/>
    <w:rsid w:val="00D77B19"/>
    <w:rsid w:val="00D77DF1"/>
    <w:rsid w:val="00D80E10"/>
    <w:rsid w:val="00D8159C"/>
    <w:rsid w:val="00D81BD8"/>
    <w:rsid w:val="00D81E9C"/>
    <w:rsid w:val="00D82548"/>
    <w:rsid w:val="00D82774"/>
    <w:rsid w:val="00D82AD5"/>
    <w:rsid w:val="00D82EDD"/>
    <w:rsid w:val="00D83558"/>
    <w:rsid w:val="00D8489B"/>
    <w:rsid w:val="00D8518E"/>
    <w:rsid w:val="00D85818"/>
    <w:rsid w:val="00D85B18"/>
    <w:rsid w:val="00D86053"/>
    <w:rsid w:val="00D864B3"/>
    <w:rsid w:val="00D86F6E"/>
    <w:rsid w:val="00D876F5"/>
    <w:rsid w:val="00D87BC1"/>
    <w:rsid w:val="00D87EBF"/>
    <w:rsid w:val="00D900C7"/>
    <w:rsid w:val="00D90416"/>
    <w:rsid w:val="00D90F78"/>
    <w:rsid w:val="00D93545"/>
    <w:rsid w:val="00D93F26"/>
    <w:rsid w:val="00D95B78"/>
    <w:rsid w:val="00D95DDE"/>
    <w:rsid w:val="00D96FE7"/>
    <w:rsid w:val="00D97798"/>
    <w:rsid w:val="00DA0C59"/>
    <w:rsid w:val="00DA1488"/>
    <w:rsid w:val="00DA15B0"/>
    <w:rsid w:val="00DA1C8D"/>
    <w:rsid w:val="00DA2B80"/>
    <w:rsid w:val="00DA2C8C"/>
    <w:rsid w:val="00DA2DB4"/>
    <w:rsid w:val="00DA3551"/>
    <w:rsid w:val="00DA3B6C"/>
    <w:rsid w:val="00DA3E09"/>
    <w:rsid w:val="00DA4B6B"/>
    <w:rsid w:val="00DA5328"/>
    <w:rsid w:val="00DA61BA"/>
    <w:rsid w:val="00DA6692"/>
    <w:rsid w:val="00DA6F7C"/>
    <w:rsid w:val="00DA7C6B"/>
    <w:rsid w:val="00DB02E2"/>
    <w:rsid w:val="00DB039A"/>
    <w:rsid w:val="00DB0692"/>
    <w:rsid w:val="00DB07A7"/>
    <w:rsid w:val="00DB1AF2"/>
    <w:rsid w:val="00DB28A0"/>
    <w:rsid w:val="00DB28F7"/>
    <w:rsid w:val="00DB2C00"/>
    <w:rsid w:val="00DB48F0"/>
    <w:rsid w:val="00DB4E83"/>
    <w:rsid w:val="00DB4F35"/>
    <w:rsid w:val="00DB54CD"/>
    <w:rsid w:val="00DB5A46"/>
    <w:rsid w:val="00DB6E56"/>
    <w:rsid w:val="00DC0EE1"/>
    <w:rsid w:val="00DC1089"/>
    <w:rsid w:val="00DC11A5"/>
    <w:rsid w:val="00DC1C5E"/>
    <w:rsid w:val="00DC2497"/>
    <w:rsid w:val="00DC2EDC"/>
    <w:rsid w:val="00DC4399"/>
    <w:rsid w:val="00DC461B"/>
    <w:rsid w:val="00DC49B7"/>
    <w:rsid w:val="00DC4C11"/>
    <w:rsid w:val="00DC4CCA"/>
    <w:rsid w:val="00DC62E6"/>
    <w:rsid w:val="00DC64C1"/>
    <w:rsid w:val="00DC64F7"/>
    <w:rsid w:val="00DC70E1"/>
    <w:rsid w:val="00DC7860"/>
    <w:rsid w:val="00DD03D5"/>
    <w:rsid w:val="00DD07E7"/>
    <w:rsid w:val="00DD1D81"/>
    <w:rsid w:val="00DD218A"/>
    <w:rsid w:val="00DD257F"/>
    <w:rsid w:val="00DD2EEB"/>
    <w:rsid w:val="00DD5447"/>
    <w:rsid w:val="00DD54A0"/>
    <w:rsid w:val="00DD559F"/>
    <w:rsid w:val="00DD5604"/>
    <w:rsid w:val="00DD5FB7"/>
    <w:rsid w:val="00DD61B3"/>
    <w:rsid w:val="00DD7A7E"/>
    <w:rsid w:val="00DE002B"/>
    <w:rsid w:val="00DE0479"/>
    <w:rsid w:val="00DE0725"/>
    <w:rsid w:val="00DE0826"/>
    <w:rsid w:val="00DE1467"/>
    <w:rsid w:val="00DE1838"/>
    <w:rsid w:val="00DE215C"/>
    <w:rsid w:val="00DE2794"/>
    <w:rsid w:val="00DE312F"/>
    <w:rsid w:val="00DE612D"/>
    <w:rsid w:val="00DF14FF"/>
    <w:rsid w:val="00DF200E"/>
    <w:rsid w:val="00DF477C"/>
    <w:rsid w:val="00DF4B22"/>
    <w:rsid w:val="00DF4D97"/>
    <w:rsid w:val="00DF57E8"/>
    <w:rsid w:val="00DF594C"/>
    <w:rsid w:val="00DF6115"/>
    <w:rsid w:val="00DF75C2"/>
    <w:rsid w:val="00DF76DD"/>
    <w:rsid w:val="00DF7AE5"/>
    <w:rsid w:val="00E00359"/>
    <w:rsid w:val="00E00AA7"/>
    <w:rsid w:val="00E00BCD"/>
    <w:rsid w:val="00E01644"/>
    <w:rsid w:val="00E01810"/>
    <w:rsid w:val="00E01C94"/>
    <w:rsid w:val="00E02109"/>
    <w:rsid w:val="00E021A9"/>
    <w:rsid w:val="00E02A93"/>
    <w:rsid w:val="00E02BC6"/>
    <w:rsid w:val="00E03C0A"/>
    <w:rsid w:val="00E05AB3"/>
    <w:rsid w:val="00E065C4"/>
    <w:rsid w:val="00E06828"/>
    <w:rsid w:val="00E10AB8"/>
    <w:rsid w:val="00E10B56"/>
    <w:rsid w:val="00E11DFA"/>
    <w:rsid w:val="00E12450"/>
    <w:rsid w:val="00E144BC"/>
    <w:rsid w:val="00E151F9"/>
    <w:rsid w:val="00E1594F"/>
    <w:rsid w:val="00E15D85"/>
    <w:rsid w:val="00E15DBA"/>
    <w:rsid w:val="00E16BE5"/>
    <w:rsid w:val="00E17453"/>
    <w:rsid w:val="00E177A7"/>
    <w:rsid w:val="00E17B7B"/>
    <w:rsid w:val="00E17D1D"/>
    <w:rsid w:val="00E2074B"/>
    <w:rsid w:val="00E210E5"/>
    <w:rsid w:val="00E2159B"/>
    <w:rsid w:val="00E21684"/>
    <w:rsid w:val="00E226FC"/>
    <w:rsid w:val="00E23D68"/>
    <w:rsid w:val="00E23E02"/>
    <w:rsid w:val="00E24CC0"/>
    <w:rsid w:val="00E258D7"/>
    <w:rsid w:val="00E261F5"/>
    <w:rsid w:val="00E26314"/>
    <w:rsid w:val="00E26694"/>
    <w:rsid w:val="00E26C02"/>
    <w:rsid w:val="00E2710E"/>
    <w:rsid w:val="00E2745C"/>
    <w:rsid w:val="00E27C90"/>
    <w:rsid w:val="00E317F2"/>
    <w:rsid w:val="00E33E13"/>
    <w:rsid w:val="00E3436B"/>
    <w:rsid w:val="00E34696"/>
    <w:rsid w:val="00E346D0"/>
    <w:rsid w:val="00E34936"/>
    <w:rsid w:val="00E349F8"/>
    <w:rsid w:val="00E36D43"/>
    <w:rsid w:val="00E376C4"/>
    <w:rsid w:val="00E40429"/>
    <w:rsid w:val="00E41147"/>
    <w:rsid w:val="00E41612"/>
    <w:rsid w:val="00E45FDC"/>
    <w:rsid w:val="00E4612E"/>
    <w:rsid w:val="00E46C62"/>
    <w:rsid w:val="00E46C75"/>
    <w:rsid w:val="00E4731C"/>
    <w:rsid w:val="00E47608"/>
    <w:rsid w:val="00E47894"/>
    <w:rsid w:val="00E53C16"/>
    <w:rsid w:val="00E53DDE"/>
    <w:rsid w:val="00E54E49"/>
    <w:rsid w:val="00E55200"/>
    <w:rsid w:val="00E5622C"/>
    <w:rsid w:val="00E56B24"/>
    <w:rsid w:val="00E575AB"/>
    <w:rsid w:val="00E57D35"/>
    <w:rsid w:val="00E6010B"/>
    <w:rsid w:val="00E6042E"/>
    <w:rsid w:val="00E60849"/>
    <w:rsid w:val="00E613AA"/>
    <w:rsid w:val="00E624C3"/>
    <w:rsid w:val="00E63951"/>
    <w:rsid w:val="00E64800"/>
    <w:rsid w:val="00E64926"/>
    <w:rsid w:val="00E6492B"/>
    <w:rsid w:val="00E650E7"/>
    <w:rsid w:val="00E66116"/>
    <w:rsid w:val="00E677A3"/>
    <w:rsid w:val="00E70585"/>
    <w:rsid w:val="00E7074D"/>
    <w:rsid w:val="00E70A68"/>
    <w:rsid w:val="00E710B3"/>
    <w:rsid w:val="00E71D70"/>
    <w:rsid w:val="00E71F5F"/>
    <w:rsid w:val="00E72D29"/>
    <w:rsid w:val="00E72E8E"/>
    <w:rsid w:val="00E7368C"/>
    <w:rsid w:val="00E73CB8"/>
    <w:rsid w:val="00E7419E"/>
    <w:rsid w:val="00E745C2"/>
    <w:rsid w:val="00E7553E"/>
    <w:rsid w:val="00E75D44"/>
    <w:rsid w:val="00E7720E"/>
    <w:rsid w:val="00E773E0"/>
    <w:rsid w:val="00E77EA6"/>
    <w:rsid w:val="00E8038B"/>
    <w:rsid w:val="00E809C9"/>
    <w:rsid w:val="00E81848"/>
    <w:rsid w:val="00E824D8"/>
    <w:rsid w:val="00E82962"/>
    <w:rsid w:val="00E82AA2"/>
    <w:rsid w:val="00E82CCF"/>
    <w:rsid w:val="00E82F3D"/>
    <w:rsid w:val="00E83B35"/>
    <w:rsid w:val="00E84399"/>
    <w:rsid w:val="00E8513F"/>
    <w:rsid w:val="00E85A2D"/>
    <w:rsid w:val="00E8615E"/>
    <w:rsid w:val="00E86B14"/>
    <w:rsid w:val="00E86D4C"/>
    <w:rsid w:val="00E87E2B"/>
    <w:rsid w:val="00E908FC"/>
    <w:rsid w:val="00E91E86"/>
    <w:rsid w:val="00E929AD"/>
    <w:rsid w:val="00E92DD7"/>
    <w:rsid w:val="00E93848"/>
    <w:rsid w:val="00E94695"/>
    <w:rsid w:val="00E947E9"/>
    <w:rsid w:val="00E94DAD"/>
    <w:rsid w:val="00E95E65"/>
    <w:rsid w:val="00E961D2"/>
    <w:rsid w:val="00EA01FD"/>
    <w:rsid w:val="00EA0937"/>
    <w:rsid w:val="00EA1F30"/>
    <w:rsid w:val="00EA25F9"/>
    <w:rsid w:val="00EA2BBE"/>
    <w:rsid w:val="00EA2ED8"/>
    <w:rsid w:val="00EA351F"/>
    <w:rsid w:val="00EA37AE"/>
    <w:rsid w:val="00EA3CE0"/>
    <w:rsid w:val="00EA4B16"/>
    <w:rsid w:val="00EA6397"/>
    <w:rsid w:val="00EA661F"/>
    <w:rsid w:val="00EA6922"/>
    <w:rsid w:val="00EA7AD7"/>
    <w:rsid w:val="00EB129A"/>
    <w:rsid w:val="00EB2BAA"/>
    <w:rsid w:val="00EB33E1"/>
    <w:rsid w:val="00EB4003"/>
    <w:rsid w:val="00EB4359"/>
    <w:rsid w:val="00EB6233"/>
    <w:rsid w:val="00EB740B"/>
    <w:rsid w:val="00EC0840"/>
    <w:rsid w:val="00EC09AB"/>
    <w:rsid w:val="00EC117E"/>
    <w:rsid w:val="00EC1A9B"/>
    <w:rsid w:val="00EC1E18"/>
    <w:rsid w:val="00EC2271"/>
    <w:rsid w:val="00EC521D"/>
    <w:rsid w:val="00EC57CB"/>
    <w:rsid w:val="00EC5E21"/>
    <w:rsid w:val="00EC5E39"/>
    <w:rsid w:val="00ED30C4"/>
    <w:rsid w:val="00ED4191"/>
    <w:rsid w:val="00ED41F1"/>
    <w:rsid w:val="00ED5FC7"/>
    <w:rsid w:val="00ED6F25"/>
    <w:rsid w:val="00EE2E95"/>
    <w:rsid w:val="00EE4064"/>
    <w:rsid w:val="00EE4DF3"/>
    <w:rsid w:val="00EF08ED"/>
    <w:rsid w:val="00EF0C53"/>
    <w:rsid w:val="00EF4092"/>
    <w:rsid w:val="00EF5476"/>
    <w:rsid w:val="00EF54B4"/>
    <w:rsid w:val="00EF56A9"/>
    <w:rsid w:val="00EF63A6"/>
    <w:rsid w:val="00EF78B6"/>
    <w:rsid w:val="00F00898"/>
    <w:rsid w:val="00F017D8"/>
    <w:rsid w:val="00F02354"/>
    <w:rsid w:val="00F027B3"/>
    <w:rsid w:val="00F02BB1"/>
    <w:rsid w:val="00F0362A"/>
    <w:rsid w:val="00F04052"/>
    <w:rsid w:val="00F04678"/>
    <w:rsid w:val="00F05A13"/>
    <w:rsid w:val="00F05E70"/>
    <w:rsid w:val="00F07B11"/>
    <w:rsid w:val="00F108D9"/>
    <w:rsid w:val="00F11626"/>
    <w:rsid w:val="00F116B6"/>
    <w:rsid w:val="00F120CF"/>
    <w:rsid w:val="00F1259A"/>
    <w:rsid w:val="00F12BA4"/>
    <w:rsid w:val="00F12DAB"/>
    <w:rsid w:val="00F13546"/>
    <w:rsid w:val="00F1393D"/>
    <w:rsid w:val="00F139EC"/>
    <w:rsid w:val="00F13D1B"/>
    <w:rsid w:val="00F16635"/>
    <w:rsid w:val="00F16C65"/>
    <w:rsid w:val="00F16DDC"/>
    <w:rsid w:val="00F213F8"/>
    <w:rsid w:val="00F21FB5"/>
    <w:rsid w:val="00F220D7"/>
    <w:rsid w:val="00F23568"/>
    <w:rsid w:val="00F236B4"/>
    <w:rsid w:val="00F23C55"/>
    <w:rsid w:val="00F241F7"/>
    <w:rsid w:val="00F24B29"/>
    <w:rsid w:val="00F24DF6"/>
    <w:rsid w:val="00F25849"/>
    <w:rsid w:val="00F26AE7"/>
    <w:rsid w:val="00F2753F"/>
    <w:rsid w:val="00F313E8"/>
    <w:rsid w:val="00F31D43"/>
    <w:rsid w:val="00F326AF"/>
    <w:rsid w:val="00F32D93"/>
    <w:rsid w:val="00F3309D"/>
    <w:rsid w:val="00F334F0"/>
    <w:rsid w:val="00F33754"/>
    <w:rsid w:val="00F3393C"/>
    <w:rsid w:val="00F33C01"/>
    <w:rsid w:val="00F36463"/>
    <w:rsid w:val="00F36AB3"/>
    <w:rsid w:val="00F36BED"/>
    <w:rsid w:val="00F37A4B"/>
    <w:rsid w:val="00F37A80"/>
    <w:rsid w:val="00F40334"/>
    <w:rsid w:val="00F40E84"/>
    <w:rsid w:val="00F41921"/>
    <w:rsid w:val="00F41D2B"/>
    <w:rsid w:val="00F41E09"/>
    <w:rsid w:val="00F4202C"/>
    <w:rsid w:val="00F43976"/>
    <w:rsid w:val="00F44510"/>
    <w:rsid w:val="00F458F5"/>
    <w:rsid w:val="00F4692A"/>
    <w:rsid w:val="00F46BDC"/>
    <w:rsid w:val="00F47AE6"/>
    <w:rsid w:val="00F52311"/>
    <w:rsid w:val="00F53575"/>
    <w:rsid w:val="00F55FED"/>
    <w:rsid w:val="00F56E72"/>
    <w:rsid w:val="00F57F25"/>
    <w:rsid w:val="00F6097A"/>
    <w:rsid w:val="00F61CF3"/>
    <w:rsid w:val="00F621B0"/>
    <w:rsid w:val="00F62443"/>
    <w:rsid w:val="00F63231"/>
    <w:rsid w:val="00F63BDF"/>
    <w:rsid w:val="00F65671"/>
    <w:rsid w:val="00F65F58"/>
    <w:rsid w:val="00F6646B"/>
    <w:rsid w:val="00F71188"/>
    <w:rsid w:val="00F730F7"/>
    <w:rsid w:val="00F74725"/>
    <w:rsid w:val="00F74A36"/>
    <w:rsid w:val="00F74C66"/>
    <w:rsid w:val="00F74DFE"/>
    <w:rsid w:val="00F763ED"/>
    <w:rsid w:val="00F76986"/>
    <w:rsid w:val="00F8124A"/>
    <w:rsid w:val="00F81E4D"/>
    <w:rsid w:val="00F82A76"/>
    <w:rsid w:val="00F82BB3"/>
    <w:rsid w:val="00F82EDD"/>
    <w:rsid w:val="00F835BC"/>
    <w:rsid w:val="00F83908"/>
    <w:rsid w:val="00F8503F"/>
    <w:rsid w:val="00F8544E"/>
    <w:rsid w:val="00F8566C"/>
    <w:rsid w:val="00F85C73"/>
    <w:rsid w:val="00F8670D"/>
    <w:rsid w:val="00F8707C"/>
    <w:rsid w:val="00F87C39"/>
    <w:rsid w:val="00F91A7B"/>
    <w:rsid w:val="00F9358E"/>
    <w:rsid w:val="00F9518F"/>
    <w:rsid w:val="00F96679"/>
    <w:rsid w:val="00FA1379"/>
    <w:rsid w:val="00FA139C"/>
    <w:rsid w:val="00FA15C8"/>
    <w:rsid w:val="00FA1AD0"/>
    <w:rsid w:val="00FA1F3C"/>
    <w:rsid w:val="00FA37EF"/>
    <w:rsid w:val="00FA3A96"/>
    <w:rsid w:val="00FA3B6E"/>
    <w:rsid w:val="00FA4CAC"/>
    <w:rsid w:val="00FB125A"/>
    <w:rsid w:val="00FB177E"/>
    <w:rsid w:val="00FB2566"/>
    <w:rsid w:val="00FB6117"/>
    <w:rsid w:val="00FB7430"/>
    <w:rsid w:val="00FC02E9"/>
    <w:rsid w:val="00FC05C3"/>
    <w:rsid w:val="00FC292D"/>
    <w:rsid w:val="00FC2A31"/>
    <w:rsid w:val="00FC33FE"/>
    <w:rsid w:val="00FC486E"/>
    <w:rsid w:val="00FC4DDA"/>
    <w:rsid w:val="00FC5D85"/>
    <w:rsid w:val="00FC6463"/>
    <w:rsid w:val="00FD3045"/>
    <w:rsid w:val="00FD3918"/>
    <w:rsid w:val="00FD3DB3"/>
    <w:rsid w:val="00FD3F92"/>
    <w:rsid w:val="00FD4470"/>
    <w:rsid w:val="00FD53B6"/>
    <w:rsid w:val="00FD545E"/>
    <w:rsid w:val="00FD56F0"/>
    <w:rsid w:val="00FD64E5"/>
    <w:rsid w:val="00FD651E"/>
    <w:rsid w:val="00FD6B8F"/>
    <w:rsid w:val="00FD71D6"/>
    <w:rsid w:val="00FD72DE"/>
    <w:rsid w:val="00FE100A"/>
    <w:rsid w:val="00FE16E1"/>
    <w:rsid w:val="00FE268F"/>
    <w:rsid w:val="00FE3155"/>
    <w:rsid w:val="00FE37DC"/>
    <w:rsid w:val="00FE3EC8"/>
    <w:rsid w:val="00FE60F8"/>
    <w:rsid w:val="00FE6168"/>
    <w:rsid w:val="00FF0745"/>
    <w:rsid w:val="00FF0758"/>
    <w:rsid w:val="00FF271D"/>
    <w:rsid w:val="00FF2785"/>
    <w:rsid w:val="00FF27D4"/>
    <w:rsid w:val="00FF34CB"/>
    <w:rsid w:val="00FF3902"/>
    <w:rsid w:val="00FF58A9"/>
    <w:rsid w:val="00FF5F3A"/>
    <w:rsid w:val="00FF6A77"/>
    <w:rsid w:val="00FF6D1C"/>
    <w:rsid w:val="00FF6F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5757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AU" w:eastAsia="en-AU"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26AA"/>
    <w:rPr>
      <w:rFonts w:eastAsia="Times New Roman" w:cs="Times New Roman"/>
      <w:szCs w:val="20"/>
    </w:rPr>
  </w:style>
  <w:style w:type="paragraph" w:styleId="Heading1">
    <w:name w:val="heading 1"/>
    <w:basedOn w:val="HeadingBase"/>
    <w:next w:val="Normal"/>
    <w:link w:val="Heading1Char"/>
    <w:qFormat/>
    <w:rsid w:val="00475085"/>
    <w:pPr>
      <w:spacing w:before="480"/>
      <w:outlineLvl w:val="0"/>
    </w:pPr>
    <w:rPr>
      <w:bCs w:val="0"/>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6923DF"/>
    <w:pPr>
      <w:spacing w:before="240"/>
      <w:outlineLvl w:val="2"/>
    </w:pPr>
    <w:rPr>
      <w:bCs w:val="0"/>
      <w:color w:val="3A6FAF"/>
      <w:sz w:val="28"/>
      <w:szCs w:val="26"/>
    </w:rPr>
  </w:style>
  <w:style w:type="paragraph" w:styleId="Heading4">
    <w:name w:val="heading 4"/>
    <w:basedOn w:val="HeadingBase"/>
    <w:next w:val="Normal"/>
    <w:link w:val="Heading4Char"/>
    <w:qFormat/>
    <w:rsid w:val="000E0B74"/>
    <w:pPr>
      <w:outlineLvl w:val="3"/>
    </w:pPr>
    <w:rPr>
      <w:bCs w:val="0"/>
      <w:color w:val="336E98"/>
      <w:sz w:val="26"/>
      <w:szCs w:val="26"/>
    </w:rPr>
  </w:style>
  <w:style w:type="paragraph" w:styleId="Heading5">
    <w:name w:val="heading 5"/>
    <w:basedOn w:val="HeadingBase"/>
    <w:next w:val="Normal"/>
    <w:link w:val="Heading5Char"/>
    <w:qFormat/>
    <w:rsid w:val="001972D2"/>
    <w:pPr>
      <w:outlineLvl w:val="4"/>
    </w:pPr>
    <w:rPr>
      <w:b/>
      <w:bCs w:val="0"/>
      <w:iCs/>
      <w:sz w:val="22"/>
    </w:rPr>
  </w:style>
  <w:style w:type="paragraph" w:styleId="Heading6">
    <w:name w:val="heading 6"/>
    <w:basedOn w:val="HeadingBase"/>
    <w:next w:val="Normal"/>
    <w:link w:val="Heading6Char"/>
    <w:qFormat/>
    <w:rsid w:val="001972D2"/>
    <w:pPr>
      <w:outlineLvl w:val="5"/>
    </w:pPr>
    <w:rPr>
      <w:bCs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923DF"/>
    <w:pPr>
      <w:spacing w:before="0" w:after="300"/>
      <w:contextualSpacing/>
    </w:pPr>
    <w:rPr>
      <w:rFonts w:eastAsiaTheme="majorEastAsia" w:cstheme="majorBidi"/>
      <w:b/>
      <w:color w:val="002C4A"/>
      <w:spacing w:val="5"/>
      <w:kern w:val="28"/>
      <w:sz w:val="72"/>
      <w:szCs w:val="52"/>
    </w:rPr>
  </w:style>
  <w:style w:type="character" w:customStyle="1" w:styleId="Heading1Char">
    <w:name w:val="Heading 1 Char"/>
    <w:basedOn w:val="DefaultParagraphFont"/>
    <w:link w:val="Heading1"/>
    <w:rsid w:val="00475085"/>
    <w:rPr>
      <w:rFonts w:ascii="Calibri" w:eastAsia="Times New Roman" w:hAnsi="Calibri" w:cs="Arial"/>
      <w:color w:val="004A7F"/>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6923DF"/>
    <w:rPr>
      <w:rFonts w:ascii="Calibri" w:eastAsia="Times New Roman" w:hAnsi="Calibri" w:cs="Arial"/>
      <w:color w:val="3A6FAF"/>
      <w:kern w:val="32"/>
      <w:sz w:val="28"/>
      <w:szCs w:val="26"/>
      <w:lang w:eastAsia="en-AU"/>
    </w:rPr>
  </w:style>
  <w:style w:type="character" w:customStyle="1" w:styleId="Heading4Char">
    <w:name w:val="Heading 4 Char"/>
    <w:basedOn w:val="DefaultParagraphFont"/>
    <w:link w:val="Heading4"/>
    <w:rsid w:val="003E4D87"/>
    <w:rPr>
      <w:rFonts w:ascii="Calibri" w:eastAsia="Times New Roman" w:hAnsi="Calibri" w:cs="Arial"/>
      <w:color w:val="336E98"/>
      <w:kern w:val="32"/>
      <w:sz w:val="26"/>
      <w:szCs w:val="26"/>
      <w:lang w:eastAsia="en-AU"/>
    </w:rPr>
  </w:style>
  <w:style w:type="character" w:customStyle="1" w:styleId="Heading5Char">
    <w:name w:val="Heading 5 Char"/>
    <w:basedOn w:val="DefaultParagraphFont"/>
    <w:link w:val="Heading5"/>
    <w:rsid w:val="001972D2"/>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1972D2"/>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spacing w:before="0"/>
      <w:ind w:left="720" w:hanging="36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CE223E"/>
    <w:pPr>
      <w:keepNext/>
      <w:spacing w:before="240"/>
    </w:pPr>
    <w:rPr>
      <w:b/>
      <w:color w:val="004A7F"/>
      <w:sz w:val="26"/>
      <w:szCs w:val="26"/>
    </w:rPr>
  </w:style>
  <w:style w:type="paragraph" w:customStyle="1" w:styleId="BoxText">
    <w:name w:val="Box Text"/>
    <w:basedOn w:val="Normal"/>
    <w:rsid w:val="000E0B74"/>
  </w:style>
  <w:style w:type="paragraph" w:customStyle="1" w:styleId="Bullet">
    <w:name w:val="Bullet"/>
    <w:aliases w:val="Body,Bullet + line,b,b + line,b1,level 1"/>
    <w:basedOn w:val="Normal"/>
    <w:link w:val="BulletChar"/>
    <w:qFormat/>
    <w:rsid w:val="000E0B74"/>
    <w:pPr>
      <w:numPr>
        <w:numId w:val="10"/>
      </w:numPr>
      <w:tabs>
        <w:tab w:val="num" w:pos="1040"/>
      </w:tabs>
      <w:spacing w:before="0"/>
    </w:pPr>
  </w:style>
  <w:style w:type="paragraph" w:customStyle="1" w:styleId="ChartandTableFootnoteAlpha">
    <w:name w:val="Chart and Table Footnote Alpha"/>
    <w:rsid w:val="0023305C"/>
    <w:pPr>
      <w:tabs>
        <w:tab w:val="num" w:pos="284"/>
      </w:tabs>
      <w:spacing w:after="0"/>
      <w:ind w:left="284" w:hanging="284"/>
      <w:jc w:val="both"/>
    </w:pPr>
    <w:rPr>
      <w:rFonts w:eastAsia="Times New Roman" w:cs="Times New Roman"/>
      <w:color w:val="000000"/>
      <w:sz w:val="18"/>
      <w:szCs w:val="16"/>
    </w:rPr>
  </w:style>
  <w:style w:type="paragraph" w:customStyle="1" w:styleId="ChartMainHeading">
    <w:name w:val="Chart Main Heading"/>
    <w:basedOn w:val="TableMainHeading"/>
    <w:next w:val="ChartGraphic"/>
    <w:rsid w:val="000E0B74"/>
    <w:pPr>
      <w:jc w:val="center"/>
    </w:pPr>
  </w:style>
  <w:style w:type="paragraph" w:customStyle="1" w:styleId="ChartorTableNote">
    <w:name w:val="Chart or Table Note"/>
    <w:next w:val="Normal"/>
    <w:rsid w:val="000E0B74"/>
    <w:pPr>
      <w:spacing w:after="0"/>
      <w:jc w:val="both"/>
    </w:pPr>
    <w:rPr>
      <w:rFonts w:eastAsia="Times New Roman" w:cs="Times New Roman"/>
      <w:color w:val="000000"/>
      <w:sz w:val="18"/>
      <w:szCs w:val="20"/>
    </w:rPr>
  </w:style>
  <w:style w:type="paragraph" w:customStyle="1" w:styleId="ChartSecondHeading">
    <w:name w:val="Chart Second Heading"/>
    <w:basedOn w:val="TableSecondHeading"/>
    <w:next w:val="ChartGraphic"/>
    <w:rsid w:val="000E0B74"/>
    <w:pPr>
      <w:jc w:val="center"/>
    </w:pPr>
  </w:style>
  <w:style w:type="paragraph" w:customStyle="1" w:styleId="ReportDate">
    <w:name w:val="Report Date"/>
    <w:basedOn w:val="Normal"/>
    <w:link w:val="ReportDateChar"/>
    <w:rsid w:val="006923DF"/>
    <w:pPr>
      <w:keepNext/>
      <w:spacing w:before="0" w:after="360"/>
    </w:pPr>
    <w:rPr>
      <w:color w:val="00827F"/>
      <w:sz w:val="44"/>
    </w:rPr>
  </w:style>
  <w:style w:type="paragraph" w:customStyle="1" w:styleId="Dash">
    <w:name w:val="Dash"/>
    <w:basedOn w:val="Normal"/>
    <w:link w:val="DashChar"/>
    <w:qFormat/>
    <w:rsid w:val="000E0B74"/>
    <w:pPr>
      <w:numPr>
        <w:ilvl w:val="1"/>
        <w:numId w:val="10"/>
      </w:numPr>
      <w:tabs>
        <w:tab w:val="num" w:pos="1440"/>
        <w:tab w:val="num" w:pos="1560"/>
      </w:tabs>
      <w:spacing w:before="0"/>
    </w:pPr>
  </w:style>
  <w:style w:type="paragraph" w:customStyle="1" w:styleId="DoubleDot">
    <w:name w:val="Double Dot"/>
    <w:basedOn w:val="Normal"/>
    <w:qFormat/>
    <w:rsid w:val="000E0B74"/>
    <w:pPr>
      <w:numPr>
        <w:ilvl w:val="2"/>
        <w:numId w:val="10"/>
      </w:numPr>
      <w:tabs>
        <w:tab w:val="num" w:pos="2080"/>
        <w:tab w:val="num" w:pos="2160"/>
      </w:tabs>
      <w:spacing w:before="0"/>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F60198"/>
    <w:pPr>
      <w:keepNext/>
      <w:tabs>
        <w:tab w:val="clear" w:pos="4513"/>
        <w:tab w:val="clear" w:pos="9026"/>
      </w:tabs>
      <w:jc w:val="left"/>
    </w:pPr>
    <w:rPr>
      <w:noProof/>
    </w:rPr>
  </w:style>
  <w:style w:type="paragraph" w:customStyle="1" w:styleId="FooterOdd">
    <w:name w:val="Footer Odd"/>
    <w:basedOn w:val="Footer"/>
    <w:rsid w:val="00F60198"/>
    <w:pPr>
      <w:keepNext/>
      <w:tabs>
        <w:tab w:val="clear" w:pos="4513"/>
        <w:tab w:val="clear" w:pos="9026"/>
      </w:tabs>
      <w:jc w:val="right"/>
    </w:p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link w:val="OutlineNumbered1Char"/>
    <w:rsid w:val="000E0B74"/>
    <w:pPr>
      <w:tabs>
        <w:tab w:val="num" w:pos="851"/>
      </w:tabs>
      <w:spacing w:before="0"/>
      <w:ind w:left="851" w:hanging="851"/>
    </w:pPr>
  </w:style>
  <w:style w:type="paragraph" w:customStyle="1" w:styleId="OneLevelNumberedParagraph">
    <w:name w:val="One Level Numbered Paragraph"/>
    <w:basedOn w:val="Normal"/>
    <w:rsid w:val="000E0B74"/>
    <w:pPr>
      <w:tabs>
        <w:tab w:val="num" w:pos="284"/>
      </w:tabs>
      <w:spacing w:before="0"/>
      <w:ind w:left="284" w:hanging="284"/>
    </w:pPr>
  </w:style>
  <w:style w:type="paragraph" w:customStyle="1" w:styleId="OutlineNumbered2">
    <w:name w:val="Outline Numbered 2"/>
    <w:basedOn w:val="Normal"/>
    <w:rsid w:val="000E0B74"/>
    <w:pPr>
      <w:tabs>
        <w:tab w:val="num" w:pos="1134"/>
      </w:tabs>
      <w:spacing w:before="0"/>
      <w:ind w:left="1134" w:hanging="1134"/>
    </w:pPr>
  </w:style>
  <w:style w:type="paragraph" w:customStyle="1" w:styleId="OutlineNumbered3">
    <w:name w:val="Outline Numbered 3"/>
    <w:basedOn w:val="Normal"/>
    <w:rsid w:val="000E0B74"/>
    <w:pPr>
      <w:tabs>
        <w:tab w:val="num" w:pos="1418"/>
      </w:tabs>
      <w:spacing w:before="0"/>
      <w:ind w:left="1418" w:hanging="1418"/>
    </w:pPr>
  </w:style>
  <w:style w:type="paragraph" w:customStyle="1" w:styleId="Romannumeral">
    <w:name w:val="Roman numeral"/>
    <w:basedOn w:val="Normal"/>
    <w:rsid w:val="004F4B92"/>
    <w:pPr>
      <w:tabs>
        <w:tab w:val="num"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0E0B74"/>
    <w:pPr>
      <w:jc w:val="center"/>
    </w:pPr>
    <w:rPr>
      <w:b/>
      <w:color w:val="004A7F"/>
      <w:sz w:val="20"/>
    </w:rPr>
  </w:style>
  <w:style w:type="paragraph" w:customStyle="1" w:styleId="TableColumnHeadingLeft">
    <w:name w:val="Table Column Heading Left"/>
    <w:basedOn w:val="TableTextLeft"/>
    <w:rsid w:val="000E0B74"/>
    <w:rPr>
      <w:b/>
      <w:color w:val="004A7F"/>
      <w:sz w:val="20"/>
    </w:rPr>
  </w:style>
  <w:style w:type="paragraph" w:customStyle="1" w:styleId="TableColumnHeadingRight">
    <w:name w:val="Table Column Heading Right"/>
    <w:basedOn w:val="TableTextLeft"/>
    <w:rsid w:val="000E0B74"/>
    <w:pPr>
      <w:jc w:val="right"/>
    </w:pPr>
    <w:rPr>
      <w:b/>
      <w:color w:val="004A7F"/>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rPr>
    <w:tblPr/>
    <w:tcPr>
      <w:shd w:val="clear" w:color="auto" w:fill="E6E6E6"/>
    </w:tc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6923DF"/>
    <w:pPr>
      <w:keepNext/>
      <w:tabs>
        <w:tab w:val="right" w:leader="dot" w:pos="9072"/>
      </w:tabs>
      <w:spacing w:before="180" w:after="0"/>
      <w:ind w:right="-2"/>
    </w:pPr>
    <w:rPr>
      <w:b/>
      <w:noProof/>
      <w:color w:val="002C4A"/>
      <w:szCs w:val="22"/>
    </w:rPr>
  </w:style>
  <w:style w:type="paragraph" w:styleId="TOC2">
    <w:name w:val="toc 2"/>
    <w:basedOn w:val="Normal"/>
    <w:next w:val="Normal"/>
    <w:uiPriority w:val="39"/>
    <w:qFormat/>
    <w:rsid w:val="0025652F"/>
    <w:pPr>
      <w:keepNext/>
      <w:tabs>
        <w:tab w:val="right" w:leader="dot" w:pos="9072"/>
      </w:tabs>
      <w:spacing w:before="40" w:after="20"/>
      <w:ind w:right="-2"/>
    </w:pPr>
    <w:rPr>
      <w:noProof/>
      <w:color w:val="004A7F"/>
    </w:rPr>
  </w:style>
  <w:style w:type="paragraph" w:styleId="TOC3">
    <w:name w:val="toc 3"/>
    <w:basedOn w:val="Normal"/>
    <w:next w:val="Normal"/>
    <w:uiPriority w:val="39"/>
    <w:qFormat/>
    <w:rsid w:val="0025652F"/>
    <w:pPr>
      <w:tabs>
        <w:tab w:val="right" w:leader="dot" w:pos="9072"/>
      </w:tabs>
      <w:spacing w:before="20" w:after="0"/>
      <w:ind w:left="284" w:right="-2"/>
    </w:pPr>
    <w:rPr>
      <w:rFonts w:cs="Calibri"/>
      <w:noProof/>
    </w:rPr>
  </w:style>
  <w:style w:type="numbering" w:customStyle="1" w:styleId="OutlineList">
    <w:name w:val="OutlineList"/>
    <w:uiPriority w:val="99"/>
    <w:rsid w:val="000E0B74"/>
  </w:style>
  <w:style w:type="numbering" w:customStyle="1" w:styleId="BulletedList">
    <w:name w:val="Bulleted List"/>
    <w:uiPriority w:val="99"/>
    <w:rsid w:val="000E0B74"/>
  </w:style>
  <w:style w:type="numbering" w:customStyle="1" w:styleId="BoxBulletedList">
    <w:name w:val="Box Bulleted List"/>
    <w:uiPriority w:val="99"/>
    <w:rsid w:val="000E0B74"/>
  </w:style>
  <w:style w:type="numbering" w:customStyle="1" w:styleId="OneLevelList">
    <w:name w:val="OneLevelList"/>
    <w:uiPriority w:val="99"/>
    <w:rsid w:val="000E0B74"/>
  </w:style>
  <w:style w:type="numbering" w:customStyle="1" w:styleId="ChartandTableFootnoteAlphaList">
    <w:name w:val="ChartandTableFootnoteAlphaList"/>
    <w:uiPriority w:val="99"/>
    <w:rsid w:val="000E0B74"/>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ind w:left="360" w:hanging="360"/>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ind w:left="284" w:hanging="284"/>
    </w:pPr>
  </w:style>
  <w:style w:type="paragraph" w:customStyle="1" w:styleId="Heading3Numbered">
    <w:name w:val="Heading 3 Numbered"/>
    <w:basedOn w:val="Heading3"/>
    <w:qFormat/>
    <w:rsid w:val="00884CB1"/>
    <w:pPr>
      <w:numPr>
        <w:numId w:val="12"/>
      </w:numPr>
      <w:ind w:left="357" w:hanging="357"/>
    </w:pPr>
  </w:style>
  <w:style w:type="character" w:customStyle="1" w:styleId="TitleChar">
    <w:name w:val="Title Char"/>
    <w:basedOn w:val="DefaultParagraphFont"/>
    <w:link w:val="Title"/>
    <w:uiPriority w:val="10"/>
    <w:rsid w:val="006923DF"/>
    <w:rPr>
      <w:rFonts w:ascii="Calibri" w:eastAsiaTheme="majorEastAsia" w:hAnsi="Calibri" w:cstheme="majorBidi"/>
      <w:b/>
      <w:color w:val="002C4A"/>
      <w:spacing w:val="5"/>
      <w:kern w:val="28"/>
      <w:sz w:val="72"/>
      <w:szCs w:val="52"/>
      <w:lang w:eastAsia="en-AU"/>
    </w:rPr>
  </w:style>
  <w:style w:type="paragraph" w:styleId="Subtitle">
    <w:name w:val="Subtitle"/>
    <w:basedOn w:val="Normal"/>
    <w:next w:val="Normal"/>
    <w:link w:val="SubtitleChar"/>
    <w:rPr>
      <w:color w:val="002C4A"/>
      <w:sz w:val="44"/>
      <w:szCs w:val="44"/>
    </w:rPr>
  </w:style>
  <w:style w:type="character" w:customStyle="1" w:styleId="SubtitleChar">
    <w:name w:val="Subtitle Char"/>
    <w:basedOn w:val="DefaultParagraphFont"/>
    <w:link w:val="Subtitle"/>
    <w:uiPriority w:val="11"/>
    <w:rsid w:val="006923DF"/>
    <w:rPr>
      <w:rFonts w:ascii="Calibri" w:eastAsiaTheme="majorEastAsia" w:hAnsi="Calibri" w:cstheme="majorBidi"/>
      <w:iCs/>
      <w:color w:val="002C4A"/>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qFormat/>
    <w:rsid w:val="006923DF"/>
    <w:pPr>
      <w:keepNext/>
    </w:pPr>
    <w:rPr>
      <w:rFonts w:eastAsia="Times New Roman" w:cs="Arial"/>
      <w:bCs/>
      <w:color w:val="002C4A"/>
      <w:kern w:val="32"/>
      <w:sz w:val="48"/>
      <w:szCs w:val="36"/>
    </w:rPr>
  </w:style>
  <w:style w:type="character" w:customStyle="1" w:styleId="ReportDateChar">
    <w:name w:val="Report Date Char"/>
    <w:basedOn w:val="DefaultParagraphFont"/>
    <w:link w:val="ReportDate"/>
    <w:rsid w:val="006923DF"/>
    <w:rPr>
      <w:rFonts w:ascii="Calibri" w:eastAsia="Times New Roman" w:hAnsi="Calibri" w:cs="Times New Roman"/>
      <w:color w:val="00827F"/>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F06252"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F06252"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F60198"/>
    <w:rPr>
      <w:rFonts w:ascii="Arial" w:hAnsi="Arial"/>
      <w:color w:val="002C47"/>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9A277C"/>
  </w:style>
  <w:style w:type="paragraph" w:customStyle="1" w:styleId="TableGraphic">
    <w:name w:val="Table Graphic"/>
    <w:basedOn w:val="HeadingBase"/>
    <w:next w:val="Normal"/>
    <w:qFormat/>
    <w:rsid w:val="008E6292"/>
    <w:pPr>
      <w:spacing w:after="0"/>
    </w:p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F60198"/>
    <w:rPr>
      <w:color w:val="002C47"/>
    </w:rPr>
  </w:style>
  <w:style w:type="paragraph" w:styleId="FootnoteText">
    <w:name w:val="footnote text"/>
    <w:basedOn w:val="Normal"/>
    <w:link w:val="FootnoteTextChar"/>
    <w:uiPriority w:val="99"/>
    <w:rsid w:val="008C7F71"/>
    <w:pPr>
      <w:spacing w:before="0" w:after="0"/>
    </w:pPr>
    <w:rPr>
      <w:sz w:val="20"/>
    </w:rPr>
  </w:style>
  <w:style w:type="character" w:customStyle="1" w:styleId="FootnoteTextChar">
    <w:name w:val="Footnote Text Char"/>
    <w:basedOn w:val="DefaultParagraphFont"/>
    <w:link w:val="FootnoteText"/>
    <w:uiPriority w:val="99"/>
    <w:rsid w:val="008C7F71"/>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4C41B6"/>
    <w:rPr>
      <w:rFonts w:ascii="Calibri" w:hAnsi="Calibri"/>
      <w:sz w:val="20"/>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ulletChar">
    <w:name w:val="Bullet Char"/>
    <w:aliases w:val="b + line Char Char,b Char,b Char Char,b1 Char,b + line Char,Body Char,level 1 Char,L Char,List Paragraph Char,List Paragraph1 Char,List Paragraph11 Char,Number Char,Recommendation Char,Bullet + line Char,List Paragraph2 Char,Bullets Char"/>
    <w:basedOn w:val="DefaultParagraphFont"/>
    <w:link w:val="Bullet"/>
    <w:qFormat/>
    <w:rsid w:val="00A4759D"/>
    <w:rPr>
      <w:rFonts w:eastAsia="Times New Roman" w:cs="Times New Roman"/>
      <w:szCs w:val="20"/>
    </w:rPr>
  </w:style>
  <w:style w:type="character" w:customStyle="1" w:styleId="DashChar">
    <w:name w:val="Dash Char"/>
    <w:basedOn w:val="DefaultParagraphFont"/>
    <w:link w:val="Dash"/>
    <w:rsid w:val="00A4759D"/>
    <w:rPr>
      <w:rFonts w:eastAsia="Times New Roman" w:cs="Times New Roman"/>
      <w:szCs w:val="20"/>
    </w:rPr>
  </w:style>
  <w:style w:type="character" w:styleId="CommentReference">
    <w:name w:val="annotation reference"/>
    <w:basedOn w:val="DefaultParagraphFont"/>
    <w:uiPriority w:val="99"/>
    <w:semiHidden/>
    <w:unhideWhenUsed/>
    <w:rsid w:val="00A4759D"/>
    <w:rPr>
      <w:sz w:val="16"/>
      <w:szCs w:val="16"/>
    </w:rPr>
  </w:style>
  <w:style w:type="paragraph" w:styleId="CommentText">
    <w:name w:val="annotation text"/>
    <w:basedOn w:val="Normal"/>
    <w:link w:val="CommentTextChar"/>
    <w:uiPriority w:val="99"/>
    <w:unhideWhenUsed/>
    <w:rsid w:val="00A4759D"/>
    <w:pPr>
      <w:spacing w:before="0" w:after="200" w:line="276" w:lineRule="auto"/>
    </w:pPr>
    <w:rPr>
      <w:rFonts w:ascii="Arial" w:eastAsiaTheme="minorHAnsi" w:hAnsi="Arial" w:cstheme="minorBidi"/>
      <w:sz w:val="20"/>
      <w:lang w:eastAsia="en-US"/>
    </w:rPr>
  </w:style>
  <w:style w:type="character" w:customStyle="1" w:styleId="CommentTextChar">
    <w:name w:val="Comment Text Char"/>
    <w:basedOn w:val="DefaultParagraphFont"/>
    <w:link w:val="CommentText"/>
    <w:uiPriority w:val="99"/>
    <w:rsid w:val="00A4759D"/>
    <w:rPr>
      <w:rFonts w:ascii="Arial" w:hAnsi="Arial"/>
      <w:sz w:val="20"/>
      <w:szCs w:val="20"/>
    </w:rPr>
  </w:style>
  <w:style w:type="paragraph" w:styleId="ListParagraph">
    <w:name w:val="List Paragraph"/>
    <w:basedOn w:val="Normal"/>
    <w:uiPriority w:val="34"/>
    <w:qFormat/>
    <w:rsid w:val="00A4759D"/>
    <w:pPr>
      <w:spacing w:before="0" w:after="160" w:line="259" w:lineRule="auto"/>
      <w:ind w:left="720"/>
      <w:contextualSpacing/>
    </w:pPr>
    <w:rPr>
      <w:rFonts w:asciiTheme="minorHAnsi" w:eastAsiaTheme="minorHAnsi" w:hAnsiTheme="minorHAnsi" w:cstheme="minorBidi"/>
      <w:szCs w:val="22"/>
      <w:lang w:eastAsia="en-US"/>
    </w:rPr>
  </w:style>
  <w:style w:type="paragraph" w:customStyle="1" w:styleId="SecurityClassificationHeader">
    <w:name w:val="Security Classification Header"/>
    <w:link w:val="SecurityClassificationHeaderChar"/>
    <w:rsid w:val="00C46F58"/>
    <w:pPr>
      <w:spacing w:before="240" w:after="60"/>
      <w:jc w:val="center"/>
    </w:pPr>
    <w:rPr>
      <w:rFonts w:eastAsia="Times New Roman"/>
      <w:b/>
      <w:caps/>
      <w:color w:val="004A7F"/>
      <w:sz w:val="24"/>
      <w:szCs w:val="20"/>
    </w:rPr>
  </w:style>
  <w:style w:type="character" w:customStyle="1" w:styleId="SecurityClassificationHeaderChar">
    <w:name w:val="Security Classification Header Char"/>
    <w:basedOn w:val="HeaderChar"/>
    <w:link w:val="SecurityClassificationHeader"/>
    <w:rsid w:val="00C46F58"/>
    <w:rPr>
      <w:rFonts w:ascii="Calibri" w:eastAsia="Times New Roman" w:hAnsi="Calibri" w:cs="Calibri"/>
      <w:b/>
      <w:caps/>
      <w:color w:val="004A7F"/>
      <w:sz w:val="24"/>
      <w:szCs w:val="20"/>
      <w:lang w:eastAsia="en-AU"/>
    </w:rPr>
  </w:style>
  <w:style w:type="paragraph" w:customStyle="1" w:styleId="SecurityClassificationFooter">
    <w:name w:val="Security Classification Footer"/>
    <w:link w:val="SecurityClassificationFooterChar"/>
    <w:rsid w:val="00C46F58"/>
    <w:pPr>
      <w:spacing w:before="60" w:after="240"/>
      <w:jc w:val="center"/>
    </w:pPr>
    <w:rPr>
      <w:rFonts w:eastAsia="Times New Roman"/>
      <w:b/>
      <w:caps/>
      <w:color w:val="004A7F"/>
      <w:sz w:val="24"/>
      <w:szCs w:val="20"/>
    </w:rPr>
  </w:style>
  <w:style w:type="character" w:customStyle="1" w:styleId="SecurityClassificationFooterChar">
    <w:name w:val="Security Classification Footer Char"/>
    <w:basedOn w:val="HeaderChar"/>
    <w:link w:val="SecurityClassificationFooter"/>
    <w:rsid w:val="00C46F58"/>
    <w:rPr>
      <w:rFonts w:ascii="Calibri" w:eastAsia="Times New Roman" w:hAnsi="Calibri" w:cs="Calibri"/>
      <w:b/>
      <w:caps/>
      <w:color w:val="004A7F"/>
      <w:sz w:val="24"/>
      <w:szCs w:val="20"/>
      <w:lang w:eastAsia="en-AU"/>
    </w:rPr>
  </w:style>
  <w:style w:type="paragraph" w:customStyle="1" w:styleId="DLMSecurityHeader">
    <w:name w:val="DLM Security Header"/>
    <w:link w:val="DLMSecurityHeaderChar"/>
    <w:rsid w:val="00C46F58"/>
    <w:pPr>
      <w:spacing w:before="60" w:after="240"/>
      <w:jc w:val="center"/>
    </w:pPr>
    <w:rPr>
      <w:rFonts w:eastAsia="Times New Roman"/>
      <w:b/>
      <w:caps/>
      <w:color w:val="004A7F"/>
      <w:sz w:val="24"/>
      <w:szCs w:val="20"/>
    </w:rPr>
  </w:style>
  <w:style w:type="character" w:customStyle="1" w:styleId="DLMSecurityHeaderChar">
    <w:name w:val="DLM Security Header Char"/>
    <w:basedOn w:val="HeaderChar"/>
    <w:link w:val="DLMSecurityHeader"/>
    <w:rsid w:val="00C46F58"/>
    <w:rPr>
      <w:rFonts w:ascii="Calibri" w:eastAsia="Times New Roman" w:hAnsi="Calibri" w:cs="Calibri"/>
      <w:b/>
      <w:caps/>
      <w:color w:val="004A7F"/>
      <w:sz w:val="24"/>
      <w:szCs w:val="20"/>
      <w:lang w:eastAsia="en-AU"/>
    </w:rPr>
  </w:style>
  <w:style w:type="paragraph" w:customStyle="1" w:styleId="DLMSecurityFooter">
    <w:name w:val="DLM Security Footer"/>
    <w:link w:val="DLMSecurityFooterChar"/>
    <w:rsid w:val="00C46F58"/>
    <w:pPr>
      <w:spacing w:before="240" w:after="60"/>
      <w:jc w:val="center"/>
    </w:pPr>
    <w:rPr>
      <w:rFonts w:eastAsia="Times New Roman"/>
      <w:b/>
      <w:caps/>
      <w:color w:val="004A7F"/>
      <w:sz w:val="24"/>
      <w:szCs w:val="20"/>
    </w:rPr>
  </w:style>
  <w:style w:type="character" w:customStyle="1" w:styleId="DLMSecurityFooterChar">
    <w:name w:val="DLM Security Footer Char"/>
    <w:basedOn w:val="HeaderChar"/>
    <w:link w:val="DLMSecurityFooter"/>
    <w:rsid w:val="00C46F58"/>
    <w:rPr>
      <w:rFonts w:ascii="Calibri" w:eastAsia="Times New Roman" w:hAnsi="Calibri" w:cs="Calibri"/>
      <w:b/>
      <w:caps/>
      <w:color w:val="004A7F"/>
      <w:sz w:val="24"/>
      <w:szCs w:val="20"/>
      <w:lang w:eastAsia="en-AU"/>
    </w:rPr>
  </w:style>
  <w:style w:type="paragraph" w:customStyle="1" w:styleId="CABNETParagraph">
    <w:name w:val="CABNET Paragraph."/>
    <w:basedOn w:val="Normal"/>
    <w:link w:val="CABNETParagraphChar"/>
    <w:uiPriority w:val="98"/>
    <w:qFormat/>
    <w:rsid w:val="00E136BC"/>
    <w:rPr>
      <w:rFonts w:ascii="Arial" w:eastAsiaTheme="minorHAnsi" w:hAnsi="Arial" w:cstheme="minorHAnsi"/>
      <w:szCs w:val="22"/>
      <w:lang w:eastAsia="en-US"/>
    </w:rPr>
  </w:style>
  <w:style w:type="character" w:customStyle="1" w:styleId="CABNETParagraphChar">
    <w:name w:val="CABNET Paragraph. Char"/>
    <w:basedOn w:val="DefaultParagraphFont"/>
    <w:link w:val="CABNETParagraph"/>
    <w:uiPriority w:val="98"/>
    <w:rsid w:val="00E136BC"/>
    <w:rPr>
      <w:rFonts w:ascii="Arial" w:hAnsi="Arial" w:cstheme="minorHAnsi"/>
    </w:rPr>
  </w:style>
  <w:style w:type="paragraph" w:styleId="BodyText">
    <w:name w:val="Body Text"/>
    <w:aliases w:val="CAB - Body Text,Body Text Cab"/>
    <w:link w:val="BodyTextChar"/>
    <w:rsid w:val="00E136BC"/>
    <w:pPr>
      <w:spacing w:after="0"/>
    </w:pPr>
    <w:rPr>
      <w:rFonts w:ascii="Arial" w:hAnsi="Arial"/>
    </w:rPr>
  </w:style>
  <w:style w:type="character" w:customStyle="1" w:styleId="BodyTextChar">
    <w:name w:val="Body Text Char"/>
    <w:aliases w:val="CAB - Body Text Char,Body Text Cab Char"/>
    <w:basedOn w:val="DefaultParagraphFont"/>
    <w:link w:val="BodyText"/>
    <w:rsid w:val="00E136BC"/>
    <w:rPr>
      <w:rFonts w:ascii="Arial" w:hAnsi="Arial"/>
    </w:rPr>
  </w:style>
  <w:style w:type="paragraph" w:styleId="CommentSubject">
    <w:name w:val="annotation subject"/>
    <w:basedOn w:val="CommentText"/>
    <w:next w:val="CommentText"/>
    <w:link w:val="CommentSubjectChar"/>
    <w:uiPriority w:val="99"/>
    <w:semiHidden/>
    <w:unhideWhenUsed/>
    <w:rsid w:val="009A56D0"/>
    <w:pPr>
      <w:spacing w:before="120" w:after="120" w:line="240" w:lineRule="auto"/>
    </w:pPr>
    <w:rPr>
      <w:rFonts w:ascii="Calibri" w:eastAsia="Times New Roman" w:hAnsi="Calibri" w:cs="Times New Roman"/>
      <w:b/>
      <w:bCs/>
      <w:lang w:eastAsia="en-AU"/>
    </w:rPr>
  </w:style>
  <w:style w:type="character" w:customStyle="1" w:styleId="CommentSubjectChar">
    <w:name w:val="Comment Subject Char"/>
    <w:basedOn w:val="CommentTextChar"/>
    <w:link w:val="CommentSubject"/>
    <w:uiPriority w:val="99"/>
    <w:semiHidden/>
    <w:rsid w:val="009A56D0"/>
    <w:rPr>
      <w:rFonts w:ascii="Calibri" w:eastAsia="Times New Roman" w:hAnsi="Calibri" w:cs="Times New Roman"/>
      <w:b/>
      <w:bCs/>
      <w:sz w:val="20"/>
      <w:szCs w:val="20"/>
      <w:lang w:eastAsia="en-AU"/>
    </w:rPr>
  </w:style>
  <w:style w:type="paragraph" w:styleId="NormalWeb">
    <w:name w:val="Normal (Web)"/>
    <w:basedOn w:val="Normal"/>
    <w:uiPriority w:val="99"/>
    <w:semiHidden/>
    <w:unhideWhenUsed/>
    <w:rsid w:val="006D06A9"/>
    <w:pPr>
      <w:spacing w:before="100" w:beforeAutospacing="1" w:after="100" w:afterAutospacing="1"/>
    </w:pPr>
    <w:rPr>
      <w:rFonts w:ascii="Times New Roman" w:hAnsi="Times New Roman"/>
      <w:sz w:val="24"/>
      <w:szCs w:val="24"/>
    </w:rPr>
  </w:style>
  <w:style w:type="character" w:customStyle="1" w:styleId="initials">
    <w:name w:val="initials"/>
    <w:basedOn w:val="DefaultParagraphFont"/>
    <w:rsid w:val="00BE2C01"/>
  </w:style>
  <w:style w:type="paragraph" w:styleId="Revision">
    <w:name w:val="Revision"/>
    <w:hidden/>
    <w:uiPriority w:val="99"/>
    <w:semiHidden/>
    <w:rsid w:val="00AA6BDB"/>
    <w:pPr>
      <w:spacing w:after="0"/>
    </w:pPr>
    <w:rPr>
      <w:rFonts w:eastAsia="Times New Roman" w:cs="Times New Roman"/>
      <w:szCs w:val="20"/>
    </w:rPr>
  </w:style>
  <w:style w:type="paragraph" w:customStyle="1" w:styleId="base-text-paragraph">
    <w:name w:val="base-text-paragraph"/>
    <w:basedOn w:val="Normal"/>
    <w:link w:val="base-text-paragraphChar"/>
    <w:qFormat/>
    <w:rsid w:val="00BC3833"/>
    <w:pPr>
      <w:ind w:left="360" w:hanging="360"/>
    </w:pPr>
    <w:rPr>
      <w:rFonts w:ascii="Times New Roman" w:hAnsi="Times New Roman"/>
    </w:rPr>
  </w:style>
  <w:style w:type="character" w:customStyle="1" w:styleId="base-text-paragraphChar">
    <w:name w:val="base-text-paragraph Char"/>
    <w:basedOn w:val="DefaultParagraphFont"/>
    <w:link w:val="base-text-paragraph"/>
    <w:rsid w:val="00BC3833"/>
    <w:rPr>
      <w:rFonts w:ascii="Times New Roman" w:eastAsia="Times New Roman" w:hAnsi="Times New Roman" w:cs="Times New Roman"/>
      <w:szCs w:val="20"/>
      <w:lang w:eastAsia="en-AU"/>
    </w:rPr>
  </w:style>
  <w:style w:type="paragraph" w:customStyle="1" w:styleId="ChapterHeading">
    <w:name w:val="Chapter Heading"/>
    <w:next w:val="Heading2"/>
    <w:uiPriority w:val="99"/>
    <w:rsid w:val="00BC3833"/>
    <w:pPr>
      <w:pBdr>
        <w:top w:val="single" w:sz="4" w:space="1" w:color="auto"/>
        <w:bottom w:val="single" w:sz="4" w:space="1" w:color="auto"/>
      </w:pBdr>
      <w:spacing w:before="240" w:after="360" w:line="260" w:lineRule="atLeast"/>
      <w:ind w:left="360" w:hanging="360"/>
    </w:pPr>
    <w:rPr>
      <w:rFonts w:ascii="Helvetica" w:eastAsia="Times New Roman" w:hAnsi="Helvetica" w:cs="Times New Roman"/>
      <w:b/>
      <w:i/>
      <w:sz w:val="38"/>
      <w:szCs w:val="20"/>
    </w:rPr>
  </w:style>
  <w:style w:type="numbering" w:customStyle="1" w:styleId="ChapterList">
    <w:name w:val="ChapterList"/>
    <w:uiPriority w:val="99"/>
    <w:rsid w:val="00BC3833"/>
  </w:style>
  <w:style w:type="paragraph" w:customStyle="1" w:styleId="Diagram">
    <w:name w:val="Diagram"/>
    <w:basedOn w:val="Normal"/>
    <w:next w:val="Normal"/>
    <w:uiPriority w:val="99"/>
    <w:rsid w:val="00BC3833"/>
    <w:pPr>
      <w:keepNext/>
      <w:spacing w:before="0" w:after="0"/>
      <w:ind w:left="1080" w:hanging="360"/>
    </w:pPr>
    <w:rPr>
      <w:rFonts w:ascii="Times New Roman" w:hAnsi="Times New Roman"/>
      <w:b/>
    </w:rPr>
  </w:style>
  <w:style w:type="paragraph" w:customStyle="1" w:styleId="ExampleHeading">
    <w:name w:val="Example Heading"/>
    <w:basedOn w:val="Normal"/>
    <w:next w:val="Normal"/>
    <w:uiPriority w:val="99"/>
    <w:rsid w:val="00BC3833"/>
    <w:pPr>
      <w:keepNext/>
      <w:ind w:left="1440" w:hanging="360"/>
    </w:pPr>
    <w:rPr>
      <w:rFonts w:ascii="Times New Roman" w:hAnsi="Times New Roman"/>
      <w:b/>
    </w:rPr>
  </w:style>
  <w:style w:type="paragraph" w:styleId="ListNumber5">
    <w:name w:val="List Number 5"/>
    <w:basedOn w:val="Normal"/>
    <w:semiHidden/>
    <w:rsid w:val="00BC3833"/>
    <w:pPr>
      <w:tabs>
        <w:tab w:val="num" w:pos="1492"/>
      </w:tabs>
      <w:ind w:left="1492" w:hanging="360"/>
    </w:pPr>
    <w:rPr>
      <w:rFonts w:ascii="Times New Roman" w:hAnsi="Times New Roman"/>
    </w:rPr>
  </w:style>
  <w:style w:type="paragraph" w:customStyle="1" w:styleId="TableHeadingoutsidetable">
    <w:name w:val="Table Heading (outside table)"/>
    <w:basedOn w:val="Heading4"/>
    <w:uiPriority w:val="99"/>
    <w:rsid w:val="00BC3833"/>
    <w:pPr>
      <w:tabs>
        <w:tab w:val="num" w:pos="360"/>
      </w:tabs>
      <w:spacing w:after="200"/>
      <w:ind w:left="1800" w:hanging="360"/>
    </w:pPr>
    <w:rPr>
      <w:rFonts w:ascii="Times New Roman" w:hAnsi="Times New Roman" w:cs="Times New Roman"/>
      <w:b/>
      <w:color w:val="auto"/>
      <w:kern w:val="0"/>
      <w:sz w:val="22"/>
      <w:szCs w:val="20"/>
    </w:rPr>
  </w:style>
  <w:style w:type="character" w:customStyle="1" w:styleId="null">
    <w:name w:val="null"/>
    <w:basedOn w:val="DefaultParagraphFont"/>
    <w:rsid w:val="00C930ED"/>
  </w:style>
  <w:style w:type="character" w:customStyle="1" w:styleId="OutlineNumbered1Char">
    <w:name w:val="Outline Numbered 1 Char"/>
    <w:basedOn w:val="DefaultParagraphFont"/>
    <w:link w:val="OutlineNumbered1"/>
    <w:rsid w:val="005D6E29"/>
    <w:rPr>
      <w:rFonts w:ascii="Calibri" w:eastAsia="Times New Roman" w:hAnsi="Calibri" w:cs="Times New Roman"/>
      <w:szCs w:val="20"/>
      <w:lang w:eastAsia="en-AU"/>
    </w:rPr>
  </w:style>
  <w:style w:type="table" w:styleId="GridTable1Light-Accent1">
    <w:name w:val="Grid Table 1 Light Accent 1"/>
    <w:basedOn w:val="TableNormal"/>
    <w:uiPriority w:val="46"/>
    <w:rsid w:val="00AB236F"/>
    <w:pPr>
      <w:spacing w:after="0"/>
    </w:pPr>
    <w:tblPr>
      <w:tblStyleRowBandSize w:val="1"/>
      <w:tblStyleColBandSize w:val="1"/>
      <w:tblBorders>
        <w:top w:val="single" w:sz="4" w:space="0" w:color="4FBCFF" w:themeColor="accent1" w:themeTint="66"/>
        <w:left w:val="single" w:sz="4" w:space="0" w:color="4FBCFF" w:themeColor="accent1" w:themeTint="66"/>
        <w:bottom w:val="single" w:sz="4" w:space="0" w:color="4FBCFF" w:themeColor="accent1" w:themeTint="66"/>
        <w:right w:val="single" w:sz="4" w:space="0" w:color="4FBCFF" w:themeColor="accent1" w:themeTint="66"/>
        <w:insideH w:val="single" w:sz="4" w:space="0" w:color="4FBCFF" w:themeColor="accent1" w:themeTint="66"/>
        <w:insideV w:val="single" w:sz="4" w:space="0" w:color="4FBCFF" w:themeColor="accent1" w:themeTint="66"/>
      </w:tblBorders>
    </w:tblPr>
    <w:tblStylePr w:type="firstRow">
      <w:rPr>
        <w:b/>
        <w:bCs/>
      </w:rPr>
      <w:tblPr/>
      <w:tcPr>
        <w:tcBorders>
          <w:bottom w:val="single" w:sz="12" w:space="0" w:color="0098F6" w:themeColor="accent1" w:themeTint="99"/>
        </w:tcBorders>
      </w:tcPr>
    </w:tblStylePr>
    <w:tblStylePr w:type="lastRow">
      <w:rPr>
        <w:b/>
        <w:bCs/>
      </w:rPr>
      <w:tblPr/>
      <w:tcPr>
        <w:tcBorders>
          <w:top w:val="double" w:sz="2" w:space="0" w:color="0098F6" w:themeColor="accen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851996"/>
    <w:rPr>
      <w:i/>
      <w:iCs/>
    </w:rPr>
  </w:style>
  <w:style w:type="character" w:customStyle="1" w:styleId="hgkelc">
    <w:name w:val="hgkelc"/>
    <w:basedOn w:val="DefaultParagraphFont"/>
    <w:rsid w:val="00732524"/>
  </w:style>
  <w:style w:type="paragraph" w:styleId="EndnoteText">
    <w:name w:val="endnote text"/>
    <w:basedOn w:val="Normal"/>
    <w:link w:val="EndnoteTextChar"/>
    <w:uiPriority w:val="99"/>
    <w:semiHidden/>
    <w:unhideWhenUsed/>
    <w:rsid w:val="00B97063"/>
    <w:pPr>
      <w:spacing w:before="0" w:after="0"/>
    </w:pPr>
    <w:rPr>
      <w:sz w:val="20"/>
    </w:rPr>
  </w:style>
  <w:style w:type="character" w:customStyle="1" w:styleId="EndnoteTextChar">
    <w:name w:val="Endnote Text Char"/>
    <w:basedOn w:val="DefaultParagraphFont"/>
    <w:link w:val="EndnoteText"/>
    <w:uiPriority w:val="99"/>
    <w:semiHidden/>
    <w:rsid w:val="00B97063"/>
    <w:rPr>
      <w:rFonts w:ascii="Calibri" w:eastAsia="Times New Roman" w:hAnsi="Calibri" w:cs="Times New Roman"/>
      <w:sz w:val="20"/>
      <w:szCs w:val="20"/>
      <w:lang w:eastAsia="en-AU"/>
    </w:rPr>
  </w:style>
  <w:style w:type="character" w:styleId="EndnoteReference">
    <w:name w:val="endnote reference"/>
    <w:basedOn w:val="DefaultParagraphFont"/>
    <w:uiPriority w:val="99"/>
    <w:semiHidden/>
    <w:unhideWhenUsed/>
    <w:rsid w:val="00B97063"/>
    <w:rPr>
      <w:vertAlign w:val="superscript"/>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jc w:val="both"/>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E6E6E6"/>
    </w:tc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jc w:val="both"/>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E6E6E6"/>
    </w:tc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jc w:val="both"/>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E6E6E6"/>
    </w:tcPr>
  </w:style>
  <w:style w:type="table" w:customStyle="1" w:styleId="a8">
    <w:basedOn w:val="TableNormal"/>
    <w:pPr>
      <w:spacing w:after="0"/>
      <w:jc w:val="both"/>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E6E6E6"/>
    </w:tcPr>
  </w:style>
  <w:style w:type="table" w:customStyle="1" w:styleId="a9">
    <w:basedOn w:val="TableNormal"/>
    <w:pPr>
      <w:spacing w:after="0"/>
      <w:jc w:val="both"/>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E6E6E6"/>
    </w:tcPr>
  </w:style>
  <w:style w:type="table" w:customStyle="1" w:styleId="aa">
    <w:basedOn w:val="TableNormal"/>
    <w:pPr>
      <w:spacing w:after="0"/>
      <w:jc w:val="both"/>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E6E6E6"/>
    </w:tcPr>
    <w:tblStylePr w:type="firstRow">
      <w:rPr>
        <w:b/>
      </w:rPr>
      <w:tblPr/>
      <w:tcPr>
        <w:tcBorders>
          <w:bottom w:val="single" w:sz="12" w:space="0" w:color="0098F6"/>
        </w:tcBorders>
      </w:tcPr>
    </w:tblStylePr>
    <w:tblStylePr w:type="lastRow">
      <w:rPr>
        <w:b/>
      </w:rPr>
      <w:tblPr/>
      <w:tcPr>
        <w:tcBorders>
          <w:top w:val="single" w:sz="4" w:space="0" w:color="0098F6"/>
        </w:tcBorders>
      </w:tcPr>
    </w:tblStylePr>
    <w:tblStylePr w:type="firstCol">
      <w:rPr>
        <w:b/>
      </w:rPr>
    </w:tblStylePr>
    <w:tblStylePr w:type="lastCol">
      <w:rPr>
        <w:b/>
      </w:rPr>
    </w:tblStylePr>
  </w:style>
  <w:style w:type="character" w:customStyle="1" w:styleId="st1">
    <w:name w:val="st1"/>
    <w:basedOn w:val="DefaultParagraphFont"/>
    <w:rsid w:val="00F637D4"/>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paragraph" w:styleId="NoSpacing">
    <w:name w:val="No Spacing"/>
    <w:uiPriority w:val="1"/>
    <w:qFormat/>
    <w:rsid w:val="00975B7A"/>
    <w:pPr>
      <w:spacing w:before="0" w:after="0"/>
    </w:pPr>
    <w:rPr>
      <w:rFonts w:asciiTheme="minorHAnsi" w:eastAsiaTheme="minorHAnsi" w:hAnsiTheme="minorHAnsi" w:cstheme="minorBidi"/>
      <w:lang w:val="en-US" w:eastAsia="en-US"/>
    </w:rPr>
  </w:style>
  <w:style w:type="paragraph" w:styleId="TOC5">
    <w:name w:val="toc 5"/>
    <w:basedOn w:val="Normal"/>
    <w:next w:val="Normal"/>
    <w:autoRedefine/>
    <w:uiPriority w:val="39"/>
    <w:unhideWhenUsed/>
    <w:rsid w:val="002775AB"/>
    <w:pPr>
      <w:spacing w:after="100"/>
      <w:ind w:left="880"/>
    </w:pPr>
  </w:style>
  <w:style w:type="paragraph" w:styleId="TOC4">
    <w:name w:val="toc 4"/>
    <w:basedOn w:val="Normal"/>
    <w:next w:val="Normal"/>
    <w:autoRedefine/>
    <w:uiPriority w:val="39"/>
    <w:unhideWhenUsed/>
    <w:rsid w:val="002775AB"/>
    <w:pPr>
      <w:spacing w:after="100"/>
      <w:ind w:left="660"/>
    </w:pPr>
  </w:style>
  <w:style w:type="paragraph" w:styleId="TOCHeading">
    <w:name w:val="TOC Heading"/>
    <w:basedOn w:val="Heading1"/>
    <w:next w:val="Normal"/>
    <w:uiPriority w:val="39"/>
    <w:unhideWhenUsed/>
    <w:qFormat/>
    <w:rsid w:val="00DE312F"/>
    <w:pPr>
      <w:keepLines/>
      <w:spacing w:before="240" w:after="0" w:line="259" w:lineRule="auto"/>
      <w:outlineLvl w:val="9"/>
    </w:pPr>
    <w:rPr>
      <w:rFonts w:asciiTheme="majorHAnsi" w:eastAsiaTheme="majorEastAsia" w:hAnsiTheme="majorHAnsi" w:cstheme="majorBidi"/>
      <w:color w:val="002035" w:themeColor="accent1" w:themeShade="BF"/>
      <w:kern w:val="0"/>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1670">
      <w:bodyDiv w:val="1"/>
      <w:marLeft w:val="0"/>
      <w:marRight w:val="0"/>
      <w:marTop w:val="0"/>
      <w:marBottom w:val="0"/>
      <w:divBdr>
        <w:top w:val="none" w:sz="0" w:space="0" w:color="auto"/>
        <w:left w:val="none" w:sz="0" w:space="0" w:color="auto"/>
        <w:bottom w:val="none" w:sz="0" w:space="0" w:color="auto"/>
        <w:right w:val="none" w:sz="0" w:space="0" w:color="auto"/>
      </w:divBdr>
    </w:div>
    <w:div w:id="460609016">
      <w:bodyDiv w:val="1"/>
      <w:marLeft w:val="0"/>
      <w:marRight w:val="0"/>
      <w:marTop w:val="0"/>
      <w:marBottom w:val="0"/>
      <w:divBdr>
        <w:top w:val="none" w:sz="0" w:space="0" w:color="auto"/>
        <w:left w:val="none" w:sz="0" w:space="0" w:color="auto"/>
        <w:bottom w:val="none" w:sz="0" w:space="0" w:color="auto"/>
        <w:right w:val="none" w:sz="0" w:space="0" w:color="auto"/>
      </w:divBdr>
    </w:div>
    <w:div w:id="1450274088">
      <w:bodyDiv w:val="1"/>
      <w:marLeft w:val="0"/>
      <w:marRight w:val="0"/>
      <w:marTop w:val="0"/>
      <w:marBottom w:val="0"/>
      <w:divBdr>
        <w:top w:val="none" w:sz="0" w:space="0" w:color="auto"/>
        <w:left w:val="none" w:sz="0" w:space="0" w:color="auto"/>
        <w:bottom w:val="none" w:sz="0" w:space="0" w:color="auto"/>
        <w:right w:val="none" w:sz="0" w:space="0" w:color="auto"/>
      </w:divBdr>
    </w:div>
    <w:div w:id="1591310279">
      <w:bodyDiv w:val="1"/>
      <w:marLeft w:val="0"/>
      <w:marRight w:val="0"/>
      <w:marTop w:val="0"/>
      <w:marBottom w:val="0"/>
      <w:divBdr>
        <w:top w:val="none" w:sz="0" w:space="0" w:color="auto"/>
        <w:left w:val="none" w:sz="0" w:space="0" w:color="auto"/>
        <w:bottom w:val="none" w:sz="0" w:space="0" w:color="auto"/>
        <w:right w:val="none" w:sz="0" w:space="0" w:color="auto"/>
      </w:divBdr>
    </w:div>
    <w:div w:id="18167550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creativecommons.org/licenses/by/3.0/au/legalcode" TargetMode="External"/><Relationship Id="rId26" Type="http://schemas.openxmlformats.org/officeDocument/2006/relationships/footer" Target="footer2.xml"/><Relationship Id="rId39" Type="http://schemas.openxmlformats.org/officeDocument/2006/relationships/image" Target="media/image10.png"/><Relationship Id="rId21" Type="http://schemas.openxmlformats.org/officeDocument/2006/relationships/hyperlink" Target="http://www.pmc.gov.au/government/commonwealth-coat-arm"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footer" Target="footer6.xml"/><Relationship Id="rId68"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2.xml"/><Relationship Id="rId32" Type="http://schemas.openxmlformats.org/officeDocument/2006/relationships/header" Target="header6.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8.png"/><Relationship Id="rId61" Type="http://schemas.openxmlformats.org/officeDocument/2006/relationships/header" Target="header7.xm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footer" Target="footer4.xm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mailto:media@treasury.gov.au" TargetMode="External"/><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image" Target="media/image6.jpe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footer" Target="footer7.xml"/><Relationship Id="rId8" Type="http://schemas.openxmlformats.org/officeDocument/2006/relationships/numbering" Target="numbering.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creativecommons.org/licenses/by/3.0/au/deed.en" TargetMode="External"/><Relationship Id="rId25" Type="http://schemas.openxmlformats.org/officeDocument/2006/relationships/footer" Target="footer1.xml"/><Relationship Id="rId33" Type="http://schemas.openxmlformats.org/officeDocument/2006/relationships/footer" Target="footer5.xm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fontTable" Target="fontTable.xml"/><Relationship Id="rId20" Type="http://schemas.openxmlformats.org/officeDocument/2006/relationships/hyperlink" Target="http://creativecommons.org/licenses/by/3.0/au/deed.en" TargetMode="Externa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header" Target="header8.xml"/></Relationships>
</file>

<file path=word/theme/theme1.xml><?xml version="1.0" encoding="utf-8"?>
<a:theme xmlns:a="http://schemas.openxmlformats.org/drawingml/2006/main" name="Corporate">
  <a:themeElements>
    <a:clrScheme name="Corporate">
      <a:dk1>
        <a:sysClr val="windowText" lastClr="000000"/>
      </a:dk1>
      <a:lt1>
        <a:sysClr val="window" lastClr="FFFFFF"/>
      </a:lt1>
      <a:dk2>
        <a:srgbClr val="F06252"/>
      </a:dk2>
      <a:lt2>
        <a:srgbClr val="E2E0CB"/>
      </a:lt2>
      <a:accent1>
        <a:srgbClr val="002C47"/>
      </a:accent1>
      <a:accent2>
        <a:srgbClr val="3A6FAF"/>
      </a:accent2>
      <a:accent3>
        <a:srgbClr val="00827F"/>
      </a:accent3>
      <a:accent4>
        <a:srgbClr val="F7901E"/>
      </a:accent4>
      <a:accent5>
        <a:srgbClr val="00ABBD"/>
      </a:accent5>
      <a:accent6>
        <a:srgbClr val="844D9E"/>
      </a:accent6>
      <a:hlink>
        <a:srgbClr val="3A6FAF"/>
      </a:hlink>
      <a:folHlink>
        <a:srgbClr val="E61E26"/>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jVU/7BJmFZ0UxSOpTpsPEXiu6h0Q==">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0f563589-9cf9-4143-b1eb-fb0534803d38">
      <Value>27</Value>
    </TaxCatchAll>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RA-9081 - Retain as national archives</TermName>
          <TermId xmlns="http://schemas.microsoft.com/office/infopath/2007/PartnerControls">bbf0bcde-1687-4ff2-bc57-f31b5d545d4b</TermId>
        </TermInfo>
      </Terms>
    </lb508a4dc5e84436a0fe496b536466aa>
    <_dlc_DocId xmlns="0f563589-9cf9-4143-b1eb-fb0534803d38">2020FG-219-322</_dlc_DocId>
    <_dlc_DocIdUrl xmlns="0f563589-9cf9-4143-b1eb-fb0534803d38">
      <Url>http://tweb/sites/fg/ripd/member/_layouts/15/DocIdRedir.aspx?ID=2020FG-219-322</Url>
      <Description>2020FG-219-322</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6.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586C412BF0B9014C8D889A6B3F3E3353" ma:contentTypeVersion="32706" ma:contentTypeDescription="" ma:contentTypeScope="" ma:versionID="0ff2f23db9eb5b912351510300afe168">
  <xsd:schema xmlns:xsd="http://www.w3.org/2001/XMLSchema" xmlns:xs="http://www.w3.org/2001/XMLSchema" xmlns:p="http://schemas.microsoft.com/office/2006/metadata/properties" xmlns:ns1="http://schemas.microsoft.com/sharepoint/v3" xmlns:ns2="0f563589-9cf9-4143-b1eb-fb0534803d38" xmlns:ns3="e544e5cc-ab70-42e1-849e-1a0f8bb1f4ef" xmlns:ns5="http://schemas.microsoft.com/sharepoint/v4" targetNamespace="http://schemas.microsoft.com/office/2006/metadata/properties" ma:root="true" ma:fieldsID="6ef8bd34eff7e892e7f59d37d9dcf488" ns1:_="" ns2:_="" ns3:_="" ns5:_="">
    <xsd:import namespace="http://schemas.microsoft.com/sharepoint/v3"/>
    <xsd:import namespace="0f563589-9cf9-4143-b1eb-fb0534803d38"/>
    <xsd:import namespace="e544e5cc-ab70-42e1-849e-1a0f8bb1f4e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27;#TSY RA-9081 - Retain as national archives|bbf0bcde-1687-4ff2-bc57-f31b5d545d4b"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161EA-CFCE-4049-B6B7-EE3508D498BD}">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0EF24C3-2AFF-40C7-B796-332C8269E74B}">
  <ds:schemaRefs>
    <ds:schemaRef ds:uri="http://schemas.microsoft.com/office/2006/documentManagement/types"/>
    <ds:schemaRef ds:uri="e544e5cc-ab70-42e1-849e-1a0f8bb1f4ef"/>
    <ds:schemaRef ds:uri="0f563589-9cf9-4143-b1eb-fb0534803d38"/>
    <ds:schemaRef ds:uri="http://purl.org/dc/elements/1.1/"/>
    <ds:schemaRef ds:uri="http://schemas.microsoft.com/office/2006/metadata/properties"/>
    <ds:schemaRef ds:uri="http://schemas.microsoft.com/sharepoint/v3"/>
    <ds:schemaRef ds:uri="http://schemas.microsoft.com/sharepoint/v4"/>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3D4584ED-15BE-4816-8A9F-56C5B9AFD035}">
  <ds:schemaRefs>
    <ds:schemaRef ds:uri="http://schemas.microsoft.com/sharepoint/events"/>
  </ds:schemaRefs>
</ds:datastoreItem>
</file>

<file path=customXml/itemProps5.xml><?xml version="1.0" encoding="utf-8"?>
<ds:datastoreItem xmlns:ds="http://schemas.openxmlformats.org/officeDocument/2006/customXml" ds:itemID="{3AA752AC-5FA5-410C-A14C-D1EB9BE9BAF4}">
  <ds:schemaRefs>
    <ds:schemaRef ds:uri="office.server.policy"/>
  </ds:schemaRefs>
</ds:datastoreItem>
</file>

<file path=customXml/itemProps6.xml><?xml version="1.0" encoding="utf-8"?>
<ds:datastoreItem xmlns:ds="http://schemas.openxmlformats.org/officeDocument/2006/customXml" ds:itemID="{1CFF039C-FDA5-4ECC-91D7-E20F36BF3C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e544e5cc-ab70-42e1-849e-1a0f8bb1f4e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C7D16CCD-F605-48DB-A668-6BA016DAD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8165</Words>
  <Characters>45621</Characters>
  <Application>Microsoft Office Word</Application>
  <DocSecurity>0</DocSecurity>
  <Lines>857</Lines>
  <Paragraphs>395</Paragraphs>
  <ScaleCrop>false</ScaleCrop>
  <HeadingPairs>
    <vt:vector size="2" baseType="variant">
      <vt:variant>
        <vt:lpstr>Title</vt:lpstr>
      </vt:variant>
      <vt:variant>
        <vt:i4>1</vt:i4>
      </vt:variant>
    </vt:vector>
  </HeadingPairs>
  <TitlesOfParts>
    <vt:vector size="1" baseType="lpstr">
      <vt:lpstr>Your Future, Your Super</vt:lpstr>
    </vt:vector>
  </TitlesOfParts>
  <Company/>
  <LinksUpToDate>false</LinksUpToDate>
  <CharactersWithSpaces>53644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Future, Your Super</dc:title>
  <dc:creator/>
  <cp:lastModifiedBy/>
  <cp:revision>1</cp:revision>
  <dcterms:created xsi:type="dcterms:W3CDTF">2020-10-12T01:10:00Z</dcterms:created>
  <dcterms:modified xsi:type="dcterms:W3CDTF">2020-10-12T02:05:00Z</dcterms:modified>
</cp:coreProperties>
</file>