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B4F3F" w14:textId="2AFCFB7C" w:rsidR="00257FF4" w:rsidRPr="002A32FD" w:rsidRDefault="00185EF5" w:rsidP="002A32FD">
      <w:pPr>
        <w:pStyle w:val="ContentsHeading"/>
      </w:pPr>
      <w:bookmarkStart w:id="0" w:name="_Toc190766150"/>
      <w:bookmarkStart w:id="1" w:name="_GoBack"/>
      <w:bookmarkEnd w:id="1"/>
      <w:r>
        <w:t xml:space="preserve">Office of the </w:t>
      </w:r>
      <w:r w:rsidR="00C024A1">
        <w:t>Australian Accounting</w:t>
      </w:r>
      <w:r>
        <w:t xml:space="preserve"> </w:t>
      </w:r>
      <w:r w:rsidR="00485FE5">
        <w:t>Standards B</w:t>
      </w:r>
      <w:r>
        <w:t>oard</w:t>
      </w:r>
      <w:r w:rsidR="00257FF4" w:rsidRPr="002A32FD">
        <w:t xml:space="preserve"> </w:t>
      </w:r>
      <w:bookmarkEnd w:id="0"/>
    </w:p>
    <w:p w14:paraId="6B5308C5" w14:textId="3DF8A57A" w:rsidR="00F92517" w:rsidRDefault="00915F49">
      <w:pPr>
        <w:pStyle w:val="TOC1"/>
        <w:rPr>
          <w:rFonts w:asciiTheme="minorHAnsi" w:eastAsiaTheme="minorEastAsia" w:hAnsiTheme="minorHAnsi" w:cstheme="minorBidi"/>
          <w:b w:val="0"/>
          <w:caps w:val="0"/>
          <w:noProof/>
          <w:sz w:val="22"/>
          <w:szCs w:val="22"/>
        </w:rPr>
      </w:pPr>
      <w:r>
        <w:fldChar w:fldCharType="begin"/>
      </w:r>
      <w:r>
        <w:instrText xml:space="preserve"> TOC \h \z \t "Heading 2,1,Heading 3,2" </w:instrText>
      </w:r>
      <w:r>
        <w:fldChar w:fldCharType="separate"/>
      </w:r>
      <w:hyperlink w:anchor="_Toc48907400" w:history="1">
        <w:r w:rsidR="00F92517" w:rsidRPr="00204BB5">
          <w:rPr>
            <w:rStyle w:val="Hyperlink"/>
            <w:noProof/>
          </w:rPr>
          <w:t>Section 1: Entity overview and resources</w:t>
        </w:r>
        <w:r w:rsidR="00F92517">
          <w:rPr>
            <w:noProof/>
            <w:webHidden/>
          </w:rPr>
          <w:tab/>
        </w:r>
        <w:r w:rsidR="00F92517">
          <w:rPr>
            <w:noProof/>
            <w:webHidden/>
          </w:rPr>
          <w:fldChar w:fldCharType="begin"/>
        </w:r>
        <w:r w:rsidR="00F92517">
          <w:rPr>
            <w:noProof/>
            <w:webHidden/>
          </w:rPr>
          <w:instrText xml:space="preserve"> PAGEREF _Toc48907400 \h </w:instrText>
        </w:r>
        <w:r w:rsidR="00F92517">
          <w:rPr>
            <w:noProof/>
            <w:webHidden/>
          </w:rPr>
        </w:r>
        <w:r w:rsidR="00F92517">
          <w:rPr>
            <w:noProof/>
            <w:webHidden/>
          </w:rPr>
          <w:fldChar w:fldCharType="separate"/>
        </w:r>
        <w:r w:rsidR="002C2678">
          <w:rPr>
            <w:noProof/>
            <w:webHidden/>
          </w:rPr>
          <w:t>319</w:t>
        </w:r>
        <w:r w:rsidR="00F92517">
          <w:rPr>
            <w:noProof/>
            <w:webHidden/>
          </w:rPr>
          <w:fldChar w:fldCharType="end"/>
        </w:r>
      </w:hyperlink>
    </w:p>
    <w:p w14:paraId="6B8453B1" w14:textId="6A369507" w:rsidR="00F92517" w:rsidRDefault="00C82838">
      <w:pPr>
        <w:pStyle w:val="TOC2"/>
        <w:tabs>
          <w:tab w:val="left" w:pos="800"/>
        </w:tabs>
        <w:rPr>
          <w:rFonts w:asciiTheme="minorHAnsi" w:eastAsiaTheme="minorEastAsia" w:hAnsiTheme="minorHAnsi" w:cstheme="minorBidi"/>
          <w:noProof/>
          <w:sz w:val="22"/>
          <w:szCs w:val="22"/>
        </w:rPr>
      </w:pPr>
      <w:hyperlink w:anchor="_Toc48907401" w:history="1">
        <w:r w:rsidR="00F92517" w:rsidRPr="00204BB5">
          <w:rPr>
            <w:rStyle w:val="Hyperlink"/>
            <w:noProof/>
          </w:rPr>
          <w:t>1.1</w:t>
        </w:r>
        <w:r w:rsidR="00F92517">
          <w:rPr>
            <w:rFonts w:asciiTheme="minorHAnsi" w:eastAsiaTheme="minorEastAsia" w:hAnsiTheme="minorHAnsi" w:cstheme="minorBidi"/>
            <w:noProof/>
            <w:sz w:val="22"/>
            <w:szCs w:val="22"/>
          </w:rPr>
          <w:tab/>
        </w:r>
        <w:r w:rsidR="00F92517" w:rsidRPr="00204BB5">
          <w:rPr>
            <w:rStyle w:val="Hyperlink"/>
            <w:noProof/>
          </w:rPr>
          <w:t>Strategic direction statement</w:t>
        </w:r>
        <w:r w:rsidR="00F92517">
          <w:rPr>
            <w:noProof/>
            <w:webHidden/>
          </w:rPr>
          <w:tab/>
        </w:r>
        <w:r w:rsidR="00F92517">
          <w:rPr>
            <w:noProof/>
            <w:webHidden/>
          </w:rPr>
          <w:fldChar w:fldCharType="begin"/>
        </w:r>
        <w:r w:rsidR="00F92517">
          <w:rPr>
            <w:noProof/>
            <w:webHidden/>
          </w:rPr>
          <w:instrText xml:space="preserve"> PAGEREF _Toc48907401 \h </w:instrText>
        </w:r>
        <w:r w:rsidR="00F92517">
          <w:rPr>
            <w:noProof/>
            <w:webHidden/>
          </w:rPr>
        </w:r>
        <w:r w:rsidR="00F92517">
          <w:rPr>
            <w:noProof/>
            <w:webHidden/>
          </w:rPr>
          <w:fldChar w:fldCharType="separate"/>
        </w:r>
        <w:r w:rsidR="002C2678">
          <w:rPr>
            <w:noProof/>
            <w:webHidden/>
          </w:rPr>
          <w:t>319</w:t>
        </w:r>
        <w:r w:rsidR="00F92517">
          <w:rPr>
            <w:noProof/>
            <w:webHidden/>
          </w:rPr>
          <w:fldChar w:fldCharType="end"/>
        </w:r>
      </w:hyperlink>
    </w:p>
    <w:p w14:paraId="4E8B9D51" w14:textId="605250C8" w:rsidR="00F92517" w:rsidRDefault="00C82838">
      <w:pPr>
        <w:pStyle w:val="TOC2"/>
        <w:tabs>
          <w:tab w:val="left" w:pos="800"/>
        </w:tabs>
        <w:rPr>
          <w:rFonts w:asciiTheme="minorHAnsi" w:eastAsiaTheme="minorEastAsia" w:hAnsiTheme="minorHAnsi" w:cstheme="minorBidi"/>
          <w:noProof/>
          <w:sz w:val="22"/>
          <w:szCs w:val="22"/>
        </w:rPr>
      </w:pPr>
      <w:hyperlink w:anchor="_Toc48907402" w:history="1">
        <w:r w:rsidR="00F92517" w:rsidRPr="00204BB5">
          <w:rPr>
            <w:rStyle w:val="Hyperlink"/>
            <w:noProof/>
          </w:rPr>
          <w:t>1.2</w:t>
        </w:r>
        <w:r w:rsidR="00F92517">
          <w:rPr>
            <w:rFonts w:asciiTheme="minorHAnsi" w:eastAsiaTheme="minorEastAsia" w:hAnsiTheme="minorHAnsi" w:cstheme="minorBidi"/>
            <w:noProof/>
            <w:sz w:val="22"/>
            <w:szCs w:val="22"/>
          </w:rPr>
          <w:tab/>
        </w:r>
        <w:r w:rsidR="00F92517" w:rsidRPr="00204BB5">
          <w:rPr>
            <w:rStyle w:val="Hyperlink"/>
            <w:noProof/>
          </w:rPr>
          <w:t>Entity resource statement</w:t>
        </w:r>
        <w:r w:rsidR="00F92517">
          <w:rPr>
            <w:noProof/>
            <w:webHidden/>
          </w:rPr>
          <w:tab/>
        </w:r>
        <w:r w:rsidR="00F92517">
          <w:rPr>
            <w:noProof/>
            <w:webHidden/>
          </w:rPr>
          <w:fldChar w:fldCharType="begin"/>
        </w:r>
        <w:r w:rsidR="00F92517">
          <w:rPr>
            <w:noProof/>
            <w:webHidden/>
          </w:rPr>
          <w:instrText xml:space="preserve"> PAGEREF _Toc48907402 \h </w:instrText>
        </w:r>
        <w:r w:rsidR="00F92517">
          <w:rPr>
            <w:noProof/>
            <w:webHidden/>
          </w:rPr>
        </w:r>
        <w:r w:rsidR="00F92517">
          <w:rPr>
            <w:noProof/>
            <w:webHidden/>
          </w:rPr>
          <w:fldChar w:fldCharType="separate"/>
        </w:r>
        <w:r w:rsidR="002C2678">
          <w:rPr>
            <w:noProof/>
            <w:webHidden/>
          </w:rPr>
          <w:t>321</w:t>
        </w:r>
        <w:r w:rsidR="00F92517">
          <w:rPr>
            <w:noProof/>
            <w:webHidden/>
          </w:rPr>
          <w:fldChar w:fldCharType="end"/>
        </w:r>
      </w:hyperlink>
    </w:p>
    <w:p w14:paraId="5D1F1B8B" w14:textId="6DD80DC9" w:rsidR="00F92517" w:rsidRDefault="00C82838">
      <w:pPr>
        <w:pStyle w:val="TOC2"/>
        <w:tabs>
          <w:tab w:val="left" w:pos="800"/>
        </w:tabs>
        <w:rPr>
          <w:rFonts w:asciiTheme="minorHAnsi" w:eastAsiaTheme="minorEastAsia" w:hAnsiTheme="minorHAnsi" w:cstheme="minorBidi"/>
          <w:noProof/>
          <w:sz w:val="22"/>
          <w:szCs w:val="22"/>
        </w:rPr>
      </w:pPr>
      <w:hyperlink w:anchor="_Toc48907403" w:history="1">
        <w:r w:rsidR="00F92517" w:rsidRPr="00204BB5">
          <w:rPr>
            <w:rStyle w:val="Hyperlink"/>
            <w:noProof/>
          </w:rPr>
          <w:t>1.3</w:t>
        </w:r>
        <w:r w:rsidR="00F92517">
          <w:rPr>
            <w:rFonts w:asciiTheme="minorHAnsi" w:eastAsiaTheme="minorEastAsia" w:hAnsiTheme="minorHAnsi" w:cstheme="minorBidi"/>
            <w:noProof/>
            <w:sz w:val="22"/>
            <w:szCs w:val="22"/>
          </w:rPr>
          <w:tab/>
        </w:r>
        <w:r w:rsidR="00F92517" w:rsidRPr="00204BB5">
          <w:rPr>
            <w:rStyle w:val="Hyperlink"/>
            <w:noProof/>
          </w:rPr>
          <w:t>Budget measures</w:t>
        </w:r>
        <w:r w:rsidR="00F92517">
          <w:rPr>
            <w:noProof/>
            <w:webHidden/>
          </w:rPr>
          <w:tab/>
        </w:r>
        <w:r w:rsidR="00F92517">
          <w:rPr>
            <w:noProof/>
            <w:webHidden/>
          </w:rPr>
          <w:fldChar w:fldCharType="begin"/>
        </w:r>
        <w:r w:rsidR="00F92517">
          <w:rPr>
            <w:noProof/>
            <w:webHidden/>
          </w:rPr>
          <w:instrText xml:space="preserve"> PAGEREF _Toc48907403 \h </w:instrText>
        </w:r>
        <w:r w:rsidR="00F92517">
          <w:rPr>
            <w:noProof/>
            <w:webHidden/>
          </w:rPr>
        </w:r>
        <w:r w:rsidR="00F92517">
          <w:rPr>
            <w:noProof/>
            <w:webHidden/>
          </w:rPr>
          <w:fldChar w:fldCharType="separate"/>
        </w:r>
        <w:r w:rsidR="002C2678">
          <w:rPr>
            <w:noProof/>
            <w:webHidden/>
          </w:rPr>
          <w:t>321</w:t>
        </w:r>
        <w:r w:rsidR="00F92517">
          <w:rPr>
            <w:noProof/>
            <w:webHidden/>
          </w:rPr>
          <w:fldChar w:fldCharType="end"/>
        </w:r>
      </w:hyperlink>
    </w:p>
    <w:p w14:paraId="0D708BA6" w14:textId="502AFBC5" w:rsidR="00F92517" w:rsidRDefault="00C82838">
      <w:pPr>
        <w:pStyle w:val="TOC1"/>
        <w:rPr>
          <w:rFonts w:asciiTheme="minorHAnsi" w:eastAsiaTheme="minorEastAsia" w:hAnsiTheme="minorHAnsi" w:cstheme="minorBidi"/>
          <w:b w:val="0"/>
          <w:caps w:val="0"/>
          <w:noProof/>
          <w:sz w:val="22"/>
          <w:szCs w:val="22"/>
        </w:rPr>
      </w:pPr>
      <w:hyperlink w:anchor="_Toc48907404" w:history="1">
        <w:r w:rsidR="00F92517" w:rsidRPr="00204BB5">
          <w:rPr>
            <w:rStyle w:val="Hyperlink"/>
            <w:noProof/>
          </w:rPr>
          <w:t>Section 2: Outcomes and planned performance</w:t>
        </w:r>
        <w:r w:rsidR="00F92517">
          <w:rPr>
            <w:noProof/>
            <w:webHidden/>
          </w:rPr>
          <w:tab/>
        </w:r>
        <w:r w:rsidR="00F92517">
          <w:rPr>
            <w:noProof/>
            <w:webHidden/>
          </w:rPr>
          <w:fldChar w:fldCharType="begin"/>
        </w:r>
        <w:r w:rsidR="00F92517">
          <w:rPr>
            <w:noProof/>
            <w:webHidden/>
          </w:rPr>
          <w:instrText xml:space="preserve"> PAGEREF _Toc48907404 \h </w:instrText>
        </w:r>
        <w:r w:rsidR="00F92517">
          <w:rPr>
            <w:noProof/>
            <w:webHidden/>
          </w:rPr>
        </w:r>
        <w:r w:rsidR="00F92517">
          <w:rPr>
            <w:noProof/>
            <w:webHidden/>
          </w:rPr>
          <w:fldChar w:fldCharType="separate"/>
        </w:r>
        <w:r w:rsidR="002C2678">
          <w:rPr>
            <w:noProof/>
            <w:webHidden/>
          </w:rPr>
          <w:t>322</w:t>
        </w:r>
        <w:r w:rsidR="00F92517">
          <w:rPr>
            <w:noProof/>
            <w:webHidden/>
          </w:rPr>
          <w:fldChar w:fldCharType="end"/>
        </w:r>
      </w:hyperlink>
    </w:p>
    <w:p w14:paraId="31AA2537" w14:textId="34A928F7" w:rsidR="00F92517" w:rsidRDefault="00C82838">
      <w:pPr>
        <w:pStyle w:val="TOC2"/>
        <w:tabs>
          <w:tab w:val="left" w:pos="800"/>
        </w:tabs>
        <w:rPr>
          <w:rFonts w:asciiTheme="minorHAnsi" w:eastAsiaTheme="minorEastAsia" w:hAnsiTheme="minorHAnsi" w:cstheme="minorBidi"/>
          <w:noProof/>
          <w:sz w:val="22"/>
          <w:szCs w:val="22"/>
        </w:rPr>
      </w:pPr>
      <w:hyperlink w:anchor="_Toc48907405" w:history="1">
        <w:r w:rsidR="00F92517" w:rsidRPr="00204BB5">
          <w:rPr>
            <w:rStyle w:val="Hyperlink"/>
            <w:noProof/>
          </w:rPr>
          <w:t xml:space="preserve">2.1 </w:t>
        </w:r>
        <w:r w:rsidR="00F92517">
          <w:rPr>
            <w:rFonts w:asciiTheme="minorHAnsi" w:eastAsiaTheme="minorEastAsia" w:hAnsiTheme="minorHAnsi" w:cstheme="minorBidi"/>
            <w:noProof/>
            <w:sz w:val="22"/>
            <w:szCs w:val="22"/>
          </w:rPr>
          <w:tab/>
        </w:r>
        <w:r w:rsidR="00F92517" w:rsidRPr="00204BB5">
          <w:rPr>
            <w:rStyle w:val="Hyperlink"/>
            <w:noProof/>
          </w:rPr>
          <w:t>Budgeted expenses and performance for Outcome 1</w:t>
        </w:r>
        <w:r w:rsidR="00F92517">
          <w:rPr>
            <w:noProof/>
            <w:webHidden/>
          </w:rPr>
          <w:tab/>
        </w:r>
        <w:r w:rsidR="00F92517">
          <w:rPr>
            <w:noProof/>
            <w:webHidden/>
          </w:rPr>
          <w:fldChar w:fldCharType="begin"/>
        </w:r>
        <w:r w:rsidR="00F92517">
          <w:rPr>
            <w:noProof/>
            <w:webHidden/>
          </w:rPr>
          <w:instrText xml:space="preserve"> PAGEREF _Toc48907405 \h </w:instrText>
        </w:r>
        <w:r w:rsidR="00F92517">
          <w:rPr>
            <w:noProof/>
            <w:webHidden/>
          </w:rPr>
        </w:r>
        <w:r w:rsidR="00F92517">
          <w:rPr>
            <w:noProof/>
            <w:webHidden/>
          </w:rPr>
          <w:fldChar w:fldCharType="separate"/>
        </w:r>
        <w:r w:rsidR="002C2678">
          <w:rPr>
            <w:noProof/>
            <w:webHidden/>
          </w:rPr>
          <w:t>323</w:t>
        </w:r>
        <w:r w:rsidR="00F92517">
          <w:rPr>
            <w:noProof/>
            <w:webHidden/>
          </w:rPr>
          <w:fldChar w:fldCharType="end"/>
        </w:r>
      </w:hyperlink>
    </w:p>
    <w:p w14:paraId="67627483" w14:textId="73CE6195" w:rsidR="00F92517" w:rsidRDefault="00C82838">
      <w:pPr>
        <w:pStyle w:val="TOC1"/>
        <w:rPr>
          <w:rFonts w:asciiTheme="minorHAnsi" w:eastAsiaTheme="minorEastAsia" w:hAnsiTheme="minorHAnsi" w:cstheme="minorBidi"/>
          <w:b w:val="0"/>
          <w:caps w:val="0"/>
          <w:noProof/>
          <w:sz w:val="22"/>
          <w:szCs w:val="22"/>
        </w:rPr>
      </w:pPr>
      <w:hyperlink w:anchor="_Toc48907406" w:history="1">
        <w:r w:rsidR="00F92517" w:rsidRPr="00204BB5">
          <w:rPr>
            <w:rStyle w:val="Hyperlink"/>
            <w:noProof/>
          </w:rPr>
          <w:t>Section 3: Budgeted financial statements</w:t>
        </w:r>
        <w:r w:rsidR="00F92517">
          <w:rPr>
            <w:noProof/>
            <w:webHidden/>
          </w:rPr>
          <w:tab/>
        </w:r>
        <w:r w:rsidR="00F92517">
          <w:rPr>
            <w:noProof/>
            <w:webHidden/>
          </w:rPr>
          <w:fldChar w:fldCharType="begin"/>
        </w:r>
        <w:r w:rsidR="00F92517">
          <w:rPr>
            <w:noProof/>
            <w:webHidden/>
          </w:rPr>
          <w:instrText xml:space="preserve"> PAGEREF _Toc48907406 \h </w:instrText>
        </w:r>
        <w:r w:rsidR="00F92517">
          <w:rPr>
            <w:noProof/>
            <w:webHidden/>
          </w:rPr>
        </w:r>
        <w:r w:rsidR="00F92517">
          <w:rPr>
            <w:noProof/>
            <w:webHidden/>
          </w:rPr>
          <w:fldChar w:fldCharType="separate"/>
        </w:r>
        <w:r w:rsidR="002C2678">
          <w:rPr>
            <w:noProof/>
            <w:webHidden/>
          </w:rPr>
          <w:t>328</w:t>
        </w:r>
        <w:r w:rsidR="00F92517">
          <w:rPr>
            <w:noProof/>
            <w:webHidden/>
          </w:rPr>
          <w:fldChar w:fldCharType="end"/>
        </w:r>
      </w:hyperlink>
    </w:p>
    <w:p w14:paraId="471CB502" w14:textId="5DEBE8C3" w:rsidR="00F92517" w:rsidRDefault="00C82838">
      <w:pPr>
        <w:pStyle w:val="TOC2"/>
        <w:tabs>
          <w:tab w:val="left" w:pos="800"/>
        </w:tabs>
        <w:rPr>
          <w:noProof/>
        </w:rPr>
      </w:pPr>
      <w:hyperlink w:anchor="_Toc48907407" w:history="1">
        <w:r w:rsidR="00F92517" w:rsidRPr="00204BB5">
          <w:rPr>
            <w:rStyle w:val="Hyperlink"/>
            <w:noProof/>
          </w:rPr>
          <w:t>3.1</w:t>
        </w:r>
        <w:r w:rsidR="00F92517">
          <w:rPr>
            <w:rFonts w:asciiTheme="minorHAnsi" w:eastAsiaTheme="minorEastAsia" w:hAnsiTheme="minorHAnsi" w:cstheme="minorBidi"/>
            <w:noProof/>
            <w:sz w:val="22"/>
            <w:szCs w:val="22"/>
          </w:rPr>
          <w:tab/>
        </w:r>
        <w:r w:rsidR="00F92517" w:rsidRPr="00204BB5">
          <w:rPr>
            <w:rStyle w:val="Hyperlink"/>
            <w:noProof/>
          </w:rPr>
          <w:t>Budgeted financial statements</w:t>
        </w:r>
        <w:r w:rsidR="00F92517">
          <w:rPr>
            <w:noProof/>
            <w:webHidden/>
          </w:rPr>
          <w:tab/>
        </w:r>
        <w:r w:rsidR="00F92517">
          <w:rPr>
            <w:noProof/>
            <w:webHidden/>
          </w:rPr>
          <w:fldChar w:fldCharType="begin"/>
        </w:r>
        <w:r w:rsidR="00F92517">
          <w:rPr>
            <w:noProof/>
            <w:webHidden/>
          </w:rPr>
          <w:instrText xml:space="preserve"> PAGEREF _Toc48907407 \h </w:instrText>
        </w:r>
        <w:r w:rsidR="00F92517">
          <w:rPr>
            <w:noProof/>
            <w:webHidden/>
          </w:rPr>
        </w:r>
        <w:r w:rsidR="00F92517">
          <w:rPr>
            <w:noProof/>
            <w:webHidden/>
          </w:rPr>
          <w:fldChar w:fldCharType="separate"/>
        </w:r>
        <w:r w:rsidR="002C2678">
          <w:rPr>
            <w:noProof/>
            <w:webHidden/>
          </w:rPr>
          <w:t>328</w:t>
        </w:r>
        <w:r w:rsidR="00F92517">
          <w:rPr>
            <w:noProof/>
            <w:webHidden/>
          </w:rPr>
          <w:fldChar w:fldCharType="end"/>
        </w:r>
      </w:hyperlink>
    </w:p>
    <w:p w14:paraId="3500B318" w14:textId="39C4A990" w:rsidR="00A05ED3" w:rsidRDefault="00C82838" w:rsidP="00A05ED3">
      <w:pPr>
        <w:pStyle w:val="TOC2"/>
        <w:tabs>
          <w:tab w:val="left" w:pos="800"/>
        </w:tabs>
        <w:rPr>
          <w:noProof/>
        </w:rPr>
      </w:pPr>
      <w:hyperlink w:anchor="_Toc48907407" w:history="1">
        <w:r w:rsidR="00A05ED3" w:rsidRPr="00204BB5">
          <w:rPr>
            <w:rStyle w:val="Hyperlink"/>
            <w:noProof/>
          </w:rPr>
          <w:t>3.</w:t>
        </w:r>
        <w:r w:rsidR="00A05ED3">
          <w:rPr>
            <w:rStyle w:val="Hyperlink"/>
            <w:noProof/>
          </w:rPr>
          <w:t>2</w:t>
        </w:r>
        <w:r w:rsidR="00A05ED3">
          <w:rPr>
            <w:rFonts w:asciiTheme="minorHAnsi" w:eastAsiaTheme="minorEastAsia" w:hAnsiTheme="minorHAnsi" w:cstheme="minorBidi"/>
            <w:noProof/>
            <w:sz w:val="22"/>
            <w:szCs w:val="22"/>
          </w:rPr>
          <w:tab/>
        </w:r>
        <w:r w:rsidR="00A05ED3" w:rsidRPr="00204BB5">
          <w:rPr>
            <w:rStyle w:val="Hyperlink"/>
            <w:noProof/>
          </w:rPr>
          <w:t>Budgeted financial statements</w:t>
        </w:r>
        <w:r w:rsidR="00A05ED3">
          <w:rPr>
            <w:rStyle w:val="Hyperlink"/>
            <w:noProof/>
          </w:rPr>
          <w:t xml:space="preserve"> tables</w:t>
        </w:r>
        <w:r w:rsidR="00A05ED3">
          <w:rPr>
            <w:noProof/>
            <w:webHidden/>
          </w:rPr>
          <w:tab/>
        </w:r>
        <w:r w:rsidR="00A05ED3">
          <w:rPr>
            <w:noProof/>
            <w:webHidden/>
          </w:rPr>
          <w:fldChar w:fldCharType="begin"/>
        </w:r>
        <w:r w:rsidR="00A05ED3">
          <w:rPr>
            <w:noProof/>
            <w:webHidden/>
          </w:rPr>
          <w:instrText xml:space="preserve"> PAGEREF _Toc48907407 \h </w:instrText>
        </w:r>
        <w:r w:rsidR="00A05ED3">
          <w:rPr>
            <w:noProof/>
            <w:webHidden/>
          </w:rPr>
        </w:r>
        <w:r w:rsidR="00A05ED3">
          <w:rPr>
            <w:noProof/>
            <w:webHidden/>
          </w:rPr>
          <w:fldChar w:fldCharType="separate"/>
        </w:r>
        <w:r w:rsidR="002C2678">
          <w:rPr>
            <w:noProof/>
            <w:webHidden/>
          </w:rPr>
          <w:t>328</w:t>
        </w:r>
        <w:r w:rsidR="00A05ED3">
          <w:rPr>
            <w:noProof/>
            <w:webHidden/>
          </w:rPr>
          <w:fldChar w:fldCharType="end"/>
        </w:r>
      </w:hyperlink>
    </w:p>
    <w:p w14:paraId="65FA4ADF" w14:textId="77777777" w:rsidR="00A05ED3" w:rsidRPr="00A05ED3" w:rsidRDefault="00A05ED3" w:rsidP="00A05ED3">
      <w:pPr>
        <w:rPr>
          <w:noProof/>
        </w:rPr>
      </w:pPr>
    </w:p>
    <w:p w14:paraId="2C4C2D61" w14:textId="77777777" w:rsidR="00A05ED3" w:rsidRPr="00A05ED3" w:rsidRDefault="00A05ED3" w:rsidP="00A05ED3">
      <w:pPr>
        <w:rPr>
          <w:rFonts w:eastAsiaTheme="minorEastAsia"/>
          <w:noProof/>
        </w:rPr>
      </w:pPr>
    </w:p>
    <w:p w14:paraId="346241BF" w14:textId="3358EB63" w:rsidR="008B5AFD" w:rsidRDefault="00915F49" w:rsidP="003E2B5E">
      <w:pPr>
        <w:pStyle w:val="TOC1"/>
      </w:pPr>
      <w:r>
        <w:fldChar w:fldCharType="end"/>
      </w:r>
    </w:p>
    <w:p w14:paraId="4C5DF3CF" w14:textId="77777777" w:rsidR="00257FF4" w:rsidRDefault="00257FF4" w:rsidP="00257FF4">
      <w:pPr>
        <w:sectPr w:rsidR="00257FF4" w:rsidSect="00137413">
          <w:headerReference w:type="even" r:id="rId13"/>
          <w:footerReference w:type="even" r:id="rId14"/>
          <w:footerReference w:type="default" r:id="rId15"/>
          <w:footerReference w:type="first" r:id="rId16"/>
          <w:type w:val="oddPage"/>
          <w:pgSz w:w="11906" w:h="16838" w:code="9"/>
          <w:pgMar w:top="2466" w:right="2098" w:bottom="2466" w:left="2098" w:header="1899" w:footer="1899" w:gutter="0"/>
          <w:pgNumType w:start="317"/>
          <w:cols w:space="708"/>
          <w:titlePg/>
          <w:docGrid w:linePitch="360"/>
        </w:sectPr>
      </w:pPr>
    </w:p>
    <w:p w14:paraId="4B5F2F7B" w14:textId="2E2F86A0" w:rsidR="00257FF4" w:rsidRDefault="00452770" w:rsidP="00834F9A">
      <w:pPr>
        <w:pStyle w:val="Heading1"/>
      </w:pPr>
      <w:r>
        <w:lastRenderedPageBreak/>
        <w:t xml:space="preserve">Office of the </w:t>
      </w:r>
      <w:r w:rsidR="00485FE5">
        <w:t>Australian A</w:t>
      </w:r>
      <w:r w:rsidR="00C024A1">
        <w:t>ccounting</w:t>
      </w:r>
      <w:r w:rsidR="00485FE5">
        <w:t xml:space="preserve"> Standards B</w:t>
      </w:r>
      <w:r>
        <w:t>oard</w:t>
      </w:r>
    </w:p>
    <w:p w14:paraId="1DAD4F03" w14:textId="77777777" w:rsidR="00257FF4" w:rsidRPr="002C4D41" w:rsidRDefault="00257FF4" w:rsidP="00257FF4">
      <w:pPr>
        <w:pStyle w:val="Heading2"/>
      </w:pPr>
      <w:bookmarkStart w:id="2" w:name="_Toc190682308"/>
      <w:bookmarkStart w:id="3" w:name="_Toc190682526"/>
      <w:bookmarkStart w:id="4" w:name="_Toc444523508"/>
      <w:bookmarkStart w:id="5" w:name="_Toc48907400"/>
      <w:r w:rsidRPr="002C4D41">
        <w:t xml:space="preserve">Section 1: </w:t>
      </w:r>
      <w:r w:rsidR="007E6BBD" w:rsidRPr="002C4D41">
        <w:t xml:space="preserve">Entity </w:t>
      </w:r>
      <w:r w:rsidR="00605163" w:rsidRPr="002C4D41">
        <w:t>overview and resources</w:t>
      </w:r>
      <w:bookmarkEnd w:id="2"/>
      <w:bookmarkEnd w:id="3"/>
      <w:bookmarkEnd w:id="4"/>
      <w:bookmarkEnd w:id="5"/>
    </w:p>
    <w:p w14:paraId="1CBCEAF4" w14:textId="27B40C4A" w:rsidR="00257FF4" w:rsidRDefault="00257FF4" w:rsidP="00910CE8">
      <w:pPr>
        <w:pStyle w:val="Heading3"/>
        <w:numPr>
          <w:ilvl w:val="1"/>
          <w:numId w:val="16"/>
        </w:numPr>
      </w:pPr>
      <w:bookmarkStart w:id="6" w:name="_Toc190682309"/>
      <w:bookmarkStart w:id="7" w:name="_Toc190682527"/>
      <w:bookmarkStart w:id="8" w:name="_Toc444523509"/>
      <w:bookmarkStart w:id="9" w:name="_Toc48907401"/>
      <w:r>
        <w:t xml:space="preserve">Strategic </w:t>
      </w:r>
      <w:r w:rsidR="00D81071">
        <w:t>direction</w:t>
      </w:r>
      <w:bookmarkEnd w:id="6"/>
      <w:bookmarkEnd w:id="7"/>
      <w:r w:rsidR="00D81071">
        <w:t xml:space="preserve"> </w:t>
      </w:r>
      <w:r w:rsidR="00605163">
        <w:t>statement</w:t>
      </w:r>
      <w:bookmarkEnd w:id="8"/>
      <w:bookmarkEnd w:id="9"/>
    </w:p>
    <w:p w14:paraId="6CAF867B" w14:textId="77777777" w:rsidR="00C024A1" w:rsidRPr="006C60EA" w:rsidRDefault="00C024A1" w:rsidP="00485FE5">
      <w:pPr>
        <w:spacing w:after="120"/>
      </w:pPr>
      <w:r w:rsidRPr="003800C6">
        <w:t xml:space="preserve">The Office of the Australian Accounting Standards Board (AASB) is an Australian </w:t>
      </w:r>
      <w:r w:rsidRPr="006C60EA">
        <w:t xml:space="preserve">Government entity under the </w:t>
      </w:r>
      <w:r w:rsidRPr="006C60EA">
        <w:rPr>
          <w:i/>
        </w:rPr>
        <w:t>Australian Securities and Investments Commission Act 2001</w:t>
      </w:r>
      <w:r w:rsidRPr="006C60EA">
        <w:t xml:space="preserve">. </w:t>
      </w:r>
    </w:p>
    <w:p w14:paraId="24C71AA4" w14:textId="77777777" w:rsidR="00C024A1" w:rsidRDefault="00C024A1" w:rsidP="00C024A1">
      <w:pPr>
        <w:shd w:val="clear" w:color="auto" w:fill="FFFFFF"/>
        <w:spacing w:after="0" w:line="360" w:lineRule="atLeast"/>
        <w:jc w:val="left"/>
        <w:textAlignment w:val="baseline"/>
        <w:rPr>
          <w:rFonts w:cs="Arial"/>
          <w:color w:val="000000"/>
        </w:rPr>
      </w:pPr>
      <w:r>
        <w:rPr>
          <w:rFonts w:cs="Arial"/>
          <w:color w:val="000000"/>
        </w:rPr>
        <w:t>T</w:t>
      </w:r>
      <w:r w:rsidRPr="006C60EA">
        <w:rPr>
          <w:rFonts w:cs="Arial"/>
          <w:color w:val="000000"/>
        </w:rPr>
        <w:t xml:space="preserve">he </w:t>
      </w:r>
      <w:r>
        <w:rPr>
          <w:rFonts w:cs="Arial"/>
          <w:color w:val="000000"/>
        </w:rPr>
        <w:t xml:space="preserve">strategic directions </w:t>
      </w:r>
      <w:r w:rsidRPr="006C60EA">
        <w:rPr>
          <w:rFonts w:cs="Arial"/>
          <w:color w:val="000000"/>
        </w:rPr>
        <w:t>of the AASB are:</w:t>
      </w:r>
    </w:p>
    <w:p w14:paraId="0555C618" w14:textId="77777777" w:rsidR="00C024A1"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D</w:t>
      </w:r>
      <w:r w:rsidRPr="006C60EA">
        <w:rPr>
          <w:rFonts w:cs="Arial"/>
          <w:color w:val="000000"/>
        </w:rPr>
        <w:t>evelop</w:t>
      </w:r>
      <w:r>
        <w:rPr>
          <w:rFonts w:cs="Arial"/>
          <w:color w:val="000000"/>
        </w:rPr>
        <w:t>, issue and maintain principle based accounting standards and reporting guidelines that meet the needs of external report users;</w:t>
      </w:r>
    </w:p>
    <w:p w14:paraId="469D4941" w14:textId="77777777" w:rsidR="00C024A1" w:rsidRPr="006C60EA"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In partnership with the Auditing and Assurance Standards Board (AUASB) play a lead role in reshaping the Australian external reporting framework;</w:t>
      </w:r>
    </w:p>
    <w:p w14:paraId="1B1027D8" w14:textId="77777777" w:rsidR="00C024A1" w:rsidRPr="006C60EA"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Actively influence international accounting standards and reporting guidance</w:t>
      </w:r>
      <w:r w:rsidRPr="006C60EA">
        <w:rPr>
          <w:rFonts w:cs="Arial"/>
          <w:color w:val="000000"/>
        </w:rPr>
        <w:t>;</w:t>
      </w:r>
    </w:p>
    <w:p w14:paraId="55D54C27" w14:textId="77777777" w:rsidR="00C024A1" w:rsidRPr="006C60EA"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Attain significant key stakeholder engagement</w:t>
      </w:r>
      <w:r w:rsidRPr="006C60EA">
        <w:rPr>
          <w:rFonts w:cs="Arial"/>
          <w:color w:val="000000"/>
        </w:rPr>
        <w:t>;</w:t>
      </w:r>
      <w:r w:rsidRPr="00D81059">
        <w:rPr>
          <w:rFonts w:cs="Arial"/>
          <w:color w:val="000000"/>
        </w:rPr>
        <w:t xml:space="preserve"> </w:t>
      </w:r>
      <w:r>
        <w:rPr>
          <w:rFonts w:cs="Arial"/>
          <w:color w:val="000000"/>
        </w:rPr>
        <w:t xml:space="preserve"> </w:t>
      </w:r>
    </w:p>
    <w:p w14:paraId="72D76754" w14:textId="77777777" w:rsidR="00C024A1"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 xml:space="preserve">Influence initiatives to develop standards and guidance that meet the user’s needs for external reporting beyond financial reporting; </w:t>
      </w:r>
    </w:p>
    <w:p w14:paraId="4CA408B0" w14:textId="1CEAFCCA" w:rsidR="00C024A1"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Monitor and respond to emerging issues impacting the development of external report</w:t>
      </w:r>
      <w:r w:rsidR="00A012FA">
        <w:rPr>
          <w:rFonts w:cs="Arial"/>
          <w:color w:val="000000"/>
        </w:rPr>
        <w:t xml:space="preserve">ing standards and guidance; </w:t>
      </w:r>
    </w:p>
    <w:p w14:paraId="4BEE157D" w14:textId="66B2D72F" w:rsidR="00C024A1" w:rsidRDefault="00C024A1" w:rsidP="00910CE8">
      <w:pPr>
        <w:numPr>
          <w:ilvl w:val="0"/>
          <w:numId w:val="18"/>
        </w:numPr>
        <w:shd w:val="clear" w:color="auto" w:fill="FFFFFF"/>
        <w:spacing w:after="0" w:line="360" w:lineRule="atLeast"/>
        <w:jc w:val="left"/>
        <w:textAlignment w:val="baseline"/>
        <w:rPr>
          <w:rFonts w:cs="Arial"/>
          <w:color w:val="000000"/>
        </w:rPr>
      </w:pPr>
      <w:r>
        <w:rPr>
          <w:rFonts w:cs="Arial"/>
          <w:color w:val="000000"/>
        </w:rPr>
        <w:t xml:space="preserve">Develop guidance and education initiatives to enhance the consistent application of external reporting and </w:t>
      </w:r>
      <w:r w:rsidR="00A012FA">
        <w:rPr>
          <w:rFonts w:cs="Arial"/>
          <w:color w:val="000000"/>
        </w:rPr>
        <w:t>accounting standards guidance; and</w:t>
      </w:r>
    </w:p>
    <w:p w14:paraId="07BB362E" w14:textId="2BC0E234" w:rsidR="00C024A1" w:rsidRPr="008A3D17" w:rsidRDefault="00C024A1" w:rsidP="5E7A94C8">
      <w:pPr>
        <w:numPr>
          <w:ilvl w:val="0"/>
          <w:numId w:val="18"/>
        </w:numPr>
        <w:shd w:val="clear" w:color="auto" w:fill="FFFFFF" w:themeFill="background1"/>
        <w:spacing w:after="0" w:line="360" w:lineRule="atLeast"/>
        <w:jc w:val="left"/>
        <w:textAlignment w:val="baseline"/>
        <w:rPr>
          <w:rFonts w:cs="Arial"/>
        </w:rPr>
      </w:pPr>
      <w:r w:rsidRPr="008A3D17">
        <w:rPr>
          <w:rFonts w:cs="Arial"/>
        </w:rPr>
        <w:t xml:space="preserve">Build a high performing team that operates efficiently, effectively </w:t>
      </w:r>
      <w:r w:rsidR="00372B95" w:rsidRPr="008A3D17">
        <w:rPr>
          <w:rFonts w:cs="Arial"/>
        </w:rPr>
        <w:t xml:space="preserve">in the delivery </w:t>
      </w:r>
      <w:r w:rsidR="008A3D17" w:rsidRPr="008A3D17">
        <w:rPr>
          <w:rFonts w:cs="Arial"/>
        </w:rPr>
        <w:t>of organisation goals and objectives</w:t>
      </w:r>
      <w:r w:rsidRPr="008A3D17">
        <w:rPr>
          <w:rFonts w:cs="Arial"/>
        </w:rPr>
        <w:t>.</w:t>
      </w:r>
    </w:p>
    <w:p w14:paraId="341A270D" w14:textId="77777777" w:rsidR="00C024A1" w:rsidRDefault="00C024A1" w:rsidP="00C024A1">
      <w:pPr>
        <w:pStyle w:val="ListParagraph"/>
        <w:spacing w:before="100" w:beforeAutospacing="1" w:after="120" w:line="240" w:lineRule="auto"/>
        <w:ind w:left="0"/>
        <w:rPr>
          <w:rFonts w:ascii="Book Antiqua" w:eastAsia="Times New Roman" w:hAnsi="Book Antiqua"/>
          <w:sz w:val="20"/>
          <w:szCs w:val="20"/>
          <w:lang w:val="en-AU" w:eastAsia="en-AU"/>
        </w:rPr>
      </w:pPr>
      <w:r w:rsidRPr="003800C6">
        <w:rPr>
          <w:rFonts w:ascii="Book Antiqua" w:eastAsia="Times New Roman" w:hAnsi="Book Antiqua"/>
          <w:sz w:val="20"/>
          <w:szCs w:val="20"/>
          <w:lang w:val="en-AU" w:eastAsia="en-AU"/>
        </w:rPr>
        <w:t>The vision of t</w:t>
      </w:r>
      <w:r>
        <w:rPr>
          <w:rFonts w:ascii="Book Antiqua" w:eastAsia="Times New Roman" w:hAnsi="Book Antiqua"/>
          <w:sz w:val="20"/>
          <w:szCs w:val="20"/>
          <w:lang w:val="en-AU" w:eastAsia="en-AU"/>
        </w:rPr>
        <w:t xml:space="preserve">he AASB is to contribute to stakeholder confidence in the Australian economy, including Australian capital markets and in external reporting. </w:t>
      </w:r>
    </w:p>
    <w:p w14:paraId="6A58FB3B" w14:textId="77777777" w:rsidR="00C024A1" w:rsidRDefault="00C024A1" w:rsidP="00C024A1">
      <w:pPr>
        <w:pStyle w:val="ListParagraph"/>
        <w:spacing w:before="100" w:beforeAutospacing="1" w:after="120" w:line="240" w:lineRule="auto"/>
        <w:ind w:left="0"/>
        <w:rPr>
          <w:rFonts w:ascii="Book Antiqua" w:eastAsia="Times New Roman" w:hAnsi="Book Antiqua"/>
          <w:sz w:val="20"/>
          <w:szCs w:val="20"/>
          <w:lang w:val="en-AU" w:eastAsia="en-AU"/>
        </w:rPr>
      </w:pPr>
    </w:p>
    <w:p w14:paraId="72AAFAA5" w14:textId="77777777" w:rsidR="00C024A1" w:rsidRDefault="00C024A1" w:rsidP="00C024A1">
      <w:pPr>
        <w:pStyle w:val="ListParagraph"/>
        <w:spacing w:before="100" w:beforeAutospacing="1" w:after="120" w:line="240" w:lineRule="auto"/>
        <w:ind w:left="0"/>
        <w:rPr>
          <w:rFonts w:ascii="Book Antiqua" w:eastAsia="Times New Roman" w:hAnsi="Book Antiqua"/>
          <w:sz w:val="20"/>
          <w:szCs w:val="20"/>
          <w:lang w:val="en-AU" w:eastAsia="en-AU"/>
        </w:rPr>
      </w:pPr>
      <w:r>
        <w:rPr>
          <w:rFonts w:ascii="Book Antiqua" w:eastAsia="Times New Roman" w:hAnsi="Book Antiqua"/>
          <w:sz w:val="20"/>
          <w:szCs w:val="20"/>
          <w:lang w:val="en-AU" w:eastAsia="en-AU"/>
        </w:rPr>
        <w:t>This is achieved by developing, issuing and maintaining principle –based Australian accounting and external reporting standards, together with guidance that meets the needs of external users and enhances the consistency and quality of external reporting.</w:t>
      </w:r>
    </w:p>
    <w:p w14:paraId="245E8195" w14:textId="77777777" w:rsidR="00C024A1" w:rsidRDefault="00C024A1" w:rsidP="00C024A1">
      <w:pPr>
        <w:pStyle w:val="ListParagraph"/>
        <w:spacing w:before="100" w:beforeAutospacing="1" w:after="120" w:line="240" w:lineRule="auto"/>
        <w:ind w:left="0"/>
        <w:rPr>
          <w:rFonts w:ascii="Book Antiqua" w:eastAsia="Times New Roman" w:hAnsi="Book Antiqua"/>
          <w:sz w:val="20"/>
          <w:szCs w:val="20"/>
          <w:lang w:val="en-AU" w:eastAsia="en-AU"/>
        </w:rPr>
      </w:pPr>
    </w:p>
    <w:p w14:paraId="589DEB7F" w14:textId="77777777" w:rsidR="00C024A1" w:rsidRDefault="00C024A1" w:rsidP="00C024A1">
      <w:pPr>
        <w:pStyle w:val="ListParagraph"/>
        <w:spacing w:before="100" w:beforeAutospacing="1" w:after="120" w:line="240" w:lineRule="auto"/>
        <w:ind w:left="0"/>
        <w:rPr>
          <w:rFonts w:ascii="Book Antiqua" w:eastAsia="Times New Roman" w:hAnsi="Book Antiqua"/>
          <w:sz w:val="20"/>
          <w:szCs w:val="20"/>
          <w:lang w:val="en-AU" w:eastAsia="en-AU"/>
        </w:rPr>
      </w:pPr>
      <w:r>
        <w:rPr>
          <w:rFonts w:ascii="Book Antiqua" w:eastAsia="Times New Roman" w:hAnsi="Book Antiqua"/>
          <w:sz w:val="20"/>
          <w:szCs w:val="20"/>
          <w:lang w:val="en-AU" w:eastAsia="en-AU"/>
        </w:rPr>
        <w:t xml:space="preserve">We use our expertise and influence to contribute to the development of a single set of accounting and external reporting standards for world-wide use. </w:t>
      </w:r>
    </w:p>
    <w:p w14:paraId="465D59C0" w14:textId="77777777" w:rsidR="00FC49D3" w:rsidRDefault="7297B652" w:rsidP="7297B652">
      <w:r w:rsidRPr="7297B652">
        <w:lastRenderedPageBreak/>
        <w:t>This is achieved by developing, issuing and maintaining in the public interest high quality Australian auditing and assurance standards and guidance that meet user needs and enhanced audit and assurance consistency and quality.</w:t>
      </w:r>
    </w:p>
    <w:p w14:paraId="3BB47C69" w14:textId="4AE3B430" w:rsidR="00FC49D3" w:rsidRPr="00FC49D3" w:rsidRDefault="7297B652" w:rsidP="7297B652">
      <w:r w:rsidRPr="7297B652">
        <w:t xml:space="preserve">We use our expertise and influence to contribute to the development of a single set of auditing and assurance standards and guidance for worldwide use. </w:t>
      </w:r>
    </w:p>
    <w:p w14:paraId="13F560AA" w14:textId="77777777" w:rsidR="00257FF4" w:rsidRDefault="000B36D8" w:rsidP="0079797F">
      <w:pPr>
        <w:pStyle w:val="Heading3"/>
      </w:pPr>
      <w:bookmarkStart w:id="10" w:name="_Toc190682310"/>
      <w:bookmarkStart w:id="11" w:name="_Toc190682528"/>
      <w:r w:rsidRPr="0079797F">
        <w:br w:type="page"/>
      </w:r>
      <w:bookmarkStart w:id="12" w:name="_Toc444523510"/>
      <w:bookmarkStart w:id="13" w:name="_Toc48907402"/>
      <w:r w:rsidR="00257FF4">
        <w:lastRenderedPageBreak/>
        <w:t>1.2</w:t>
      </w:r>
      <w:r w:rsidR="00257FF4">
        <w:tab/>
      </w:r>
      <w:r w:rsidR="007E6BBD">
        <w:t xml:space="preserve">Entity </w:t>
      </w:r>
      <w:r w:rsidR="00257FF4">
        <w:t>resource statement</w:t>
      </w:r>
      <w:bookmarkEnd w:id="10"/>
      <w:bookmarkEnd w:id="11"/>
      <w:bookmarkEnd w:id="12"/>
      <w:bookmarkEnd w:id="13"/>
    </w:p>
    <w:p w14:paraId="478A23F0" w14:textId="77777777" w:rsidR="00E1129E" w:rsidRDefault="00257FF4" w:rsidP="00257FF4">
      <w:bookmarkStart w:id="14" w:name="OLE_LINK11"/>
      <w:bookmarkStart w:id="15"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7E1991DA" w14:textId="4A48D708" w:rsidR="009F43CB"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rsidR="001C7228">
        <w:t>classification.</w:t>
      </w:r>
    </w:p>
    <w:p w14:paraId="35FD4B36" w14:textId="557C1A4C" w:rsidR="00645E69" w:rsidRDefault="00645E69" w:rsidP="00257FF4">
      <w:r>
        <w:t>Information in this table is presented on a resourcing (</w:t>
      </w:r>
      <w:r w:rsidR="005A7C0B">
        <w:t>that is,</w:t>
      </w:r>
      <w:r>
        <w:t xml:space="preserve"> </w:t>
      </w:r>
      <w:r w:rsidR="00061FD8">
        <w:t>appropriations/cash</w:t>
      </w:r>
      <w:r w:rsidR="00565C77">
        <w:t xml:space="preserve"> available</w:t>
      </w:r>
      <w:r>
        <w:t xml:space="preserve">) basis, whilst the </w:t>
      </w:r>
      <w:r w:rsidR="00E1129E">
        <w:t xml:space="preserve">‘Budgeted expenses by </w:t>
      </w:r>
      <w:r w:rsidR="00E251E5">
        <w:t>Outcome 1</w:t>
      </w:r>
      <w:r w:rsidR="00E7371B">
        <w:t xml:space="preserve">’ </w:t>
      </w:r>
      <w:r>
        <w:t>tables in Section 2 and the financial statements in Section 3 are</w:t>
      </w:r>
      <w:r w:rsidR="00831489">
        <w:t xml:space="preserve"> presented on an accrual basis.</w:t>
      </w:r>
    </w:p>
    <w:bookmarkEnd w:id="14"/>
    <w:bookmarkEnd w:id="15"/>
    <w:p w14:paraId="5549DDA1" w14:textId="09268AAE" w:rsidR="00F510FD" w:rsidRPr="003A3DA0" w:rsidRDefault="00741BF8" w:rsidP="002C044D">
      <w:pPr>
        <w:pStyle w:val="ChartandTableFootnote"/>
        <w:rPr>
          <w:rFonts w:ascii="Times New Roman" w:hAnsi="Times New Roman"/>
          <w:color w:val="auto"/>
          <w:sz w:val="20"/>
          <w:lang w:val="en-AU" w:eastAsia="en-AU"/>
        </w:rPr>
      </w:pPr>
      <w:r w:rsidRPr="003A3DA0">
        <w:rPr>
          <w:b/>
          <w:bCs/>
          <w:sz w:val="20"/>
        </w:rPr>
        <w:t xml:space="preserve">Table 1.1: </w:t>
      </w:r>
      <w:r w:rsidR="006A21A9" w:rsidRPr="003A3DA0">
        <w:rPr>
          <w:b/>
          <w:bCs/>
          <w:sz w:val="20"/>
        </w:rPr>
        <w:t xml:space="preserve">Office of the </w:t>
      </w:r>
      <w:r w:rsidR="00E251E5" w:rsidRPr="003A3DA0">
        <w:rPr>
          <w:b/>
          <w:bCs/>
          <w:sz w:val="20"/>
        </w:rPr>
        <w:t xml:space="preserve">Australian Accounting </w:t>
      </w:r>
      <w:r w:rsidR="006A21A9" w:rsidRPr="003A3DA0">
        <w:rPr>
          <w:b/>
          <w:bCs/>
          <w:sz w:val="20"/>
        </w:rPr>
        <w:t>Standards Board</w:t>
      </w:r>
      <w:r w:rsidRPr="003A3DA0">
        <w:rPr>
          <w:b/>
          <w:bCs/>
          <w:sz w:val="20"/>
        </w:rPr>
        <w:t xml:space="preserve"> resource statement — Budget estimates for 2020-21 as at Budget </w:t>
      </w:r>
      <w:r w:rsidR="00125E16" w:rsidRPr="003A3DA0">
        <w:rPr>
          <w:b/>
          <w:bCs/>
          <w:sz w:val="20"/>
        </w:rPr>
        <w:t>October</w:t>
      </w:r>
      <w:r w:rsidR="004F2249" w:rsidRPr="003A3DA0">
        <w:rPr>
          <w:b/>
          <w:bCs/>
          <w:sz w:val="20"/>
        </w:rPr>
        <w:t xml:space="preserve"> 2020</w:t>
      </w:r>
      <w:r w:rsidR="00A65517" w:rsidRPr="003A3DA0">
        <w:rPr>
          <w:sz w:val="20"/>
        </w:rPr>
        <w:t xml:space="preserve"> </w:t>
      </w:r>
    </w:p>
    <w:tbl>
      <w:tblPr>
        <w:tblW w:w="5000" w:type="pct"/>
        <w:tblLook w:val="04A0" w:firstRow="1" w:lastRow="0" w:firstColumn="1" w:lastColumn="0" w:noHBand="0" w:noVBand="1"/>
      </w:tblPr>
      <w:tblGrid>
        <w:gridCol w:w="5374"/>
        <w:gridCol w:w="1169"/>
        <w:gridCol w:w="1167"/>
      </w:tblGrid>
      <w:tr w:rsidR="00F510FD" w:rsidRPr="00F510FD" w14:paraId="32A31334" w14:textId="77777777" w:rsidTr="005D1868">
        <w:trPr>
          <w:divId w:val="1439835400"/>
          <w:trHeight w:val="900"/>
        </w:trPr>
        <w:tc>
          <w:tcPr>
            <w:tcW w:w="3485" w:type="pct"/>
            <w:tcBorders>
              <w:top w:val="single" w:sz="4" w:space="0" w:color="auto"/>
              <w:left w:val="nil"/>
              <w:bottom w:val="nil"/>
              <w:right w:val="nil"/>
            </w:tcBorders>
            <w:shd w:val="clear" w:color="000000" w:fill="FFFFFF"/>
            <w:vAlign w:val="bottom"/>
            <w:hideMark/>
          </w:tcPr>
          <w:p w14:paraId="457EE980" w14:textId="2B4A1D11" w:rsidR="00F510FD" w:rsidRPr="00F510FD" w:rsidRDefault="00F510FD" w:rsidP="00F510FD">
            <w:pPr>
              <w:rPr>
                <w:rFonts w:ascii="Arial" w:hAnsi="Arial" w:cs="Arial"/>
                <w:color w:val="000000"/>
                <w:sz w:val="16"/>
                <w:szCs w:val="16"/>
              </w:rPr>
            </w:pPr>
            <w:r w:rsidRPr="00F510FD">
              <w:rPr>
                <w:rFonts w:ascii="Arial" w:hAnsi="Arial" w:cs="Arial"/>
                <w:color w:val="000000"/>
                <w:sz w:val="16"/>
                <w:szCs w:val="16"/>
              </w:rPr>
              <w:t> </w:t>
            </w:r>
          </w:p>
        </w:tc>
        <w:tc>
          <w:tcPr>
            <w:tcW w:w="758" w:type="pct"/>
            <w:tcBorders>
              <w:top w:val="single" w:sz="4" w:space="0" w:color="auto"/>
              <w:left w:val="nil"/>
              <w:bottom w:val="single" w:sz="4" w:space="0" w:color="auto"/>
              <w:right w:val="nil"/>
            </w:tcBorders>
            <w:shd w:val="clear" w:color="000000" w:fill="FFFFFF"/>
            <w:vAlign w:val="center"/>
            <w:hideMark/>
          </w:tcPr>
          <w:p w14:paraId="30D0B2CF" w14:textId="77777777" w:rsidR="00F510FD" w:rsidRPr="00F510FD" w:rsidRDefault="00F510FD" w:rsidP="005D1868">
            <w:pPr>
              <w:spacing w:after="0" w:line="240" w:lineRule="auto"/>
              <w:jc w:val="right"/>
              <w:rPr>
                <w:rFonts w:ascii="Arial" w:hAnsi="Arial" w:cs="Arial"/>
                <w:i/>
                <w:iCs/>
                <w:color w:val="000000"/>
                <w:sz w:val="16"/>
                <w:szCs w:val="16"/>
              </w:rPr>
            </w:pPr>
            <w:r w:rsidRPr="00F510FD">
              <w:rPr>
                <w:rFonts w:ascii="Arial" w:hAnsi="Arial" w:cs="Arial"/>
                <w:i/>
                <w:iCs/>
                <w:color w:val="000000"/>
                <w:sz w:val="16"/>
                <w:szCs w:val="16"/>
              </w:rPr>
              <w:t>2019-20 Estimated actual</w:t>
            </w:r>
            <w:r w:rsidRPr="00F510FD">
              <w:rPr>
                <w:rFonts w:ascii="Arial" w:hAnsi="Arial" w:cs="Arial"/>
                <w:i/>
                <w:iCs/>
                <w:color w:val="000000"/>
                <w:sz w:val="16"/>
                <w:szCs w:val="16"/>
              </w:rPr>
              <w:br/>
              <w:t>$'000</w:t>
            </w:r>
          </w:p>
        </w:tc>
        <w:tc>
          <w:tcPr>
            <w:tcW w:w="758" w:type="pct"/>
            <w:tcBorders>
              <w:top w:val="single" w:sz="4" w:space="0" w:color="auto"/>
              <w:left w:val="nil"/>
              <w:bottom w:val="single" w:sz="4" w:space="0" w:color="auto"/>
              <w:right w:val="nil"/>
            </w:tcBorders>
            <w:shd w:val="clear" w:color="000000" w:fill="E6E6E6"/>
            <w:vAlign w:val="center"/>
            <w:hideMark/>
          </w:tcPr>
          <w:p w14:paraId="51688AD6" w14:textId="77777777" w:rsidR="00F510FD" w:rsidRPr="00F510FD" w:rsidRDefault="00F510FD" w:rsidP="005D1868">
            <w:pPr>
              <w:spacing w:after="0" w:line="240" w:lineRule="auto"/>
              <w:jc w:val="right"/>
              <w:rPr>
                <w:rFonts w:ascii="Arial" w:hAnsi="Arial" w:cs="Arial"/>
                <w:color w:val="000000"/>
                <w:sz w:val="16"/>
                <w:szCs w:val="16"/>
              </w:rPr>
            </w:pPr>
            <w:r w:rsidRPr="00F510FD">
              <w:rPr>
                <w:rFonts w:ascii="Arial" w:hAnsi="Arial" w:cs="Arial"/>
                <w:color w:val="000000"/>
                <w:sz w:val="16"/>
                <w:szCs w:val="16"/>
              </w:rPr>
              <w:t>2020-21 Estimate</w:t>
            </w:r>
            <w:r w:rsidRPr="00F510FD">
              <w:rPr>
                <w:rFonts w:ascii="Arial" w:hAnsi="Arial" w:cs="Arial"/>
                <w:color w:val="000000"/>
                <w:sz w:val="16"/>
                <w:szCs w:val="16"/>
              </w:rPr>
              <w:br/>
            </w:r>
            <w:r w:rsidRPr="00F510FD">
              <w:rPr>
                <w:rFonts w:ascii="Arial" w:hAnsi="Arial" w:cs="Arial"/>
                <w:color w:val="000000"/>
                <w:sz w:val="16"/>
                <w:szCs w:val="16"/>
              </w:rPr>
              <w:br/>
              <w:t>$'000</w:t>
            </w:r>
          </w:p>
        </w:tc>
      </w:tr>
      <w:tr w:rsidR="00F510FD" w:rsidRPr="00F510FD" w14:paraId="78287104" w14:textId="77777777" w:rsidTr="003A3DA0">
        <w:trPr>
          <w:divId w:val="1439835400"/>
          <w:trHeight w:val="229"/>
        </w:trPr>
        <w:tc>
          <w:tcPr>
            <w:tcW w:w="3485" w:type="pct"/>
            <w:tcBorders>
              <w:top w:val="nil"/>
              <w:left w:val="nil"/>
              <w:bottom w:val="nil"/>
              <w:right w:val="nil"/>
            </w:tcBorders>
            <w:shd w:val="clear" w:color="000000" w:fill="FFFFFF"/>
            <w:vAlign w:val="bottom"/>
            <w:hideMark/>
          </w:tcPr>
          <w:p w14:paraId="3524751A" w14:textId="77777777" w:rsidR="00F510FD" w:rsidRPr="00F510FD" w:rsidRDefault="00F510FD" w:rsidP="00F510FD">
            <w:pPr>
              <w:spacing w:after="0" w:line="240" w:lineRule="auto"/>
              <w:jc w:val="left"/>
              <w:rPr>
                <w:rFonts w:ascii="Arial" w:hAnsi="Arial" w:cs="Arial"/>
                <w:b/>
                <w:bCs/>
                <w:color w:val="000000"/>
                <w:sz w:val="16"/>
                <w:szCs w:val="16"/>
              </w:rPr>
            </w:pPr>
            <w:r w:rsidRPr="00F510FD">
              <w:rPr>
                <w:rFonts w:ascii="Arial" w:hAnsi="Arial" w:cs="Arial"/>
                <w:b/>
                <w:bCs/>
                <w:color w:val="000000"/>
                <w:sz w:val="16"/>
                <w:szCs w:val="16"/>
              </w:rPr>
              <w:t>Departmental</w:t>
            </w:r>
          </w:p>
        </w:tc>
        <w:tc>
          <w:tcPr>
            <w:tcW w:w="758" w:type="pct"/>
            <w:tcBorders>
              <w:top w:val="nil"/>
              <w:left w:val="nil"/>
              <w:bottom w:val="nil"/>
              <w:right w:val="nil"/>
            </w:tcBorders>
            <w:shd w:val="clear" w:color="000000" w:fill="FFFFFF"/>
            <w:vAlign w:val="bottom"/>
            <w:hideMark/>
          </w:tcPr>
          <w:p w14:paraId="52AD3DA9" w14:textId="77777777" w:rsidR="00F510FD" w:rsidRPr="00F510FD" w:rsidRDefault="00F510FD" w:rsidP="00F510FD">
            <w:pPr>
              <w:spacing w:after="0" w:line="240" w:lineRule="auto"/>
              <w:jc w:val="left"/>
              <w:rPr>
                <w:rFonts w:ascii="Arial" w:hAnsi="Arial" w:cs="Arial"/>
                <w:i/>
                <w:iCs/>
                <w:color w:val="000000"/>
                <w:sz w:val="16"/>
                <w:szCs w:val="16"/>
              </w:rPr>
            </w:pPr>
            <w:r w:rsidRPr="00F510FD">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5B2366B7" w14:textId="77777777" w:rsidR="00F510FD" w:rsidRPr="00F510FD" w:rsidRDefault="00F510FD" w:rsidP="00F510FD">
            <w:pPr>
              <w:spacing w:after="0" w:line="240" w:lineRule="auto"/>
              <w:jc w:val="left"/>
              <w:rPr>
                <w:rFonts w:ascii="Arial" w:hAnsi="Arial" w:cs="Arial"/>
                <w:color w:val="000000"/>
                <w:sz w:val="16"/>
                <w:szCs w:val="16"/>
              </w:rPr>
            </w:pPr>
            <w:r w:rsidRPr="00F510FD">
              <w:rPr>
                <w:rFonts w:ascii="Arial" w:hAnsi="Arial" w:cs="Arial"/>
                <w:color w:val="000000"/>
                <w:sz w:val="16"/>
                <w:szCs w:val="16"/>
              </w:rPr>
              <w:t> </w:t>
            </w:r>
          </w:p>
        </w:tc>
      </w:tr>
      <w:tr w:rsidR="00F510FD" w:rsidRPr="00F510FD" w14:paraId="2F56C3DC" w14:textId="77777777" w:rsidTr="003A3DA0">
        <w:trPr>
          <w:divId w:val="1439835400"/>
          <w:trHeight w:val="229"/>
        </w:trPr>
        <w:tc>
          <w:tcPr>
            <w:tcW w:w="3485" w:type="pct"/>
            <w:tcBorders>
              <w:top w:val="nil"/>
              <w:left w:val="nil"/>
              <w:bottom w:val="nil"/>
              <w:right w:val="nil"/>
            </w:tcBorders>
            <w:shd w:val="clear" w:color="000000" w:fill="FFFFFF"/>
            <w:vAlign w:val="bottom"/>
            <w:hideMark/>
          </w:tcPr>
          <w:p w14:paraId="42848DEE" w14:textId="77777777" w:rsidR="00F510FD" w:rsidRPr="00F510FD" w:rsidRDefault="00F510FD" w:rsidP="00F510FD">
            <w:pPr>
              <w:spacing w:after="0" w:line="240" w:lineRule="auto"/>
              <w:jc w:val="left"/>
              <w:rPr>
                <w:rFonts w:ascii="Arial" w:hAnsi="Arial" w:cs="Arial"/>
                <w:color w:val="000000"/>
                <w:sz w:val="16"/>
                <w:szCs w:val="16"/>
              </w:rPr>
            </w:pPr>
            <w:r w:rsidRPr="00F510FD">
              <w:rPr>
                <w:rFonts w:ascii="Arial" w:hAnsi="Arial" w:cs="Arial"/>
                <w:color w:val="000000"/>
                <w:sz w:val="16"/>
                <w:szCs w:val="16"/>
              </w:rPr>
              <w:t>Annual appropriations - ordinary annual services (a)</w:t>
            </w:r>
          </w:p>
        </w:tc>
        <w:tc>
          <w:tcPr>
            <w:tcW w:w="758" w:type="pct"/>
            <w:tcBorders>
              <w:top w:val="nil"/>
              <w:left w:val="nil"/>
              <w:bottom w:val="nil"/>
              <w:right w:val="nil"/>
            </w:tcBorders>
            <w:shd w:val="clear" w:color="000000" w:fill="FFFFFF"/>
            <w:vAlign w:val="bottom"/>
            <w:hideMark/>
          </w:tcPr>
          <w:p w14:paraId="7245B774" w14:textId="77777777" w:rsidR="00F510FD" w:rsidRPr="00F510FD" w:rsidRDefault="00F510FD" w:rsidP="00F510FD">
            <w:pPr>
              <w:spacing w:after="0" w:line="240" w:lineRule="auto"/>
              <w:jc w:val="left"/>
              <w:rPr>
                <w:rFonts w:ascii="Arial" w:hAnsi="Arial" w:cs="Arial"/>
                <w:i/>
                <w:iCs/>
                <w:color w:val="000000"/>
                <w:sz w:val="16"/>
                <w:szCs w:val="16"/>
              </w:rPr>
            </w:pPr>
            <w:r w:rsidRPr="00F510FD">
              <w:rPr>
                <w:rFonts w:ascii="Arial" w:hAnsi="Arial" w:cs="Arial"/>
                <w:i/>
                <w:iCs/>
                <w:color w:val="000000"/>
                <w:sz w:val="16"/>
                <w:szCs w:val="16"/>
              </w:rPr>
              <w:t> </w:t>
            </w:r>
          </w:p>
        </w:tc>
        <w:tc>
          <w:tcPr>
            <w:tcW w:w="758" w:type="pct"/>
            <w:tcBorders>
              <w:top w:val="nil"/>
              <w:left w:val="nil"/>
              <w:bottom w:val="nil"/>
              <w:right w:val="nil"/>
            </w:tcBorders>
            <w:shd w:val="clear" w:color="000000" w:fill="E6E6E6"/>
            <w:vAlign w:val="bottom"/>
            <w:hideMark/>
          </w:tcPr>
          <w:p w14:paraId="779BCEBB" w14:textId="77777777" w:rsidR="00F510FD" w:rsidRPr="00F510FD" w:rsidRDefault="00F510FD" w:rsidP="00F510FD">
            <w:pPr>
              <w:spacing w:after="0" w:line="240" w:lineRule="auto"/>
              <w:jc w:val="left"/>
              <w:rPr>
                <w:rFonts w:ascii="Arial" w:hAnsi="Arial" w:cs="Arial"/>
                <w:color w:val="000000"/>
                <w:sz w:val="16"/>
                <w:szCs w:val="16"/>
              </w:rPr>
            </w:pPr>
            <w:r w:rsidRPr="00F510FD">
              <w:rPr>
                <w:rFonts w:ascii="Arial" w:hAnsi="Arial" w:cs="Arial"/>
                <w:color w:val="000000"/>
                <w:sz w:val="16"/>
                <w:szCs w:val="16"/>
              </w:rPr>
              <w:t> </w:t>
            </w:r>
          </w:p>
        </w:tc>
      </w:tr>
      <w:tr w:rsidR="00F510FD" w:rsidRPr="00F510FD" w14:paraId="366BD8FF" w14:textId="77777777" w:rsidTr="003A3DA0">
        <w:trPr>
          <w:divId w:val="1439835400"/>
          <w:trHeight w:val="229"/>
        </w:trPr>
        <w:tc>
          <w:tcPr>
            <w:tcW w:w="3485" w:type="pct"/>
            <w:tcBorders>
              <w:top w:val="nil"/>
              <w:left w:val="nil"/>
              <w:bottom w:val="nil"/>
              <w:right w:val="nil"/>
            </w:tcBorders>
            <w:shd w:val="clear" w:color="000000" w:fill="FFFFFF"/>
            <w:vAlign w:val="bottom"/>
            <w:hideMark/>
          </w:tcPr>
          <w:p w14:paraId="2EA4A65D" w14:textId="77777777" w:rsidR="00F510FD" w:rsidRPr="00F510FD" w:rsidRDefault="00F510FD" w:rsidP="00F510FD">
            <w:pPr>
              <w:spacing w:after="0" w:line="240" w:lineRule="auto"/>
              <w:jc w:val="left"/>
              <w:rPr>
                <w:rFonts w:ascii="Arial" w:hAnsi="Arial" w:cs="Arial"/>
                <w:color w:val="000000"/>
                <w:sz w:val="16"/>
                <w:szCs w:val="16"/>
              </w:rPr>
            </w:pPr>
            <w:r w:rsidRPr="00F510FD">
              <w:rPr>
                <w:rFonts w:ascii="Arial" w:hAnsi="Arial" w:cs="Arial"/>
                <w:color w:val="000000"/>
                <w:sz w:val="16"/>
                <w:szCs w:val="16"/>
              </w:rPr>
              <w:t xml:space="preserve">    Prior year appropriations available (b)</w:t>
            </w:r>
          </w:p>
        </w:tc>
        <w:tc>
          <w:tcPr>
            <w:tcW w:w="758" w:type="pct"/>
            <w:tcBorders>
              <w:top w:val="nil"/>
              <w:left w:val="nil"/>
              <w:bottom w:val="nil"/>
              <w:right w:val="nil"/>
            </w:tcBorders>
            <w:shd w:val="clear" w:color="000000" w:fill="FFFFFF"/>
            <w:vAlign w:val="bottom"/>
            <w:hideMark/>
          </w:tcPr>
          <w:p w14:paraId="7D8F16A6" w14:textId="77777777" w:rsidR="00F510FD" w:rsidRPr="00F510FD" w:rsidRDefault="00F510FD" w:rsidP="00F510FD">
            <w:pPr>
              <w:spacing w:after="0" w:line="240" w:lineRule="auto"/>
              <w:jc w:val="right"/>
              <w:rPr>
                <w:rFonts w:ascii="Arial" w:hAnsi="Arial" w:cs="Arial"/>
                <w:i/>
                <w:iCs/>
                <w:color w:val="000000"/>
                <w:sz w:val="16"/>
                <w:szCs w:val="16"/>
              </w:rPr>
            </w:pPr>
            <w:r w:rsidRPr="00F510FD">
              <w:rPr>
                <w:rFonts w:ascii="Arial" w:hAnsi="Arial" w:cs="Arial"/>
                <w:i/>
                <w:iCs/>
                <w:color w:val="000000"/>
                <w:sz w:val="16"/>
                <w:szCs w:val="16"/>
              </w:rPr>
              <w:t xml:space="preserve">1,656 </w:t>
            </w:r>
          </w:p>
        </w:tc>
        <w:tc>
          <w:tcPr>
            <w:tcW w:w="758" w:type="pct"/>
            <w:tcBorders>
              <w:top w:val="nil"/>
              <w:left w:val="nil"/>
              <w:bottom w:val="nil"/>
              <w:right w:val="nil"/>
            </w:tcBorders>
            <w:shd w:val="clear" w:color="000000" w:fill="E6E6E6"/>
            <w:vAlign w:val="bottom"/>
            <w:hideMark/>
          </w:tcPr>
          <w:p w14:paraId="7564C87A" w14:textId="77777777" w:rsidR="00F510FD" w:rsidRPr="00F510FD" w:rsidRDefault="00F510FD" w:rsidP="00F510FD">
            <w:pPr>
              <w:spacing w:after="0" w:line="240" w:lineRule="auto"/>
              <w:jc w:val="right"/>
              <w:rPr>
                <w:rFonts w:ascii="Arial" w:hAnsi="Arial" w:cs="Arial"/>
                <w:color w:val="000000"/>
                <w:sz w:val="16"/>
                <w:szCs w:val="16"/>
              </w:rPr>
            </w:pPr>
            <w:r w:rsidRPr="00F510FD">
              <w:rPr>
                <w:rFonts w:ascii="Arial" w:hAnsi="Arial" w:cs="Arial"/>
                <w:color w:val="000000"/>
                <w:sz w:val="16"/>
                <w:szCs w:val="16"/>
              </w:rPr>
              <w:t xml:space="preserve">1,543 </w:t>
            </w:r>
          </w:p>
        </w:tc>
      </w:tr>
      <w:tr w:rsidR="00F510FD" w:rsidRPr="00F510FD" w14:paraId="41FDBC6F" w14:textId="77777777" w:rsidTr="003A3DA0">
        <w:trPr>
          <w:divId w:val="1439835400"/>
          <w:trHeight w:val="229"/>
        </w:trPr>
        <w:tc>
          <w:tcPr>
            <w:tcW w:w="3485" w:type="pct"/>
            <w:tcBorders>
              <w:top w:val="nil"/>
              <w:left w:val="nil"/>
              <w:bottom w:val="nil"/>
              <w:right w:val="nil"/>
            </w:tcBorders>
            <w:shd w:val="clear" w:color="000000" w:fill="FFFFFF"/>
            <w:vAlign w:val="bottom"/>
            <w:hideMark/>
          </w:tcPr>
          <w:p w14:paraId="62707F08" w14:textId="77777777" w:rsidR="00F510FD" w:rsidRPr="00F510FD" w:rsidRDefault="00F510FD" w:rsidP="00F510FD">
            <w:pPr>
              <w:spacing w:after="0" w:line="240" w:lineRule="auto"/>
              <w:jc w:val="left"/>
              <w:rPr>
                <w:rFonts w:ascii="Arial" w:hAnsi="Arial" w:cs="Arial"/>
                <w:color w:val="000000"/>
                <w:sz w:val="16"/>
                <w:szCs w:val="16"/>
              </w:rPr>
            </w:pPr>
            <w:r w:rsidRPr="00F510FD">
              <w:rPr>
                <w:rFonts w:ascii="Arial" w:hAnsi="Arial" w:cs="Arial"/>
                <w:color w:val="000000"/>
                <w:sz w:val="16"/>
                <w:szCs w:val="16"/>
              </w:rPr>
              <w:t xml:space="preserve">    Departmental appropriation (c)</w:t>
            </w:r>
          </w:p>
        </w:tc>
        <w:tc>
          <w:tcPr>
            <w:tcW w:w="758" w:type="pct"/>
            <w:tcBorders>
              <w:top w:val="nil"/>
              <w:left w:val="nil"/>
              <w:bottom w:val="nil"/>
              <w:right w:val="nil"/>
            </w:tcBorders>
            <w:shd w:val="clear" w:color="000000" w:fill="FFFFFF"/>
            <w:vAlign w:val="bottom"/>
            <w:hideMark/>
          </w:tcPr>
          <w:p w14:paraId="10C6524A" w14:textId="77777777" w:rsidR="00F510FD" w:rsidRPr="00F510FD" w:rsidRDefault="00F510FD" w:rsidP="00F510FD">
            <w:pPr>
              <w:spacing w:after="0" w:line="240" w:lineRule="auto"/>
              <w:jc w:val="right"/>
              <w:rPr>
                <w:rFonts w:ascii="Arial" w:hAnsi="Arial" w:cs="Arial"/>
                <w:i/>
                <w:iCs/>
                <w:color w:val="000000"/>
                <w:sz w:val="16"/>
                <w:szCs w:val="16"/>
              </w:rPr>
            </w:pPr>
            <w:r w:rsidRPr="00F510FD">
              <w:rPr>
                <w:rFonts w:ascii="Arial" w:hAnsi="Arial" w:cs="Arial"/>
                <w:i/>
                <w:iCs/>
                <w:color w:val="000000"/>
                <w:sz w:val="16"/>
                <w:szCs w:val="16"/>
              </w:rPr>
              <w:t xml:space="preserve">3,598 </w:t>
            </w:r>
          </w:p>
        </w:tc>
        <w:tc>
          <w:tcPr>
            <w:tcW w:w="758" w:type="pct"/>
            <w:tcBorders>
              <w:top w:val="nil"/>
              <w:left w:val="nil"/>
              <w:bottom w:val="nil"/>
              <w:right w:val="nil"/>
            </w:tcBorders>
            <w:shd w:val="clear" w:color="000000" w:fill="E6E6E6"/>
            <w:vAlign w:val="bottom"/>
            <w:hideMark/>
          </w:tcPr>
          <w:p w14:paraId="234FA871" w14:textId="77777777" w:rsidR="00F510FD" w:rsidRPr="00F510FD" w:rsidRDefault="00F510FD" w:rsidP="00F510FD">
            <w:pPr>
              <w:spacing w:after="0" w:line="240" w:lineRule="auto"/>
              <w:jc w:val="right"/>
              <w:rPr>
                <w:rFonts w:ascii="Arial" w:hAnsi="Arial" w:cs="Arial"/>
                <w:color w:val="000000"/>
                <w:sz w:val="16"/>
                <w:szCs w:val="16"/>
              </w:rPr>
            </w:pPr>
            <w:r w:rsidRPr="00F510FD">
              <w:rPr>
                <w:rFonts w:ascii="Arial" w:hAnsi="Arial" w:cs="Arial"/>
                <w:color w:val="000000"/>
                <w:sz w:val="16"/>
                <w:szCs w:val="16"/>
              </w:rPr>
              <w:t xml:space="preserve">3,565 </w:t>
            </w:r>
          </w:p>
        </w:tc>
      </w:tr>
      <w:tr w:rsidR="00F510FD" w:rsidRPr="00F510FD" w14:paraId="7C91E919" w14:textId="77777777" w:rsidTr="003A3DA0">
        <w:trPr>
          <w:divId w:val="1439835400"/>
          <w:trHeight w:val="229"/>
        </w:trPr>
        <w:tc>
          <w:tcPr>
            <w:tcW w:w="3485" w:type="pct"/>
            <w:tcBorders>
              <w:top w:val="nil"/>
              <w:left w:val="nil"/>
              <w:bottom w:val="nil"/>
              <w:right w:val="nil"/>
            </w:tcBorders>
            <w:shd w:val="clear" w:color="000000" w:fill="FFFFFF"/>
            <w:vAlign w:val="bottom"/>
            <w:hideMark/>
          </w:tcPr>
          <w:p w14:paraId="3E32CFCE" w14:textId="77777777" w:rsidR="00F510FD" w:rsidRPr="00F510FD" w:rsidRDefault="00F510FD" w:rsidP="00F510FD">
            <w:pPr>
              <w:spacing w:after="0" w:line="240" w:lineRule="auto"/>
              <w:jc w:val="left"/>
              <w:rPr>
                <w:rFonts w:ascii="Arial" w:hAnsi="Arial" w:cs="Arial"/>
                <w:color w:val="000000"/>
                <w:sz w:val="16"/>
                <w:szCs w:val="16"/>
              </w:rPr>
            </w:pPr>
            <w:r w:rsidRPr="00F510FD">
              <w:rPr>
                <w:rFonts w:ascii="Arial" w:hAnsi="Arial" w:cs="Arial"/>
                <w:color w:val="000000"/>
                <w:sz w:val="16"/>
                <w:szCs w:val="16"/>
              </w:rPr>
              <w:t xml:space="preserve">    s74 External Revenue (d)</w:t>
            </w:r>
          </w:p>
        </w:tc>
        <w:tc>
          <w:tcPr>
            <w:tcW w:w="758" w:type="pct"/>
            <w:tcBorders>
              <w:top w:val="nil"/>
              <w:left w:val="nil"/>
              <w:bottom w:val="nil"/>
              <w:right w:val="nil"/>
            </w:tcBorders>
            <w:shd w:val="clear" w:color="000000" w:fill="FFFFFF"/>
            <w:vAlign w:val="bottom"/>
            <w:hideMark/>
          </w:tcPr>
          <w:p w14:paraId="3E5AF7BD" w14:textId="77777777" w:rsidR="00F510FD" w:rsidRPr="00F510FD" w:rsidRDefault="00F510FD" w:rsidP="00F510FD">
            <w:pPr>
              <w:spacing w:after="0" w:line="240" w:lineRule="auto"/>
              <w:jc w:val="right"/>
              <w:rPr>
                <w:rFonts w:ascii="Arial" w:hAnsi="Arial" w:cs="Arial"/>
                <w:i/>
                <w:iCs/>
                <w:color w:val="000000"/>
                <w:sz w:val="16"/>
                <w:szCs w:val="16"/>
              </w:rPr>
            </w:pPr>
            <w:r w:rsidRPr="00F510FD">
              <w:rPr>
                <w:rFonts w:ascii="Arial" w:hAnsi="Arial" w:cs="Arial"/>
                <w:i/>
                <w:iCs/>
                <w:color w:val="000000"/>
                <w:sz w:val="16"/>
                <w:szCs w:val="16"/>
              </w:rPr>
              <w:t xml:space="preserve">1,043 </w:t>
            </w:r>
          </w:p>
        </w:tc>
        <w:tc>
          <w:tcPr>
            <w:tcW w:w="758" w:type="pct"/>
            <w:tcBorders>
              <w:top w:val="nil"/>
              <w:left w:val="nil"/>
              <w:bottom w:val="nil"/>
              <w:right w:val="nil"/>
            </w:tcBorders>
            <w:shd w:val="clear" w:color="000000" w:fill="E6E6E6"/>
            <w:vAlign w:val="bottom"/>
            <w:hideMark/>
          </w:tcPr>
          <w:p w14:paraId="42DEE8B3" w14:textId="77777777" w:rsidR="00F510FD" w:rsidRPr="00F510FD" w:rsidRDefault="00F510FD" w:rsidP="00F510FD">
            <w:pPr>
              <w:spacing w:after="0" w:line="240" w:lineRule="auto"/>
              <w:jc w:val="right"/>
              <w:rPr>
                <w:rFonts w:ascii="Arial" w:hAnsi="Arial" w:cs="Arial"/>
                <w:color w:val="000000"/>
                <w:sz w:val="16"/>
                <w:szCs w:val="16"/>
              </w:rPr>
            </w:pPr>
            <w:r w:rsidRPr="00F510FD">
              <w:rPr>
                <w:rFonts w:ascii="Arial" w:hAnsi="Arial" w:cs="Arial"/>
                <w:color w:val="000000"/>
                <w:sz w:val="16"/>
                <w:szCs w:val="16"/>
              </w:rPr>
              <w:t xml:space="preserve">1,124 </w:t>
            </w:r>
          </w:p>
        </w:tc>
      </w:tr>
      <w:tr w:rsidR="00F510FD" w:rsidRPr="00F510FD" w14:paraId="4564DEE6" w14:textId="77777777" w:rsidTr="003A3DA0">
        <w:trPr>
          <w:divId w:val="1439835400"/>
          <w:trHeight w:val="229"/>
        </w:trPr>
        <w:tc>
          <w:tcPr>
            <w:tcW w:w="3485" w:type="pct"/>
            <w:tcBorders>
              <w:top w:val="nil"/>
              <w:left w:val="nil"/>
              <w:bottom w:val="nil"/>
              <w:right w:val="nil"/>
            </w:tcBorders>
            <w:shd w:val="clear" w:color="000000" w:fill="FFFFFF"/>
            <w:vAlign w:val="bottom"/>
            <w:hideMark/>
          </w:tcPr>
          <w:p w14:paraId="04A86EA1" w14:textId="77777777" w:rsidR="00F510FD" w:rsidRPr="00F510FD" w:rsidRDefault="00F510FD" w:rsidP="00F510FD">
            <w:pPr>
              <w:spacing w:after="0" w:line="240" w:lineRule="auto"/>
              <w:jc w:val="left"/>
              <w:rPr>
                <w:rFonts w:ascii="Arial" w:hAnsi="Arial" w:cs="Arial"/>
                <w:color w:val="000000"/>
                <w:sz w:val="16"/>
                <w:szCs w:val="16"/>
              </w:rPr>
            </w:pPr>
            <w:r w:rsidRPr="00F510FD">
              <w:rPr>
                <w:rFonts w:ascii="Arial" w:hAnsi="Arial" w:cs="Arial"/>
                <w:color w:val="000000"/>
                <w:sz w:val="16"/>
                <w:szCs w:val="16"/>
              </w:rPr>
              <w:t xml:space="preserve">    Departmental capital budget (e)</w:t>
            </w:r>
          </w:p>
        </w:tc>
        <w:tc>
          <w:tcPr>
            <w:tcW w:w="758" w:type="pct"/>
            <w:tcBorders>
              <w:top w:val="nil"/>
              <w:left w:val="nil"/>
              <w:bottom w:val="nil"/>
              <w:right w:val="nil"/>
            </w:tcBorders>
            <w:shd w:val="clear" w:color="000000" w:fill="FFFFFF"/>
            <w:vAlign w:val="bottom"/>
            <w:hideMark/>
          </w:tcPr>
          <w:p w14:paraId="4CA8C46B" w14:textId="77777777" w:rsidR="00F510FD" w:rsidRPr="00F510FD" w:rsidRDefault="00F510FD" w:rsidP="00F510FD">
            <w:pPr>
              <w:spacing w:after="0" w:line="240" w:lineRule="auto"/>
              <w:jc w:val="right"/>
              <w:rPr>
                <w:rFonts w:ascii="Arial" w:hAnsi="Arial" w:cs="Arial"/>
                <w:i/>
                <w:iCs/>
                <w:color w:val="000000"/>
                <w:sz w:val="16"/>
                <w:szCs w:val="16"/>
              </w:rPr>
            </w:pPr>
            <w:r w:rsidRPr="00F510FD">
              <w:rPr>
                <w:rFonts w:ascii="Arial" w:hAnsi="Arial" w:cs="Arial"/>
                <w:i/>
                <w:iCs/>
                <w:color w:val="000000"/>
                <w:sz w:val="16"/>
                <w:szCs w:val="16"/>
              </w:rPr>
              <w:t xml:space="preserve">- </w:t>
            </w:r>
          </w:p>
        </w:tc>
        <w:tc>
          <w:tcPr>
            <w:tcW w:w="758" w:type="pct"/>
            <w:tcBorders>
              <w:top w:val="nil"/>
              <w:left w:val="nil"/>
              <w:bottom w:val="nil"/>
              <w:right w:val="nil"/>
            </w:tcBorders>
            <w:shd w:val="clear" w:color="000000" w:fill="E6E6E6"/>
            <w:vAlign w:val="bottom"/>
            <w:hideMark/>
          </w:tcPr>
          <w:p w14:paraId="018423FA" w14:textId="77777777" w:rsidR="00F510FD" w:rsidRPr="00F510FD" w:rsidRDefault="00F510FD" w:rsidP="00F510FD">
            <w:pPr>
              <w:spacing w:after="0" w:line="240" w:lineRule="auto"/>
              <w:jc w:val="right"/>
              <w:rPr>
                <w:rFonts w:ascii="Arial" w:hAnsi="Arial" w:cs="Arial"/>
                <w:color w:val="000000"/>
                <w:sz w:val="16"/>
                <w:szCs w:val="16"/>
              </w:rPr>
            </w:pPr>
            <w:r w:rsidRPr="00F510FD">
              <w:rPr>
                <w:rFonts w:ascii="Arial" w:hAnsi="Arial" w:cs="Arial"/>
                <w:color w:val="000000"/>
                <w:sz w:val="16"/>
                <w:szCs w:val="16"/>
              </w:rPr>
              <w:t xml:space="preserve">51 </w:t>
            </w:r>
          </w:p>
        </w:tc>
      </w:tr>
      <w:tr w:rsidR="00F510FD" w:rsidRPr="00F510FD" w14:paraId="61D02F35" w14:textId="77777777" w:rsidTr="003A3DA0">
        <w:trPr>
          <w:divId w:val="1439835400"/>
          <w:trHeight w:val="229"/>
        </w:trPr>
        <w:tc>
          <w:tcPr>
            <w:tcW w:w="3485" w:type="pct"/>
            <w:tcBorders>
              <w:top w:val="nil"/>
              <w:left w:val="nil"/>
              <w:bottom w:val="nil"/>
              <w:right w:val="nil"/>
            </w:tcBorders>
            <w:shd w:val="clear" w:color="000000" w:fill="FFFFFF"/>
            <w:vAlign w:val="bottom"/>
            <w:hideMark/>
          </w:tcPr>
          <w:p w14:paraId="49C7F66C" w14:textId="77777777" w:rsidR="00F510FD" w:rsidRPr="00F510FD" w:rsidRDefault="00F510FD" w:rsidP="00F510FD">
            <w:pPr>
              <w:spacing w:after="0" w:line="240" w:lineRule="auto"/>
              <w:jc w:val="left"/>
              <w:rPr>
                <w:rFonts w:ascii="Arial" w:hAnsi="Arial" w:cs="Arial"/>
                <w:color w:val="000000"/>
                <w:sz w:val="16"/>
                <w:szCs w:val="16"/>
              </w:rPr>
            </w:pPr>
            <w:r w:rsidRPr="00F510FD">
              <w:rPr>
                <w:rFonts w:ascii="Arial" w:hAnsi="Arial" w:cs="Arial"/>
                <w:color w:val="000000"/>
                <w:sz w:val="16"/>
                <w:szCs w:val="16"/>
              </w:rPr>
              <w:t>Total departmental annual appropriations</w:t>
            </w:r>
          </w:p>
        </w:tc>
        <w:tc>
          <w:tcPr>
            <w:tcW w:w="758" w:type="pct"/>
            <w:tcBorders>
              <w:top w:val="single" w:sz="4" w:space="0" w:color="auto"/>
              <w:left w:val="nil"/>
              <w:bottom w:val="single" w:sz="4" w:space="0" w:color="auto"/>
              <w:right w:val="nil"/>
            </w:tcBorders>
            <w:shd w:val="clear" w:color="000000" w:fill="FFFFFF"/>
            <w:vAlign w:val="bottom"/>
            <w:hideMark/>
          </w:tcPr>
          <w:p w14:paraId="17455C83" w14:textId="77777777" w:rsidR="00F510FD" w:rsidRPr="00F510FD" w:rsidRDefault="00F510FD" w:rsidP="00F510FD">
            <w:pPr>
              <w:spacing w:after="0" w:line="240" w:lineRule="auto"/>
              <w:jc w:val="right"/>
              <w:rPr>
                <w:rFonts w:ascii="Arial" w:hAnsi="Arial" w:cs="Arial"/>
                <w:i/>
                <w:iCs/>
                <w:color w:val="000000"/>
                <w:sz w:val="16"/>
                <w:szCs w:val="16"/>
              </w:rPr>
            </w:pPr>
            <w:r w:rsidRPr="00F510FD">
              <w:rPr>
                <w:rFonts w:ascii="Arial" w:hAnsi="Arial" w:cs="Arial"/>
                <w:i/>
                <w:iCs/>
                <w:color w:val="000000"/>
                <w:sz w:val="16"/>
                <w:szCs w:val="16"/>
              </w:rPr>
              <w:t xml:space="preserve">6,297 </w:t>
            </w:r>
          </w:p>
        </w:tc>
        <w:tc>
          <w:tcPr>
            <w:tcW w:w="758" w:type="pct"/>
            <w:tcBorders>
              <w:top w:val="single" w:sz="4" w:space="0" w:color="auto"/>
              <w:left w:val="nil"/>
              <w:bottom w:val="single" w:sz="4" w:space="0" w:color="auto"/>
              <w:right w:val="nil"/>
            </w:tcBorders>
            <w:shd w:val="clear" w:color="000000" w:fill="E6E6E6"/>
            <w:vAlign w:val="bottom"/>
            <w:hideMark/>
          </w:tcPr>
          <w:p w14:paraId="5AFAC7CF" w14:textId="77777777" w:rsidR="00F510FD" w:rsidRPr="00F510FD" w:rsidRDefault="00F510FD" w:rsidP="00F510FD">
            <w:pPr>
              <w:spacing w:after="0" w:line="240" w:lineRule="auto"/>
              <w:jc w:val="right"/>
              <w:rPr>
                <w:rFonts w:ascii="Arial" w:hAnsi="Arial" w:cs="Arial"/>
                <w:color w:val="000000"/>
                <w:sz w:val="16"/>
                <w:szCs w:val="16"/>
              </w:rPr>
            </w:pPr>
            <w:r w:rsidRPr="00F510FD">
              <w:rPr>
                <w:rFonts w:ascii="Arial" w:hAnsi="Arial" w:cs="Arial"/>
                <w:color w:val="000000"/>
                <w:sz w:val="16"/>
                <w:szCs w:val="16"/>
              </w:rPr>
              <w:t xml:space="preserve">6,283 </w:t>
            </w:r>
          </w:p>
        </w:tc>
      </w:tr>
      <w:tr w:rsidR="00F510FD" w:rsidRPr="00F510FD" w14:paraId="3BCAB353" w14:textId="77777777" w:rsidTr="003A3DA0">
        <w:trPr>
          <w:divId w:val="1439835400"/>
          <w:trHeight w:val="225"/>
        </w:trPr>
        <w:tc>
          <w:tcPr>
            <w:tcW w:w="3485" w:type="pct"/>
            <w:tcBorders>
              <w:top w:val="nil"/>
              <w:left w:val="nil"/>
              <w:bottom w:val="single" w:sz="4" w:space="0" w:color="auto"/>
              <w:right w:val="nil"/>
            </w:tcBorders>
            <w:shd w:val="clear" w:color="000000" w:fill="FFFFFF"/>
            <w:vAlign w:val="bottom"/>
            <w:hideMark/>
          </w:tcPr>
          <w:p w14:paraId="0AAFEA62" w14:textId="77777777" w:rsidR="00F510FD" w:rsidRPr="0072151E" w:rsidRDefault="00F510FD" w:rsidP="00F510FD">
            <w:pPr>
              <w:spacing w:after="0" w:line="240" w:lineRule="auto"/>
              <w:jc w:val="left"/>
              <w:rPr>
                <w:rFonts w:ascii="Arial" w:hAnsi="Arial" w:cs="Arial"/>
                <w:b/>
                <w:bCs/>
                <w:i/>
                <w:color w:val="000000"/>
                <w:sz w:val="16"/>
                <w:szCs w:val="16"/>
              </w:rPr>
            </w:pPr>
            <w:r w:rsidRPr="0072151E">
              <w:rPr>
                <w:rFonts w:ascii="Arial" w:hAnsi="Arial" w:cs="Arial"/>
                <w:b/>
                <w:bCs/>
                <w:i/>
                <w:color w:val="000000"/>
                <w:sz w:val="16"/>
                <w:szCs w:val="16"/>
              </w:rPr>
              <w:t>Total Departmental resourcing</w:t>
            </w:r>
          </w:p>
        </w:tc>
        <w:tc>
          <w:tcPr>
            <w:tcW w:w="758" w:type="pct"/>
            <w:tcBorders>
              <w:top w:val="nil"/>
              <w:left w:val="nil"/>
              <w:bottom w:val="single" w:sz="4" w:space="0" w:color="auto"/>
              <w:right w:val="nil"/>
            </w:tcBorders>
            <w:shd w:val="clear" w:color="000000" w:fill="FFFFFF"/>
            <w:vAlign w:val="bottom"/>
            <w:hideMark/>
          </w:tcPr>
          <w:p w14:paraId="19BF7B2F" w14:textId="77777777" w:rsidR="00F510FD" w:rsidRPr="00F510FD" w:rsidRDefault="00F510FD" w:rsidP="00F510FD">
            <w:pPr>
              <w:spacing w:after="0" w:line="240" w:lineRule="auto"/>
              <w:jc w:val="right"/>
              <w:rPr>
                <w:rFonts w:ascii="Arial" w:hAnsi="Arial" w:cs="Arial"/>
                <w:b/>
                <w:bCs/>
                <w:i/>
                <w:iCs/>
                <w:color w:val="000000"/>
                <w:sz w:val="16"/>
                <w:szCs w:val="16"/>
              </w:rPr>
            </w:pPr>
            <w:r w:rsidRPr="00F510FD">
              <w:rPr>
                <w:rFonts w:ascii="Arial" w:hAnsi="Arial" w:cs="Arial"/>
                <w:b/>
                <w:bCs/>
                <w:i/>
                <w:iCs/>
                <w:color w:val="000000"/>
                <w:sz w:val="16"/>
                <w:szCs w:val="16"/>
              </w:rPr>
              <w:t xml:space="preserve">6,297 </w:t>
            </w:r>
          </w:p>
        </w:tc>
        <w:tc>
          <w:tcPr>
            <w:tcW w:w="758" w:type="pct"/>
            <w:tcBorders>
              <w:top w:val="nil"/>
              <w:left w:val="nil"/>
              <w:bottom w:val="single" w:sz="4" w:space="0" w:color="auto"/>
              <w:right w:val="nil"/>
            </w:tcBorders>
            <w:shd w:val="clear" w:color="000000" w:fill="E6E6E6"/>
            <w:vAlign w:val="bottom"/>
            <w:hideMark/>
          </w:tcPr>
          <w:p w14:paraId="61E57BC9" w14:textId="77777777" w:rsidR="00F510FD" w:rsidRPr="00A54CAE" w:rsidRDefault="00F510FD" w:rsidP="00F510FD">
            <w:pPr>
              <w:spacing w:after="0" w:line="240" w:lineRule="auto"/>
              <w:jc w:val="right"/>
              <w:rPr>
                <w:rFonts w:ascii="Arial" w:hAnsi="Arial" w:cs="Arial"/>
                <w:b/>
                <w:bCs/>
                <w:i/>
                <w:color w:val="000000"/>
                <w:sz w:val="16"/>
                <w:szCs w:val="16"/>
              </w:rPr>
            </w:pPr>
            <w:r w:rsidRPr="00A54CAE">
              <w:rPr>
                <w:rFonts w:ascii="Arial" w:hAnsi="Arial" w:cs="Arial"/>
                <w:b/>
                <w:bCs/>
                <w:i/>
                <w:color w:val="000000"/>
                <w:sz w:val="16"/>
                <w:szCs w:val="16"/>
              </w:rPr>
              <w:t xml:space="preserve">6,283 </w:t>
            </w:r>
          </w:p>
        </w:tc>
      </w:tr>
      <w:tr w:rsidR="00F510FD" w:rsidRPr="00F510FD" w14:paraId="79F194C3" w14:textId="77777777" w:rsidTr="003A3DA0">
        <w:trPr>
          <w:divId w:val="1439835400"/>
          <w:trHeight w:val="199"/>
        </w:trPr>
        <w:tc>
          <w:tcPr>
            <w:tcW w:w="3485" w:type="pct"/>
            <w:tcBorders>
              <w:top w:val="nil"/>
              <w:left w:val="nil"/>
              <w:bottom w:val="nil"/>
              <w:right w:val="nil"/>
            </w:tcBorders>
            <w:shd w:val="clear" w:color="000000" w:fill="FFFFFF"/>
            <w:vAlign w:val="bottom"/>
            <w:hideMark/>
          </w:tcPr>
          <w:p w14:paraId="6A4E40CE" w14:textId="77777777" w:rsidR="00F510FD" w:rsidRPr="0072151E" w:rsidRDefault="00F510FD" w:rsidP="00F510FD">
            <w:pPr>
              <w:spacing w:after="0" w:line="240" w:lineRule="auto"/>
              <w:jc w:val="left"/>
              <w:rPr>
                <w:rFonts w:ascii="Arial" w:hAnsi="Arial" w:cs="Arial"/>
                <w:i/>
                <w:color w:val="000000"/>
                <w:sz w:val="16"/>
                <w:szCs w:val="16"/>
              </w:rPr>
            </w:pPr>
            <w:r w:rsidRPr="0072151E">
              <w:rPr>
                <w:rFonts w:ascii="Arial" w:hAnsi="Arial" w:cs="Arial"/>
                <w:i/>
                <w:color w:val="000000"/>
                <w:sz w:val="16"/>
                <w:szCs w:val="16"/>
              </w:rPr>
              <w:t> </w:t>
            </w:r>
          </w:p>
        </w:tc>
        <w:tc>
          <w:tcPr>
            <w:tcW w:w="758" w:type="pct"/>
            <w:tcBorders>
              <w:top w:val="nil"/>
              <w:left w:val="nil"/>
              <w:bottom w:val="nil"/>
              <w:right w:val="nil"/>
            </w:tcBorders>
            <w:shd w:val="clear" w:color="000000" w:fill="FFFFFF"/>
            <w:vAlign w:val="bottom"/>
            <w:hideMark/>
          </w:tcPr>
          <w:p w14:paraId="57190DE1" w14:textId="77777777" w:rsidR="00F510FD" w:rsidRPr="00F510FD" w:rsidRDefault="00F510FD" w:rsidP="00F510FD">
            <w:pPr>
              <w:spacing w:after="0" w:line="240" w:lineRule="auto"/>
              <w:jc w:val="left"/>
              <w:rPr>
                <w:rFonts w:ascii="Arial" w:hAnsi="Arial" w:cs="Arial"/>
                <w:i/>
                <w:iCs/>
                <w:color w:val="000000"/>
                <w:sz w:val="16"/>
                <w:szCs w:val="16"/>
              </w:rPr>
            </w:pPr>
            <w:r w:rsidRPr="00F510FD">
              <w:rPr>
                <w:rFonts w:ascii="Arial" w:hAnsi="Arial" w:cs="Arial"/>
                <w:i/>
                <w:iCs/>
                <w:color w:val="000000"/>
                <w:sz w:val="16"/>
                <w:szCs w:val="16"/>
              </w:rPr>
              <w:t> </w:t>
            </w:r>
          </w:p>
        </w:tc>
        <w:tc>
          <w:tcPr>
            <w:tcW w:w="758" w:type="pct"/>
            <w:tcBorders>
              <w:top w:val="nil"/>
              <w:left w:val="nil"/>
              <w:bottom w:val="nil"/>
              <w:right w:val="nil"/>
            </w:tcBorders>
            <w:shd w:val="clear" w:color="000000" w:fill="FFFFFF"/>
            <w:vAlign w:val="bottom"/>
            <w:hideMark/>
          </w:tcPr>
          <w:p w14:paraId="773651EB" w14:textId="77777777" w:rsidR="00F510FD" w:rsidRPr="00F510FD" w:rsidRDefault="00F510FD" w:rsidP="00F510FD">
            <w:pPr>
              <w:spacing w:after="0" w:line="240" w:lineRule="auto"/>
              <w:jc w:val="left"/>
              <w:rPr>
                <w:rFonts w:ascii="Arial" w:hAnsi="Arial" w:cs="Arial"/>
                <w:color w:val="000000"/>
                <w:sz w:val="16"/>
                <w:szCs w:val="16"/>
              </w:rPr>
            </w:pPr>
            <w:r w:rsidRPr="00F510FD">
              <w:rPr>
                <w:rFonts w:ascii="Arial" w:hAnsi="Arial" w:cs="Arial"/>
                <w:color w:val="000000"/>
                <w:sz w:val="16"/>
                <w:szCs w:val="16"/>
              </w:rPr>
              <w:t> </w:t>
            </w:r>
          </w:p>
        </w:tc>
      </w:tr>
      <w:tr w:rsidR="00F510FD" w:rsidRPr="00F510FD" w14:paraId="0367B6BF" w14:textId="77777777" w:rsidTr="003A3DA0">
        <w:trPr>
          <w:divId w:val="1439835400"/>
          <w:trHeight w:val="225"/>
        </w:trPr>
        <w:tc>
          <w:tcPr>
            <w:tcW w:w="3485" w:type="pct"/>
            <w:tcBorders>
              <w:top w:val="single" w:sz="4" w:space="0" w:color="auto"/>
              <w:left w:val="nil"/>
              <w:bottom w:val="nil"/>
              <w:right w:val="nil"/>
            </w:tcBorders>
            <w:shd w:val="clear" w:color="000000" w:fill="FFFFFF"/>
            <w:vAlign w:val="bottom"/>
            <w:hideMark/>
          </w:tcPr>
          <w:p w14:paraId="43E4E85D" w14:textId="77777777" w:rsidR="00F510FD" w:rsidRPr="00F510FD" w:rsidRDefault="00F510FD" w:rsidP="00F510FD">
            <w:pPr>
              <w:spacing w:after="0" w:line="240" w:lineRule="auto"/>
              <w:jc w:val="left"/>
              <w:rPr>
                <w:rFonts w:ascii="Arial" w:hAnsi="Arial" w:cs="Arial"/>
                <w:color w:val="000000"/>
                <w:sz w:val="16"/>
                <w:szCs w:val="16"/>
              </w:rPr>
            </w:pPr>
            <w:r w:rsidRPr="00F510FD">
              <w:rPr>
                <w:rFonts w:ascii="Arial" w:hAnsi="Arial" w:cs="Arial"/>
                <w:color w:val="000000"/>
                <w:sz w:val="16"/>
                <w:szCs w:val="16"/>
              </w:rPr>
              <w:t> </w:t>
            </w:r>
          </w:p>
        </w:tc>
        <w:tc>
          <w:tcPr>
            <w:tcW w:w="758" w:type="pct"/>
            <w:tcBorders>
              <w:top w:val="single" w:sz="4" w:space="0" w:color="auto"/>
              <w:left w:val="nil"/>
              <w:bottom w:val="single" w:sz="4" w:space="0" w:color="auto"/>
              <w:right w:val="nil"/>
            </w:tcBorders>
            <w:shd w:val="clear" w:color="000000" w:fill="FFFFFF"/>
            <w:vAlign w:val="bottom"/>
            <w:hideMark/>
          </w:tcPr>
          <w:p w14:paraId="3FB30470" w14:textId="77777777" w:rsidR="00F510FD" w:rsidRPr="00F510FD" w:rsidRDefault="00F510FD" w:rsidP="00F510FD">
            <w:pPr>
              <w:spacing w:after="0" w:line="240" w:lineRule="auto"/>
              <w:jc w:val="right"/>
              <w:rPr>
                <w:rFonts w:ascii="Arial" w:hAnsi="Arial" w:cs="Arial"/>
                <w:i/>
                <w:iCs/>
                <w:color w:val="000000"/>
                <w:sz w:val="16"/>
                <w:szCs w:val="16"/>
              </w:rPr>
            </w:pPr>
            <w:r w:rsidRPr="00F510FD">
              <w:rPr>
                <w:rFonts w:ascii="Arial" w:hAnsi="Arial" w:cs="Arial"/>
                <w:i/>
                <w:iCs/>
                <w:color w:val="000000"/>
                <w:sz w:val="16"/>
                <w:szCs w:val="16"/>
              </w:rPr>
              <w:t>2019-20</w:t>
            </w:r>
          </w:p>
        </w:tc>
        <w:tc>
          <w:tcPr>
            <w:tcW w:w="758" w:type="pct"/>
            <w:tcBorders>
              <w:top w:val="single" w:sz="4" w:space="0" w:color="auto"/>
              <w:left w:val="nil"/>
              <w:bottom w:val="single" w:sz="4" w:space="0" w:color="auto"/>
              <w:right w:val="nil"/>
            </w:tcBorders>
            <w:shd w:val="clear" w:color="000000" w:fill="E6E6E6"/>
            <w:vAlign w:val="bottom"/>
            <w:hideMark/>
          </w:tcPr>
          <w:p w14:paraId="51BE0F8F" w14:textId="77777777" w:rsidR="00F510FD" w:rsidRPr="00F510FD" w:rsidRDefault="00F510FD" w:rsidP="00F510FD">
            <w:pPr>
              <w:spacing w:after="0" w:line="240" w:lineRule="auto"/>
              <w:jc w:val="right"/>
              <w:rPr>
                <w:rFonts w:ascii="Arial" w:hAnsi="Arial" w:cs="Arial"/>
                <w:color w:val="000000"/>
                <w:sz w:val="16"/>
                <w:szCs w:val="16"/>
              </w:rPr>
            </w:pPr>
            <w:r w:rsidRPr="00F510FD">
              <w:rPr>
                <w:rFonts w:ascii="Arial" w:hAnsi="Arial" w:cs="Arial"/>
                <w:color w:val="000000"/>
                <w:sz w:val="16"/>
                <w:szCs w:val="16"/>
              </w:rPr>
              <w:t>2020-21</w:t>
            </w:r>
          </w:p>
        </w:tc>
      </w:tr>
      <w:tr w:rsidR="00F510FD" w:rsidRPr="00F510FD" w14:paraId="6C7DA5AF" w14:textId="77777777" w:rsidTr="003A3DA0">
        <w:trPr>
          <w:divId w:val="1439835400"/>
          <w:trHeight w:val="225"/>
        </w:trPr>
        <w:tc>
          <w:tcPr>
            <w:tcW w:w="3485" w:type="pct"/>
            <w:tcBorders>
              <w:top w:val="nil"/>
              <w:left w:val="nil"/>
              <w:bottom w:val="single" w:sz="4" w:space="0" w:color="auto"/>
              <w:right w:val="nil"/>
            </w:tcBorders>
            <w:shd w:val="clear" w:color="000000" w:fill="FFFFFF"/>
            <w:vAlign w:val="bottom"/>
            <w:hideMark/>
          </w:tcPr>
          <w:p w14:paraId="3CDA700A" w14:textId="77777777" w:rsidR="00F510FD" w:rsidRPr="00F510FD" w:rsidRDefault="00F510FD" w:rsidP="00F510FD">
            <w:pPr>
              <w:spacing w:after="0" w:line="240" w:lineRule="auto"/>
              <w:jc w:val="left"/>
              <w:rPr>
                <w:rFonts w:ascii="Arial" w:hAnsi="Arial" w:cs="Arial"/>
                <w:b/>
                <w:bCs/>
                <w:color w:val="000000"/>
                <w:sz w:val="16"/>
                <w:szCs w:val="16"/>
              </w:rPr>
            </w:pPr>
            <w:r w:rsidRPr="00F510FD">
              <w:rPr>
                <w:rFonts w:ascii="Arial" w:hAnsi="Arial" w:cs="Arial"/>
                <w:b/>
                <w:bCs/>
                <w:color w:val="000000"/>
                <w:sz w:val="16"/>
                <w:szCs w:val="16"/>
              </w:rPr>
              <w:t>Average staffing level (number)</w:t>
            </w:r>
          </w:p>
        </w:tc>
        <w:tc>
          <w:tcPr>
            <w:tcW w:w="758" w:type="pct"/>
            <w:tcBorders>
              <w:top w:val="nil"/>
              <w:left w:val="nil"/>
              <w:bottom w:val="single" w:sz="4" w:space="0" w:color="auto"/>
              <w:right w:val="nil"/>
            </w:tcBorders>
            <w:shd w:val="clear" w:color="000000" w:fill="FFFFFF"/>
            <w:vAlign w:val="bottom"/>
            <w:hideMark/>
          </w:tcPr>
          <w:p w14:paraId="23090162" w14:textId="77777777" w:rsidR="00F510FD" w:rsidRPr="00F510FD" w:rsidRDefault="00F510FD" w:rsidP="00F510FD">
            <w:pPr>
              <w:spacing w:after="0" w:line="240" w:lineRule="auto"/>
              <w:jc w:val="right"/>
              <w:rPr>
                <w:rFonts w:ascii="Arial" w:hAnsi="Arial" w:cs="Arial"/>
                <w:i/>
                <w:iCs/>
                <w:color w:val="000000"/>
                <w:sz w:val="16"/>
                <w:szCs w:val="16"/>
              </w:rPr>
            </w:pPr>
            <w:r w:rsidRPr="00F510FD">
              <w:rPr>
                <w:rFonts w:ascii="Arial" w:hAnsi="Arial" w:cs="Arial"/>
                <w:i/>
                <w:iCs/>
                <w:color w:val="000000"/>
                <w:sz w:val="16"/>
                <w:szCs w:val="16"/>
              </w:rPr>
              <w:t xml:space="preserve">17 </w:t>
            </w:r>
          </w:p>
        </w:tc>
        <w:tc>
          <w:tcPr>
            <w:tcW w:w="758" w:type="pct"/>
            <w:tcBorders>
              <w:top w:val="nil"/>
              <w:left w:val="nil"/>
              <w:bottom w:val="single" w:sz="4" w:space="0" w:color="auto"/>
              <w:right w:val="nil"/>
            </w:tcBorders>
            <w:shd w:val="clear" w:color="000000" w:fill="E6E6E6"/>
            <w:vAlign w:val="bottom"/>
            <w:hideMark/>
          </w:tcPr>
          <w:p w14:paraId="2B86C699" w14:textId="77777777" w:rsidR="00F510FD" w:rsidRPr="00F510FD" w:rsidRDefault="00F510FD" w:rsidP="00F510FD">
            <w:pPr>
              <w:spacing w:after="0" w:line="240" w:lineRule="auto"/>
              <w:jc w:val="right"/>
              <w:rPr>
                <w:rFonts w:ascii="Arial" w:hAnsi="Arial" w:cs="Arial"/>
                <w:color w:val="000000"/>
                <w:sz w:val="16"/>
                <w:szCs w:val="16"/>
              </w:rPr>
            </w:pPr>
            <w:r w:rsidRPr="00F510FD">
              <w:rPr>
                <w:rFonts w:ascii="Arial" w:hAnsi="Arial" w:cs="Arial"/>
                <w:color w:val="000000"/>
                <w:sz w:val="16"/>
                <w:szCs w:val="16"/>
              </w:rPr>
              <w:t>22</w:t>
            </w:r>
          </w:p>
        </w:tc>
      </w:tr>
    </w:tbl>
    <w:p w14:paraId="392B87D0" w14:textId="7786CAFF" w:rsidR="002C044D" w:rsidRDefault="002C044D" w:rsidP="003B0AFB">
      <w:pPr>
        <w:pStyle w:val="ChartandTableFootnote"/>
        <w:spacing w:before="40"/>
      </w:pPr>
      <w:r w:rsidRPr="00696AA8">
        <w:t>All figures shown above are GST exclusive - these may not match figures in the cash flow statement.</w:t>
      </w:r>
    </w:p>
    <w:p w14:paraId="5605F68D" w14:textId="77777777" w:rsidR="002C044D" w:rsidRDefault="002C044D" w:rsidP="002C044D">
      <w:pPr>
        <w:pStyle w:val="ChartandTableFootnote"/>
      </w:pPr>
      <w:r>
        <w:t>Prepared on a resourcing (</w:t>
      </w:r>
      <w:r>
        <w:rPr>
          <w:lang w:val="en-AU"/>
        </w:rPr>
        <w:t>that is,</w:t>
      </w:r>
      <w:r>
        <w:t xml:space="preserve"> appropriations available) basis.</w:t>
      </w:r>
    </w:p>
    <w:p w14:paraId="56BC61DF" w14:textId="643171BC" w:rsidR="004161E5" w:rsidRPr="002003A1" w:rsidRDefault="004161E5" w:rsidP="00910CE8">
      <w:pPr>
        <w:pStyle w:val="ChartandTableFootnote"/>
        <w:numPr>
          <w:ilvl w:val="0"/>
          <w:numId w:val="15"/>
        </w:numPr>
        <w:ind w:left="284" w:hanging="284"/>
      </w:pPr>
      <w:r w:rsidRPr="001071C7">
        <w:rPr>
          <w:rFonts w:cs="Arial"/>
          <w:szCs w:val="16"/>
        </w:rPr>
        <w:t>Appr</w:t>
      </w:r>
      <w:r w:rsidR="00FD522D">
        <w:rPr>
          <w:rFonts w:cs="Arial"/>
          <w:szCs w:val="16"/>
        </w:rPr>
        <w:t xml:space="preserve">opriation Bill (No. 1) </w:t>
      </w:r>
      <w:r w:rsidR="00A96970">
        <w:rPr>
          <w:rFonts w:cs="Arial"/>
          <w:szCs w:val="16"/>
          <w:lang w:val="en-AU"/>
        </w:rPr>
        <w:t>2020-21</w:t>
      </w:r>
      <w:r w:rsidR="00FD522D">
        <w:rPr>
          <w:rFonts w:cs="Arial"/>
          <w:szCs w:val="16"/>
        </w:rPr>
        <w:t>.</w:t>
      </w:r>
    </w:p>
    <w:p w14:paraId="140389CC" w14:textId="13F23D9B" w:rsidR="004161E5" w:rsidRPr="001071C7" w:rsidRDefault="004161E5" w:rsidP="00910CE8">
      <w:pPr>
        <w:numPr>
          <w:ilvl w:val="0"/>
          <w:numId w:val="15"/>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w:t>
      </w:r>
      <w:r w:rsidR="000220B2">
        <w:rPr>
          <w:rFonts w:ascii="Arial" w:hAnsi="Arial" w:cs="Arial"/>
          <w:color w:val="000000"/>
          <w:sz w:val="16"/>
          <w:szCs w:val="16"/>
        </w:rPr>
        <w:t>0.79</w:t>
      </w:r>
      <w:r w:rsidRPr="001071C7">
        <w:rPr>
          <w:rFonts w:ascii="Arial" w:hAnsi="Arial" w:cs="Arial"/>
          <w:color w:val="000000"/>
          <w:sz w:val="16"/>
          <w:szCs w:val="16"/>
        </w:rPr>
        <w:t xml:space="preserve">m subject to administrative quarantine by Finance or withheld under section 51 of the </w:t>
      </w:r>
      <w:r w:rsidRPr="001071C7">
        <w:rPr>
          <w:rFonts w:ascii="Arial" w:hAnsi="Arial" w:cs="Arial"/>
          <w:i/>
          <w:iCs/>
          <w:color w:val="000000"/>
          <w:sz w:val="16"/>
          <w:szCs w:val="16"/>
        </w:rPr>
        <w:t>Public Governance, Performance and Accountability Act 2013 (PGPA Act</w:t>
      </w:r>
      <w:r w:rsidR="00723579">
        <w:rPr>
          <w:rFonts w:ascii="Arial" w:hAnsi="Arial" w:cs="Arial"/>
          <w:i/>
          <w:iCs/>
          <w:color w:val="000000"/>
          <w:sz w:val="16"/>
          <w:szCs w:val="16"/>
        </w:rPr>
        <w:t>)</w:t>
      </w:r>
      <w:r w:rsidR="000220B2">
        <w:rPr>
          <w:rFonts w:ascii="Arial" w:hAnsi="Arial" w:cs="Arial"/>
          <w:i/>
          <w:iCs/>
          <w:color w:val="000000"/>
          <w:sz w:val="16"/>
          <w:szCs w:val="16"/>
        </w:rPr>
        <w:t>.</w:t>
      </w:r>
    </w:p>
    <w:p w14:paraId="66CA0C28" w14:textId="35D05672" w:rsidR="004161E5" w:rsidRDefault="004161E5" w:rsidP="00910CE8">
      <w:pPr>
        <w:numPr>
          <w:ilvl w:val="0"/>
          <w:numId w:val="15"/>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Excludes departmental capital bu</w:t>
      </w:r>
      <w:r w:rsidR="00741BF8">
        <w:rPr>
          <w:rFonts w:ascii="Arial" w:hAnsi="Arial" w:cs="Arial"/>
          <w:color w:val="000000"/>
          <w:sz w:val="16"/>
          <w:szCs w:val="16"/>
        </w:rPr>
        <w:t>d</w:t>
      </w:r>
      <w:r w:rsidRPr="001071C7">
        <w:rPr>
          <w:rFonts w:ascii="Arial" w:hAnsi="Arial" w:cs="Arial"/>
          <w:color w:val="000000"/>
          <w:sz w:val="16"/>
          <w:szCs w:val="16"/>
        </w:rPr>
        <w:t>get (DCB).</w:t>
      </w:r>
    </w:p>
    <w:p w14:paraId="70414B72" w14:textId="134B0B48" w:rsidR="004161E5" w:rsidRPr="0090245A" w:rsidRDefault="004161E5" w:rsidP="0090245A">
      <w:pPr>
        <w:numPr>
          <w:ilvl w:val="0"/>
          <w:numId w:val="15"/>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 xml:space="preserve">Estimated External Revenue receipts under section 74 of the </w:t>
      </w:r>
      <w:r w:rsidRPr="00DD5F84">
        <w:rPr>
          <w:rFonts w:ascii="Arial" w:hAnsi="Arial" w:cs="Arial"/>
          <w:i/>
          <w:iCs/>
          <w:color w:val="000000"/>
          <w:sz w:val="16"/>
          <w:szCs w:val="16"/>
        </w:rPr>
        <w:t>PGPA Act</w:t>
      </w:r>
      <w:r w:rsidRPr="0090245A">
        <w:rPr>
          <w:rFonts w:ascii="Arial" w:hAnsi="Arial" w:cs="Arial"/>
          <w:color w:val="000000"/>
          <w:sz w:val="16"/>
          <w:szCs w:val="16"/>
        </w:rPr>
        <w:t>.</w:t>
      </w:r>
    </w:p>
    <w:p w14:paraId="13F84A5B" w14:textId="77777777" w:rsidR="004161E5" w:rsidRPr="001071C7" w:rsidRDefault="004161E5" w:rsidP="00910CE8">
      <w:pPr>
        <w:numPr>
          <w:ilvl w:val="0"/>
          <w:numId w:val="15"/>
        </w:numPr>
        <w:spacing w:after="0" w:line="240" w:lineRule="auto"/>
        <w:ind w:left="284" w:hanging="284"/>
        <w:rPr>
          <w:rFonts w:ascii="Arial" w:hAnsi="Arial" w:cs="Arial"/>
          <w:color w:val="000000"/>
          <w:sz w:val="16"/>
          <w:szCs w:val="16"/>
        </w:rPr>
      </w:pPr>
      <w:r w:rsidRPr="001071C7">
        <w:rPr>
          <w:rFonts w:ascii="Arial" w:hAnsi="Arial" w:cs="Arial"/>
          <w:color w:val="000000"/>
          <w:sz w:val="16"/>
          <w:szCs w:val="16"/>
        </w:rPr>
        <w:t>Departmental capital budgets are not separately identified in Appropriation Bill (No.1) and form part of ordinary annual services items. Please refer to Table 3.5 for further details. For accounting purposes, this amount has been designated as a 'contribution by owner'.</w:t>
      </w:r>
    </w:p>
    <w:p w14:paraId="345925F0" w14:textId="567E5943" w:rsidR="00825D4F" w:rsidRDefault="00825D4F" w:rsidP="00C946DC">
      <w:pPr>
        <w:pStyle w:val="TableGraphic"/>
      </w:pPr>
      <w:bookmarkStart w:id="16" w:name="_Toc190682311"/>
      <w:bookmarkStart w:id="17" w:name="_Toc190682529"/>
    </w:p>
    <w:p w14:paraId="1237D96A" w14:textId="77777777" w:rsidR="00A650B3" w:rsidRDefault="00A650B3" w:rsidP="00AD42E2">
      <w:pPr>
        <w:pStyle w:val="Heading3"/>
        <w:spacing w:before="0"/>
      </w:pPr>
      <w:bookmarkStart w:id="18" w:name="_Toc444523511"/>
      <w:bookmarkStart w:id="19" w:name="_Toc48907403"/>
    </w:p>
    <w:p w14:paraId="5B11324A" w14:textId="446FDB2B" w:rsidR="0008449F" w:rsidRPr="005A7C0B" w:rsidRDefault="0008449F" w:rsidP="00AD42E2">
      <w:pPr>
        <w:pStyle w:val="Heading3"/>
        <w:spacing w:before="0"/>
      </w:pPr>
      <w:r w:rsidRPr="005A7C0B">
        <w:t>1.3</w:t>
      </w:r>
      <w:r w:rsidRPr="005A7C0B">
        <w:tab/>
        <w:t>Budget measures</w:t>
      </w:r>
      <w:bookmarkEnd w:id="16"/>
      <w:bookmarkEnd w:id="17"/>
      <w:bookmarkEnd w:id="18"/>
      <w:bookmarkEnd w:id="19"/>
    </w:p>
    <w:p w14:paraId="15BC5D2E" w14:textId="414AE919" w:rsidR="006A21A9" w:rsidRPr="006A21A9" w:rsidRDefault="00E251E5" w:rsidP="006A21A9">
      <w:r>
        <w:t>The A</w:t>
      </w:r>
      <w:r w:rsidR="006A21A9">
        <w:t xml:space="preserve">ASB </w:t>
      </w:r>
      <w:r w:rsidR="005852CF">
        <w:t>has no new</w:t>
      </w:r>
      <w:r w:rsidR="006A21A9">
        <w:t xml:space="preserve"> budget measures.</w:t>
      </w:r>
    </w:p>
    <w:p w14:paraId="48833F04" w14:textId="77777777" w:rsidR="00BE7D58" w:rsidRPr="00810C6A" w:rsidRDefault="0049212C" w:rsidP="00810C6A">
      <w:pPr>
        <w:pStyle w:val="Heading2"/>
      </w:pPr>
      <w:bookmarkStart w:id="20" w:name="_Toc190682312"/>
      <w:bookmarkStart w:id="21" w:name="_Toc190682530"/>
      <w:r>
        <w:br w:type="page"/>
      </w:r>
      <w:bookmarkStart w:id="22" w:name="_Toc444523512"/>
      <w:bookmarkStart w:id="23" w:name="_Toc48907404"/>
      <w:r w:rsidR="00BE7D58" w:rsidRPr="00810C6A">
        <w:lastRenderedPageBreak/>
        <w:t xml:space="preserve">Section 2: Outcomes and </w:t>
      </w:r>
      <w:r w:rsidR="00CD3382" w:rsidRPr="00810C6A">
        <w:t>p</w:t>
      </w:r>
      <w:r w:rsidR="0069466B" w:rsidRPr="00810C6A">
        <w:t>lanned</w:t>
      </w:r>
      <w:r w:rsidR="00BE7D58" w:rsidRPr="00810C6A">
        <w:t xml:space="preserve"> performance</w:t>
      </w:r>
      <w:bookmarkEnd w:id="22"/>
      <w:bookmarkEnd w:id="23"/>
    </w:p>
    <w:p w14:paraId="6E156495"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45C09C45" w14:textId="3ABC4941" w:rsidR="00A61BD0" w:rsidRPr="005E6F2B" w:rsidRDefault="00E251E5" w:rsidP="00BE7D58">
      <w:r>
        <w:t>The A</w:t>
      </w:r>
      <w:r w:rsidR="00EF0219">
        <w:t xml:space="preserve">ASB’s </w:t>
      </w:r>
      <w:r w:rsidR="00BE7D58" w:rsidRPr="005E6F2B">
        <w:t xml:space="preserve">outcome is described below together with its related </w:t>
      </w:r>
      <w:r w:rsidR="00290933" w:rsidRPr="005E6F2B">
        <w:t>programs</w:t>
      </w:r>
      <w:r w:rsidR="00BE7D58"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p>
    <w:tbl>
      <w:tblPr>
        <w:tblW w:w="7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73"/>
      </w:tblGrid>
      <w:tr w:rsidR="00E1057D" w:rsidRPr="0086676B" w14:paraId="4CD3A55C" w14:textId="77777777" w:rsidTr="008D2BA8">
        <w:trPr>
          <w:trHeight w:val="2935"/>
        </w:trPr>
        <w:tc>
          <w:tcPr>
            <w:tcW w:w="7773" w:type="dxa"/>
          </w:tcPr>
          <w:p w14:paraId="1C682218" w14:textId="77777777" w:rsidR="00E1057D" w:rsidRPr="00505D26" w:rsidRDefault="00E1057D" w:rsidP="008D2BA8">
            <w:pPr>
              <w:spacing w:before="120" w:after="120"/>
              <w:rPr>
                <w:b/>
              </w:rPr>
            </w:pPr>
            <w:r w:rsidRPr="00505D26">
              <w:rPr>
                <w:b/>
              </w:rPr>
              <w:t>Note:</w:t>
            </w:r>
          </w:p>
          <w:p w14:paraId="39192AC1" w14:textId="77777777" w:rsidR="00E1057D" w:rsidRDefault="00E1057D" w:rsidP="00E1057D">
            <w:r>
              <w:t xml:space="preserve">Performance reporting requirements in the Portfolio Budget Statements are part of the Commonwealth performance framework established by the </w:t>
            </w:r>
            <w:r w:rsidRPr="00E1057D">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14:paraId="158A094E" w14:textId="6D70F04A" w:rsidR="00E1057D" w:rsidRDefault="00E1057D" w:rsidP="00E1057D">
            <w:r>
              <w:t xml:space="preserve">The most recent corporate plan for AASB can be found at </w:t>
            </w:r>
            <w:hyperlink r:id="rId17" w:history="1">
              <w:r w:rsidRPr="00D2202D">
                <w:rPr>
                  <w:rStyle w:val="Hyperlink"/>
                </w:rPr>
                <w:t>https://www.auasb.gov.au/admin/file/content102/c3/AASB-AUASB_CorporatePlan_2019-20.pdf</w:t>
              </w:r>
            </w:hyperlink>
            <w:r>
              <w:t xml:space="preserve"> </w:t>
            </w:r>
          </w:p>
          <w:p w14:paraId="43D13B10" w14:textId="209D6E65" w:rsidR="00E1057D" w:rsidRPr="00674661" w:rsidRDefault="00E1057D" w:rsidP="00E1057D">
            <w:pPr>
              <w:spacing w:after="160"/>
              <w:rPr>
                <w:sz w:val="22"/>
                <w:szCs w:val="22"/>
              </w:rPr>
            </w:pPr>
            <w:r>
              <w:t xml:space="preserve">The most recent annual performance statement can be found at: </w:t>
            </w:r>
            <w:hyperlink r:id="rId18" w:history="1">
              <w:r w:rsidRPr="00D2202D">
                <w:rPr>
                  <w:rStyle w:val="Hyperlink"/>
                </w:rPr>
                <w:t>https://www.auasb.gov.au/admin/file/content13/c6/2018-19_AASB-AUASB_AnnualReport_1571199073126.pdf</w:t>
              </w:r>
            </w:hyperlink>
            <w:r>
              <w:t xml:space="preserve"> </w:t>
            </w:r>
          </w:p>
        </w:tc>
      </w:tr>
    </w:tbl>
    <w:p w14:paraId="5D51357D" w14:textId="77777777" w:rsidR="00950281" w:rsidRDefault="00950281" w:rsidP="003876AB">
      <w:pPr>
        <w:pStyle w:val="Heading3"/>
        <w:sectPr w:rsidR="00950281" w:rsidSect="0050346A">
          <w:headerReference w:type="default" r:id="rId19"/>
          <w:headerReference w:type="first" r:id="rId20"/>
          <w:footerReference w:type="first" r:id="rId21"/>
          <w:type w:val="oddPage"/>
          <w:pgSz w:w="11906" w:h="16838" w:code="9"/>
          <w:pgMar w:top="2466" w:right="2098" w:bottom="2466" w:left="2098" w:header="1899" w:footer="1899" w:gutter="0"/>
          <w:cols w:space="708"/>
          <w:titlePg/>
          <w:docGrid w:linePitch="360"/>
        </w:sectPr>
      </w:pPr>
    </w:p>
    <w:p w14:paraId="0F7DF739" w14:textId="5C6346AF" w:rsidR="003876AB" w:rsidRPr="00F743D8" w:rsidRDefault="008462FB" w:rsidP="003876AB">
      <w:pPr>
        <w:pStyle w:val="Heading3"/>
      </w:pPr>
      <w:bookmarkStart w:id="24" w:name="_Toc444523513"/>
      <w:bookmarkStart w:id="25" w:name="_Toc48907405"/>
      <w:r>
        <w:lastRenderedPageBreak/>
        <w:t>2.1</w:t>
      </w:r>
      <w:r w:rsidR="003876AB" w:rsidRPr="00F743D8">
        <w:t xml:space="preserve"> </w:t>
      </w:r>
      <w:r w:rsidR="003876AB" w:rsidRPr="00F743D8">
        <w:tab/>
        <w:t xml:space="preserve">Budgeted expenses and performance for Outcome </w:t>
      </w:r>
      <w:bookmarkEnd w:id="24"/>
      <w:r w:rsidR="00790AE6">
        <w:t>1</w:t>
      </w:r>
      <w:bookmarkEnd w:id="25"/>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596"/>
      </w:tblGrid>
      <w:tr w:rsidR="00BE7D58" w:rsidRPr="005E6F2B" w14:paraId="3D45BCA0" w14:textId="77777777" w:rsidTr="004C2DB7">
        <w:tc>
          <w:tcPr>
            <w:tcW w:w="7596" w:type="dxa"/>
            <w:shd w:val="clear" w:color="auto" w:fill="E6E6E6"/>
          </w:tcPr>
          <w:p w14:paraId="5DF28E30" w14:textId="78D1493F" w:rsidR="00BE7D58" w:rsidRPr="005E6F2B" w:rsidRDefault="00BE7D58" w:rsidP="003876AB">
            <w:pPr>
              <w:pStyle w:val="TableColumnHeadingLeft"/>
            </w:pPr>
            <w:r>
              <w:t xml:space="preserve">Outcome </w:t>
            </w:r>
            <w:r w:rsidR="00790AE6">
              <w:t xml:space="preserve">1: </w:t>
            </w:r>
            <w:r w:rsidR="00910CE8" w:rsidRPr="005137A4">
              <w:t>The formulation and making of accounting standards that are used by Australian entities to prepare financial reports and enable users of these reports to make informed decisions.</w:t>
            </w:r>
          </w:p>
        </w:tc>
      </w:tr>
    </w:tbl>
    <w:p w14:paraId="37622343" w14:textId="77777777" w:rsidR="00451501" w:rsidRPr="005E6F2B" w:rsidRDefault="00451501" w:rsidP="00451501">
      <w:pPr>
        <w:pStyle w:val="NoSpacing"/>
      </w:pPr>
    </w:p>
    <w:p w14:paraId="4B0587C2" w14:textId="076E29CC" w:rsidR="00B86CCD" w:rsidRPr="00446612" w:rsidRDefault="00B86CCD" w:rsidP="00F00984">
      <w:pPr>
        <w:pStyle w:val="Heading5"/>
      </w:pPr>
      <w:r w:rsidRPr="00446612">
        <w:t xml:space="preserve">Budgeted expenses for Outcome </w:t>
      </w:r>
      <w:r w:rsidR="005E6EE0">
        <w:t>1</w:t>
      </w:r>
    </w:p>
    <w:p w14:paraId="2E35E9AE" w14:textId="77777777"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313B40F6" w14:textId="08D1E690" w:rsidR="00716E03" w:rsidRDefault="005E6EE0" w:rsidP="00C95D4C">
      <w:pPr>
        <w:pStyle w:val="TableHeading"/>
        <w:rPr>
          <w:rFonts w:ascii="Times New Roman" w:hAnsi="Times New Roman"/>
          <w:b w:val="0"/>
          <w:color w:val="auto"/>
          <w:lang w:val="en-AU" w:eastAsia="en-AU"/>
        </w:rPr>
      </w:pPr>
      <w:r>
        <w:t>Table 2</w:t>
      </w:r>
      <w:r w:rsidR="00DF2C5D">
        <w:t>.1:</w:t>
      </w:r>
      <w:r w:rsidR="00910CE8">
        <w:t xml:space="preserve"> Budgeted expenses for Outcome 1</w:t>
      </w:r>
      <w:r w:rsidR="00D952A8" w:rsidRPr="00D952A8">
        <w:t xml:space="preserve"> </w:t>
      </w:r>
      <w:bookmarkStart w:id="26" w:name="_1663081485"/>
      <w:bookmarkEnd w:id="26"/>
    </w:p>
    <w:tbl>
      <w:tblPr>
        <w:tblW w:w="5000" w:type="pct"/>
        <w:tblLook w:val="04A0" w:firstRow="1" w:lastRow="0" w:firstColumn="1" w:lastColumn="0" w:noHBand="0" w:noVBand="1"/>
      </w:tblPr>
      <w:tblGrid>
        <w:gridCol w:w="3019"/>
        <w:gridCol w:w="979"/>
        <w:gridCol w:w="928"/>
        <w:gridCol w:w="928"/>
        <w:gridCol w:w="928"/>
        <w:gridCol w:w="928"/>
      </w:tblGrid>
      <w:tr w:rsidR="00716E03" w:rsidRPr="00716E03" w14:paraId="3701EEA9" w14:textId="77777777" w:rsidTr="005D1868">
        <w:trPr>
          <w:divId w:val="1994747804"/>
          <w:trHeight w:val="900"/>
        </w:trPr>
        <w:tc>
          <w:tcPr>
            <w:tcW w:w="1957" w:type="pct"/>
            <w:tcBorders>
              <w:top w:val="single" w:sz="4" w:space="0" w:color="auto"/>
              <w:left w:val="nil"/>
              <w:bottom w:val="single" w:sz="4" w:space="0" w:color="auto"/>
              <w:right w:val="nil"/>
            </w:tcBorders>
            <w:shd w:val="clear" w:color="auto" w:fill="auto"/>
            <w:vAlign w:val="center"/>
            <w:hideMark/>
          </w:tcPr>
          <w:p w14:paraId="54277F65" w14:textId="0E03575D" w:rsidR="00716E03" w:rsidRPr="00716E03" w:rsidRDefault="00716E03" w:rsidP="00716E03">
            <w:pPr>
              <w:rPr>
                <w:rFonts w:ascii="Arial" w:hAnsi="Arial" w:cs="Arial"/>
                <w:b/>
                <w:bCs/>
                <w:color w:val="000000"/>
                <w:sz w:val="16"/>
                <w:szCs w:val="16"/>
              </w:rPr>
            </w:pPr>
            <w:r w:rsidRPr="00716E03">
              <w:rPr>
                <w:rFonts w:ascii="Arial" w:hAnsi="Arial" w:cs="Arial"/>
                <w:b/>
                <w:bCs/>
                <w:color w:val="000000"/>
                <w:sz w:val="16"/>
                <w:szCs w:val="16"/>
              </w:rPr>
              <w:t> </w:t>
            </w:r>
          </w:p>
        </w:tc>
        <w:tc>
          <w:tcPr>
            <w:tcW w:w="635" w:type="pct"/>
            <w:tcBorders>
              <w:top w:val="single" w:sz="4" w:space="0" w:color="auto"/>
              <w:left w:val="nil"/>
              <w:bottom w:val="single" w:sz="4" w:space="0" w:color="auto"/>
              <w:right w:val="nil"/>
            </w:tcBorders>
            <w:shd w:val="clear" w:color="auto" w:fill="auto"/>
            <w:vAlign w:val="center"/>
            <w:hideMark/>
          </w:tcPr>
          <w:p w14:paraId="0A4F1EEF" w14:textId="77777777" w:rsidR="00716E03" w:rsidRPr="00716E03" w:rsidRDefault="00716E03" w:rsidP="005D1868">
            <w:pPr>
              <w:spacing w:after="0" w:line="240" w:lineRule="auto"/>
              <w:jc w:val="right"/>
              <w:rPr>
                <w:rFonts w:ascii="Arial" w:hAnsi="Arial" w:cs="Arial"/>
                <w:sz w:val="16"/>
                <w:szCs w:val="16"/>
              </w:rPr>
            </w:pPr>
            <w:r w:rsidRPr="00716E03">
              <w:rPr>
                <w:rFonts w:ascii="Arial" w:hAnsi="Arial" w:cs="Arial"/>
                <w:sz w:val="16"/>
                <w:szCs w:val="16"/>
              </w:rPr>
              <w:t>2019-20 Estimated actual</w:t>
            </w:r>
            <w:r w:rsidRPr="00716E03">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center"/>
            <w:hideMark/>
          </w:tcPr>
          <w:p w14:paraId="1862771E" w14:textId="77777777" w:rsidR="00716E03" w:rsidRPr="00716E03" w:rsidRDefault="00716E03" w:rsidP="005D1868">
            <w:pPr>
              <w:spacing w:after="0" w:line="240" w:lineRule="auto"/>
              <w:jc w:val="right"/>
              <w:rPr>
                <w:rFonts w:ascii="Arial" w:hAnsi="Arial" w:cs="Arial"/>
                <w:sz w:val="16"/>
                <w:szCs w:val="16"/>
              </w:rPr>
            </w:pPr>
            <w:r w:rsidRPr="00716E03">
              <w:rPr>
                <w:rFonts w:ascii="Arial" w:hAnsi="Arial" w:cs="Arial"/>
                <w:sz w:val="16"/>
                <w:szCs w:val="16"/>
              </w:rPr>
              <w:t>2020-21</w:t>
            </w:r>
            <w:r w:rsidRPr="00716E03">
              <w:rPr>
                <w:rFonts w:ascii="Arial" w:hAnsi="Arial" w:cs="Arial"/>
                <w:sz w:val="16"/>
                <w:szCs w:val="16"/>
              </w:rPr>
              <w:br/>
              <w:t>Budget</w:t>
            </w:r>
            <w:r w:rsidRPr="00716E03">
              <w:rPr>
                <w:rFonts w:ascii="Arial" w:hAnsi="Arial" w:cs="Arial"/>
                <w:sz w:val="16"/>
                <w:szCs w:val="16"/>
              </w:rPr>
              <w:br/>
            </w:r>
            <w:r w:rsidRPr="00716E03">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14806788" w14:textId="77777777" w:rsidR="00716E03" w:rsidRPr="00716E03" w:rsidRDefault="00716E03" w:rsidP="005D1868">
            <w:pPr>
              <w:spacing w:after="0" w:line="240" w:lineRule="auto"/>
              <w:jc w:val="right"/>
              <w:rPr>
                <w:rFonts w:ascii="Arial" w:hAnsi="Arial" w:cs="Arial"/>
                <w:sz w:val="16"/>
                <w:szCs w:val="16"/>
              </w:rPr>
            </w:pPr>
            <w:r w:rsidRPr="00716E03">
              <w:rPr>
                <w:rFonts w:ascii="Arial" w:hAnsi="Arial" w:cs="Arial"/>
                <w:sz w:val="16"/>
                <w:szCs w:val="16"/>
              </w:rPr>
              <w:t>2021-22 Forward estimate</w:t>
            </w:r>
            <w:r w:rsidRPr="00716E03">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1D1097A3" w14:textId="77777777" w:rsidR="00716E03" w:rsidRPr="00716E03" w:rsidRDefault="00716E03" w:rsidP="005D1868">
            <w:pPr>
              <w:spacing w:after="0" w:line="240" w:lineRule="auto"/>
              <w:jc w:val="right"/>
              <w:rPr>
                <w:rFonts w:ascii="Arial" w:hAnsi="Arial" w:cs="Arial"/>
                <w:sz w:val="16"/>
                <w:szCs w:val="16"/>
              </w:rPr>
            </w:pPr>
            <w:r w:rsidRPr="00716E03">
              <w:rPr>
                <w:rFonts w:ascii="Arial" w:hAnsi="Arial" w:cs="Arial"/>
                <w:sz w:val="16"/>
                <w:szCs w:val="16"/>
              </w:rPr>
              <w:t>2022-23 Forward estimate</w:t>
            </w:r>
            <w:r w:rsidRPr="00716E03">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209609C8" w14:textId="77777777" w:rsidR="00716E03" w:rsidRPr="00716E03" w:rsidRDefault="00716E03" w:rsidP="005D1868">
            <w:pPr>
              <w:spacing w:after="0" w:line="240" w:lineRule="auto"/>
              <w:jc w:val="right"/>
              <w:rPr>
                <w:rFonts w:ascii="Arial" w:hAnsi="Arial" w:cs="Arial"/>
                <w:sz w:val="16"/>
                <w:szCs w:val="16"/>
              </w:rPr>
            </w:pPr>
            <w:r w:rsidRPr="00716E03">
              <w:rPr>
                <w:rFonts w:ascii="Arial" w:hAnsi="Arial" w:cs="Arial"/>
                <w:sz w:val="16"/>
                <w:szCs w:val="16"/>
              </w:rPr>
              <w:t>2023-24</w:t>
            </w:r>
            <w:r w:rsidRPr="00716E03">
              <w:rPr>
                <w:rFonts w:ascii="Arial" w:hAnsi="Arial" w:cs="Arial"/>
                <w:sz w:val="16"/>
                <w:szCs w:val="16"/>
              </w:rPr>
              <w:br/>
              <w:t>Forward estimate</w:t>
            </w:r>
            <w:r w:rsidRPr="00716E03">
              <w:rPr>
                <w:rFonts w:ascii="Arial" w:hAnsi="Arial" w:cs="Arial"/>
                <w:sz w:val="16"/>
                <w:szCs w:val="16"/>
              </w:rPr>
              <w:br/>
              <w:t>$'000</w:t>
            </w:r>
          </w:p>
        </w:tc>
      </w:tr>
      <w:tr w:rsidR="00716E03" w:rsidRPr="00716E03" w14:paraId="50AB542D" w14:textId="77777777" w:rsidTr="00A54CAE">
        <w:trPr>
          <w:divId w:val="1994747804"/>
          <w:trHeight w:val="225"/>
        </w:trPr>
        <w:tc>
          <w:tcPr>
            <w:tcW w:w="5000" w:type="pct"/>
            <w:gridSpan w:val="6"/>
            <w:tcBorders>
              <w:top w:val="single" w:sz="4" w:space="0" w:color="auto"/>
              <w:left w:val="nil"/>
              <w:bottom w:val="single" w:sz="2" w:space="0" w:color="auto"/>
              <w:right w:val="nil"/>
            </w:tcBorders>
            <w:shd w:val="clear" w:color="000000" w:fill="E6E6E6"/>
            <w:vAlign w:val="center"/>
            <w:hideMark/>
          </w:tcPr>
          <w:p w14:paraId="602D9B4A" w14:textId="77777777" w:rsidR="00716E03" w:rsidRPr="00716E03" w:rsidRDefault="00716E03" w:rsidP="00716E03">
            <w:pPr>
              <w:spacing w:after="0" w:line="240" w:lineRule="auto"/>
              <w:jc w:val="left"/>
              <w:rPr>
                <w:rFonts w:ascii="Arial" w:hAnsi="Arial" w:cs="Arial"/>
                <w:b/>
                <w:bCs/>
                <w:sz w:val="16"/>
                <w:szCs w:val="16"/>
              </w:rPr>
            </w:pPr>
            <w:r w:rsidRPr="00716E03">
              <w:rPr>
                <w:rFonts w:ascii="Arial" w:hAnsi="Arial" w:cs="Arial"/>
                <w:b/>
                <w:bCs/>
                <w:sz w:val="16"/>
                <w:szCs w:val="16"/>
              </w:rPr>
              <w:t>Program 1.1: Office of the Australian Accounting Standards Board</w:t>
            </w:r>
          </w:p>
        </w:tc>
      </w:tr>
      <w:tr w:rsidR="00716E03" w:rsidRPr="00716E03" w14:paraId="59DDE696" w14:textId="77777777" w:rsidTr="00A54CAE">
        <w:trPr>
          <w:divId w:val="1994747804"/>
          <w:trHeight w:val="225"/>
        </w:trPr>
        <w:tc>
          <w:tcPr>
            <w:tcW w:w="1957" w:type="pct"/>
            <w:tcBorders>
              <w:top w:val="single" w:sz="2" w:space="0" w:color="auto"/>
              <w:left w:val="nil"/>
              <w:bottom w:val="nil"/>
              <w:right w:val="nil"/>
            </w:tcBorders>
            <w:shd w:val="clear" w:color="000000" w:fill="FFFFFF"/>
            <w:noWrap/>
            <w:vAlign w:val="center"/>
            <w:hideMark/>
          </w:tcPr>
          <w:p w14:paraId="57C92A92" w14:textId="77777777" w:rsidR="00716E03" w:rsidRPr="00716E03" w:rsidRDefault="00716E03" w:rsidP="00716E03">
            <w:pPr>
              <w:spacing w:after="0" w:line="240" w:lineRule="auto"/>
              <w:jc w:val="left"/>
              <w:rPr>
                <w:rFonts w:ascii="Arial" w:hAnsi="Arial" w:cs="Arial"/>
                <w:sz w:val="16"/>
                <w:szCs w:val="16"/>
              </w:rPr>
            </w:pPr>
            <w:r w:rsidRPr="00716E03">
              <w:rPr>
                <w:rFonts w:ascii="Arial" w:hAnsi="Arial" w:cs="Arial"/>
                <w:sz w:val="16"/>
                <w:szCs w:val="16"/>
              </w:rPr>
              <w:t>Departmental expenses</w:t>
            </w:r>
          </w:p>
        </w:tc>
        <w:tc>
          <w:tcPr>
            <w:tcW w:w="635" w:type="pct"/>
            <w:tcBorders>
              <w:top w:val="single" w:sz="2" w:space="0" w:color="auto"/>
              <w:left w:val="nil"/>
              <w:bottom w:val="nil"/>
              <w:right w:val="nil"/>
            </w:tcBorders>
            <w:shd w:val="clear" w:color="auto" w:fill="auto"/>
            <w:noWrap/>
            <w:vAlign w:val="center"/>
            <w:hideMark/>
          </w:tcPr>
          <w:p w14:paraId="5B731647" w14:textId="77777777" w:rsidR="00716E03" w:rsidRPr="00716E03" w:rsidRDefault="00716E03" w:rsidP="00716E03">
            <w:pPr>
              <w:spacing w:after="0" w:line="240" w:lineRule="auto"/>
              <w:jc w:val="left"/>
              <w:rPr>
                <w:rFonts w:ascii="Arial" w:hAnsi="Arial" w:cs="Arial"/>
                <w:sz w:val="16"/>
                <w:szCs w:val="16"/>
              </w:rPr>
            </w:pPr>
          </w:p>
        </w:tc>
        <w:tc>
          <w:tcPr>
            <w:tcW w:w="602" w:type="pct"/>
            <w:tcBorders>
              <w:top w:val="single" w:sz="2" w:space="0" w:color="auto"/>
              <w:left w:val="nil"/>
              <w:bottom w:val="nil"/>
              <w:right w:val="nil"/>
            </w:tcBorders>
            <w:shd w:val="clear" w:color="000000" w:fill="E6E6E6"/>
            <w:noWrap/>
            <w:vAlign w:val="center"/>
            <w:hideMark/>
          </w:tcPr>
          <w:p w14:paraId="692A8991"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w:t>
            </w:r>
          </w:p>
        </w:tc>
        <w:tc>
          <w:tcPr>
            <w:tcW w:w="602" w:type="pct"/>
            <w:tcBorders>
              <w:top w:val="single" w:sz="2" w:space="0" w:color="auto"/>
              <w:left w:val="nil"/>
              <w:bottom w:val="nil"/>
              <w:right w:val="nil"/>
            </w:tcBorders>
            <w:shd w:val="clear" w:color="auto" w:fill="auto"/>
            <w:noWrap/>
            <w:vAlign w:val="center"/>
            <w:hideMark/>
          </w:tcPr>
          <w:p w14:paraId="1FEC6F79" w14:textId="77777777" w:rsidR="00716E03" w:rsidRPr="00716E03" w:rsidRDefault="00716E03" w:rsidP="00716E03">
            <w:pPr>
              <w:spacing w:after="0" w:line="240" w:lineRule="auto"/>
              <w:jc w:val="right"/>
              <w:rPr>
                <w:rFonts w:ascii="Arial" w:hAnsi="Arial" w:cs="Arial"/>
                <w:sz w:val="16"/>
                <w:szCs w:val="16"/>
              </w:rPr>
            </w:pPr>
          </w:p>
        </w:tc>
        <w:tc>
          <w:tcPr>
            <w:tcW w:w="602" w:type="pct"/>
            <w:tcBorders>
              <w:top w:val="single" w:sz="2" w:space="0" w:color="auto"/>
              <w:left w:val="nil"/>
              <w:bottom w:val="nil"/>
              <w:right w:val="nil"/>
            </w:tcBorders>
            <w:shd w:val="clear" w:color="auto" w:fill="auto"/>
            <w:noWrap/>
            <w:vAlign w:val="center"/>
            <w:hideMark/>
          </w:tcPr>
          <w:p w14:paraId="4C7D28BB" w14:textId="77777777" w:rsidR="00716E03" w:rsidRPr="00716E03" w:rsidRDefault="00716E03" w:rsidP="00716E03">
            <w:pPr>
              <w:spacing w:after="0" w:line="240" w:lineRule="auto"/>
              <w:jc w:val="left"/>
              <w:rPr>
                <w:rFonts w:ascii="Times New Roman" w:hAnsi="Times New Roman"/>
              </w:rPr>
            </w:pPr>
          </w:p>
        </w:tc>
        <w:tc>
          <w:tcPr>
            <w:tcW w:w="602" w:type="pct"/>
            <w:tcBorders>
              <w:top w:val="single" w:sz="2" w:space="0" w:color="auto"/>
              <w:left w:val="nil"/>
              <w:bottom w:val="nil"/>
              <w:right w:val="nil"/>
            </w:tcBorders>
            <w:shd w:val="clear" w:color="auto" w:fill="auto"/>
            <w:noWrap/>
            <w:vAlign w:val="center"/>
            <w:hideMark/>
          </w:tcPr>
          <w:p w14:paraId="78907B7A" w14:textId="77777777" w:rsidR="00716E03" w:rsidRPr="00716E03" w:rsidRDefault="00716E03" w:rsidP="00716E03">
            <w:pPr>
              <w:spacing w:after="0" w:line="240" w:lineRule="auto"/>
              <w:jc w:val="left"/>
              <w:rPr>
                <w:rFonts w:ascii="Times New Roman" w:hAnsi="Times New Roman"/>
              </w:rPr>
            </w:pPr>
          </w:p>
        </w:tc>
      </w:tr>
      <w:tr w:rsidR="00716E03" w:rsidRPr="00716E03" w14:paraId="28C5ECEF" w14:textId="77777777" w:rsidTr="004C2084">
        <w:trPr>
          <w:divId w:val="1994747804"/>
          <w:trHeight w:val="225"/>
        </w:trPr>
        <w:tc>
          <w:tcPr>
            <w:tcW w:w="1957" w:type="pct"/>
            <w:tcBorders>
              <w:top w:val="nil"/>
              <w:left w:val="nil"/>
              <w:bottom w:val="nil"/>
              <w:right w:val="nil"/>
            </w:tcBorders>
            <w:shd w:val="clear" w:color="000000" w:fill="FFFFFF"/>
            <w:noWrap/>
            <w:vAlign w:val="center"/>
            <w:hideMark/>
          </w:tcPr>
          <w:p w14:paraId="30E3FEA8" w14:textId="77777777" w:rsidR="00716E03" w:rsidRPr="00716E03" w:rsidRDefault="00716E03" w:rsidP="00716E03">
            <w:pPr>
              <w:spacing w:after="0" w:line="240" w:lineRule="auto"/>
              <w:ind w:firstLineChars="100" w:firstLine="160"/>
              <w:jc w:val="left"/>
              <w:rPr>
                <w:rFonts w:ascii="Arial" w:hAnsi="Arial" w:cs="Arial"/>
                <w:sz w:val="16"/>
                <w:szCs w:val="16"/>
              </w:rPr>
            </w:pPr>
            <w:r w:rsidRPr="00716E03">
              <w:rPr>
                <w:rFonts w:ascii="Arial" w:hAnsi="Arial" w:cs="Arial"/>
                <w:sz w:val="16"/>
                <w:szCs w:val="16"/>
              </w:rPr>
              <w:t>Departmental appropriation</w:t>
            </w:r>
          </w:p>
        </w:tc>
        <w:tc>
          <w:tcPr>
            <w:tcW w:w="635" w:type="pct"/>
            <w:tcBorders>
              <w:top w:val="nil"/>
              <w:left w:val="nil"/>
              <w:bottom w:val="nil"/>
              <w:right w:val="nil"/>
            </w:tcBorders>
            <w:shd w:val="clear" w:color="auto" w:fill="auto"/>
            <w:noWrap/>
            <w:vAlign w:val="center"/>
            <w:hideMark/>
          </w:tcPr>
          <w:p w14:paraId="35AD37AB" w14:textId="77777777" w:rsidR="00716E03" w:rsidRPr="00716E03" w:rsidRDefault="00716E03" w:rsidP="00716E03">
            <w:pPr>
              <w:spacing w:after="0" w:line="240" w:lineRule="auto"/>
              <w:jc w:val="right"/>
              <w:rPr>
                <w:rFonts w:ascii="Arial" w:hAnsi="Arial" w:cs="Arial"/>
                <w:color w:val="000000"/>
                <w:sz w:val="16"/>
                <w:szCs w:val="16"/>
              </w:rPr>
            </w:pPr>
            <w:r w:rsidRPr="00716E03">
              <w:rPr>
                <w:rFonts w:ascii="Arial" w:hAnsi="Arial" w:cs="Arial"/>
                <w:color w:val="000000"/>
                <w:sz w:val="16"/>
                <w:szCs w:val="16"/>
              </w:rPr>
              <w:t xml:space="preserve">3,045 </w:t>
            </w:r>
          </w:p>
        </w:tc>
        <w:tc>
          <w:tcPr>
            <w:tcW w:w="602" w:type="pct"/>
            <w:tcBorders>
              <w:top w:val="nil"/>
              <w:left w:val="nil"/>
              <w:bottom w:val="nil"/>
              <w:right w:val="nil"/>
            </w:tcBorders>
            <w:shd w:val="clear" w:color="000000" w:fill="E6E6E6"/>
            <w:noWrap/>
            <w:vAlign w:val="center"/>
            <w:hideMark/>
          </w:tcPr>
          <w:p w14:paraId="513D5D48"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3,373 </w:t>
            </w:r>
          </w:p>
        </w:tc>
        <w:tc>
          <w:tcPr>
            <w:tcW w:w="602" w:type="pct"/>
            <w:tcBorders>
              <w:top w:val="nil"/>
              <w:left w:val="nil"/>
              <w:bottom w:val="nil"/>
              <w:right w:val="nil"/>
            </w:tcBorders>
            <w:shd w:val="clear" w:color="auto" w:fill="auto"/>
            <w:noWrap/>
            <w:vAlign w:val="center"/>
            <w:hideMark/>
          </w:tcPr>
          <w:p w14:paraId="3A307BE8"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3,359 </w:t>
            </w:r>
          </w:p>
        </w:tc>
        <w:tc>
          <w:tcPr>
            <w:tcW w:w="602" w:type="pct"/>
            <w:tcBorders>
              <w:top w:val="nil"/>
              <w:left w:val="nil"/>
              <w:bottom w:val="nil"/>
              <w:right w:val="nil"/>
            </w:tcBorders>
            <w:shd w:val="clear" w:color="auto" w:fill="auto"/>
            <w:noWrap/>
            <w:vAlign w:val="center"/>
            <w:hideMark/>
          </w:tcPr>
          <w:p w14:paraId="710E4A92"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3,354 </w:t>
            </w:r>
          </w:p>
        </w:tc>
        <w:tc>
          <w:tcPr>
            <w:tcW w:w="602" w:type="pct"/>
            <w:tcBorders>
              <w:top w:val="nil"/>
              <w:left w:val="nil"/>
              <w:bottom w:val="nil"/>
              <w:right w:val="nil"/>
            </w:tcBorders>
            <w:shd w:val="clear" w:color="auto" w:fill="auto"/>
            <w:noWrap/>
            <w:vAlign w:val="center"/>
            <w:hideMark/>
          </w:tcPr>
          <w:p w14:paraId="4C4FB455"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3,367 </w:t>
            </w:r>
          </w:p>
        </w:tc>
      </w:tr>
      <w:tr w:rsidR="00716E03" w:rsidRPr="00716E03" w14:paraId="2B483CA6" w14:textId="77777777" w:rsidTr="004C2084">
        <w:trPr>
          <w:divId w:val="1994747804"/>
          <w:trHeight w:val="225"/>
        </w:trPr>
        <w:tc>
          <w:tcPr>
            <w:tcW w:w="1957" w:type="pct"/>
            <w:tcBorders>
              <w:top w:val="nil"/>
              <w:left w:val="nil"/>
              <w:bottom w:val="nil"/>
              <w:right w:val="nil"/>
            </w:tcBorders>
            <w:shd w:val="clear" w:color="000000" w:fill="FFFFFF"/>
            <w:vAlign w:val="center"/>
            <w:hideMark/>
          </w:tcPr>
          <w:p w14:paraId="4C1F4E50" w14:textId="77777777" w:rsidR="00716E03" w:rsidRPr="00716E03" w:rsidRDefault="00716E03" w:rsidP="00716E03">
            <w:pPr>
              <w:spacing w:after="0" w:line="240" w:lineRule="auto"/>
              <w:ind w:firstLineChars="100" w:firstLine="160"/>
              <w:jc w:val="left"/>
              <w:rPr>
                <w:rFonts w:ascii="Arial" w:hAnsi="Arial" w:cs="Arial"/>
                <w:sz w:val="16"/>
                <w:szCs w:val="16"/>
              </w:rPr>
            </w:pPr>
            <w:r w:rsidRPr="00716E03">
              <w:rPr>
                <w:rFonts w:ascii="Arial" w:hAnsi="Arial" w:cs="Arial"/>
                <w:sz w:val="16"/>
                <w:szCs w:val="16"/>
              </w:rPr>
              <w:t>s74 External Revenue (a)</w:t>
            </w:r>
          </w:p>
        </w:tc>
        <w:tc>
          <w:tcPr>
            <w:tcW w:w="635" w:type="pct"/>
            <w:tcBorders>
              <w:top w:val="nil"/>
              <w:left w:val="nil"/>
              <w:bottom w:val="nil"/>
              <w:right w:val="nil"/>
            </w:tcBorders>
            <w:shd w:val="clear" w:color="auto" w:fill="auto"/>
            <w:noWrap/>
            <w:vAlign w:val="center"/>
            <w:hideMark/>
          </w:tcPr>
          <w:p w14:paraId="680C2375" w14:textId="77777777" w:rsidR="00716E03" w:rsidRPr="00716E03" w:rsidRDefault="00716E03" w:rsidP="00716E03">
            <w:pPr>
              <w:spacing w:after="0" w:line="240" w:lineRule="auto"/>
              <w:jc w:val="right"/>
              <w:rPr>
                <w:rFonts w:ascii="Arial" w:hAnsi="Arial" w:cs="Arial"/>
                <w:color w:val="000000"/>
                <w:sz w:val="16"/>
                <w:szCs w:val="16"/>
              </w:rPr>
            </w:pPr>
            <w:r w:rsidRPr="00716E03">
              <w:rPr>
                <w:rFonts w:ascii="Arial" w:hAnsi="Arial" w:cs="Arial"/>
                <w:color w:val="000000"/>
                <w:sz w:val="16"/>
                <w:szCs w:val="16"/>
              </w:rPr>
              <w:t xml:space="preserve">1,044 </w:t>
            </w:r>
          </w:p>
        </w:tc>
        <w:tc>
          <w:tcPr>
            <w:tcW w:w="602" w:type="pct"/>
            <w:tcBorders>
              <w:top w:val="nil"/>
              <w:left w:val="nil"/>
              <w:bottom w:val="nil"/>
              <w:right w:val="nil"/>
            </w:tcBorders>
            <w:shd w:val="clear" w:color="000000" w:fill="E6E6E6"/>
            <w:noWrap/>
            <w:vAlign w:val="center"/>
            <w:hideMark/>
          </w:tcPr>
          <w:p w14:paraId="34B93BE3"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1,136 </w:t>
            </w:r>
          </w:p>
        </w:tc>
        <w:tc>
          <w:tcPr>
            <w:tcW w:w="602" w:type="pct"/>
            <w:tcBorders>
              <w:top w:val="nil"/>
              <w:left w:val="nil"/>
              <w:bottom w:val="nil"/>
              <w:right w:val="nil"/>
            </w:tcBorders>
            <w:shd w:val="clear" w:color="auto" w:fill="auto"/>
            <w:noWrap/>
            <w:vAlign w:val="center"/>
            <w:hideMark/>
          </w:tcPr>
          <w:p w14:paraId="413B3B06"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1,153 </w:t>
            </w:r>
          </w:p>
        </w:tc>
        <w:tc>
          <w:tcPr>
            <w:tcW w:w="602" w:type="pct"/>
            <w:tcBorders>
              <w:top w:val="nil"/>
              <w:left w:val="nil"/>
              <w:bottom w:val="nil"/>
              <w:right w:val="nil"/>
            </w:tcBorders>
            <w:shd w:val="clear" w:color="auto" w:fill="auto"/>
            <w:noWrap/>
            <w:vAlign w:val="center"/>
            <w:hideMark/>
          </w:tcPr>
          <w:p w14:paraId="18541A91"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1,153 </w:t>
            </w:r>
          </w:p>
        </w:tc>
        <w:tc>
          <w:tcPr>
            <w:tcW w:w="602" w:type="pct"/>
            <w:tcBorders>
              <w:top w:val="nil"/>
              <w:left w:val="nil"/>
              <w:bottom w:val="nil"/>
              <w:right w:val="nil"/>
            </w:tcBorders>
            <w:shd w:val="clear" w:color="auto" w:fill="auto"/>
            <w:noWrap/>
            <w:vAlign w:val="center"/>
            <w:hideMark/>
          </w:tcPr>
          <w:p w14:paraId="6D8BE7CB"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1,050 </w:t>
            </w:r>
          </w:p>
        </w:tc>
      </w:tr>
      <w:tr w:rsidR="00716E03" w:rsidRPr="00716E03" w14:paraId="33B63455" w14:textId="77777777" w:rsidTr="004C2084">
        <w:trPr>
          <w:divId w:val="1994747804"/>
          <w:trHeight w:val="675"/>
        </w:trPr>
        <w:tc>
          <w:tcPr>
            <w:tcW w:w="1957" w:type="pct"/>
            <w:tcBorders>
              <w:top w:val="nil"/>
              <w:left w:val="nil"/>
              <w:bottom w:val="nil"/>
              <w:right w:val="nil"/>
            </w:tcBorders>
            <w:shd w:val="clear" w:color="auto" w:fill="auto"/>
            <w:vAlign w:val="center"/>
            <w:hideMark/>
          </w:tcPr>
          <w:p w14:paraId="0D4B8759" w14:textId="77777777" w:rsidR="00716E03" w:rsidRPr="00716E03" w:rsidRDefault="00716E03" w:rsidP="00716E03">
            <w:pPr>
              <w:spacing w:after="0" w:line="240" w:lineRule="auto"/>
              <w:ind w:firstLineChars="100" w:firstLine="160"/>
              <w:jc w:val="left"/>
              <w:rPr>
                <w:rFonts w:ascii="Arial" w:hAnsi="Arial" w:cs="Arial"/>
                <w:sz w:val="16"/>
                <w:szCs w:val="16"/>
              </w:rPr>
            </w:pPr>
            <w:r w:rsidRPr="00716E03">
              <w:rPr>
                <w:rFonts w:ascii="Arial" w:hAnsi="Arial" w:cs="Arial"/>
                <w:sz w:val="16"/>
                <w:szCs w:val="16"/>
              </w:rPr>
              <w:t>Expenses not requiring</w:t>
            </w:r>
            <w:r w:rsidRPr="00716E03">
              <w:rPr>
                <w:rFonts w:ascii="Arial" w:hAnsi="Arial" w:cs="Arial"/>
                <w:sz w:val="16"/>
                <w:szCs w:val="16"/>
              </w:rPr>
              <w:br/>
              <w:t xml:space="preserve">   appropriation in the Budget</w:t>
            </w:r>
            <w:r w:rsidRPr="00716E03">
              <w:rPr>
                <w:rFonts w:ascii="Arial" w:hAnsi="Arial" w:cs="Arial"/>
                <w:sz w:val="16"/>
                <w:szCs w:val="16"/>
              </w:rPr>
              <w:br/>
              <w:t xml:space="preserve">   year (b)</w:t>
            </w:r>
          </w:p>
        </w:tc>
        <w:tc>
          <w:tcPr>
            <w:tcW w:w="635" w:type="pct"/>
            <w:tcBorders>
              <w:top w:val="nil"/>
              <w:left w:val="nil"/>
              <w:bottom w:val="nil"/>
              <w:right w:val="nil"/>
            </w:tcBorders>
            <w:shd w:val="clear" w:color="auto" w:fill="auto"/>
            <w:noWrap/>
            <w:vAlign w:val="bottom"/>
            <w:hideMark/>
          </w:tcPr>
          <w:p w14:paraId="2594090C" w14:textId="77777777" w:rsidR="00716E03" w:rsidRPr="00716E03" w:rsidRDefault="00716E03" w:rsidP="00716E03">
            <w:pPr>
              <w:spacing w:after="0" w:line="240" w:lineRule="auto"/>
              <w:jc w:val="right"/>
              <w:rPr>
                <w:rFonts w:ascii="Arial" w:hAnsi="Arial" w:cs="Arial"/>
                <w:color w:val="000000"/>
                <w:sz w:val="16"/>
                <w:szCs w:val="16"/>
              </w:rPr>
            </w:pPr>
            <w:r w:rsidRPr="00716E03">
              <w:rPr>
                <w:rFonts w:ascii="Arial" w:hAnsi="Arial" w:cs="Arial"/>
                <w:color w:val="000000"/>
                <w:sz w:val="16"/>
                <w:szCs w:val="16"/>
              </w:rPr>
              <w:t xml:space="preserve">329 </w:t>
            </w:r>
          </w:p>
        </w:tc>
        <w:tc>
          <w:tcPr>
            <w:tcW w:w="602" w:type="pct"/>
            <w:tcBorders>
              <w:top w:val="nil"/>
              <w:left w:val="nil"/>
              <w:bottom w:val="nil"/>
              <w:right w:val="nil"/>
            </w:tcBorders>
            <w:shd w:val="clear" w:color="000000" w:fill="E6E6E6"/>
            <w:noWrap/>
            <w:vAlign w:val="bottom"/>
            <w:hideMark/>
          </w:tcPr>
          <w:p w14:paraId="3B2BCF2D"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364 </w:t>
            </w:r>
          </w:p>
        </w:tc>
        <w:tc>
          <w:tcPr>
            <w:tcW w:w="602" w:type="pct"/>
            <w:tcBorders>
              <w:top w:val="nil"/>
              <w:left w:val="nil"/>
              <w:bottom w:val="nil"/>
              <w:right w:val="nil"/>
            </w:tcBorders>
            <w:shd w:val="clear" w:color="auto" w:fill="auto"/>
            <w:noWrap/>
            <w:vAlign w:val="bottom"/>
            <w:hideMark/>
          </w:tcPr>
          <w:p w14:paraId="1AB7C592"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373 </w:t>
            </w:r>
          </w:p>
        </w:tc>
        <w:tc>
          <w:tcPr>
            <w:tcW w:w="602" w:type="pct"/>
            <w:tcBorders>
              <w:top w:val="nil"/>
              <w:left w:val="nil"/>
              <w:bottom w:val="nil"/>
              <w:right w:val="nil"/>
            </w:tcBorders>
            <w:shd w:val="clear" w:color="auto" w:fill="auto"/>
            <w:noWrap/>
            <w:vAlign w:val="bottom"/>
            <w:hideMark/>
          </w:tcPr>
          <w:p w14:paraId="17232BD0" w14:textId="3B3FEB9F" w:rsidR="00716E03" w:rsidRPr="00716E03" w:rsidRDefault="00201B96" w:rsidP="00716E03">
            <w:pPr>
              <w:spacing w:after="0" w:line="240" w:lineRule="auto"/>
              <w:jc w:val="right"/>
              <w:rPr>
                <w:rFonts w:ascii="Arial" w:hAnsi="Arial" w:cs="Arial"/>
                <w:sz w:val="16"/>
                <w:szCs w:val="16"/>
              </w:rPr>
            </w:pPr>
            <w:r>
              <w:rPr>
                <w:rFonts w:ascii="Arial" w:hAnsi="Arial" w:cs="Arial"/>
                <w:sz w:val="16"/>
                <w:szCs w:val="16"/>
              </w:rPr>
              <w:br/>
            </w:r>
            <w:r w:rsidR="00716E03" w:rsidRPr="00716E03">
              <w:rPr>
                <w:rFonts w:ascii="Arial" w:hAnsi="Arial" w:cs="Arial"/>
                <w:sz w:val="16"/>
                <w:szCs w:val="16"/>
              </w:rPr>
              <w:t xml:space="preserve">380 </w:t>
            </w:r>
          </w:p>
        </w:tc>
        <w:tc>
          <w:tcPr>
            <w:tcW w:w="602" w:type="pct"/>
            <w:tcBorders>
              <w:top w:val="nil"/>
              <w:left w:val="nil"/>
              <w:bottom w:val="nil"/>
              <w:right w:val="nil"/>
            </w:tcBorders>
            <w:shd w:val="clear" w:color="auto" w:fill="auto"/>
            <w:noWrap/>
            <w:vAlign w:val="bottom"/>
            <w:hideMark/>
          </w:tcPr>
          <w:p w14:paraId="3B547FC3"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384 </w:t>
            </w:r>
          </w:p>
        </w:tc>
      </w:tr>
      <w:tr w:rsidR="00716E03" w:rsidRPr="00716E03" w14:paraId="46F9F56F" w14:textId="77777777" w:rsidTr="004C2084">
        <w:trPr>
          <w:divId w:val="1994747804"/>
          <w:trHeight w:val="225"/>
        </w:trPr>
        <w:tc>
          <w:tcPr>
            <w:tcW w:w="1957" w:type="pct"/>
            <w:tcBorders>
              <w:top w:val="nil"/>
              <w:left w:val="nil"/>
              <w:bottom w:val="nil"/>
              <w:right w:val="nil"/>
            </w:tcBorders>
            <w:shd w:val="clear" w:color="auto" w:fill="auto"/>
            <w:vAlign w:val="center"/>
            <w:hideMark/>
          </w:tcPr>
          <w:p w14:paraId="70026835" w14:textId="77777777" w:rsidR="00716E03" w:rsidRPr="00716E03" w:rsidRDefault="00716E03" w:rsidP="00716E03">
            <w:pPr>
              <w:spacing w:after="0" w:line="240" w:lineRule="auto"/>
              <w:jc w:val="right"/>
              <w:rPr>
                <w:rFonts w:ascii="Arial" w:hAnsi="Arial" w:cs="Arial"/>
                <w:b/>
                <w:bCs/>
                <w:sz w:val="16"/>
                <w:szCs w:val="16"/>
              </w:rPr>
            </w:pPr>
            <w:r w:rsidRPr="00716E03">
              <w:rPr>
                <w:rFonts w:ascii="Arial" w:hAnsi="Arial" w:cs="Arial"/>
                <w:b/>
                <w:bCs/>
                <w:sz w:val="16"/>
                <w:szCs w:val="16"/>
              </w:rPr>
              <w:t>Departmental total</w:t>
            </w:r>
          </w:p>
        </w:tc>
        <w:tc>
          <w:tcPr>
            <w:tcW w:w="635" w:type="pct"/>
            <w:tcBorders>
              <w:top w:val="single" w:sz="4" w:space="0" w:color="000000"/>
              <w:left w:val="nil"/>
              <w:bottom w:val="single" w:sz="4" w:space="0" w:color="000000"/>
              <w:right w:val="nil"/>
            </w:tcBorders>
            <w:shd w:val="clear" w:color="auto" w:fill="auto"/>
            <w:noWrap/>
            <w:vAlign w:val="center"/>
            <w:hideMark/>
          </w:tcPr>
          <w:p w14:paraId="2764B676" w14:textId="77777777" w:rsidR="00716E03" w:rsidRPr="00716E03" w:rsidRDefault="00716E03" w:rsidP="00716E03">
            <w:pPr>
              <w:spacing w:after="0" w:line="240" w:lineRule="auto"/>
              <w:jc w:val="right"/>
              <w:rPr>
                <w:rFonts w:ascii="Arial" w:hAnsi="Arial" w:cs="Arial"/>
                <w:color w:val="000000"/>
                <w:sz w:val="16"/>
                <w:szCs w:val="16"/>
              </w:rPr>
            </w:pPr>
            <w:r w:rsidRPr="00716E03">
              <w:rPr>
                <w:rFonts w:ascii="Arial" w:hAnsi="Arial" w:cs="Arial"/>
                <w:color w:val="000000"/>
                <w:sz w:val="16"/>
                <w:szCs w:val="16"/>
              </w:rPr>
              <w:t xml:space="preserve">4,418 </w:t>
            </w:r>
          </w:p>
        </w:tc>
        <w:tc>
          <w:tcPr>
            <w:tcW w:w="602" w:type="pct"/>
            <w:tcBorders>
              <w:top w:val="single" w:sz="4" w:space="0" w:color="000000"/>
              <w:left w:val="nil"/>
              <w:bottom w:val="single" w:sz="4" w:space="0" w:color="000000"/>
              <w:right w:val="nil"/>
            </w:tcBorders>
            <w:shd w:val="clear" w:color="000000" w:fill="E6E6E6"/>
            <w:noWrap/>
            <w:vAlign w:val="center"/>
            <w:hideMark/>
          </w:tcPr>
          <w:p w14:paraId="5DB8946C"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4,873 </w:t>
            </w:r>
          </w:p>
        </w:tc>
        <w:tc>
          <w:tcPr>
            <w:tcW w:w="602" w:type="pct"/>
            <w:tcBorders>
              <w:top w:val="single" w:sz="4" w:space="0" w:color="000000"/>
              <w:left w:val="nil"/>
              <w:bottom w:val="single" w:sz="4" w:space="0" w:color="000000"/>
              <w:right w:val="nil"/>
            </w:tcBorders>
            <w:shd w:val="clear" w:color="auto" w:fill="auto"/>
            <w:noWrap/>
            <w:vAlign w:val="center"/>
            <w:hideMark/>
          </w:tcPr>
          <w:p w14:paraId="0D22DEFC"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4,885 </w:t>
            </w:r>
          </w:p>
        </w:tc>
        <w:tc>
          <w:tcPr>
            <w:tcW w:w="602" w:type="pct"/>
            <w:tcBorders>
              <w:top w:val="single" w:sz="4" w:space="0" w:color="000000"/>
              <w:left w:val="nil"/>
              <w:bottom w:val="single" w:sz="4" w:space="0" w:color="000000"/>
              <w:right w:val="nil"/>
            </w:tcBorders>
            <w:shd w:val="clear" w:color="auto" w:fill="auto"/>
            <w:noWrap/>
            <w:vAlign w:val="center"/>
            <w:hideMark/>
          </w:tcPr>
          <w:p w14:paraId="0DD124AB"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4,887 </w:t>
            </w:r>
          </w:p>
        </w:tc>
        <w:tc>
          <w:tcPr>
            <w:tcW w:w="602" w:type="pct"/>
            <w:tcBorders>
              <w:top w:val="single" w:sz="4" w:space="0" w:color="000000"/>
              <w:left w:val="nil"/>
              <w:bottom w:val="single" w:sz="4" w:space="0" w:color="000000"/>
              <w:right w:val="nil"/>
            </w:tcBorders>
            <w:shd w:val="clear" w:color="auto" w:fill="auto"/>
            <w:noWrap/>
            <w:vAlign w:val="center"/>
            <w:hideMark/>
          </w:tcPr>
          <w:p w14:paraId="2B7873A9"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4,801 </w:t>
            </w:r>
          </w:p>
        </w:tc>
      </w:tr>
      <w:tr w:rsidR="00716E03" w:rsidRPr="00716E03" w14:paraId="406B6077" w14:textId="77777777" w:rsidTr="004C2084">
        <w:trPr>
          <w:divId w:val="1994747804"/>
          <w:trHeight w:val="225"/>
        </w:trPr>
        <w:tc>
          <w:tcPr>
            <w:tcW w:w="1957" w:type="pct"/>
            <w:tcBorders>
              <w:top w:val="nil"/>
              <w:left w:val="nil"/>
              <w:bottom w:val="single" w:sz="4" w:space="0" w:color="000000"/>
              <w:right w:val="nil"/>
            </w:tcBorders>
            <w:shd w:val="clear" w:color="auto" w:fill="auto"/>
            <w:vAlign w:val="center"/>
            <w:hideMark/>
          </w:tcPr>
          <w:p w14:paraId="7E497165" w14:textId="77777777" w:rsidR="00716E03" w:rsidRPr="00716E03" w:rsidRDefault="00716E03" w:rsidP="00716E03">
            <w:pPr>
              <w:spacing w:after="0" w:line="240" w:lineRule="auto"/>
              <w:jc w:val="left"/>
              <w:rPr>
                <w:rFonts w:ascii="Arial" w:hAnsi="Arial" w:cs="Arial"/>
                <w:b/>
                <w:bCs/>
                <w:sz w:val="16"/>
                <w:szCs w:val="16"/>
              </w:rPr>
            </w:pPr>
            <w:r w:rsidRPr="00716E03">
              <w:rPr>
                <w:rFonts w:ascii="Arial" w:hAnsi="Arial" w:cs="Arial"/>
                <w:b/>
                <w:bCs/>
                <w:sz w:val="16"/>
                <w:szCs w:val="16"/>
              </w:rPr>
              <w:t>Total expenses for program 1.1</w:t>
            </w:r>
          </w:p>
        </w:tc>
        <w:tc>
          <w:tcPr>
            <w:tcW w:w="635" w:type="pct"/>
            <w:tcBorders>
              <w:top w:val="nil"/>
              <w:left w:val="nil"/>
              <w:bottom w:val="single" w:sz="4" w:space="0" w:color="000000"/>
              <w:right w:val="nil"/>
            </w:tcBorders>
            <w:shd w:val="clear" w:color="auto" w:fill="auto"/>
            <w:noWrap/>
            <w:vAlign w:val="center"/>
            <w:hideMark/>
          </w:tcPr>
          <w:p w14:paraId="62903A3B" w14:textId="77777777" w:rsidR="00716E03" w:rsidRPr="00716E03" w:rsidRDefault="00716E03" w:rsidP="00716E03">
            <w:pPr>
              <w:spacing w:after="0" w:line="240" w:lineRule="auto"/>
              <w:jc w:val="right"/>
              <w:rPr>
                <w:rFonts w:ascii="Arial" w:hAnsi="Arial" w:cs="Arial"/>
                <w:b/>
                <w:bCs/>
                <w:color w:val="000000"/>
                <w:sz w:val="16"/>
                <w:szCs w:val="16"/>
              </w:rPr>
            </w:pPr>
            <w:r w:rsidRPr="00716E03">
              <w:rPr>
                <w:rFonts w:ascii="Arial" w:hAnsi="Arial" w:cs="Arial"/>
                <w:b/>
                <w:bCs/>
                <w:color w:val="000000"/>
                <w:sz w:val="16"/>
                <w:szCs w:val="16"/>
              </w:rPr>
              <w:t xml:space="preserve">4,418 </w:t>
            </w:r>
          </w:p>
        </w:tc>
        <w:tc>
          <w:tcPr>
            <w:tcW w:w="602" w:type="pct"/>
            <w:tcBorders>
              <w:top w:val="nil"/>
              <w:left w:val="nil"/>
              <w:bottom w:val="single" w:sz="4" w:space="0" w:color="000000"/>
              <w:right w:val="nil"/>
            </w:tcBorders>
            <w:shd w:val="clear" w:color="000000" w:fill="E6E6E6"/>
            <w:noWrap/>
            <w:vAlign w:val="center"/>
            <w:hideMark/>
          </w:tcPr>
          <w:p w14:paraId="5216E417" w14:textId="77777777" w:rsidR="00716E03" w:rsidRPr="00716E03" w:rsidRDefault="00716E03" w:rsidP="00716E03">
            <w:pPr>
              <w:spacing w:after="0" w:line="240" w:lineRule="auto"/>
              <w:jc w:val="right"/>
              <w:rPr>
                <w:rFonts w:ascii="Arial" w:hAnsi="Arial" w:cs="Arial"/>
                <w:b/>
                <w:bCs/>
                <w:color w:val="000000"/>
                <w:sz w:val="16"/>
                <w:szCs w:val="16"/>
              </w:rPr>
            </w:pPr>
            <w:r w:rsidRPr="00716E03">
              <w:rPr>
                <w:rFonts w:ascii="Arial" w:hAnsi="Arial" w:cs="Arial"/>
                <w:b/>
                <w:bCs/>
                <w:color w:val="000000"/>
                <w:sz w:val="16"/>
                <w:szCs w:val="16"/>
              </w:rPr>
              <w:t xml:space="preserve">4,873 </w:t>
            </w:r>
          </w:p>
        </w:tc>
        <w:tc>
          <w:tcPr>
            <w:tcW w:w="602" w:type="pct"/>
            <w:tcBorders>
              <w:top w:val="nil"/>
              <w:left w:val="nil"/>
              <w:bottom w:val="single" w:sz="4" w:space="0" w:color="000000"/>
              <w:right w:val="nil"/>
            </w:tcBorders>
            <w:shd w:val="clear" w:color="auto" w:fill="auto"/>
            <w:noWrap/>
            <w:vAlign w:val="center"/>
            <w:hideMark/>
          </w:tcPr>
          <w:p w14:paraId="53392D75" w14:textId="77777777" w:rsidR="00716E03" w:rsidRPr="00716E03" w:rsidRDefault="00716E03" w:rsidP="00716E03">
            <w:pPr>
              <w:spacing w:after="0" w:line="240" w:lineRule="auto"/>
              <w:jc w:val="right"/>
              <w:rPr>
                <w:rFonts w:ascii="Arial" w:hAnsi="Arial" w:cs="Arial"/>
                <w:b/>
                <w:bCs/>
                <w:sz w:val="16"/>
                <w:szCs w:val="16"/>
              </w:rPr>
            </w:pPr>
            <w:r w:rsidRPr="00716E03">
              <w:rPr>
                <w:rFonts w:ascii="Arial" w:hAnsi="Arial" w:cs="Arial"/>
                <w:b/>
                <w:bCs/>
                <w:sz w:val="16"/>
                <w:szCs w:val="16"/>
              </w:rPr>
              <w:t xml:space="preserve">4,885 </w:t>
            </w:r>
          </w:p>
        </w:tc>
        <w:tc>
          <w:tcPr>
            <w:tcW w:w="602" w:type="pct"/>
            <w:tcBorders>
              <w:top w:val="nil"/>
              <w:left w:val="nil"/>
              <w:bottom w:val="single" w:sz="4" w:space="0" w:color="000000"/>
              <w:right w:val="nil"/>
            </w:tcBorders>
            <w:shd w:val="clear" w:color="auto" w:fill="auto"/>
            <w:noWrap/>
            <w:vAlign w:val="center"/>
            <w:hideMark/>
          </w:tcPr>
          <w:p w14:paraId="5391B8F2" w14:textId="77777777" w:rsidR="00716E03" w:rsidRPr="00716E03" w:rsidRDefault="00716E03" w:rsidP="00716E03">
            <w:pPr>
              <w:spacing w:after="0" w:line="240" w:lineRule="auto"/>
              <w:jc w:val="right"/>
              <w:rPr>
                <w:rFonts w:ascii="Arial" w:hAnsi="Arial" w:cs="Arial"/>
                <w:b/>
                <w:bCs/>
                <w:sz w:val="16"/>
                <w:szCs w:val="16"/>
              </w:rPr>
            </w:pPr>
            <w:r w:rsidRPr="00716E03">
              <w:rPr>
                <w:rFonts w:ascii="Arial" w:hAnsi="Arial" w:cs="Arial"/>
                <w:b/>
                <w:bCs/>
                <w:sz w:val="16"/>
                <w:szCs w:val="16"/>
              </w:rPr>
              <w:t xml:space="preserve">4,887 </w:t>
            </w:r>
          </w:p>
        </w:tc>
        <w:tc>
          <w:tcPr>
            <w:tcW w:w="602" w:type="pct"/>
            <w:tcBorders>
              <w:top w:val="nil"/>
              <w:left w:val="nil"/>
              <w:bottom w:val="single" w:sz="4" w:space="0" w:color="000000"/>
              <w:right w:val="nil"/>
            </w:tcBorders>
            <w:shd w:val="clear" w:color="auto" w:fill="auto"/>
            <w:noWrap/>
            <w:vAlign w:val="center"/>
            <w:hideMark/>
          </w:tcPr>
          <w:p w14:paraId="1870F4C8" w14:textId="77777777" w:rsidR="00716E03" w:rsidRPr="00716E03" w:rsidRDefault="00716E03" w:rsidP="00716E03">
            <w:pPr>
              <w:spacing w:after="0" w:line="240" w:lineRule="auto"/>
              <w:jc w:val="right"/>
              <w:rPr>
                <w:rFonts w:ascii="Arial" w:hAnsi="Arial" w:cs="Arial"/>
                <w:b/>
                <w:bCs/>
                <w:sz w:val="16"/>
                <w:szCs w:val="16"/>
              </w:rPr>
            </w:pPr>
            <w:r w:rsidRPr="00716E03">
              <w:rPr>
                <w:rFonts w:ascii="Arial" w:hAnsi="Arial" w:cs="Arial"/>
                <w:b/>
                <w:bCs/>
                <w:sz w:val="16"/>
                <w:szCs w:val="16"/>
              </w:rPr>
              <w:t xml:space="preserve">4,801 </w:t>
            </w:r>
          </w:p>
        </w:tc>
      </w:tr>
      <w:tr w:rsidR="00716E03" w:rsidRPr="00716E03" w14:paraId="38BEA714" w14:textId="77777777" w:rsidTr="004C2084">
        <w:trPr>
          <w:divId w:val="1994747804"/>
          <w:trHeight w:val="225"/>
        </w:trPr>
        <w:tc>
          <w:tcPr>
            <w:tcW w:w="1957" w:type="pct"/>
            <w:tcBorders>
              <w:top w:val="nil"/>
              <w:left w:val="nil"/>
              <w:bottom w:val="nil"/>
              <w:right w:val="nil"/>
            </w:tcBorders>
            <w:shd w:val="clear" w:color="auto" w:fill="auto"/>
            <w:vAlign w:val="center"/>
            <w:hideMark/>
          </w:tcPr>
          <w:p w14:paraId="72609DD4" w14:textId="77777777" w:rsidR="00716E03" w:rsidRPr="00716E03" w:rsidRDefault="00716E03" w:rsidP="00716E03">
            <w:pPr>
              <w:spacing w:after="0" w:line="240" w:lineRule="auto"/>
              <w:jc w:val="right"/>
              <w:rPr>
                <w:rFonts w:ascii="Arial" w:hAnsi="Arial" w:cs="Arial"/>
                <w:b/>
                <w:bCs/>
                <w:sz w:val="16"/>
                <w:szCs w:val="16"/>
              </w:rPr>
            </w:pPr>
          </w:p>
        </w:tc>
        <w:tc>
          <w:tcPr>
            <w:tcW w:w="635" w:type="pct"/>
            <w:tcBorders>
              <w:top w:val="nil"/>
              <w:left w:val="nil"/>
              <w:bottom w:val="nil"/>
              <w:right w:val="nil"/>
            </w:tcBorders>
            <w:shd w:val="clear" w:color="auto" w:fill="auto"/>
            <w:noWrap/>
            <w:vAlign w:val="center"/>
            <w:hideMark/>
          </w:tcPr>
          <w:p w14:paraId="7F93BDBB" w14:textId="77777777" w:rsidR="00716E03" w:rsidRPr="00716E03" w:rsidRDefault="00716E03" w:rsidP="00716E03">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61E2A88A" w14:textId="77777777" w:rsidR="00716E03" w:rsidRPr="00716E03" w:rsidRDefault="00716E03" w:rsidP="00716E03">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4F68AED7" w14:textId="77777777" w:rsidR="00716E03" w:rsidRPr="00716E03" w:rsidRDefault="00716E03" w:rsidP="00716E03">
            <w:pPr>
              <w:spacing w:after="0" w:line="240" w:lineRule="auto"/>
              <w:jc w:val="right"/>
              <w:rPr>
                <w:rFonts w:ascii="Times New Roman" w:hAnsi="Times New Roman"/>
              </w:rPr>
            </w:pPr>
          </w:p>
        </w:tc>
        <w:tc>
          <w:tcPr>
            <w:tcW w:w="602" w:type="pct"/>
            <w:tcBorders>
              <w:top w:val="nil"/>
              <w:left w:val="nil"/>
              <w:bottom w:val="nil"/>
              <w:right w:val="nil"/>
            </w:tcBorders>
            <w:shd w:val="clear" w:color="auto" w:fill="auto"/>
            <w:noWrap/>
            <w:vAlign w:val="center"/>
            <w:hideMark/>
          </w:tcPr>
          <w:p w14:paraId="7E085FD8" w14:textId="77777777" w:rsidR="00716E03" w:rsidRPr="00716E03" w:rsidRDefault="00716E03" w:rsidP="00716E03">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2251D755" w14:textId="77777777" w:rsidR="00716E03" w:rsidRPr="00716E03" w:rsidRDefault="00716E03" w:rsidP="00716E03">
            <w:pPr>
              <w:spacing w:after="0" w:line="240" w:lineRule="auto"/>
              <w:jc w:val="left"/>
              <w:rPr>
                <w:rFonts w:ascii="Times New Roman" w:hAnsi="Times New Roman"/>
              </w:rPr>
            </w:pPr>
          </w:p>
        </w:tc>
      </w:tr>
      <w:tr w:rsidR="00716E03" w:rsidRPr="00716E03" w14:paraId="0BBA9E6C" w14:textId="77777777" w:rsidTr="004C2084">
        <w:trPr>
          <w:divId w:val="1994747804"/>
          <w:trHeight w:val="225"/>
        </w:trPr>
        <w:tc>
          <w:tcPr>
            <w:tcW w:w="1957" w:type="pct"/>
            <w:tcBorders>
              <w:top w:val="single" w:sz="4" w:space="0" w:color="000000"/>
              <w:left w:val="nil"/>
              <w:bottom w:val="nil"/>
              <w:right w:val="nil"/>
            </w:tcBorders>
            <w:shd w:val="clear" w:color="auto" w:fill="auto"/>
            <w:noWrap/>
            <w:vAlign w:val="center"/>
            <w:hideMark/>
          </w:tcPr>
          <w:p w14:paraId="051C83E2" w14:textId="77777777" w:rsidR="00716E03" w:rsidRPr="00716E03" w:rsidRDefault="00716E03" w:rsidP="00716E03">
            <w:pPr>
              <w:spacing w:after="0" w:line="240" w:lineRule="auto"/>
              <w:jc w:val="left"/>
              <w:rPr>
                <w:rFonts w:ascii="Arial" w:hAnsi="Arial" w:cs="Arial"/>
                <w:color w:val="000000"/>
                <w:sz w:val="16"/>
                <w:szCs w:val="16"/>
              </w:rPr>
            </w:pPr>
            <w:r w:rsidRPr="00716E03">
              <w:rPr>
                <w:rFonts w:ascii="Arial" w:hAnsi="Arial" w:cs="Arial"/>
                <w:color w:val="000000"/>
                <w:sz w:val="16"/>
                <w:szCs w:val="16"/>
              </w:rPr>
              <w:t> </w:t>
            </w:r>
          </w:p>
        </w:tc>
        <w:tc>
          <w:tcPr>
            <w:tcW w:w="635" w:type="pct"/>
            <w:tcBorders>
              <w:top w:val="single" w:sz="4" w:space="0" w:color="auto"/>
              <w:left w:val="nil"/>
              <w:bottom w:val="single" w:sz="4" w:space="0" w:color="auto"/>
              <w:right w:val="nil"/>
            </w:tcBorders>
            <w:shd w:val="clear" w:color="auto" w:fill="auto"/>
            <w:noWrap/>
            <w:vAlign w:val="center"/>
            <w:hideMark/>
          </w:tcPr>
          <w:p w14:paraId="31FC31DF"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2019-20</w:t>
            </w:r>
          </w:p>
        </w:tc>
        <w:tc>
          <w:tcPr>
            <w:tcW w:w="602" w:type="pct"/>
            <w:tcBorders>
              <w:top w:val="single" w:sz="4" w:space="0" w:color="auto"/>
              <w:left w:val="nil"/>
              <w:bottom w:val="single" w:sz="4" w:space="0" w:color="auto"/>
              <w:right w:val="nil"/>
            </w:tcBorders>
            <w:shd w:val="clear" w:color="000000" w:fill="E6E6E6"/>
            <w:noWrap/>
            <w:vAlign w:val="center"/>
            <w:hideMark/>
          </w:tcPr>
          <w:p w14:paraId="3311F767"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2020-21</w:t>
            </w:r>
          </w:p>
        </w:tc>
        <w:tc>
          <w:tcPr>
            <w:tcW w:w="602" w:type="pct"/>
            <w:tcBorders>
              <w:top w:val="nil"/>
              <w:left w:val="nil"/>
              <w:bottom w:val="nil"/>
              <w:right w:val="nil"/>
            </w:tcBorders>
            <w:shd w:val="clear" w:color="auto" w:fill="auto"/>
            <w:noWrap/>
            <w:vAlign w:val="center"/>
            <w:hideMark/>
          </w:tcPr>
          <w:p w14:paraId="534CF785" w14:textId="77777777" w:rsidR="00716E03" w:rsidRPr="00716E03" w:rsidRDefault="00716E03" w:rsidP="00716E03">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center"/>
            <w:hideMark/>
          </w:tcPr>
          <w:p w14:paraId="4AC07FA2" w14:textId="77777777" w:rsidR="00716E03" w:rsidRPr="00716E03" w:rsidRDefault="00716E03" w:rsidP="00716E03">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55ED4D48" w14:textId="77777777" w:rsidR="00716E03" w:rsidRPr="00716E03" w:rsidRDefault="00716E03" w:rsidP="00716E03">
            <w:pPr>
              <w:spacing w:after="0" w:line="240" w:lineRule="auto"/>
              <w:jc w:val="left"/>
              <w:rPr>
                <w:rFonts w:ascii="Times New Roman" w:hAnsi="Times New Roman"/>
              </w:rPr>
            </w:pPr>
          </w:p>
        </w:tc>
      </w:tr>
      <w:tr w:rsidR="00716E03" w:rsidRPr="00716E03" w14:paraId="2BE868A5" w14:textId="77777777" w:rsidTr="004C2084">
        <w:trPr>
          <w:divId w:val="1994747804"/>
          <w:trHeight w:val="225"/>
        </w:trPr>
        <w:tc>
          <w:tcPr>
            <w:tcW w:w="1957" w:type="pct"/>
            <w:tcBorders>
              <w:top w:val="nil"/>
              <w:left w:val="nil"/>
              <w:bottom w:val="single" w:sz="4" w:space="0" w:color="000000"/>
              <w:right w:val="nil"/>
            </w:tcBorders>
            <w:shd w:val="clear" w:color="auto" w:fill="auto"/>
            <w:noWrap/>
            <w:vAlign w:val="center"/>
            <w:hideMark/>
          </w:tcPr>
          <w:p w14:paraId="115C51DB" w14:textId="77777777" w:rsidR="00716E03" w:rsidRPr="00716E03" w:rsidRDefault="00716E03" w:rsidP="00716E03">
            <w:pPr>
              <w:spacing w:after="0" w:line="240" w:lineRule="auto"/>
              <w:jc w:val="left"/>
              <w:rPr>
                <w:rFonts w:ascii="Arial" w:hAnsi="Arial" w:cs="Arial"/>
                <w:b/>
                <w:bCs/>
                <w:color w:val="000000"/>
                <w:sz w:val="16"/>
                <w:szCs w:val="16"/>
              </w:rPr>
            </w:pPr>
            <w:r w:rsidRPr="00716E03">
              <w:rPr>
                <w:rFonts w:ascii="Arial" w:hAnsi="Arial" w:cs="Arial"/>
                <w:b/>
                <w:bCs/>
                <w:color w:val="000000"/>
                <w:sz w:val="16"/>
                <w:szCs w:val="16"/>
              </w:rPr>
              <w:t>Average staffing level (number)</w:t>
            </w:r>
          </w:p>
        </w:tc>
        <w:tc>
          <w:tcPr>
            <w:tcW w:w="635" w:type="pct"/>
            <w:tcBorders>
              <w:top w:val="nil"/>
              <w:left w:val="nil"/>
              <w:bottom w:val="single" w:sz="4" w:space="0" w:color="auto"/>
              <w:right w:val="nil"/>
            </w:tcBorders>
            <w:shd w:val="clear" w:color="000000" w:fill="FFFFFF"/>
            <w:vAlign w:val="bottom"/>
            <w:hideMark/>
          </w:tcPr>
          <w:p w14:paraId="1DBCF004" w14:textId="77777777" w:rsidR="00716E03" w:rsidRPr="00716E03" w:rsidRDefault="00716E03" w:rsidP="00716E03">
            <w:pPr>
              <w:spacing w:after="0" w:line="240" w:lineRule="auto"/>
              <w:jc w:val="right"/>
              <w:rPr>
                <w:rFonts w:ascii="Arial" w:hAnsi="Arial" w:cs="Arial"/>
                <w:color w:val="000000"/>
                <w:sz w:val="16"/>
                <w:szCs w:val="16"/>
              </w:rPr>
            </w:pPr>
            <w:r w:rsidRPr="00716E03">
              <w:rPr>
                <w:rFonts w:ascii="Arial" w:hAnsi="Arial" w:cs="Arial"/>
                <w:color w:val="000000"/>
                <w:sz w:val="16"/>
                <w:szCs w:val="16"/>
              </w:rPr>
              <w:t xml:space="preserve">17 </w:t>
            </w:r>
          </w:p>
        </w:tc>
        <w:tc>
          <w:tcPr>
            <w:tcW w:w="602" w:type="pct"/>
            <w:tcBorders>
              <w:top w:val="nil"/>
              <w:left w:val="nil"/>
              <w:bottom w:val="single" w:sz="4" w:space="0" w:color="auto"/>
              <w:right w:val="nil"/>
            </w:tcBorders>
            <w:shd w:val="clear" w:color="000000" w:fill="E6E6E6"/>
            <w:noWrap/>
            <w:vAlign w:val="center"/>
            <w:hideMark/>
          </w:tcPr>
          <w:p w14:paraId="7450786E" w14:textId="77777777" w:rsidR="00716E03" w:rsidRPr="00716E03" w:rsidRDefault="00716E03" w:rsidP="00716E03">
            <w:pPr>
              <w:spacing w:after="0" w:line="240" w:lineRule="auto"/>
              <w:jc w:val="right"/>
              <w:rPr>
                <w:rFonts w:ascii="Arial" w:hAnsi="Arial" w:cs="Arial"/>
                <w:sz w:val="16"/>
                <w:szCs w:val="16"/>
              </w:rPr>
            </w:pPr>
            <w:r w:rsidRPr="00716E03">
              <w:rPr>
                <w:rFonts w:ascii="Arial" w:hAnsi="Arial" w:cs="Arial"/>
                <w:sz w:val="16"/>
                <w:szCs w:val="16"/>
              </w:rPr>
              <w:t xml:space="preserve">22 </w:t>
            </w:r>
          </w:p>
        </w:tc>
        <w:tc>
          <w:tcPr>
            <w:tcW w:w="602" w:type="pct"/>
            <w:tcBorders>
              <w:top w:val="nil"/>
              <w:left w:val="nil"/>
              <w:bottom w:val="nil"/>
              <w:right w:val="nil"/>
            </w:tcBorders>
            <w:shd w:val="clear" w:color="auto" w:fill="auto"/>
            <w:noWrap/>
            <w:vAlign w:val="center"/>
            <w:hideMark/>
          </w:tcPr>
          <w:p w14:paraId="4E290FE4" w14:textId="77777777" w:rsidR="00716E03" w:rsidRPr="00716E03" w:rsidRDefault="00716E03" w:rsidP="00716E03">
            <w:pPr>
              <w:spacing w:after="0" w:line="240" w:lineRule="auto"/>
              <w:jc w:val="right"/>
              <w:rPr>
                <w:rFonts w:ascii="Arial" w:hAnsi="Arial" w:cs="Arial"/>
                <w:sz w:val="16"/>
                <w:szCs w:val="16"/>
              </w:rPr>
            </w:pPr>
          </w:p>
        </w:tc>
        <w:tc>
          <w:tcPr>
            <w:tcW w:w="602" w:type="pct"/>
            <w:tcBorders>
              <w:top w:val="nil"/>
              <w:left w:val="nil"/>
              <w:bottom w:val="nil"/>
              <w:right w:val="nil"/>
            </w:tcBorders>
            <w:shd w:val="clear" w:color="auto" w:fill="auto"/>
            <w:noWrap/>
            <w:vAlign w:val="center"/>
            <w:hideMark/>
          </w:tcPr>
          <w:p w14:paraId="18538874" w14:textId="77777777" w:rsidR="00716E03" w:rsidRPr="00716E03" w:rsidRDefault="00716E03" w:rsidP="00716E03">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57A68FD3" w14:textId="77777777" w:rsidR="00716E03" w:rsidRPr="00716E03" w:rsidRDefault="00716E03" w:rsidP="00716E03">
            <w:pPr>
              <w:spacing w:after="0" w:line="240" w:lineRule="auto"/>
              <w:jc w:val="left"/>
              <w:rPr>
                <w:rFonts w:ascii="Times New Roman" w:hAnsi="Times New Roman"/>
              </w:rPr>
            </w:pPr>
          </w:p>
        </w:tc>
      </w:tr>
    </w:tbl>
    <w:p w14:paraId="7EC82707" w14:textId="308C136C" w:rsidR="00B86CCD" w:rsidRPr="00B74503" w:rsidRDefault="004E0308" w:rsidP="003B0AFB">
      <w:pPr>
        <w:pStyle w:val="TableHeading"/>
        <w:numPr>
          <w:ilvl w:val="0"/>
          <w:numId w:val="27"/>
        </w:numPr>
        <w:spacing w:before="40" w:after="0"/>
        <w:ind w:left="357" w:hanging="357"/>
        <w:rPr>
          <w:rFonts w:cs="Arial"/>
          <w:b w:val="0"/>
          <w:sz w:val="16"/>
          <w:szCs w:val="16"/>
        </w:rPr>
      </w:pPr>
      <w:bookmarkStart w:id="27" w:name="tempbookmark"/>
      <w:r w:rsidRPr="00B74503">
        <w:rPr>
          <w:rFonts w:cs="Arial"/>
          <w:b w:val="0"/>
          <w:sz w:val="16"/>
          <w:szCs w:val="16"/>
        </w:rPr>
        <w:t>E</w:t>
      </w:r>
      <w:r w:rsidR="00A805EB" w:rsidRPr="00B74503">
        <w:rPr>
          <w:rFonts w:cs="Arial"/>
          <w:b w:val="0"/>
          <w:sz w:val="16"/>
          <w:szCs w:val="16"/>
        </w:rPr>
        <w:t>stimated e</w:t>
      </w:r>
      <w:r w:rsidRPr="00B74503">
        <w:rPr>
          <w:rFonts w:cs="Arial"/>
          <w:b w:val="0"/>
          <w:sz w:val="16"/>
          <w:szCs w:val="16"/>
        </w:rPr>
        <w:t xml:space="preserve">xpenses </w:t>
      </w:r>
      <w:r w:rsidR="00A805EB" w:rsidRPr="00B74503">
        <w:rPr>
          <w:rFonts w:cs="Arial"/>
          <w:b w:val="0"/>
          <w:sz w:val="16"/>
          <w:szCs w:val="16"/>
        </w:rPr>
        <w:t xml:space="preserve">incurred in relation to receipts retained under section 74 of the </w:t>
      </w:r>
      <w:r w:rsidR="006922DC" w:rsidRPr="00B74503">
        <w:rPr>
          <w:rFonts w:cs="Arial"/>
          <w:b w:val="0"/>
          <w:i/>
          <w:iCs/>
          <w:sz w:val="16"/>
          <w:szCs w:val="16"/>
        </w:rPr>
        <w:t>PGPA Act</w:t>
      </w:r>
      <w:r w:rsidR="00B86CCD" w:rsidRPr="00B74503">
        <w:rPr>
          <w:rFonts w:cs="Arial"/>
          <w:b w:val="0"/>
          <w:sz w:val="16"/>
          <w:szCs w:val="16"/>
        </w:rPr>
        <w:t>.</w:t>
      </w:r>
    </w:p>
    <w:p w14:paraId="5F8E3A97" w14:textId="37BC4351" w:rsidR="008E4ECE" w:rsidRPr="00C95D4C" w:rsidRDefault="00C95D4C" w:rsidP="00B74503">
      <w:pPr>
        <w:pStyle w:val="ChartandTableFootnote"/>
        <w:numPr>
          <w:ilvl w:val="0"/>
          <w:numId w:val="27"/>
        </w:numPr>
        <w:jc w:val="left"/>
        <w:rPr>
          <w:rFonts w:cs="Arial"/>
          <w:color w:val="auto"/>
          <w:szCs w:val="16"/>
          <w:lang w:val="en-AU" w:eastAsia="en-AU"/>
        </w:rPr>
      </w:pPr>
      <w:r>
        <w:rPr>
          <w:rFonts w:cs="Arial"/>
          <w:color w:val="auto"/>
          <w:szCs w:val="16"/>
          <w:lang w:val="en-AU" w:eastAsia="en-AU"/>
        </w:rPr>
        <w:t xml:space="preserve">  </w:t>
      </w:r>
      <w:r w:rsidR="00B86CCD" w:rsidRPr="00C95D4C">
        <w:rPr>
          <w:rFonts w:cs="Arial"/>
          <w:color w:val="auto"/>
          <w:szCs w:val="16"/>
          <w:lang w:val="en-AU" w:eastAsia="en-AU"/>
        </w:rPr>
        <w:t>Expenses not requiring appropriation in the Budget year are made up of depreciation expenses, amortisation expens</w:t>
      </w:r>
      <w:r w:rsidR="005E6EE0" w:rsidRPr="00C95D4C">
        <w:rPr>
          <w:rFonts w:cs="Arial"/>
          <w:color w:val="auto"/>
          <w:szCs w:val="16"/>
          <w:lang w:val="en-AU" w:eastAsia="en-AU"/>
        </w:rPr>
        <w:t>es, audit fees and services received free of charge</w:t>
      </w:r>
      <w:r w:rsidR="00BB276B" w:rsidRPr="00C95D4C">
        <w:rPr>
          <w:rFonts w:cs="Arial"/>
          <w:color w:val="auto"/>
          <w:szCs w:val="16"/>
          <w:lang w:val="en-AU" w:eastAsia="en-AU"/>
        </w:rPr>
        <w:t>.</w:t>
      </w:r>
    </w:p>
    <w:bookmarkEnd w:id="27"/>
    <w:p w14:paraId="2188DBEE" w14:textId="77777777" w:rsidR="00B86CCD" w:rsidRPr="00446612" w:rsidRDefault="00B86CCD" w:rsidP="00B86CCD">
      <w:pPr>
        <w:pStyle w:val="NoSpacing"/>
      </w:pPr>
    </w:p>
    <w:p w14:paraId="6E1B34CC" w14:textId="33F0294A" w:rsidR="00AE599E" w:rsidRPr="00AE599E" w:rsidRDefault="00B166C6" w:rsidP="005E6EE0">
      <w:pPr>
        <w:spacing w:after="0"/>
      </w:pPr>
      <w:r>
        <w:rPr>
          <w:highlight w:val="yellow"/>
        </w:rPr>
        <w:br w:type="page"/>
      </w:r>
      <w:bookmarkStart w:id="28" w:name="_Toc190682315"/>
      <w:bookmarkStart w:id="29" w:name="_Toc190682532"/>
      <w:bookmarkEnd w:id="20"/>
      <w:bookmarkEnd w:id="21"/>
    </w:p>
    <w:p w14:paraId="24C577F6" w14:textId="3684A591" w:rsidR="00C854F5" w:rsidRPr="005E6EE0" w:rsidRDefault="005E6EE0" w:rsidP="00E5444F">
      <w:pPr>
        <w:pStyle w:val="TableHeading"/>
        <w:rPr>
          <w:lang w:val="en-AU"/>
        </w:rPr>
      </w:pPr>
      <w:r>
        <w:lastRenderedPageBreak/>
        <w:t>Table 2.2</w:t>
      </w:r>
      <w:r w:rsidR="008E5BB7" w:rsidRPr="00F71634">
        <w:t xml:space="preserve">: Performance criteria for Outcome </w:t>
      </w:r>
      <w:r>
        <w:rPr>
          <w:lang w:val="en-AU"/>
        </w:rPr>
        <w:t>1</w:t>
      </w:r>
    </w:p>
    <w:p w14:paraId="4697E9F7" w14:textId="6FCF82F7" w:rsidR="009B011E" w:rsidRPr="00B166C6" w:rsidRDefault="00E57CA7" w:rsidP="00B166C6">
      <w:r w:rsidRPr="00B166C6">
        <w:t>Table 2</w:t>
      </w:r>
      <w:r w:rsidR="00165A23">
        <w:t>.2</w:t>
      </w:r>
      <w:r w:rsidRPr="00B166C6">
        <w:t xml:space="preserve"> </w:t>
      </w:r>
      <w:r w:rsidR="006F0E97" w:rsidRPr="00B166C6">
        <w:t xml:space="preserve">below </w:t>
      </w:r>
      <w:r w:rsidR="00691E49" w:rsidRPr="00B166C6">
        <w:t xml:space="preserve">details the performance criteria for each </w:t>
      </w:r>
      <w:r w:rsidR="008E5BB7" w:rsidRPr="00B166C6">
        <w:t>p</w:t>
      </w:r>
      <w:r w:rsidR="00165A23">
        <w:t>rogram associated with Outcome 1</w:t>
      </w:r>
      <w:r w:rsidR="008E5BB7" w:rsidRPr="00B166C6">
        <w:t>. It also summarises how each pro</w:t>
      </w:r>
      <w:r w:rsidR="0003503B" w:rsidRPr="00B166C6">
        <w:t xml:space="preserve">gram </w:t>
      </w:r>
      <w:r w:rsidR="00694795" w:rsidRPr="00B166C6">
        <w:t xml:space="preserve">is delivered and where </w:t>
      </w:r>
      <w:r w:rsidR="00D52088">
        <w:t>2020-21</w:t>
      </w:r>
      <w:r w:rsidR="008E5BB7" w:rsidRPr="00B166C6">
        <w:t xml:space="preserve"> Budget measures have created new programs or materially changed existing programs.</w:t>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40"/>
      </w:tblGrid>
      <w:tr w:rsidR="00F7639C" w:rsidRPr="00F71634" w14:paraId="1F42E855" w14:textId="77777777" w:rsidTr="00C91347">
        <w:trPr>
          <w:tblHeader/>
        </w:trPr>
        <w:tc>
          <w:tcPr>
            <w:tcW w:w="7741" w:type="dxa"/>
            <w:gridSpan w:val="2"/>
            <w:shd w:val="clear" w:color="auto" w:fill="F2F2F2"/>
          </w:tcPr>
          <w:p w14:paraId="4D3C5984" w14:textId="3893C75F" w:rsidR="00F7639C" w:rsidRPr="006906E4" w:rsidRDefault="00F7639C" w:rsidP="00165A23">
            <w:pPr>
              <w:pStyle w:val="TableColumnHeadingLeft"/>
            </w:pPr>
            <w:r w:rsidRPr="006906E4">
              <w:t xml:space="preserve">Outcome </w:t>
            </w:r>
            <w:r w:rsidR="00165A23">
              <w:t>1</w:t>
            </w:r>
            <w:r w:rsidRPr="006906E4">
              <w:t xml:space="preserve"> – </w:t>
            </w:r>
            <w:r w:rsidR="00910CE8" w:rsidRPr="00822B77">
              <w:rPr>
                <w:b w:val="0"/>
              </w:rPr>
              <w:t xml:space="preserve">The formulation and making of </w:t>
            </w:r>
            <w:r w:rsidR="00910CE8">
              <w:rPr>
                <w:b w:val="0"/>
              </w:rPr>
              <w:t>accounting</w:t>
            </w:r>
            <w:r w:rsidR="00910CE8" w:rsidRPr="00822B77">
              <w:rPr>
                <w:b w:val="0"/>
              </w:rPr>
              <w:t xml:space="preserve"> standards that are used by Australian entities to prepare financial reports and enable users of these reports to make informed decisions.</w:t>
            </w:r>
          </w:p>
        </w:tc>
      </w:tr>
      <w:tr w:rsidR="00F7639C" w:rsidRPr="00F71634" w14:paraId="46FB5C5D" w14:textId="77777777" w:rsidTr="00C91347">
        <w:trPr>
          <w:tblHeader/>
        </w:trPr>
        <w:tc>
          <w:tcPr>
            <w:tcW w:w="7741" w:type="dxa"/>
            <w:gridSpan w:val="2"/>
            <w:shd w:val="clear" w:color="auto" w:fill="F2F2F2"/>
          </w:tcPr>
          <w:p w14:paraId="373C5263" w14:textId="77777777" w:rsidR="00165A23" w:rsidRPr="00CF208C" w:rsidRDefault="00F7639C" w:rsidP="00165A23">
            <w:pPr>
              <w:tabs>
                <w:tab w:val="left" w:pos="709"/>
              </w:tabs>
              <w:spacing w:before="60" w:after="60" w:line="240" w:lineRule="auto"/>
              <w:jc w:val="left"/>
              <w:rPr>
                <w:rFonts w:ascii="Arial" w:hAnsi="Arial" w:cs="Arial"/>
                <w:sz w:val="16"/>
                <w:szCs w:val="16"/>
              </w:rPr>
            </w:pPr>
            <w:r w:rsidRPr="00CF208C">
              <w:rPr>
                <w:rFonts w:ascii="Arial" w:hAnsi="Arial" w:cs="Arial"/>
                <w:b/>
                <w:sz w:val="16"/>
                <w:szCs w:val="16"/>
              </w:rPr>
              <w:t xml:space="preserve">Program </w:t>
            </w:r>
            <w:r w:rsidR="00165A23" w:rsidRPr="00CF208C">
              <w:rPr>
                <w:rFonts w:ascii="Arial" w:hAnsi="Arial" w:cs="Arial"/>
                <w:b/>
                <w:sz w:val="16"/>
                <w:szCs w:val="16"/>
              </w:rPr>
              <w:t>1</w:t>
            </w:r>
            <w:r w:rsidRPr="00CF208C">
              <w:rPr>
                <w:rFonts w:ascii="Arial" w:hAnsi="Arial" w:cs="Arial"/>
                <w:b/>
                <w:sz w:val="16"/>
                <w:szCs w:val="16"/>
              </w:rPr>
              <w:t>.1</w:t>
            </w:r>
            <w:r w:rsidRPr="00CF208C">
              <w:rPr>
                <w:rFonts w:ascii="Arial" w:hAnsi="Arial" w:cs="Arial"/>
                <w:sz w:val="16"/>
                <w:szCs w:val="16"/>
              </w:rPr>
              <w:t xml:space="preserve"> – </w:t>
            </w:r>
          </w:p>
          <w:p w14:paraId="12284505" w14:textId="77777777" w:rsidR="00CF208C" w:rsidRDefault="00910CE8" w:rsidP="00A940A0">
            <w:pPr>
              <w:numPr>
                <w:ilvl w:val="0"/>
                <w:numId w:val="19"/>
              </w:numPr>
              <w:spacing w:before="60" w:after="60" w:line="240" w:lineRule="auto"/>
              <w:jc w:val="left"/>
              <w:rPr>
                <w:rFonts w:ascii="Arial" w:hAnsi="Arial" w:cs="Arial"/>
                <w:sz w:val="16"/>
                <w:szCs w:val="16"/>
              </w:rPr>
            </w:pPr>
            <w:r w:rsidRPr="00CF208C">
              <w:rPr>
                <w:rFonts w:ascii="Arial" w:hAnsi="Arial" w:cs="Arial"/>
                <w:sz w:val="16"/>
                <w:szCs w:val="16"/>
              </w:rPr>
              <w:t>Develop, issue and maintain principles-based Australian accounting and external reporting standards and guidance that meet user needs and enhance external rep</w:t>
            </w:r>
            <w:r w:rsidR="00CF208C">
              <w:rPr>
                <w:rFonts w:ascii="Arial" w:hAnsi="Arial" w:cs="Arial"/>
                <w:sz w:val="16"/>
                <w:szCs w:val="16"/>
              </w:rPr>
              <w:t>orting consistency and quality.</w:t>
            </w:r>
          </w:p>
          <w:p w14:paraId="64D7D460" w14:textId="06DB010E" w:rsidR="00F7639C" w:rsidRPr="006906E4" w:rsidRDefault="00910CE8" w:rsidP="003E32AC">
            <w:pPr>
              <w:numPr>
                <w:ilvl w:val="0"/>
                <w:numId w:val="19"/>
              </w:numPr>
              <w:spacing w:before="60" w:after="60" w:line="240" w:lineRule="auto"/>
              <w:jc w:val="left"/>
              <w:rPr>
                <w:rFonts w:ascii="Arial" w:hAnsi="Arial" w:cs="Arial"/>
                <w:sz w:val="16"/>
                <w:szCs w:val="16"/>
              </w:rPr>
            </w:pPr>
            <w:r w:rsidRPr="00CF208C">
              <w:rPr>
                <w:rFonts w:ascii="Arial" w:hAnsi="Arial" w:cs="Arial"/>
                <w:sz w:val="16"/>
                <w:szCs w:val="16"/>
              </w:rPr>
              <w:t>Contribute to the development of a single set of accounting and external reporting standards for world-wide use.</w:t>
            </w:r>
          </w:p>
        </w:tc>
      </w:tr>
      <w:tr w:rsidR="00F71634" w:rsidRPr="00F71634" w14:paraId="2F7911FF" w14:textId="77777777" w:rsidTr="00E1057D">
        <w:tc>
          <w:tcPr>
            <w:tcW w:w="1701" w:type="dxa"/>
            <w:tcBorders>
              <w:bottom w:val="single" w:sz="4" w:space="0" w:color="auto"/>
            </w:tcBorders>
          </w:tcPr>
          <w:p w14:paraId="34132E6F" w14:textId="77777777"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Delivery</w:t>
            </w:r>
          </w:p>
        </w:tc>
        <w:tc>
          <w:tcPr>
            <w:tcW w:w="6040" w:type="dxa"/>
            <w:tcBorders>
              <w:bottom w:val="single" w:sz="4" w:space="0" w:color="auto"/>
            </w:tcBorders>
          </w:tcPr>
          <w:p w14:paraId="3C643BA7" w14:textId="77777777" w:rsidR="00910CE8" w:rsidRPr="000E0D62" w:rsidRDefault="00910CE8" w:rsidP="00E1057D">
            <w:pPr>
              <w:tabs>
                <w:tab w:val="left" w:pos="709"/>
              </w:tabs>
              <w:spacing w:before="60" w:after="0" w:line="240" w:lineRule="auto"/>
              <w:contextualSpacing/>
              <w:jc w:val="left"/>
              <w:rPr>
                <w:rFonts w:ascii="Arial" w:hAnsi="Arial" w:cs="Arial"/>
                <w:sz w:val="16"/>
                <w:szCs w:val="16"/>
              </w:rPr>
            </w:pPr>
            <w:r w:rsidRPr="000E0D62">
              <w:rPr>
                <w:rFonts w:ascii="Arial" w:hAnsi="Arial" w:cs="Arial"/>
                <w:sz w:val="16"/>
                <w:szCs w:val="16"/>
                <w:u w:color="000000"/>
                <w:lang w:val="en-US"/>
              </w:rPr>
              <w:t>To achieve program 1 the AASB:</w:t>
            </w:r>
          </w:p>
          <w:p w14:paraId="6C514F94" w14:textId="5FA1F6EA"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 xml:space="preserve">Develop, issue and maintain principles-based, Australian accounting and reporting standards and guidance that meet the needs of external report users. For ‘publicly accountable ’ entities maintain </w:t>
            </w:r>
            <w:r w:rsidR="00FA508F">
              <w:rPr>
                <w:rFonts w:ascii="Arial" w:hAnsi="Arial" w:cs="Arial"/>
                <w:sz w:val="16"/>
                <w:szCs w:val="16"/>
              </w:rPr>
              <w:t xml:space="preserve">International Financial Reporting Standards </w:t>
            </w:r>
            <w:r w:rsidR="00FA508F" w:rsidRPr="00FA508F">
              <w:rPr>
                <w:rFonts w:ascii="Arial" w:hAnsi="Arial" w:cs="Arial"/>
                <w:sz w:val="16"/>
                <w:szCs w:val="16"/>
              </w:rPr>
              <w:t>(</w:t>
            </w:r>
            <w:r w:rsidRPr="00FA508F">
              <w:rPr>
                <w:rFonts w:ascii="Arial" w:hAnsi="Arial" w:cs="Arial"/>
                <w:sz w:val="16"/>
                <w:szCs w:val="16"/>
              </w:rPr>
              <w:t>IFRS</w:t>
            </w:r>
            <w:r w:rsidR="00FA508F">
              <w:rPr>
                <w:rFonts w:ascii="Arial" w:hAnsi="Arial" w:cs="Arial"/>
                <w:sz w:val="16"/>
                <w:szCs w:val="16"/>
              </w:rPr>
              <w:t>)</w:t>
            </w:r>
            <w:r w:rsidRPr="000E0D62">
              <w:rPr>
                <w:rFonts w:ascii="Arial" w:hAnsi="Arial" w:cs="Arial"/>
                <w:sz w:val="16"/>
                <w:szCs w:val="16"/>
              </w:rPr>
              <w:t xml:space="preserve"> compliance; for others, use IFRS Standards (where they exist), and transaction neutrality (modified as necessary), or develop Australian-specific standards and guidance</w:t>
            </w:r>
          </w:p>
          <w:p w14:paraId="0666DFC6" w14:textId="77777777"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 xml:space="preserve">With the AUASB, play a leading role in reshaping the Australian external reporting framework by working with regulators to develop objective criteria on: </w:t>
            </w:r>
          </w:p>
          <w:p w14:paraId="33A35DE9" w14:textId="77777777" w:rsidR="00910CE8" w:rsidRPr="000E0D62" w:rsidRDefault="00910CE8" w:rsidP="00910CE8">
            <w:pPr>
              <w:numPr>
                <w:ilvl w:val="1"/>
                <w:numId w:val="20"/>
              </w:numPr>
              <w:spacing w:after="0" w:line="240" w:lineRule="auto"/>
              <w:contextualSpacing/>
              <w:jc w:val="left"/>
              <w:rPr>
                <w:rFonts w:ascii="Arial" w:hAnsi="Arial" w:cs="Arial"/>
                <w:i/>
                <w:sz w:val="16"/>
                <w:szCs w:val="16"/>
              </w:rPr>
            </w:pPr>
            <w:r w:rsidRPr="000E0D62">
              <w:rPr>
                <w:rFonts w:ascii="Arial" w:hAnsi="Arial" w:cs="Arial"/>
                <w:sz w:val="16"/>
                <w:szCs w:val="16"/>
              </w:rPr>
              <w:t xml:space="preserve">who prepares external reports (including financial reports) </w:t>
            </w:r>
          </w:p>
          <w:p w14:paraId="1D568937" w14:textId="77777777" w:rsidR="00910CE8" w:rsidRPr="000E0D62" w:rsidRDefault="00910CE8" w:rsidP="00910CE8">
            <w:pPr>
              <w:numPr>
                <w:ilvl w:val="1"/>
                <w:numId w:val="20"/>
              </w:numPr>
              <w:spacing w:after="0" w:line="240" w:lineRule="auto"/>
              <w:contextualSpacing/>
              <w:jc w:val="left"/>
              <w:rPr>
                <w:rFonts w:ascii="Arial" w:hAnsi="Arial" w:cs="Arial"/>
                <w:i/>
                <w:sz w:val="16"/>
                <w:szCs w:val="16"/>
              </w:rPr>
            </w:pPr>
            <w:proofErr w:type="gramStart"/>
            <w:r w:rsidRPr="000E0D62">
              <w:rPr>
                <w:rFonts w:ascii="Arial" w:hAnsi="Arial" w:cs="Arial"/>
                <w:sz w:val="16"/>
                <w:szCs w:val="16"/>
              </w:rPr>
              <w:t>the</w:t>
            </w:r>
            <w:proofErr w:type="gramEnd"/>
            <w:r w:rsidRPr="000E0D62">
              <w:rPr>
                <w:rFonts w:ascii="Arial" w:hAnsi="Arial" w:cs="Arial"/>
                <w:sz w:val="16"/>
                <w:szCs w:val="16"/>
              </w:rPr>
              <w:t xml:space="preserve"> nature and extent of assurance required on these external reports.</w:t>
            </w:r>
          </w:p>
          <w:p w14:paraId="1BDAC718" w14:textId="4C46CDE2"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Actively influence</w:t>
            </w:r>
            <w:r w:rsidR="00876D83">
              <w:rPr>
                <w:rFonts w:ascii="Arial" w:hAnsi="Arial" w:cs="Arial"/>
                <w:sz w:val="16"/>
                <w:szCs w:val="16"/>
              </w:rPr>
              <w:t xml:space="preserve"> International Accounting Standards Board</w:t>
            </w:r>
            <w:r w:rsidRPr="000E0D62">
              <w:rPr>
                <w:rFonts w:ascii="Arial" w:hAnsi="Arial" w:cs="Arial"/>
                <w:sz w:val="16"/>
                <w:szCs w:val="16"/>
              </w:rPr>
              <w:t xml:space="preserve"> </w:t>
            </w:r>
            <w:r w:rsidR="00876D83">
              <w:rPr>
                <w:rFonts w:ascii="Arial" w:hAnsi="Arial" w:cs="Arial"/>
                <w:sz w:val="16"/>
                <w:szCs w:val="16"/>
              </w:rPr>
              <w:t>(</w:t>
            </w:r>
            <w:r w:rsidRPr="000E0D62">
              <w:rPr>
                <w:rFonts w:ascii="Arial" w:hAnsi="Arial" w:cs="Arial"/>
                <w:sz w:val="16"/>
                <w:szCs w:val="16"/>
              </w:rPr>
              <w:t>IASB</w:t>
            </w:r>
            <w:r w:rsidR="00876D83">
              <w:rPr>
                <w:rFonts w:ascii="Arial" w:hAnsi="Arial" w:cs="Arial"/>
                <w:sz w:val="16"/>
                <w:szCs w:val="16"/>
              </w:rPr>
              <w:t>)</w:t>
            </w:r>
            <w:r w:rsidRPr="000E0D62">
              <w:rPr>
                <w:rFonts w:ascii="Arial" w:hAnsi="Arial" w:cs="Arial"/>
                <w:sz w:val="16"/>
                <w:szCs w:val="16"/>
              </w:rPr>
              <w:t xml:space="preserve">, </w:t>
            </w:r>
            <w:r w:rsidR="00FA24A7">
              <w:rPr>
                <w:rFonts w:ascii="Arial" w:hAnsi="Arial" w:cs="Arial"/>
                <w:sz w:val="16"/>
                <w:szCs w:val="16"/>
              </w:rPr>
              <w:t>International Public Sector Accounting Standards Board (</w:t>
            </w:r>
            <w:r w:rsidRPr="000E0D62">
              <w:rPr>
                <w:rFonts w:ascii="Arial" w:hAnsi="Arial" w:cs="Arial"/>
                <w:sz w:val="16"/>
                <w:szCs w:val="16"/>
              </w:rPr>
              <w:t>IPSASB</w:t>
            </w:r>
            <w:r w:rsidR="00FA24A7">
              <w:rPr>
                <w:rFonts w:ascii="Arial" w:hAnsi="Arial" w:cs="Arial"/>
                <w:sz w:val="16"/>
                <w:szCs w:val="16"/>
              </w:rPr>
              <w:t>)</w:t>
            </w:r>
            <w:r w:rsidRPr="000E0D62">
              <w:rPr>
                <w:rFonts w:ascii="Arial" w:hAnsi="Arial" w:cs="Arial"/>
                <w:sz w:val="16"/>
                <w:szCs w:val="16"/>
              </w:rPr>
              <w:t xml:space="preserve"> standards and other international accounting and external reporting standards and guidance, by demonstrating thought leadership and enhancing key international relationships.</w:t>
            </w:r>
          </w:p>
          <w:p w14:paraId="33149B77" w14:textId="77777777"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Attain significant levels of key stakeholder engagement, through collaboration, partnership and outreach.</w:t>
            </w:r>
          </w:p>
          <w:p w14:paraId="389D0377" w14:textId="77777777"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Influence initiatives to develop standards and guidance that meet user needs for external reporting beyond financial reporting.</w:t>
            </w:r>
          </w:p>
          <w:p w14:paraId="7A9AC0E5" w14:textId="77777777" w:rsidR="00910CE8" w:rsidRPr="000E0D62"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Monitor and respond to emerging issues impacting the development of accounting and external reporting standards and guidance, including changing technologies.</w:t>
            </w:r>
          </w:p>
          <w:p w14:paraId="1DE71B23" w14:textId="77777777" w:rsidR="00910CE8" w:rsidRPr="00C669B1" w:rsidRDefault="00910CE8" w:rsidP="00910CE8">
            <w:pPr>
              <w:numPr>
                <w:ilvl w:val="0"/>
                <w:numId w:val="20"/>
              </w:numPr>
              <w:spacing w:after="0" w:line="240" w:lineRule="auto"/>
              <w:contextualSpacing/>
              <w:jc w:val="left"/>
              <w:rPr>
                <w:rFonts w:ascii="Arial" w:hAnsi="Arial" w:cs="Arial"/>
                <w:i/>
                <w:sz w:val="16"/>
                <w:szCs w:val="16"/>
              </w:rPr>
            </w:pPr>
            <w:r w:rsidRPr="000E0D62">
              <w:rPr>
                <w:rFonts w:ascii="Arial" w:hAnsi="Arial" w:cs="Arial"/>
                <w:sz w:val="16"/>
                <w:szCs w:val="16"/>
              </w:rPr>
              <w:t>Develop guidance and education initiatives, or promote development by others, to enhance consistent application of accounting and external reporting standards and guidance.</w:t>
            </w:r>
          </w:p>
          <w:p w14:paraId="5EE91936" w14:textId="21474AF8" w:rsidR="004C7679" w:rsidRPr="004C7679" w:rsidRDefault="00910CE8" w:rsidP="006559A3">
            <w:pPr>
              <w:pStyle w:val="ListParagraph"/>
              <w:numPr>
                <w:ilvl w:val="0"/>
                <w:numId w:val="20"/>
              </w:numPr>
              <w:tabs>
                <w:tab w:val="left" w:pos="709"/>
              </w:tabs>
              <w:spacing w:before="60" w:after="60" w:line="240" w:lineRule="auto"/>
              <w:rPr>
                <w:rFonts w:ascii="Arial" w:hAnsi="Arial" w:cs="Arial"/>
                <w:sz w:val="16"/>
                <w:szCs w:val="16"/>
              </w:rPr>
            </w:pPr>
            <w:r w:rsidRPr="006559A3">
              <w:rPr>
                <w:rFonts w:ascii="Arial" w:hAnsi="Arial" w:cs="Arial"/>
                <w:sz w:val="16"/>
                <w:szCs w:val="16"/>
              </w:rPr>
              <w:t>Build a high performing team that operates efficiently, effectively and within budget, complying with all relevant legislation and Commonwealth Government requirements.</w:t>
            </w:r>
          </w:p>
        </w:tc>
      </w:tr>
    </w:tbl>
    <w:p w14:paraId="1450D2F6" w14:textId="77777777" w:rsidR="008C7571" w:rsidRDefault="008C7571">
      <w:r>
        <w:br w:type="page"/>
      </w:r>
    </w:p>
    <w:tbl>
      <w:tblPr>
        <w:tblW w:w="774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3475"/>
        <w:gridCol w:w="2565"/>
      </w:tblGrid>
      <w:tr w:rsidR="00F71634" w:rsidRPr="00F71634" w14:paraId="6645B2E6" w14:textId="77777777" w:rsidTr="00CF208C">
        <w:trPr>
          <w:cantSplit/>
          <w:tblHeader/>
        </w:trPr>
        <w:tc>
          <w:tcPr>
            <w:tcW w:w="7741" w:type="dxa"/>
            <w:gridSpan w:val="3"/>
            <w:tcBorders>
              <w:top w:val="double" w:sz="4" w:space="0" w:color="auto"/>
              <w:bottom w:val="double" w:sz="4" w:space="0" w:color="auto"/>
            </w:tcBorders>
          </w:tcPr>
          <w:p w14:paraId="52B43442" w14:textId="20591394" w:rsidR="00F71634"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lastRenderedPageBreak/>
              <w:t>Performance information</w:t>
            </w:r>
          </w:p>
        </w:tc>
      </w:tr>
      <w:tr w:rsidR="006906E4" w:rsidRPr="00F71634" w14:paraId="45285175" w14:textId="77777777" w:rsidTr="00525E3E">
        <w:trPr>
          <w:cantSplit/>
          <w:tblHeader/>
        </w:trPr>
        <w:tc>
          <w:tcPr>
            <w:tcW w:w="1701" w:type="dxa"/>
            <w:tcBorders>
              <w:top w:val="double" w:sz="4" w:space="0" w:color="auto"/>
              <w:bottom w:val="single" w:sz="4" w:space="0" w:color="auto"/>
              <w:right w:val="single" w:sz="4" w:space="0" w:color="auto"/>
            </w:tcBorders>
          </w:tcPr>
          <w:p w14:paraId="1AED031D" w14:textId="77777777"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Year</w:t>
            </w:r>
          </w:p>
        </w:tc>
        <w:tc>
          <w:tcPr>
            <w:tcW w:w="3475" w:type="dxa"/>
            <w:tcBorders>
              <w:top w:val="double" w:sz="4" w:space="0" w:color="auto"/>
              <w:left w:val="single" w:sz="4" w:space="0" w:color="auto"/>
              <w:bottom w:val="single" w:sz="4" w:space="0" w:color="auto"/>
              <w:right w:val="single" w:sz="4" w:space="0" w:color="auto"/>
            </w:tcBorders>
          </w:tcPr>
          <w:p w14:paraId="119D360C" w14:textId="5D29C1A6"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Performance criteria</w:t>
            </w:r>
          </w:p>
        </w:tc>
        <w:tc>
          <w:tcPr>
            <w:tcW w:w="2565" w:type="dxa"/>
            <w:tcBorders>
              <w:top w:val="double" w:sz="4" w:space="0" w:color="auto"/>
              <w:left w:val="single" w:sz="4" w:space="0" w:color="auto"/>
              <w:bottom w:val="single" w:sz="4" w:space="0" w:color="auto"/>
            </w:tcBorders>
          </w:tcPr>
          <w:p w14:paraId="572F1AE9" w14:textId="77777777" w:rsidR="00F7639C" w:rsidRPr="006906E4" w:rsidRDefault="00F71634" w:rsidP="006906E4">
            <w:pPr>
              <w:tabs>
                <w:tab w:val="left" w:pos="709"/>
              </w:tabs>
              <w:spacing w:before="60" w:after="60" w:line="240" w:lineRule="auto"/>
              <w:jc w:val="left"/>
              <w:rPr>
                <w:rFonts w:ascii="Arial" w:hAnsi="Arial" w:cs="Arial"/>
                <w:b/>
                <w:sz w:val="16"/>
                <w:szCs w:val="16"/>
              </w:rPr>
            </w:pPr>
            <w:r w:rsidRPr="006906E4">
              <w:rPr>
                <w:rFonts w:ascii="Arial" w:hAnsi="Arial" w:cs="Arial"/>
                <w:b/>
                <w:sz w:val="16"/>
                <w:szCs w:val="16"/>
              </w:rPr>
              <w:t>Targets</w:t>
            </w:r>
          </w:p>
        </w:tc>
      </w:tr>
      <w:tr w:rsidR="00910CE8" w:rsidRPr="001A347C" w14:paraId="43C38AC5" w14:textId="77777777" w:rsidTr="00525E3E">
        <w:trPr>
          <w:trHeight w:val="60"/>
        </w:trPr>
        <w:tc>
          <w:tcPr>
            <w:tcW w:w="1701" w:type="dxa"/>
            <w:tcBorders>
              <w:top w:val="single" w:sz="4" w:space="0" w:color="auto"/>
              <w:bottom w:val="single" w:sz="4" w:space="0" w:color="auto"/>
              <w:right w:val="single" w:sz="4" w:space="0" w:color="auto"/>
            </w:tcBorders>
          </w:tcPr>
          <w:p w14:paraId="36C9D62A" w14:textId="5BE279FD" w:rsidR="00910CE8" w:rsidRPr="006906E4" w:rsidRDefault="00910CE8" w:rsidP="00910CE8">
            <w:pPr>
              <w:tabs>
                <w:tab w:val="left" w:pos="709"/>
              </w:tabs>
              <w:spacing w:before="60" w:after="60" w:line="240" w:lineRule="auto"/>
              <w:jc w:val="left"/>
              <w:rPr>
                <w:rFonts w:ascii="Arial" w:hAnsi="Arial" w:cs="Arial"/>
                <w:sz w:val="16"/>
                <w:szCs w:val="16"/>
              </w:rPr>
            </w:pPr>
            <w:r>
              <w:rPr>
                <w:rFonts w:ascii="Arial" w:hAnsi="Arial" w:cs="Arial"/>
                <w:sz w:val="16"/>
                <w:szCs w:val="16"/>
              </w:rPr>
              <w:t>2019-20</w:t>
            </w:r>
          </w:p>
        </w:tc>
        <w:tc>
          <w:tcPr>
            <w:tcW w:w="3475" w:type="dxa"/>
            <w:tcBorders>
              <w:top w:val="single" w:sz="4" w:space="0" w:color="auto"/>
              <w:left w:val="single" w:sz="4" w:space="0" w:color="auto"/>
              <w:bottom w:val="single" w:sz="4" w:space="0" w:color="auto"/>
              <w:right w:val="single" w:sz="4" w:space="0" w:color="auto"/>
            </w:tcBorders>
          </w:tcPr>
          <w:p w14:paraId="6BEB889E" w14:textId="77777777" w:rsidR="00910CE8" w:rsidRPr="00880B14" w:rsidRDefault="00910CE8" w:rsidP="00E1057D">
            <w:pPr>
              <w:numPr>
                <w:ilvl w:val="0"/>
                <w:numId w:val="21"/>
              </w:numPr>
              <w:spacing w:before="60" w:after="60" w:line="240" w:lineRule="auto"/>
              <w:ind w:left="357" w:hanging="357"/>
              <w:jc w:val="left"/>
              <w:rPr>
                <w:rFonts w:ascii="Arial" w:hAnsi="Arial" w:cs="Arial"/>
                <w:sz w:val="16"/>
                <w:szCs w:val="16"/>
              </w:rPr>
            </w:pPr>
            <w:r w:rsidRPr="00880B14">
              <w:rPr>
                <w:rFonts w:ascii="Arial" w:hAnsi="Arial" w:cs="Arial"/>
                <w:sz w:val="16"/>
                <w:szCs w:val="16"/>
              </w:rPr>
              <w:t>IASB equivalent Standards issued in the same timeframe of the release of the IFRS and in accordance with legislative drafting and registration requirements.</w:t>
            </w:r>
          </w:p>
          <w:p w14:paraId="45E51826"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Develop Australian specific Standards and/or guidance for topics not specifically addressed by IFRS Standards within timelines in project plans agreed with the Board.</w:t>
            </w:r>
          </w:p>
          <w:p w14:paraId="00DC424D"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Develop consultative documents in relation to the Australian Financial Reporting Framework, to develop objective criteria for which entities in the for-profit sector and the not-for profit sector prepare external reports including financial reports and the type of assurance needed for these reports. Includes working with policy makers in the for-profit and not-for-profit sectors (including public sector policy makers).</w:t>
            </w:r>
          </w:p>
          <w:p w14:paraId="1CE824F2" w14:textId="427C4A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 xml:space="preserve">Maintain Australia/New Zealand convergence in accordance with Trans-Tasman requirements for for-profit entities by harmonising, wherever possible given the different regulatory environments, Australian and New Zealand Accounting Standards through working actively with the </w:t>
            </w:r>
            <w:r w:rsidR="00AC2374">
              <w:rPr>
                <w:rFonts w:ascii="Arial" w:hAnsi="Arial" w:cs="Arial"/>
                <w:sz w:val="16"/>
                <w:szCs w:val="16"/>
              </w:rPr>
              <w:t>New Zealand Accounting Standards Board (</w:t>
            </w:r>
            <w:r w:rsidRPr="00880B14">
              <w:rPr>
                <w:rFonts w:ascii="Arial" w:hAnsi="Arial" w:cs="Arial"/>
                <w:sz w:val="16"/>
                <w:szCs w:val="16"/>
              </w:rPr>
              <w:t>NZASB</w:t>
            </w:r>
            <w:r w:rsidR="00AC2374">
              <w:rPr>
                <w:rFonts w:ascii="Arial" w:hAnsi="Arial" w:cs="Arial"/>
                <w:sz w:val="16"/>
                <w:szCs w:val="16"/>
              </w:rPr>
              <w:t>)</w:t>
            </w:r>
            <w:r w:rsidRPr="00880B14">
              <w:rPr>
                <w:rFonts w:ascii="Arial" w:hAnsi="Arial" w:cs="Arial"/>
                <w:sz w:val="16"/>
                <w:szCs w:val="16"/>
              </w:rPr>
              <w:t>.</w:t>
            </w:r>
          </w:p>
          <w:p w14:paraId="10DE0866" w14:textId="7AF18B3E" w:rsidR="00910CE8" w:rsidRPr="00880B14" w:rsidRDefault="00910CE8" w:rsidP="00910CE8">
            <w:pPr>
              <w:numPr>
                <w:ilvl w:val="0"/>
                <w:numId w:val="17"/>
              </w:numPr>
              <w:pBdr>
                <w:top w:val="nil"/>
                <w:left w:val="nil"/>
                <w:bottom w:val="nil"/>
                <w:right w:val="nil"/>
                <w:between w:val="nil"/>
                <w:bar w:val="nil"/>
              </w:pBdr>
              <w:spacing w:before="60" w:after="60" w:line="240" w:lineRule="auto"/>
              <w:jc w:val="left"/>
              <w:rPr>
                <w:rFonts w:ascii="Arial" w:eastAsia="Arial" w:hAnsi="Arial" w:cs="Arial"/>
                <w:sz w:val="16"/>
                <w:szCs w:val="16"/>
                <w:u w:color="003300"/>
              </w:rPr>
            </w:pPr>
            <w:r w:rsidRPr="00880B14">
              <w:rPr>
                <w:rFonts w:ascii="Arial" w:hAnsi="Arial" w:cs="Arial"/>
                <w:sz w:val="16"/>
                <w:szCs w:val="16"/>
              </w:rPr>
              <w:t xml:space="preserve">Maintain and enhance key international relationships (IASB, IPSASB and </w:t>
            </w:r>
            <w:r w:rsidR="00741AE1">
              <w:rPr>
                <w:rFonts w:ascii="Arial" w:hAnsi="Arial" w:cs="Arial"/>
                <w:sz w:val="16"/>
                <w:szCs w:val="16"/>
              </w:rPr>
              <w:t>Asian-Oceanian Standard-Setters Group (</w:t>
            </w:r>
            <w:r w:rsidRPr="00880B14">
              <w:rPr>
                <w:rFonts w:ascii="Arial" w:hAnsi="Arial" w:cs="Arial"/>
                <w:sz w:val="16"/>
                <w:szCs w:val="16"/>
              </w:rPr>
              <w:t>AOSSG).</w:t>
            </w:r>
          </w:p>
          <w:p w14:paraId="30F4DDAD"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Complete projects for external reporting beyond financial reporting as per timelines in project plans agreed with the Board.</w:t>
            </w:r>
          </w:p>
          <w:p w14:paraId="3CE902E9"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Consider emerging issues and impact of changing technologies in all AASB submissions and each major AASB project.</w:t>
            </w:r>
          </w:p>
          <w:p w14:paraId="52218AA9"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Education initiatives, such as webinars and presentations for new major Standards issued considered effective by stakeholders.</w:t>
            </w:r>
          </w:p>
          <w:p w14:paraId="6BD147AA" w14:textId="171EFD65"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 xml:space="preserve">Promote the development of education initiatives by others (for example </w:t>
            </w:r>
            <w:r w:rsidR="00C84EF7">
              <w:rPr>
                <w:rFonts w:ascii="Arial" w:hAnsi="Arial" w:cs="Arial"/>
                <w:sz w:val="16"/>
                <w:szCs w:val="16"/>
              </w:rPr>
              <w:t>Accounting Charities and Not-for-profits Commission (</w:t>
            </w:r>
            <w:r w:rsidRPr="00880B14">
              <w:rPr>
                <w:rFonts w:ascii="Arial" w:hAnsi="Arial" w:cs="Arial"/>
                <w:sz w:val="16"/>
                <w:szCs w:val="16"/>
              </w:rPr>
              <w:t>ACNC) by providing, technical input to their initiatives and co-presenting at their education sessions.</w:t>
            </w:r>
          </w:p>
          <w:p w14:paraId="56B72F88" w14:textId="77777777" w:rsidR="00910CE8"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Develop staff publications, and frequently asked questions (FAQs) to help with consistent application of accounting and external reporting standards as agreed with the Board.</w:t>
            </w:r>
          </w:p>
          <w:p w14:paraId="4CA7481A"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7A57C9">
              <w:rPr>
                <w:rFonts w:ascii="Arial" w:hAnsi="Arial" w:cs="Arial"/>
                <w:sz w:val="16"/>
                <w:szCs w:val="16"/>
              </w:rPr>
              <w:lastRenderedPageBreak/>
              <w:t>Conduct agenda consultation, usually in connection with IASB agenda consultation, to seek formal input on AASB’s work program.</w:t>
            </w:r>
          </w:p>
          <w:p w14:paraId="4885E32A"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The AASB has a thorough awareness of ideas and concerns of Australian Stakeholders through effective engagement. Stakeholder satisfaction survey net promoter score used to obtain initial year results to benchmark for performance improvement including of Board and staff.</w:t>
            </w:r>
          </w:p>
          <w:p w14:paraId="5368944E" w14:textId="77777777" w:rsidR="00910CE8" w:rsidRPr="00880B14" w:rsidRDefault="00910CE8" w:rsidP="00910CE8">
            <w:pPr>
              <w:numPr>
                <w:ilvl w:val="0"/>
                <w:numId w:val="21"/>
              </w:numPr>
              <w:spacing w:after="60" w:line="240" w:lineRule="auto"/>
              <w:ind w:left="357" w:hanging="357"/>
              <w:jc w:val="left"/>
              <w:rPr>
                <w:rFonts w:ascii="Arial" w:hAnsi="Arial" w:cs="Arial"/>
                <w:sz w:val="16"/>
                <w:szCs w:val="16"/>
              </w:rPr>
            </w:pPr>
            <w:r w:rsidRPr="00880B14">
              <w:rPr>
                <w:rFonts w:ascii="Arial" w:hAnsi="Arial" w:cs="Arial"/>
                <w:sz w:val="16"/>
                <w:szCs w:val="16"/>
              </w:rPr>
              <w:t>Improved levels of stakeholder engagement.</w:t>
            </w:r>
          </w:p>
          <w:p w14:paraId="7829C8DE" w14:textId="71FC83A9" w:rsidR="00910CE8" w:rsidRPr="006906E4" w:rsidRDefault="00910CE8" w:rsidP="00910CE8">
            <w:pPr>
              <w:tabs>
                <w:tab w:val="left" w:pos="709"/>
              </w:tabs>
              <w:spacing w:before="60" w:after="60" w:line="240" w:lineRule="auto"/>
              <w:jc w:val="left"/>
              <w:rPr>
                <w:rFonts w:ascii="Arial" w:hAnsi="Arial" w:cs="Arial"/>
                <w:i/>
                <w:color w:val="FF0000"/>
                <w:sz w:val="16"/>
                <w:szCs w:val="16"/>
              </w:rPr>
            </w:pPr>
            <w:r w:rsidRPr="00880B14">
              <w:rPr>
                <w:rFonts w:ascii="Arial" w:hAnsi="Arial" w:cs="Arial"/>
                <w:sz w:val="16"/>
                <w:szCs w:val="16"/>
              </w:rPr>
              <w:t xml:space="preserve">Monitor through press coverage, Minister, </w:t>
            </w:r>
            <w:r w:rsidR="001634A8">
              <w:rPr>
                <w:rFonts w:ascii="Arial" w:hAnsi="Arial" w:cs="Arial"/>
                <w:sz w:val="16"/>
                <w:szCs w:val="16"/>
              </w:rPr>
              <w:t>Financial Reporting Council (</w:t>
            </w:r>
            <w:r w:rsidRPr="00880B14">
              <w:rPr>
                <w:rFonts w:ascii="Arial" w:hAnsi="Arial" w:cs="Arial"/>
                <w:sz w:val="16"/>
                <w:szCs w:val="16"/>
              </w:rPr>
              <w:t>FRC</w:t>
            </w:r>
            <w:r w:rsidR="001634A8">
              <w:rPr>
                <w:rFonts w:ascii="Arial" w:hAnsi="Arial" w:cs="Arial"/>
                <w:sz w:val="16"/>
                <w:szCs w:val="16"/>
              </w:rPr>
              <w:t>)</w:t>
            </w:r>
            <w:r w:rsidRPr="00880B14">
              <w:rPr>
                <w:rFonts w:ascii="Arial" w:hAnsi="Arial" w:cs="Arial"/>
                <w:sz w:val="16"/>
                <w:szCs w:val="16"/>
              </w:rPr>
              <w:t xml:space="preserve"> and other stakeholder feedback, </w:t>
            </w:r>
            <w:r w:rsidR="000F7390">
              <w:rPr>
                <w:rFonts w:ascii="Arial" w:hAnsi="Arial" w:cs="Arial"/>
                <w:sz w:val="16"/>
                <w:szCs w:val="16"/>
              </w:rPr>
              <w:t>Australian</w:t>
            </w:r>
            <w:r w:rsidR="001634A8">
              <w:rPr>
                <w:rFonts w:ascii="Arial" w:hAnsi="Arial" w:cs="Arial"/>
                <w:sz w:val="16"/>
                <w:szCs w:val="16"/>
              </w:rPr>
              <w:t xml:space="preserve"> Securities and </w:t>
            </w:r>
            <w:r w:rsidR="000F7390">
              <w:rPr>
                <w:rFonts w:ascii="Arial" w:hAnsi="Arial" w:cs="Arial"/>
                <w:sz w:val="16"/>
                <w:szCs w:val="16"/>
              </w:rPr>
              <w:t>Investments</w:t>
            </w:r>
            <w:r w:rsidR="001634A8">
              <w:rPr>
                <w:rFonts w:ascii="Arial" w:hAnsi="Arial" w:cs="Arial"/>
                <w:sz w:val="16"/>
                <w:szCs w:val="16"/>
              </w:rPr>
              <w:t xml:space="preserve"> Commission (</w:t>
            </w:r>
            <w:r w:rsidRPr="00880B14">
              <w:rPr>
                <w:rFonts w:ascii="Arial" w:hAnsi="Arial" w:cs="Arial"/>
                <w:sz w:val="16"/>
                <w:szCs w:val="16"/>
              </w:rPr>
              <w:t>ASIC</w:t>
            </w:r>
            <w:r w:rsidR="001634A8">
              <w:rPr>
                <w:rFonts w:ascii="Arial" w:hAnsi="Arial" w:cs="Arial"/>
                <w:sz w:val="16"/>
                <w:szCs w:val="16"/>
              </w:rPr>
              <w:t>)</w:t>
            </w:r>
            <w:r w:rsidRPr="00880B14">
              <w:rPr>
                <w:rFonts w:ascii="Arial" w:hAnsi="Arial" w:cs="Arial"/>
                <w:sz w:val="16"/>
                <w:szCs w:val="16"/>
              </w:rPr>
              <w:t xml:space="preserve">, </w:t>
            </w:r>
            <w:r w:rsidR="000F7390">
              <w:rPr>
                <w:rFonts w:ascii="Arial" w:hAnsi="Arial" w:cs="Arial"/>
                <w:sz w:val="16"/>
                <w:szCs w:val="16"/>
              </w:rPr>
              <w:t>Australian Prudential Regulation Authority (</w:t>
            </w:r>
            <w:r w:rsidRPr="00880B14">
              <w:rPr>
                <w:rFonts w:ascii="Arial" w:hAnsi="Arial" w:cs="Arial"/>
                <w:sz w:val="16"/>
                <w:szCs w:val="16"/>
              </w:rPr>
              <w:t>APRA</w:t>
            </w:r>
            <w:r w:rsidR="000F7390">
              <w:rPr>
                <w:rFonts w:ascii="Arial" w:hAnsi="Arial" w:cs="Arial"/>
                <w:sz w:val="16"/>
                <w:szCs w:val="16"/>
              </w:rPr>
              <w:t>)</w:t>
            </w:r>
            <w:r w:rsidRPr="00880B14">
              <w:rPr>
                <w:rFonts w:ascii="Arial" w:hAnsi="Arial" w:cs="Arial"/>
                <w:sz w:val="16"/>
                <w:szCs w:val="16"/>
              </w:rPr>
              <w:t xml:space="preserve"> and other regulator surveillance program results that there is no evidence that confidence in the Australian economy, including its capital market has been lost due to accounting standard issues.</w:t>
            </w:r>
          </w:p>
        </w:tc>
        <w:tc>
          <w:tcPr>
            <w:tcW w:w="2565" w:type="dxa"/>
            <w:tcBorders>
              <w:top w:val="single" w:sz="4" w:space="0" w:color="auto"/>
              <w:left w:val="single" w:sz="4" w:space="0" w:color="auto"/>
              <w:bottom w:val="single" w:sz="4" w:space="0" w:color="auto"/>
            </w:tcBorders>
          </w:tcPr>
          <w:p w14:paraId="35418CE0" w14:textId="77777777" w:rsidR="00910CE8" w:rsidRPr="00880B14" w:rsidRDefault="00910CE8" w:rsidP="00910CE8">
            <w:pPr>
              <w:numPr>
                <w:ilvl w:val="0"/>
                <w:numId w:val="17"/>
              </w:numPr>
              <w:pBdr>
                <w:top w:val="nil"/>
                <w:left w:val="nil"/>
                <w:bottom w:val="nil"/>
                <w:right w:val="nil"/>
                <w:between w:val="nil"/>
                <w:bar w:val="nil"/>
              </w:pBdr>
              <w:spacing w:before="60" w:after="60" w:line="240" w:lineRule="auto"/>
              <w:jc w:val="left"/>
              <w:rPr>
                <w:rFonts w:ascii="Arial" w:eastAsia="Arial" w:hAnsi="Arial" w:cs="Arial"/>
                <w:sz w:val="16"/>
                <w:szCs w:val="16"/>
              </w:rPr>
            </w:pPr>
            <w:r w:rsidRPr="00880B14">
              <w:rPr>
                <w:rFonts w:ascii="Arial" w:eastAsia="Arial" w:hAnsi="Arial" w:cs="Arial"/>
                <w:sz w:val="16"/>
                <w:szCs w:val="16"/>
              </w:rPr>
              <w:lastRenderedPageBreak/>
              <w:t xml:space="preserve">Timely release of relevant </w:t>
            </w:r>
            <w:r>
              <w:rPr>
                <w:rFonts w:ascii="Arial" w:eastAsia="Arial" w:hAnsi="Arial" w:cs="Arial"/>
                <w:sz w:val="16"/>
                <w:szCs w:val="16"/>
              </w:rPr>
              <w:t xml:space="preserve">standards and </w:t>
            </w:r>
            <w:r w:rsidRPr="00880B14">
              <w:rPr>
                <w:rFonts w:ascii="Arial" w:eastAsia="Arial" w:hAnsi="Arial" w:cs="Arial"/>
                <w:sz w:val="16"/>
                <w:szCs w:val="16"/>
              </w:rPr>
              <w:t>guidance.</w:t>
            </w:r>
          </w:p>
          <w:p w14:paraId="2EC63B14" w14:textId="77777777" w:rsidR="00910CE8" w:rsidRPr="00880B14" w:rsidRDefault="00910CE8" w:rsidP="00910CE8">
            <w:pPr>
              <w:numPr>
                <w:ilvl w:val="0"/>
                <w:numId w:val="17"/>
              </w:numPr>
              <w:pBdr>
                <w:top w:val="nil"/>
                <w:left w:val="nil"/>
                <w:bottom w:val="nil"/>
                <w:right w:val="nil"/>
                <w:between w:val="nil"/>
                <w:bar w:val="nil"/>
              </w:pBdr>
              <w:spacing w:before="60" w:after="60" w:line="240" w:lineRule="auto"/>
              <w:jc w:val="left"/>
              <w:rPr>
                <w:rFonts w:ascii="Arial" w:eastAsia="Arial" w:hAnsi="Arial" w:cs="Arial"/>
                <w:sz w:val="16"/>
                <w:szCs w:val="16"/>
              </w:rPr>
            </w:pPr>
            <w:r w:rsidRPr="00880B14">
              <w:rPr>
                <w:rFonts w:ascii="Arial" w:eastAsia="Arial" w:hAnsi="Arial" w:cs="Arial"/>
                <w:sz w:val="16"/>
                <w:szCs w:val="16"/>
              </w:rPr>
              <w:t>The identification and development of Australian specific standards and Guidance to meet the needs of external r</w:t>
            </w:r>
            <w:r>
              <w:rPr>
                <w:rFonts w:ascii="Arial" w:eastAsia="Arial" w:hAnsi="Arial" w:cs="Arial"/>
                <w:sz w:val="16"/>
                <w:szCs w:val="16"/>
              </w:rPr>
              <w:t>ep</w:t>
            </w:r>
            <w:r w:rsidRPr="00880B14">
              <w:rPr>
                <w:rFonts w:ascii="Arial" w:eastAsia="Arial" w:hAnsi="Arial" w:cs="Arial"/>
                <w:sz w:val="16"/>
                <w:szCs w:val="16"/>
              </w:rPr>
              <w:t>orting users.</w:t>
            </w:r>
          </w:p>
          <w:p w14:paraId="05D52F9B" w14:textId="77777777" w:rsidR="00910CE8" w:rsidRPr="00880B14" w:rsidRDefault="00910CE8" w:rsidP="00910CE8">
            <w:pPr>
              <w:numPr>
                <w:ilvl w:val="0"/>
                <w:numId w:val="17"/>
              </w:numPr>
              <w:pBdr>
                <w:top w:val="nil"/>
                <w:left w:val="nil"/>
                <w:bottom w:val="nil"/>
                <w:right w:val="nil"/>
                <w:between w:val="nil"/>
                <w:bar w:val="nil"/>
              </w:pBdr>
              <w:spacing w:before="60" w:after="60" w:line="240" w:lineRule="auto"/>
              <w:jc w:val="left"/>
              <w:rPr>
                <w:rFonts w:ascii="Arial" w:eastAsia="Arial" w:hAnsi="Arial" w:cs="Arial"/>
                <w:sz w:val="16"/>
                <w:szCs w:val="16"/>
              </w:rPr>
            </w:pPr>
            <w:r w:rsidRPr="00880B14">
              <w:rPr>
                <w:rFonts w:ascii="Arial" w:hAnsi="Arial"/>
                <w:sz w:val="16"/>
                <w:szCs w:val="16"/>
                <w:u w:color="000000"/>
                <w:lang w:val="en-US"/>
              </w:rPr>
              <w:t>An increase in engagement of Australian constituents in the standard setting process,</w:t>
            </w:r>
          </w:p>
          <w:p w14:paraId="5E900FC5" w14:textId="77777777" w:rsidR="00910CE8" w:rsidRPr="00880B14" w:rsidRDefault="00910CE8" w:rsidP="00910CE8">
            <w:pPr>
              <w:numPr>
                <w:ilvl w:val="0"/>
                <w:numId w:val="17"/>
              </w:numPr>
              <w:pBdr>
                <w:top w:val="nil"/>
                <w:left w:val="nil"/>
                <w:bottom w:val="nil"/>
                <w:right w:val="nil"/>
                <w:between w:val="nil"/>
                <w:bar w:val="nil"/>
              </w:pBdr>
              <w:spacing w:before="60" w:after="60" w:line="240" w:lineRule="auto"/>
              <w:jc w:val="left"/>
              <w:rPr>
                <w:rFonts w:ascii="Arial" w:eastAsia="Arial" w:hAnsi="Arial" w:cs="Arial"/>
                <w:sz w:val="16"/>
                <w:szCs w:val="16"/>
                <w:u w:color="003300"/>
              </w:rPr>
            </w:pPr>
            <w:r w:rsidRPr="00880B14">
              <w:rPr>
                <w:rFonts w:ascii="Arial" w:eastAsia="Arial" w:hAnsi="Arial" w:cs="Arial"/>
                <w:sz w:val="16"/>
                <w:szCs w:val="16"/>
                <w:u w:color="003300"/>
              </w:rPr>
              <w:t xml:space="preserve">Development and implementation of an annual performance and service benchmark to measure improvements. </w:t>
            </w:r>
          </w:p>
          <w:p w14:paraId="57B9D6D3" w14:textId="77777777" w:rsidR="00910CE8" w:rsidRPr="00880B14" w:rsidRDefault="00910CE8" w:rsidP="00910CE8">
            <w:pPr>
              <w:numPr>
                <w:ilvl w:val="0"/>
                <w:numId w:val="17"/>
              </w:numPr>
              <w:pBdr>
                <w:top w:val="nil"/>
                <w:left w:val="nil"/>
                <w:bottom w:val="nil"/>
                <w:right w:val="nil"/>
                <w:between w:val="nil"/>
                <w:bar w:val="nil"/>
              </w:pBdr>
              <w:spacing w:before="60" w:after="60" w:line="240" w:lineRule="auto"/>
              <w:jc w:val="left"/>
              <w:rPr>
                <w:rFonts w:ascii="Arial" w:hAnsi="Arial" w:cs="Arial"/>
                <w:i/>
                <w:sz w:val="16"/>
                <w:szCs w:val="16"/>
              </w:rPr>
            </w:pPr>
            <w:r w:rsidRPr="00880B14">
              <w:rPr>
                <w:rFonts w:ascii="Arial" w:eastAsia="Arial" w:hAnsi="Arial" w:cs="Arial"/>
                <w:sz w:val="16"/>
                <w:szCs w:val="16"/>
                <w:u w:color="003300"/>
              </w:rPr>
              <w:t xml:space="preserve">Build data analytics that indicate the use and impact of external reporting on the confidence levels of the economy and capital markets. </w:t>
            </w:r>
          </w:p>
          <w:p w14:paraId="0F7349D3" w14:textId="77777777" w:rsidR="00910CE8" w:rsidRPr="006A5BEF" w:rsidRDefault="00910CE8" w:rsidP="00910CE8">
            <w:pPr>
              <w:numPr>
                <w:ilvl w:val="0"/>
                <w:numId w:val="17"/>
              </w:numPr>
              <w:pBdr>
                <w:top w:val="nil"/>
                <w:left w:val="nil"/>
                <w:bottom w:val="nil"/>
                <w:right w:val="nil"/>
                <w:between w:val="nil"/>
                <w:bar w:val="nil"/>
              </w:pBdr>
              <w:spacing w:before="60" w:after="60" w:line="240" w:lineRule="auto"/>
              <w:jc w:val="left"/>
              <w:rPr>
                <w:rFonts w:ascii="Arial" w:hAnsi="Arial" w:cs="Arial"/>
                <w:i/>
                <w:sz w:val="16"/>
                <w:szCs w:val="16"/>
              </w:rPr>
            </w:pPr>
            <w:r>
              <w:rPr>
                <w:rFonts w:ascii="Arial" w:hAnsi="Arial" w:cs="Arial"/>
                <w:sz w:val="16"/>
                <w:szCs w:val="16"/>
              </w:rPr>
              <w:t>Enhanced research program to inform, educate and influence domestic and international standard setting.</w:t>
            </w:r>
          </w:p>
          <w:p w14:paraId="760BF504" w14:textId="165CDD20" w:rsidR="00910CE8" w:rsidRPr="001A347C" w:rsidRDefault="00910CE8" w:rsidP="00910CE8">
            <w:pPr>
              <w:tabs>
                <w:tab w:val="left" w:pos="709"/>
              </w:tabs>
              <w:spacing w:before="60" w:after="60" w:line="240" w:lineRule="auto"/>
              <w:jc w:val="left"/>
              <w:rPr>
                <w:rFonts w:ascii="Arial" w:hAnsi="Arial" w:cs="Arial"/>
                <w:i/>
                <w:color w:val="FF0000"/>
                <w:sz w:val="16"/>
                <w:szCs w:val="16"/>
              </w:rPr>
            </w:pPr>
            <w:r w:rsidRPr="00880B14">
              <w:rPr>
                <w:rFonts w:ascii="Arial" w:hAnsi="Arial"/>
                <w:sz w:val="16"/>
                <w:szCs w:val="16"/>
                <w:u w:color="003300"/>
                <w:lang w:val="en-US"/>
              </w:rPr>
              <w:t xml:space="preserve">The AASB expects to meet all its targets and expectations implied by performance criteria in </w:t>
            </w:r>
            <w:r w:rsidR="00201B96">
              <w:rPr>
                <w:rFonts w:ascii="Arial" w:hAnsi="Arial"/>
                <w:sz w:val="16"/>
                <w:szCs w:val="16"/>
                <w:u w:color="003300"/>
                <w:lang w:val="en-US"/>
              </w:rPr>
              <w:t xml:space="preserve">    2018-</w:t>
            </w:r>
            <w:r w:rsidRPr="00880B14">
              <w:rPr>
                <w:rFonts w:ascii="Arial" w:hAnsi="Arial"/>
                <w:sz w:val="16"/>
                <w:szCs w:val="16"/>
                <w:u w:color="003300"/>
                <w:lang w:val="en-US"/>
              </w:rPr>
              <w:t>19</w:t>
            </w:r>
          </w:p>
        </w:tc>
      </w:tr>
      <w:tr w:rsidR="00910CE8" w:rsidRPr="00F71634" w14:paraId="1726F1BE" w14:textId="77777777" w:rsidTr="00525E3E">
        <w:tc>
          <w:tcPr>
            <w:tcW w:w="1701" w:type="dxa"/>
            <w:tcBorders>
              <w:top w:val="single" w:sz="4" w:space="0" w:color="auto"/>
              <w:bottom w:val="single" w:sz="4" w:space="0" w:color="auto"/>
              <w:right w:val="single" w:sz="4" w:space="0" w:color="auto"/>
            </w:tcBorders>
          </w:tcPr>
          <w:p w14:paraId="3FAF8C32" w14:textId="79FE6E12" w:rsidR="00910CE8" w:rsidRPr="006906E4" w:rsidRDefault="00910CE8" w:rsidP="00910CE8">
            <w:pPr>
              <w:tabs>
                <w:tab w:val="left" w:pos="709"/>
              </w:tabs>
              <w:spacing w:before="60" w:after="60" w:line="240" w:lineRule="auto"/>
              <w:jc w:val="left"/>
              <w:rPr>
                <w:rFonts w:ascii="Arial" w:hAnsi="Arial" w:cs="Arial"/>
                <w:sz w:val="16"/>
                <w:szCs w:val="16"/>
              </w:rPr>
            </w:pPr>
            <w:r>
              <w:rPr>
                <w:rFonts w:ascii="Arial" w:hAnsi="Arial" w:cs="Arial"/>
                <w:sz w:val="16"/>
                <w:szCs w:val="16"/>
              </w:rPr>
              <w:t>2020-21</w:t>
            </w:r>
          </w:p>
        </w:tc>
        <w:tc>
          <w:tcPr>
            <w:tcW w:w="3475" w:type="dxa"/>
            <w:tcBorders>
              <w:top w:val="single" w:sz="4" w:space="0" w:color="auto"/>
              <w:left w:val="single" w:sz="4" w:space="0" w:color="auto"/>
              <w:bottom w:val="single" w:sz="4" w:space="0" w:color="auto"/>
              <w:right w:val="single" w:sz="4" w:space="0" w:color="auto"/>
            </w:tcBorders>
          </w:tcPr>
          <w:p w14:paraId="055E7FCA" w14:textId="37264F07" w:rsidR="00910CE8" w:rsidRPr="006906E4" w:rsidRDefault="00910CE8" w:rsidP="00910CE8">
            <w:pPr>
              <w:tabs>
                <w:tab w:val="left" w:pos="709"/>
              </w:tabs>
              <w:spacing w:before="60" w:after="60" w:line="240" w:lineRule="auto"/>
              <w:jc w:val="left"/>
              <w:rPr>
                <w:rFonts w:ascii="Arial" w:hAnsi="Arial" w:cs="Arial"/>
                <w:i/>
                <w:color w:val="FF0000"/>
                <w:sz w:val="16"/>
                <w:szCs w:val="16"/>
              </w:rPr>
            </w:pPr>
            <w:r w:rsidRPr="00B55F9D">
              <w:rPr>
                <w:rFonts w:ascii="Arial" w:hAnsi="Arial" w:cs="Arial"/>
                <w:sz w:val="16"/>
                <w:szCs w:val="16"/>
                <w:u w:color="003300"/>
                <w:lang w:val="en-US"/>
              </w:rPr>
              <w:t>As per 201</w:t>
            </w:r>
            <w:r>
              <w:rPr>
                <w:rFonts w:ascii="Arial" w:hAnsi="Arial" w:cs="Arial"/>
                <w:sz w:val="16"/>
                <w:szCs w:val="16"/>
                <w:u w:color="003300"/>
                <w:lang w:val="en-US"/>
              </w:rPr>
              <w:t>9</w:t>
            </w:r>
            <w:r w:rsidRPr="00B55F9D">
              <w:rPr>
                <w:rFonts w:ascii="Arial" w:hAnsi="Arial" w:cs="Arial"/>
                <w:sz w:val="16"/>
                <w:szCs w:val="16"/>
                <w:u w:color="003300"/>
                <w:lang w:val="en-US"/>
              </w:rPr>
              <w:t>-</w:t>
            </w:r>
            <w:r>
              <w:rPr>
                <w:rFonts w:ascii="Arial" w:hAnsi="Arial" w:cs="Arial"/>
                <w:sz w:val="16"/>
                <w:szCs w:val="16"/>
                <w:u w:color="003300"/>
                <w:lang w:val="en-US"/>
              </w:rPr>
              <w:t>20</w:t>
            </w:r>
          </w:p>
        </w:tc>
        <w:tc>
          <w:tcPr>
            <w:tcW w:w="2565" w:type="dxa"/>
            <w:tcBorders>
              <w:top w:val="single" w:sz="4" w:space="0" w:color="auto"/>
              <w:left w:val="single" w:sz="4" w:space="0" w:color="auto"/>
              <w:bottom w:val="single" w:sz="4" w:space="0" w:color="auto"/>
            </w:tcBorders>
          </w:tcPr>
          <w:p w14:paraId="060C3245" w14:textId="339E96E7" w:rsidR="00910CE8" w:rsidRPr="00B55F9D" w:rsidRDefault="00910CE8" w:rsidP="00910CE8">
            <w:pPr>
              <w:pBdr>
                <w:top w:val="nil"/>
                <w:left w:val="nil"/>
                <w:bottom w:val="nil"/>
                <w:right w:val="nil"/>
                <w:between w:val="nil"/>
                <w:bar w:val="nil"/>
              </w:pBdr>
              <w:spacing w:before="120" w:after="0" w:line="240" w:lineRule="auto"/>
              <w:jc w:val="left"/>
              <w:rPr>
                <w:rFonts w:ascii="Arial" w:hAnsi="Arial" w:cs="Arial"/>
                <w:sz w:val="16"/>
                <w:szCs w:val="16"/>
                <w:u w:color="003300"/>
                <w:lang w:val="en-US"/>
              </w:rPr>
            </w:pPr>
            <w:r w:rsidRPr="00B55F9D">
              <w:rPr>
                <w:rFonts w:ascii="Arial" w:hAnsi="Arial" w:cs="Arial"/>
                <w:sz w:val="16"/>
                <w:szCs w:val="16"/>
                <w:u w:color="003300"/>
                <w:lang w:val="en-US"/>
              </w:rPr>
              <w:t>As per 201</w:t>
            </w:r>
            <w:r>
              <w:rPr>
                <w:rFonts w:ascii="Arial" w:hAnsi="Arial" w:cs="Arial"/>
                <w:sz w:val="16"/>
                <w:szCs w:val="16"/>
                <w:u w:color="003300"/>
                <w:lang w:val="en-US"/>
              </w:rPr>
              <w:t>9</w:t>
            </w:r>
            <w:r w:rsidRPr="00B55F9D">
              <w:rPr>
                <w:rFonts w:ascii="Arial" w:hAnsi="Arial" w:cs="Arial"/>
                <w:sz w:val="16"/>
                <w:szCs w:val="16"/>
                <w:u w:color="003300"/>
                <w:lang w:val="en-US"/>
              </w:rPr>
              <w:t>-</w:t>
            </w:r>
            <w:r>
              <w:rPr>
                <w:rFonts w:ascii="Arial" w:hAnsi="Arial" w:cs="Arial"/>
                <w:sz w:val="16"/>
                <w:szCs w:val="16"/>
                <w:u w:color="003300"/>
                <w:lang w:val="en-US"/>
              </w:rPr>
              <w:t>20</w:t>
            </w:r>
            <w:r w:rsidRPr="00B55F9D">
              <w:rPr>
                <w:rFonts w:ascii="Arial" w:hAnsi="Arial" w:cs="Arial"/>
                <w:sz w:val="16"/>
                <w:szCs w:val="16"/>
                <w:u w:color="003300"/>
                <w:lang w:val="en-US"/>
              </w:rPr>
              <w:t xml:space="preserve"> </w:t>
            </w:r>
          </w:p>
          <w:p w14:paraId="1CF1276F" w14:textId="77777777" w:rsidR="00910CE8" w:rsidRDefault="00910CE8" w:rsidP="00910CE8">
            <w:pPr>
              <w:numPr>
                <w:ilvl w:val="0"/>
                <w:numId w:val="17"/>
              </w:numPr>
              <w:pBdr>
                <w:top w:val="nil"/>
                <w:left w:val="nil"/>
                <w:bottom w:val="nil"/>
                <w:right w:val="nil"/>
                <w:between w:val="nil"/>
                <w:bar w:val="nil"/>
              </w:pBdr>
              <w:spacing w:before="120" w:after="0" w:line="240" w:lineRule="auto"/>
              <w:jc w:val="left"/>
              <w:rPr>
                <w:rFonts w:ascii="Arial" w:eastAsia="Arial" w:hAnsi="Arial" w:cs="Arial"/>
                <w:sz w:val="16"/>
                <w:szCs w:val="16"/>
              </w:rPr>
            </w:pPr>
            <w:r w:rsidRPr="00D23AB4">
              <w:rPr>
                <w:rFonts w:ascii="Arial" w:eastAsia="Arial" w:hAnsi="Arial" w:cs="Arial"/>
                <w:sz w:val="16"/>
                <w:szCs w:val="16"/>
              </w:rPr>
              <w:t>IASB equivalent Standards issued within two months of the release of the IFRS</w:t>
            </w:r>
            <w:r>
              <w:rPr>
                <w:rFonts w:ascii="Arial" w:eastAsia="Arial" w:hAnsi="Arial" w:cs="Arial"/>
                <w:sz w:val="16"/>
                <w:szCs w:val="16"/>
              </w:rPr>
              <w:t>.</w:t>
            </w:r>
          </w:p>
          <w:p w14:paraId="6A8280CC" w14:textId="77777777" w:rsidR="00910CE8" w:rsidRPr="00516E4B" w:rsidRDefault="00910CE8" w:rsidP="00910CE8">
            <w:pPr>
              <w:pStyle w:val="ListParagraph"/>
              <w:numPr>
                <w:ilvl w:val="0"/>
                <w:numId w:val="17"/>
              </w:numPr>
              <w:spacing w:before="120" w:after="0" w:line="240" w:lineRule="auto"/>
              <w:rPr>
                <w:rFonts w:ascii="Arial" w:hAnsi="Arial" w:cs="Arial"/>
                <w:sz w:val="16"/>
                <w:szCs w:val="16"/>
                <w:u w:color="003300"/>
              </w:rPr>
            </w:pPr>
            <w:r w:rsidRPr="00516E4B">
              <w:rPr>
                <w:rFonts w:ascii="Arial" w:hAnsi="Arial" w:cs="Arial"/>
                <w:sz w:val="16"/>
                <w:szCs w:val="16"/>
                <w:u w:color="003300"/>
              </w:rPr>
              <w:t>Australian specific Standards for the projects outlined below:</w:t>
            </w:r>
          </w:p>
          <w:p w14:paraId="2B940A25" w14:textId="610EAAE7" w:rsidR="00910CE8" w:rsidRDefault="00910CE8" w:rsidP="00910CE8">
            <w:pPr>
              <w:pStyle w:val="ListParagraph"/>
              <w:numPr>
                <w:ilvl w:val="0"/>
                <w:numId w:val="22"/>
              </w:numPr>
              <w:pBdr>
                <w:top w:val="nil"/>
                <w:left w:val="nil"/>
                <w:bottom w:val="nil"/>
                <w:right w:val="nil"/>
                <w:between w:val="nil"/>
                <w:bar w:val="nil"/>
              </w:pBdr>
              <w:spacing w:before="120" w:after="0" w:line="240" w:lineRule="auto"/>
              <w:ind w:left="699"/>
              <w:rPr>
                <w:rFonts w:ascii="Arial" w:hAnsi="Arial" w:cs="Arial"/>
                <w:sz w:val="16"/>
                <w:szCs w:val="16"/>
                <w:u w:color="003300"/>
              </w:rPr>
            </w:pPr>
            <w:proofErr w:type="gramStart"/>
            <w:r w:rsidRPr="001426D2">
              <w:rPr>
                <w:rFonts w:ascii="Arial" w:hAnsi="Arial" w:cs="Arial"/>
                <w:sz w:val="16"/>
                <w:szCs w:val="16"/>
                <w:u w:color="003300"/>
              </w:rPr>
              <w:t>insurance</w:t>
            </w:r>
            <w:proofErr w:type="gramEnd"/>
            <w:r w:rsidRPr="001426D2">
              <w:rPr>
                <w:rFonts w:ascii="Arial" w:hAnsi="Arial" w:cs="Arial"/>
                <w:sz w:val="16"/>
                <w:szCs w:val="16"/>
                <w:u w:color="003300"/>
              </w:rPr>
              <w:t xml:space="preserve"> in the </w:t>
            </w:r>
            <w:r w:rsidR="000F7390">
              <w:rPr>
                <w:rFonts w:ascii="Arial" w:hAnsi="Arial" w:cs="Arial"/>
                <w:sz w:val="16"/>
                <w:szCs w:val="16"/>
                <w:u w:color="003300"/>
              </w:rPr>
              <w:t>Not-for-Profit (</w:t>
            </w:r>
            <w:r w:rsidRPr="001426D2">
              <w:rPr>
                <w:rFonts w:ascii="Arial" w:hAnsi="Arial" w:cs="Arial"/>
                <w:sz w:val="16"/>
                <w:szCs w:val="16"/>
                <w:u w:color="003300"/>
              </w:rPr>
              <w:t>NFP</w:t>
            </w:r>
            <w:r w:rsidR="000F7390">
              <w:rPr>
                <w:rFonts w:ascii="Arial" w:hAnsi="Arial" w:cs="Arial"/>
                <w:sz w:val="16"/>
                <w:szCs w:val="16"/>
                <w:u w:color="003300"/>
              </w:rPr>
              <w:t>_</w:t>
            </w:r>
            <w:r w:rsidRPr="001426D2">
              <w:rPr>
                <w:rFonts w:ascii="Arial" w:hAnsi="Arial" w:cs="Arial"/>
                <w:sz w:val="16"/>
                <w:szCs w:val="16"/>
                <w:u w:color="003300"/>
              </w:rPr>
              <w:t xml:space="preserve"> public sector.</w:t>
            </w:r>
          </w:p>
          <w:p w14:paraId="695606D4" w14:textId="77777777" w:rsidR="00910CE8" w:rsidRPr="001426D2" w:rsidRDefault="00910CE8" w:rsidP="00910CE8">
            <w:pPr>
              <w:pStyle w:val="ListParagraph"/>
              <w:numPr>
                <w:ilvl w:val="0"/>
                <w:numId w:val="22"/>
              </w:numPr>
              <w:pBdr>
                <w:top w:val="nil"/>
                <w:left w:val="nil"/>
                <w:bottom w:val="nil"/>
                <w:right w:val="nil"/>
                <w:between w:val="nil"/>
                <w:bar w:val="nil"/>
              </w:pBdr>
              <w:spacing w:before="120" w:after="0" w:line="240" w:lineRule="auto"/>
              <w:ind w:left="699"/>
              <w:rPr>
                <w:rFonts w:ascii="Arial" w:hAnsi="Arial" w:cs="Arial"/>
                <w:sz w:val="16"/>
                <w:szCs w:val="16"/>
                <w:u w:color="003300"/>
              </w:rPr>
            </w:pPr>
            <w:proofErr w:type="gramStart"/>
            <w:r w:rsidRPr="001426D2">
              <w:rPr>
                <w:rFonts w:ascii="Arial" w:hAnsi="Arial" w:cs="Arial"/>
                <w:sz w:val="16"/>
                <w:szCs w:val="16"/>
                <w:u w:color="003300"/>
              </w:rPr>
              <w:t>implement</w:t>
            </w:r>
            <w:proofErr w:type="gramEnd"/>
            <w:r w:rsidRPr="001426D2">
              <w:rPr>
                <w:rFonts w:ascii="Arial" w:hAnsi="Arial" w:cs="Arial"/>
                <w:sz w:val="16"/>
                <w:szCs w:val="16"/>
                <w:u w:color="003300"/>
              </w:rPr>
              <w:t xml:space="preserve"> the IASB Revised Conceptual Framework in</w:t>
            </w:r>
            <w:r>
              <w:rPr>
                <w:rFonts w:ascii="Arial" w:hAnsi="Arial" w:cs="Arial"/>
                <w:sz w:val="16"/>
                <w:szCs w:val="16"/>
                <w:u w:color="003300"/>
              </w:rPr>
              <w:t xml:space="preserve"> </w:t>
            </w:r>
            <w:r w:rsidRPr="001426D2">
              <w:rPr>
                <w:rFonts w:ascii="Arial" w:hAnsi="Arial" w:cs="Arial"/>
                <w:sz w:val="16"/>
                <w:szCs w:val="16"/>
                <w:u w:color="003300"/>
              </w:rPr>
              <w:t>Australia for other entities.</w:t>
            </w:r>
          </w:p>
          <w:p w14:paraId="2450E79B" w14:textId="77777777" w:rsidR="00910CE8" w:rsidRPr="001426D2" w:rsidRDefault="00910CE8" w:rsidP="00910CE8">
            <w:pPr>
              <w:pStyle w:val="ListParagraph"/>
              <w:numPr>
                <w:ilvl w:val="0"/>
                <w:numId w:val="22"/>
              </w:numPr>
              <w:pBdr>
                <w:top w:val="nil"/>
                <w:left w:val="nil"/>
                <w:bottom w:val="nil"/>
                <w:right w:val="nil"/>
                <w:between w:val="nil"/>
                <w:bar w:val="nil"/>
              </w:pBdr>
              <w:spacing w:before="120" w:after="0" w:line="240" w:lineRule="auto"/>
              <w:ind w:left="699"/>
              <w:rPr>
                <w:rFonts w:ascii="Arial" w:hAnsi="Arial" w:cs="Arial"/>
                <w:sz w:val="16"/>
                <w:szCs w:val="16"/>
                <w:u w:color="003300"/>
              </w:rPr>
            </w:pPr>
            <w:proofErr w:type="gramStart"/>
            <w:r w:rsidRPr="001426D2">
              <w:rPr>
                <w:rFonts w:ascii="Arial" w:hAnsi="Arial" w:cs="Arial"/>
                <w:sz w:val="16"/>
                <w:szCs w:val="16"/>
                <w:u w:color="003300"/>
              </w:rPr>
              <w:t>other</w:t>
            </w:r>
            <w:proofErr w:type="gramEnd"/>
            <w:r w:rsidRPr="001426D2">
              <w:rPr>
                <w:rFonts w:ascii="Arial" w:hAnsi="Arial" w:cs="Arial"/>
                <w:sz w:val="16"/>
                <w:szCs w:val="16"/>
                <w:u w:color="003300"/>
              </w:rPr>
              <w:t xml:space="preserve"> topics coming out of agenda consultation process.</w:t>
            </w:r>
          </w:p>
          <w:p w14:paraId="4ED1F10F" w14:textId="77777777" w:rsidR="00910CE8" w:rsidRPr="00516E4B" w:rsidRDefault="00910CE8" w:rsidP="00910CE8">
            <w:pPr>
              <w:pStyle w:val="ListParagraph"/>
              <w:numPr>
                <w:ilvl w:val="0"/>
                <w:numId w:val="17"/>
              </w:numPr>
              <w:spacing w:before="60" w:after="60" w:line="240" w:lineRule="auto"/>
              <w:rPr>
                <w:rFonts w:ascii="Arial" w:hAnsi="Arial" w:cs="Arial"/>
                <w:sz w:val="16"/>
                <w:szCs w:val="16"/>
                <w:u w:color="003300"/>
              </w:rPr>
            </w:pPr>
            <w:r w:rsidRPr="00516E4B">
              <w:rPr>
                <w:rFonts w:ascii="Arial" w:hAnsi="Arial" w:cs="Arial"/>
                <w:sz w:val="16"/>
                <w:szCs w:val="16"/>
                <w:u w:color="003300"/>
              </w:rPr>
              <w:t>Consultative Documents outlined below:</w:t>
            </w:r>
          </w:p>
          <w:p w14:paraId="6719BECA" w14:textId="77777777" w:rsidR="00910CE8" w:rsidRDefault="00910CE8" w:rsidP="00910CE8">
            <w:pPr>
              <w:pStyle w:val="ListParagraph"/>
              <w:numPr>
                <w:ilvl w:val="0"/>
                <w:numId w:val="23"/>
              </w:numPr>
              <w:spacing w:before="60" w:after="60" w:line="240" w:lineRule="auto"/>
              <w:ind w:left="699"/>
              <w:rPr>
                <w:rFonts w:ascii="Arial" w:hAnsi="Arial" w:cs="Arial"/>
                <w:sz w:val="16"/>
                <w:szCs w:val="16"/>
                <w:u w:color="003300"/>
              </w:rPr>
            </w:pPr>
            <w:r w:rsidRPr="001426D2">
              <w:rPr>
                <w:rFonts w:ascii="Arial" w:hAnsi="Arial" w:cs="Arial"/>
                <w:sz w:val="16"/>
                <w:szCs w:val="16"/>
                <w:u w:color="003300"/>
              </w:rPr>
              <w:t xml:space="preserve">NFP private sector development of </w:t>
            </w:r>
            <w:proofErr w:type="spellStart"/>
            <w:r w:rsidRPr="001426D2">
              <w:rPr>
                <w:rFonts w:ascii="Arial" w:hAnsi="Arial" w:cs="Arial"/>
                <w:sz w:val="16"/>
                <w:szCs w:val="16"/>
                <w:u w:color="003300"/>
              </w:rPr>
              <w:t>tiering</w:t>
            </w:r>
            <w:proofErr w:type="spellEnd"/>
            <w:r w:rsidRPr="001426D2">
              <w:rPr>
                <w:rFonts w:ascii="Arial" w:hAnsi="Arial" w:cs="Arial"/>
                <w:sz w:val="16"/>
                <w:szCs w:val="16"/>
                <w:u w:color="003300"/>
              </w:rPr>
              <w:t xml:space="preserve"> proposal in conjunction with ACNC and state and territory regulators.</w:t>
            </w:r>
          </w:p>
          <w:p w14:paraId="61B92C43" w14:textId="77777777" w:rsidR="00910CE8" w:rsidRPr="001426D2" w:rsidRDefault="00910CE8" w:rsidP="00910CE8">
            <w:pPr>
              <w:pStyle w:val="ListParagraph"/>
              <w:numPr>
                <w:ilvl w:val="0"/>
                <w:numId w:val="23"/>
              </w:numPr>
              <w:spacing w:before="60" w:after="60" w:line="240" w:lineRule="auto"/>
              <w:ind w:left="699"/>
              <w:rPr>
                <w:rFonts w:ascii="Arial" w:hAnsi="Arial" w:cs="Arial"/>
                <w:sz w:val="16"/>
                <w:szCs w:val="16"/>
                <w:u w:color="003300"/>
              </w:rPr>
            </w:pPr>
            <w:r w:rsidRPr="001426D2">
              <w:rPr>
                <w:rFonts w:ascii="Arial" w:hAnsi="Arial" w:cs="Arial"/>
                <w:sz w:val="16"/>
                <w:szCs w:val="16"/>
                <w:u w:color="003300"/>
              </w:rPr>
              <w:t>NFP public sector consul</w:t>
            </w:r>
            <w:r>
              <w:rPr>
                <w:rFonts w:ascii="Arial" w:hAnsi="Arial" w:cs="Arial"/>
                <w:sz w:val="16"/>
                <w:szCs w:val="16"/>
                <w:u w:color="003300"/>
              </w:rPr>
              <w:t>tation on AASB Discussion Paper</w:t>
            </w:r>
          </w:p>
          <w:p w14:paraId="17E4013A" w14:textId="77777777" w:rsidR="00910CE8" w:rsidRPr="001426D2" w:rsidRDefault="00910CE8" w:rsidP="00910CE8">
            <w:pPr>
              <w:pStyle w:val="ListParagraph"/>
              <w:numPr>
                <w:ilvl w:val="0"/>
                <w:numId w:val="23"/>
              </w:numPr>
              <w:spacing w:before="120" w:after="0" w:line="240" w:lineRule="auto"/>
              <w:ind w:left="699"/>
              <w:rPr>
                <w:rFonts w:ascii="Arial" w:hAnsi="Arial" w:cs="Arial"/>
                <w:sz w:val="16"/>
                <w:szCs w:val="16"/>
                <w:u w:color="003300"/>
              </w:rPr>
            </w:pPr>
            <w:r w:rsidRPr="001426D2">
              <w:rPr>
                <w:rFonts w:ascii="Arial" w:hAnsi="Arial" w:cs="Arial"/>
                <w:sz w:val="16"/>
                <w:szCs w:val="16"/>
                <w:u w:color="003300"/>
              </w:rPr>
              <w:t xml:space="preserve">Improving Financial Reporting for Australian Public Sector, including </w:t>
            </w:r>
            <w:r w:rsidRPr="001426D2">
              <w:rPr>
                <w:rFonts w:ascii="Arial" w:hAnsi="Arial" w:cs="Arial"/>
                <w:sz w:val="16"/>
                <w:szCs w:val="16"/>
                <w:u w:color="003300"/>
              </w:rPr>
              <w:lastRenderedPageBreak/>
              <w:t>discussion with parliamentary accounts committees.</w:t>
            </w:r>
          </w:p>
          <w:p w14:paraId="7124B5EA" w14:textId="77777777" w:rsidR="00910CE8" w:rsidRPr="004270D1" w:rsidRDefault="00910CE8" w:rsidP="00910CE8">
            <w:pPr>
              <w:pBdr>
                <w:top w:val="nil"/>
                <w:left w:val="nil"/>
                <w:bottom w:val="nil"/>
                <w:right w:val="nil"/>
                <w:between w:val="nil"/>
                <w:bar w:val="nil"/>
              </w:pBdr>
              <w:spacing w:before="60" w:after="60" w:line="240" w:lineRule="auto"/>
              <w:jc w:val="left"/>
              <w:rPr>
                <w:rFonts w:ascii="Arial" w:hAnsi="Arial" w:cs="Arial"/>
                <w:sz w:val="2"/>
                <w:szCs w:val="16"/>
                <w:u w:color="003300"/>
                <w:lang w:val="en-US"/>
              </w:rPr>
            </w:pPr>
          </w:p>
          <w:p w14:paraId="2863D80E" w14:textId="71D77CAC" w:rsidR="00910CE8" w:rsidRPr="00F77386" w:rsidRDefault="00910CE8" w:rsidP="00910CE8">
            <w:pPr>
              <w:pStyle w:val="ListParagraph"/>
              <w:numPr>
                <w:ilvl w:val="0"/>
                <w:numId w:val="17"/>
              </w:numPr>
              <w:autoSpaceDE w:val="0"/>
              <w:autoSpaceDN w:val="0"/>
              <w:adjustRightInd w:val="0"/>
              <w:spacing w:after="0" w:line="240" w:lineRule="auto"/>
              <w:rPr>
                <w:rFonts w:ascii="Arial" w:hAnsi="Arial" w:cs="Arial"/>
                <w:sz w:val="16"/>
                <w:szCs w:val="16"/>
                <w:u w:color="003300"/>
              </w:rPr>
            </w:pPr>
            <w:r w:rsidRPr="00F77386">
              <w:rPr>
                <w:rFonts w:ascii="Arial" w:hAnsi="Arial" w:cs="Arial"/>
                <w:sz w:val="16"/>
                <w:szCs w:val="16"/>
                <w:u w:color="003300"/>
              </w:rPr>
              <w:t xml:space="preserve">Present at least two papers to </w:t>
            </w:r>
            <w:r w:rsidR="00C642AA">
              <w:rPr>
                <w:rFonts w:ascii="Arial" w:hAnsi="Arial" w:cs="Arial"/>
                <w:sz w:val="16"/>
                <w:szCs w:val="16"/>
                <w:u w:color="003300"/>
              </w:rPr>
              <w:t>Accounting Standards Advisory Forum (</w:t>
            </w:r>
            <w:r w:rsidRPr="00F77386">
              <w:rPr>
                <w:rFonts w:ascii="Arial" w:hAnsi="Arial" w:cs="Arial"/>
                <w:sz w:val="16"/>
                <w:szCs w:val="16"/>
                <w:u w:color="003300"/>
              </w:rPr>
              <w:t>ASAF</w:t>
            </w:r>
            <w:r w:rsidR="00C642AA">
              <w:rPr>
                <w:rFonts w:ascii="Arial" w:hAnsi="Arial" w:cs="Arial"/>
                <w:sz w:val="16"/>
                <w:szCs w:val="16"/>
                <w:u w:color="003300"/>
              </w:rPr>
              <w:t>)</w:t>
            </w:r>
            <w:r w:rsidRPr="00F77386">
              <w:rPr>
                <w:rFonts w:ascii="Arial" w:hAnsi="Arial" w:cs="Arial"/>
                <w:sz w:val="16"/>
                <w:szCs w:val="16"/>
                <w:u w:color="003300"/>
              </w:rPr>
              <w:t xml:space="preserve">, </w:t>
            </w:r>
            <w:r w:rsidR="00224299">
              <w:rPr>
                <w:rFonts w:ascii="Arial" w:hAnsi="Arial" w:cs="Arial"/>
                <w:sz w:val="16"/>
                <w:szCs w:val="16"/>
                <w:u w:color="003300"/>
              </w:rPr>
              <w:t xml:space="preserve">International Forum of Accounting Standard Setters </w:t>
            </w:r>
            <w:r w:rsidR="00706628">
              <w:rPr>
                <w:rFonts w:ascii="Arial" w:hAnsi="Arial" w:cs="Arial"/>
                <w:sz w:val="16"/>
                <w:szCs w:val="16"/>
                <w:u w:color="003300"/>
              </w:rPr>
              <w:t>(</w:t>
            </w:r>
            <w:r w:rsidRPr="00F77386">
              <w:rPr>
                <w:rFonts w:ascii="Arial" w:hAnsi="Arial" w:cs="Arial"/>
                <w:sz w:val="16"/>
                <w:szCs w:val="16"/>
                <w:u w:color="003300"/>
              </w:rPr>
              <w:t>IFASS</w:t>
            </w:r>
            <w:r w:rsidR="00706628">
              <w:rPr>
                <w:rFonts w:ascii="Arial" w:hAnsi="Arial" w:cs="Arial"/>
                <w:sz w:val="16"/>
                <w:szCs w:val="16"/>
                <w:u w:color="003300"/>
              </w:rPr>
              <w:t>)</w:t>
            </w:r>
            <w:r w:rsidRPr="00F77386">
              <w:rPr>
                <w:rFonts w:ascii="Arial" w:hAnsi="Arial" w:cs="Arial"/>
                <w:sz w:val="16"/>
                <w:szCs w:val="16"/>
                <w:u w:color="003300"/>
              </w:rPr>
              <w:t xml:space="preserve"> and/or</w:t>
            </w:r>
          </w:p>
          <w:p w14:paraId="3C279A9D" w14:textId="77F99573" w:rsidR="00910CE8" w:rsidRPr="004270D1" w:rsidRDefault="00910CE8" w:rsidP="00E1057D">
            <w:pPr>
              <w:pBdr>
                <w:top w:val="nil"/>
                <w:left w:val="nil"/>
                <w:bottom w:val="nil"/>
                <w:right w:val="nil"/>
                <w:between w:val="nil"/>
                <w:bar w:val="nil"/>
              </w:pBdr>
              <w:spacing w:before="60" w:after="60" w:line="240" w:lineRule="auto"/>
              <w:ind w:left="360"/>
              <w:jc w:val="left"/>
              <w:rPr>
                <w:rFonts w:ascii="Arial" w:hAnsi="Arial" w:cs="Arial"/>
                <w:sz w:val="16"/>
                <w:szCs w:val="16"/>
                <w:u w:color="003300"/>
              </w:rPr>
            </w:pPr>
            <w:r w:rsidRPr="00F77386">
              <w:rPr>
                <w:rFonts w:ascii="Arial" w:hAnsi="Arial" w:cs="Arial"/>
                <w:sz w:val="16"/>
                <w:szCs w:val="16"/>
                <w:u w:color="003300"/>
              </w:rPr>
              <w:t>AOSSG and receive positive feedback on the paper.</w:t>
            </w:r>
          </w:p>
          <w:p w14:paraId="5663605C" w14:textId="77777777" w:rsidR="00910CE8" w:rsidRPr="00F77386" w:rsidRDefault="00910CE8" w:rsidP="00910CE8">
            <w:pPr>
              <w:pStyle w:val="ListParagraph"/>
              <w:numPr>
                <w:ilvl w:val="0"/>
                <w:numId w:val="17"/>
              </w:numPr>
              <w:pBdr>
                <w:top w:val="nil"/>
                <w:left w:val="nil"/>
                <w:bottom w:val="nil"/>
                <w:right w:val="nil"/>
                <w:between w:val="nil"/>
                <w:bar w:val="nil"/>
              </w:pBdr>
              <w:spacing w:before="60" w:after="60" w:line="240" w:lineRule="auto"/>
              <w:rPr>
                <w:rFonts w:ascii="Arial" w:hAnsi="Arial" w:cs="Arial"/>
                <w:sz w:val="16"/>
                <w:szCs w:val="16"/>
                <w:u w:color="003300"/>
              </w:rPr>
            </w:pPr>
            <w:r>
              <w:rPr>
                <w:rFonts w:ascii="Arial" w:hAnsi="Arial" w:cs="Arial"/>
                <w:sz w:val="16"/>
                <w:szCs w:val="16"/>
                <w:u w:color="003300"/>
              </w:rPr>
              <w:t xml:space="preserve">Commence the </w:t>
            </w:r>
            <w:r w:rsidRPr="00F77386">
              <w:rPr>
                <w:rFonts w:ascii="Arial" w:hAnsi="Arial" w:cs="Arial"/>
                <w:sz w:val="16"/>
                <w:szCs w:val="16"/>
                <w:u w:color="003300"/>
              </w:rPr>
              <w:t>following projects for external reporting:</w:t>
            </w:r>
          </w:p>
          <w:p w14:paraId="3D7495C5" w14:textId="77777777" w:rsidR="00910CE8" w:rsidRDefault="00910CE8" w:rsidP="00910CE8">
            <w:pPr>
              <w:pStyle w:val="ListParagraph"/>
              <w:numPr>
                <w:ilvl w:val="1"/>
                <w:numId w:val="24"/>
              </w:numPr>
              <w:autoSpaceDE w:val="0"/>
              <w:autoSpaceDN w:val="0"/>
              <w:adjustRightInd w:val="0"/>
              <w:spacing w:after="0" w:line="240" w:lineRule="auto"/>
              <w:ind w:left="699"/>
              <w:rPr>
                <w:rFonts w:ascii="Arial" w:hAnsi="Arial" w:cs="Arial"/>
                <w:sz w:val="16"/>
                <w:szCs w:val="16"/>
                <w:u w:color="003300"/>
              </w:rPr>
            </w:pPr>
            <w:proofErr w:type="gramStart"/>
            <w:r w:rsidRPr="005B6600">
              <w:rPr>
                <w:rFonts w:ascii="Arial" w:hAnsi="Arial" w:cs="Arial"/>
                <w:sz w:val="16"/>
                <w:szCs w:val="16"/>
                <w:u w:color="003300"/>
              </w:rPr>
              <w:t>reporting</w:t>
            </w:r>
            <w:proofErr w:type="gramEnd"/>
            <w:r w:rsidRPr="005B6600">
              <w:rPr>
                <w:rFonts w:ascii="Arial" w:hAnsi="Arial" w:cs="Arial"/>
                <w:sz w:val="16"/>
                <w:szCs w:val="16"/>
                <w:u w:color="003300"/>
              </w:rPr>
              <w:t xml:space="preserve"> service performance information. </w:t>
            </w:r>
          </w:p>
          <w:p w14:paraId="3CA27312" w14:textId="77777777" w:rsidR="00910CE8" w:rsidRDefault="00910CE8" w:rsidP="00910CE8">
            <w:pPr>
              <w:pStyle w:val="ListParagraph"/>
              <w:numPr>
                <w:ilvl w:val="1"/>
                <w:numId w:val="24"/>
              </w:numPr>
              <w:pBdr>
                <w:top w:val="nil"/>
                <w:left w:val="nil"/>
                <w:bottom w:val="nil"/>
                <w:right w:val="nil"/>
                <w:between w:val="nil"/>
                <w:bar w:val="nil"/>
              </w:pBdr>
              <w:autoSpaceDE w:val="0"/>
              <w:autoSpaceDN w:val="0"/>
              <w:adjustRightInd w:val="0"/>
              <w:spacing w:before="60" w:after="60" w:line="240" w:lineRule="auto"/>
              <w:ind w:left="699"/>
              <w:rPr>
                <w:rFonts w:ascii="Arial" w:hAnsi="Arial" w:cs="Arial"/>
                <w:sz w:val="16"/>
                <w:szCs w:val="16"/>
                <w:u w:color="003300"/>
              </w:rPr>
            </w:pPr>
            <w:proofErr w:type="gramStart"/>
            <w:r w:rsidRPr="005B6600">
              <w:rPr>
                <w:rFonts w:ascii="Arial" w:hAnsi="Arial" w:cs="Arial"/>
                <w:sz w:val="16"/>
                <w:szCs w:val="16"/>
                <w:u w:color="003300"/>
              </w:rPr>
              <w:t>remuneration</w:t>
            </w:r>
            <w:proofErr w:type="gramEnd"/>
            <w:r w:rsidRPr="005B6600">
              <w:rPr>
                <w:rFonts w:ascii="Arial" w:hAnsi="Arial" w:cs="Arial"/>
                <w:sz w:val="16"/>
                <w:szCs w:val="16"/>
                <w:u w:color="003300"/>
              </w:rPr>
              <w:t xml:space="preserve"> reporting. </w:t>
            </w:r>
          </w:p>
          <w:p w14:paraId="3F253E79" w14:textId="77777777" w:rsidR="00910CE8" w:rsidRPr="005B6600" w:rsidRDefault="00910CE8" w:rsidP="00910CE8">
            <w:pPr>
              <w:pStyle w:val="ListParagraph"/>
              <w:numPr>
                <w:ilvl w:val="1"/>
                <w:numId w:val="24"/>
              </w:numPr>
              <w:pBdr>
                <w:top w:val="nil"/>
                <w:left w:val="nil"/>
                <w:bottom w:val="nil"/>
                <w:right w:val="nil"/>
                <w:between w:val="nil"/>
                <w:bar w:val="nil"/>
              </w:pBdr>
              <w:autoSpaceDE w:val="0"/>
              <w:autoSpaceDN w:val="0"/>
              <w:adjustRightInd w:val="0"/>
              <w:spacing w:before="60" w:after="60" w:line="240" w:lineRule="auto"/>
              <w:ind w:left="699"/>
              <w:rPr>
                <w:rFonts w:ascii="Arial" w:hAnsi="Arial" w:cs="Arial"/>
                <w:sz w:val="16"/>
                <w:szCs w:val="16"/>
                <w:u w:color="003300"/>
              </w:rPr>
            </w:pPr>
            <w:proofErr w:type="gramStart"/>
            <w:r w:rsidRPr="005B6600">
              <w:rPr>
                <w:rFonts w:ascii="Arial" w:hAnsi="Arial" w:cs="Arial"/>
                <w:sz w:val="16"/>
                <w:szCs w:val="16"/>
                <w:u w:color="003300"/>
              </w:rPr>
              <w:t>management</w:t>
            </w:r>
            <w:proofErr w:type="gramEnd"/>
            <w:r w:rsidRPr="005B6600">
              <w:rPr>
                <w:rFonts w:ascii="Arial" w:hAnsi="Arial" w:cs="Arial"/>
                <w:sz w:val="16"/>
                <w:szCs w:val="16"/>
                <w:u w:color="003300"/>
              </w:rPr>
              <w:t xml:space="preserve"> commentary.</w:t>
            </w:r>
          </w:p>
          <w:p w14:paraId="15591FD5" w14:textId="12DA85FF" w:rsidR="00910CE8" w:rsidRPr="006906E4" w:rsidRDefault="00910CE8" w:rsidP="00910CE8">
            <w:pPr>
              <w:tabs>
                <w:tab w:val="left" w:pos="709"/>
              </w:tabs>
              <w:spacing w:before="60" w:after="60" w:line="240" w:lineRule="auto"/>
              <w:jc w:val="left"/>
              <w:rPr>
                <w:rFonts w:ascii="Arial" w:hAnsi="Arial" w:cs="Arial"/>
                <w:i/>
                <w:color w:val="FF0000"/>
                <w:sz w:val="16"/>
                <w:szCs w:val="16"/>
              </w:rPr>
            </w:pPr>
            <w:r w:rsidRPr="00F77386">
              <w:rPr>
                <w:rFonts w:ascii="Arial" w:hAnsi="Arial" w:cs="Arial"/>
                <w:sz w:val="16"/>
                <w:szCs w:val="16"/>
                <w:u w:color="003300"/>
              </w:rPr>
              <w:t>Conduct formal agenda consultation.</w:t>
            </w:r>
          </w:p>
        </w:tc>
      </w:tr>
      <w:tr w:rsidR="00910CE8" w:rsidRPr="00F71634" w14:paraId="6CC148EA" w14:textId="77777777" w:rsidTr="00525E3E">
        <w:tc>
          <w:tcPr>
            <w:tcW w:w="1701" w:type="dxa"/>
            <w:tcBorders>
              <w:top w:val="single" w:sz="4" w:space="0" w:color="auto"/>
              <w:right w:val="single" w:sz="4" w:space="0" w:color="auto"/>
            </w:tcBorders>
          </w:tcPr>
          <w:p w14:paraId="4C14C4D0" w14:textId="265E6888" w:rsidR="00910CE8" w:rsidRPr="006906E4" w:rsidRDefault="00910CE8" w:rsidP="00910CE8">
            <w:pPr>
              <w:tabs>
                <w:tab w:val="left" w:pos="709"/>
              </w:tabs>
              <w:spacing w:before="60" w:after="60" w:line="240" w:lineRule="auto"/>
              <w:jc w:val="left"/>
              <w:rPr>
                <w:rFonts w:ascii="Arial" w:hAnsi="Arial" w:cs="Arial"/>
                <w:sz w:val="16"/>
                <w:szCs w:val="16"/>
              </w:rPr>
            </w:pPr>
            <w:r>
              <w:rPr>
                <w:rFonts w:ascii="Arial" w:hAnsi="Arial" w:cs="Arial"/>
                <w:sz w:val="16"/>
                <w:szCs w:val="16"/>
              </w:rPr>
              <w:lastRenderedPageBreak/>
              <w:t>2021-22</w:t>
            </w:r>
            <w:r w:rsidRPr="006906E4">
              <w:rPr>
                <w:rFonts w:ascii="Arial" w:hAnsi="Arial" w:cs="Arial"/>
                <w:sz w:val="16"/>
                <w:szCs w:val="16"/>
              </w:rPr>
              <w:t xml:space="preserve"> and beyond</w:t>
            </w:r>
          </w:p>
        </w:tc>
        <w:tc>
          <w:tcPr>
            <w:tcW w:w="3475" w:type="dxa"/>
            <w:tcBorders>
              <w:top w:val="single" w:sz="4" w:space="0" w:color="auto"/>
              <w:left w:val="single" w:sz="4" w:space="0" w:color="auto"/>
              <w:right w:val="single" w:sz="4" w:space="0" w:color="auto"/>
            </w:tcBorders>
          </w:tcPr>
          <w:p w14:paraId="511627DD" w14:textId="596CE713" w:rsidR="00910CE8" w:rsidRPr="00201B96" w:rsidRDefault="00910CE8" w:rsidP="00910CE8">
            <w:pPr>
              <w:tabs>
                <w:tab w:val="left" w:pos="709"/>
              </w:tabs>
              <w:spacing w:before="60" w:after="60" w:line="240" w:lineRule="auto"/>
              <w:jc w:val="left"/>
              <w:rPr>
                <w:rFonts w:ascii="Arial" w:hAnsi="Arial" w:cs="Arial"/>
                <w:color w:val="FF0000"/>
                <w:sz w:val="16"/>
                <w:szCs w:val="16"/>
              </w:rPr>
            </w:pPr>
            <w:r w:rsidRPr="00201B96">
              <w:rPr>
                <w:rFonts w:ascii="Arial" w:hAnsi="Arial" w:cs="Arial"/>
                <w:sz w:val="16"/>
                <w:szCs w:val="16"/>
              </w:rPr>
              <w:t>As per 2020-21</w:t>
            </w:r>
          </w:p>
        </w:tc>
        <w:tc>
          <w:tcPr>
            <w:tcW w:w="2565" w:type="dxa"/>
            <w:tcBorders>
              <w:top w:val="single" w:sz="4" w:space="0" w:color="auto"/>
              <w:left w:val="single" w:sz="4" w:space="0" w:color="auto"/>
            </w:tcBorders>
          </w:tcPr>
          <w:p w14:paraId="5A0429B7" w14:textId="0BA2B3F9" w:rsidR="00910CE8" w:rsidRPr="00201B96" w:rsidRDefault="00910CE8" w:rsidP="00910CE8">
            <w:pPr>
              <w:tabs>
                <w:tab w:val="left" w:pos="709"/>
              </w:tabs>
              <w:spacing w:before="60" w:after="60" w:line="240" w:lineRule="auto"/>
              <w:jc w:val="left"/>
              <w:rPr>
                <w:rFonts w:ascii="Arial" w:hAnsi="Arial" w:cs="Arial"/>
                <w:color w:val="FF0000"/>
                <w:sz w:val="16"/>
                <w:szCs w:val="16"/>
              </w:rPr>
            </w:pPr>
            <w:r w:rsidRPr="00201B96">
              <w:rPr>
                <w:rFonts w:ascii="Arial" w:hAnsi="Arial" w:cs="Arial"/>
                <w:sz w:val="16"/>
                <w:szCs w:val="16"/>
              </w:rPr>
              <w:t>As per 2020-21</w:t>
            </w:r>
          </w:p>
        </w:tc>
      </w:tr>
      <w:tr w:rsidR="00910CE8" w:rsidRPr="00F71634" w14:paraId="0323C42B" w14:textId="77777777" w:rsidTr="00C91347">
        <w:tc>
          <w:tcPr>
            <w:tcW w:w="1701" w:type="dxa"/>
          </w:tcPr>
          <w:p w14:paraId="4E172760" w14:textId="0F492D31" w:rsidR="00910CE8" w:rsidRPr="006906E4" w:rsidRDefault="00201B96" w:rsidP="00201B96">
            <w:pPr>
              <w:tabs>
                <w:tab w:val="left" w:pos="709"/>
              </w:tabs>
              <w:spacing w:before="60" w:after="60" w:line="240" w:lineRule="auto"/>
              <w:jc w:val="left"/>
              <w:rPr>
                <w:rFonts w:ascii="Arial" w:hAnsi="Arial" w:cs="Arial"/>
                <w:b/>
                <w:sz w:val="16"/>
                <w:szCs w:val="16"/>
              </w:rPr>
            </w:pPr>
            <w:r>
              <w:rPr>
                <w:rFonts w:ascii="Arial" w:hAnsi="Arial" w:cs="Arial"/>
                <w:b/>
                <w:sz w:val="16"/>
                <w:szCs w:val="16"/>
              </w:rPr>
              <w:t>Purposes</w:t>
            </w:r>
          </w:p>
        </w:tc>
        <w:tc>
          <w:tcPr>
            <w:tcW w:w="6040" w:type="dxa"/>
            <w:gridSpan w:val="2"/>
          </w:tcPr>
          <w:p w14:paraId="694E7D24" w14:textId="79D2A3D9" w:rsidR="00910CE8" w:rsidRPr="006906E4" w:rsidRDefault="00910CE8" w:rsidP="00910CE8">
            <w:pPr>
              <w:tabs>
                <w:tab w:val="left" w:pos="709"/>
              </w:tabs>
              <w:spacing w:before="60" w:after="60" w:line="240" w:lineRule="auto"/>
              <w:jc w:val="left"/>
              <w:rPr>
                <w:rFonts w:ascii="Arial" w:hAnsi="Arial" w:cs="Arial"/>
                <w:i/>
                <w:color w:val="FF0000"/>
                <w:sz w:val="16"/>
                <w:szCs w:val="16"/>
              </w:rPr>
            </w:pPr>
            <w:r>
              <w:rPr>
                <w:rFonts w:ascii="Arial" w:hAnsi="Arial"/>
                <w:color w:val="000000"/>
                <w:sz w:val="16"/>
                <w:szCs w:val="16"/>
                <w:u w:color="000000"/>
                <w:lang w:val="en-US"/>
              </w:rPr>
              <w:t xml:space="preserve">Make accounting standards under the </w:t>
            </w:r>
            <w:r w:rsidRPr="009B6DB2">
              <w:rPr>
                <w:rFonts w:ascii="Arial" w:hAnsi="Arial"/>
                <w:i/>
                <w:iCs/>
                <w:color w:val="000000"/>
                <w:sz w:val="16"/>
                <w:szCs w:val="16"/>
                <w:u w:color="000000"/>
                <w:lang w:val="en-US"/>
              </w:rPr>
              <w:t>Corporations Act 2001</w:t>
            </w:r>
            <w:r>
              <w:rPr>
                <w:rFonts w:ascii="Arial" w:hAnsi="Arial"/>
                <w:color w:val="000000"/>
                <w:sz w:val="16"/>
                <w:szCs w:val="16"/>
                <w:u w:color="000000"/>
                <w:lang w:val="en-US"/>
              </w:rPr>
              <w:t xml:space="preserve"> for corporations and for other purposes. Participate in and contribute to the development of a single set of accounting standards for world-wide use. In a financial reporting context, enable Australian entities to compete effectively; and maintain investor confidence in the Australian economy, including its capital markets; having regard to the interests of Australian corporations raising capital in major international financial </w:t>
            </w:r>
            <w:proofErr w:type="spellStart"/>
            <w:r>
              <w:rPr>
                <w:rFonts w:ascii="Arial" w:hAnsi="Arial"/>
                <w:color w:val="000000"/>
                <w:sz w:val="16"/>
                <w:szCs w:val="16"/>
                <w:u w:color="000000"/>
                <w:lang w:val="en-US"/>
              </w:rPr>
              <w:t>centres</w:t>
            </w:r>
            <w:proofErr w:type="spellEnd"/>
            <w:r>
              <w:rPr>
                <w:rFonts w:ascii="Arial" w:hAnsi="Arial"/>
                <w:color w:val="000000"/>
                <w:sz w:val="16"/>
                <w:szCs w:val="16"/>
                <w:u w:color="000000"/>
                <w:lang w:val="en-US"/>
              </w:rPr>
              <w:t>.</w:t>
            </w:r>
          </w:p>
        </w:tc>
      </w:tr>
      <w:bookmarkEnd w:id="28"/>
      <w:bookmarkEnd w:id="29"/>
    </w:tbl>
    <w:p w14:paraId="29E786AD" w14:textId="77777777" w:rsidR="002F530C" w:rsidRPr="00AD42E2" w:rsidRDefault="002F530C" w:rsidP="00AD42E2">
      <w:pPr>
        <w:pStyle w:val="Heading2"/>
      </w:pPr>
      <w:r w:rsidRPr="00C3303C">
        <w:rPr>
          <w:rFonts w:ascii="Book Antiqua" w:hAnsi="Book Antiqua"/>
          <w:i/>
          <w:color w:val="FF0000"/>
          <w:sz w:val="20"/>
        </w:rPr>
        <w:br w:type="page"/>
      </w:r>
      <w:bookmarkStart w:id="30" w:name="_Toc444523516"/>
      <w:bookmarkStart w:id="31" w:name="_Toc48907406"/>
      <w:r w:rsidRPr="00AD42E2">
        <w:lastRenderedPageBreak/>
        <w:t>Section 3: Budgeted financial statements</w:t>
      </w:r>
      <w:bookmarkEnd w:id="30"/>
      <w:bookmarkEnd w:id="31"/>
    </w:p>
    <w:p w14:paraId="322666FA" w14:textId="3DE8D22B" w:rsidR="00A6388E" w:rsidRDefault="00CF5085" w:rsidP="007118AC">
      <w:r>
        <w:t>Section 3</w:t>
      </w:r>
      <w:r w:rsidR="0027614D">
        <w:t xml:space="preserve"> presents budgeted financial statements which provide a comprehensive snapshot of</w:t>
      </w:r>
      <w:r w:rsidR="001B03CC">
        <w:t xml:space="preserve"> entity </w:t>
      </w:r>
      <w:r w:rsidR="0027614D">
        <w:t xml:space="preserve">finances for the </w:t>
      </w:r>
      <w:r w:rsidR="00D52088">
        <w:t>2020-21</w:t>
      </w:r>
      <w:r w:rsidR="00294E5F">
        <w:rPr>
          <w:color w:val="00B050"/>
        </w:rPr>
        <w:t xml:space="preserve"> </w:t>
      </w:r>
      <w:r w:rsidR="0027614D">
        <w:t>budget year</w:t>
      </w:r>
      <w:r w:rsidR="007118AC">
        <w:t>, including the impact of budget measures and resourcing on financial statements</w:t>
      </w:r>
      <w:r w:rsidR="00B04964">
        <w:t>.</w:t>
      </w:r>
    </w:p>
    <w:p w14:paraId="06494D48" w14:textId="77777777" w:rsidR="00E4582E" w:rsidRDefault="007118AC" w:rsidP="00EA5A9E">
      <w:pPr>
        <w:pStyle w:val="Heading3"/>
      </w:pPr>
      <w:bookmarkStart w:id="32" w:name="_Toc190682317"/>
      <w:bookmarkStart w:id="33" w:name="_Toc444523517"/>
      <w:bookmarkStart w:id="34" w:name="_Toc48907407"/>
      <w:r>
        <w:t>3.1</w:t>
      </w:r>
      <w:r w:rsidR="00E4582E">
        <w:tab/>
        <w:t>Budgeted financial statements</w:t>
      </w:r>
      <w:bookmarkEnd w:id="32"/>
      <w:bookmarkEnd w:id="33"/>
      <w:bookmarkEnd w:id="34"/>
    </w:p>
    <w:p w14:paraId="45266912" w14:textId="77777777" w:rsidR="00E4582E" w:rsidRDefault="00A23BC2" w:rsidP="00E4582E">
      <w:pPr>
        <w:pStyle w:val="Heading4"/>
      </w:pPr>
      <w:r>
        <w:t>3.</w:t>
      </w:r>
      <w:r w:rsidR="007118AC">
        <w:t>1</w:t>
      </w:r>
      <w:r>
        <w:t>.1</w:t>
      </w:r>
      <w:r w:rsidR="005F29CD">
        <w:tab/>
      </w:r>
      <w:r w:rsidR="00E4582E">
        <w:t xml:space="preserve">Differences </w:t>
      </w:r>
      <w:r w:rsidR="007118AC">
        <w:t>between</w:t>
      </w:r>
      <w:r w:rsidR="00E4582E">
        <w:t xml:space="preserve"> </w:t>
      </w:r>
      <w:r w:rsidR="000216BF">
        <w:t>entity resourcing and financial statements</w:t>
      </w:r>
    </w:p>
    <w:p w14:paraId="3C3C9587" w14:textId="77777777" w:rsidR="00685B9E" w:rsidRPr="00A72FC6" w:rsidRDefault="00685B9E" w:rsidP="00685B9E">
      <w:pPr>
        <w:rPr>
          <w:i/>
        </w:rPr>
      </w:pPr>
      <w:r w:rsidRPr="00A72FC6">
        <w:t xml:space="preserve">There are no material differences between </w:t>
      </w:r>
      <w:r>
        <w:t>entity</w:t>
      </w:r>
      <w:r w:rsidRPr="00A72FC6">
        <w:t xml:space="preserve"> resourcing and financial statements.</w:t>
      </w:r>
    </w:p>
    <w:p w14:paraId="33FE112B" w14:textId="12F181B8" w:rsidR="00E4582E" w:rsidRDefault="00A23BC2" w:rsidP="00E4582E">
      <w:pPr>
        <w:pStyle w:val="Heading4"/>
      </w:pPr>
      <w:r>
        <w:t>3.</w:t>
      </w:r>
      <w:r w:rsidR="007118AC">
        <w:t>1</w:t>
      </w:r>
      <w:r>
        <w:t>.2</w:t>
      </w:r>
      <w:r w:rsidR="005F29CD">
        <w:tab/>
      </w:r>
      <w:r w:rsidR="003B7C64">
        <w:t xml:space="preserve">Explanatory notes and analysis </w:t>
      </w:r>
      <w:r w:rsidR="00E4582E">
        <w:t xml:space="preserve">of </w:t>
      </w:r>
      <w:r w:rsidR="000216BF">
        <w:t>budgeted financial statements</w:t>
      </w:r>
    </w:p>
    <w:p w14:paraId="21BF215D" w14:textId="60BF34C2" w:rsidR="00685B9E" w:rsidRDefault="00685B9E" w:rsidP="00116C6A">
      <w:pPr>
        <w:autoSpaceDE w:val="0"/>
        <w:autoSpaceDN w:val="0"/>
        <w:adjustRightInd w:val="0"/>
        <w:spacing w:after="0" w:line="240" w:lineRule="auto"/>
      </w:pPr>
      <w:r w:rsidRPr="006E4277">
        <w:t>The AUASB have an arrangement where the AASB provides corporate services for both</w:t>
      </w:r>
      <w:r w:rsidR="00116C6A">
        <w:t xml:space="preserve"> </w:t>
      </w:r>
      <w:r w:rsidRPr="006E4277">
        <w:t>entities. Under the arrangement, AASB charges AUASB a management fee for</w:t>
      </w:r>
      <w:r w:rsidR="00116C6A">
        <w:t xml:space="preserve"> </w:t>
      </w:r>
      <w:r w:rsidRPr="006E4277">
        <w:t>providing corporate support.</w:t>
      </w:r>
    </w:p>
    <w:p w14:paraId="2257E599" w14:textId="77777777" w:rsidR="00201B96" w:rsidRDefault="00201B96" w:rsidP="00116C6A">
      <w:pPr>
        <w:autoSpaceDE w:val="0"/>
        <w:autoSpaceDN w:val="0"/>
        <w:adjustRightInd w:val="0"/>
        <w:spacing w:after="0" w:line="240" w:lineRule="auto"/>
      </w:pPr>
    </w:p>
    <w:p w14:paraId="3C6FB6D1" w14:textId="77777777" w:rsidR="00685B9E" w:rsidRDefault="00685B9E" w:rsidP="00116C6A">
      <w:r>
        <w:t>The comprehensive income statement is comprised mainly of employee expenses relating to technical staff and supplier expenses relating to AASB management fee.  These items are projected to be steady over the budget and forwarded years.</w:t>
      </w:r>
    </w:p>
    <w:p w14:paraId="24C53516" w14:textId="77777777" w:rsidR="00685B9E" w:rsidRDefault="00685B9E" w:rsidP="00116C6A">
      <w:r>
        <w:t xml:space="preserve">The balance sheet is predominantly comprised of receivables and provisions relating to the accounting of unspent appropriation and employees. </w:t>
      </w:r>
    </w:p>
    <w:p w14:paraId="3C925992" w14:textId="77777777" w:rsidR="00685B9E" w:rsidRDefault="00685B9E" w:rsidP="00116C6A">
      <w:r>
        <w:t>Other financial items are immaterial in movements.</w:t>
      </w:r>
    </w:p>
    <w:p w14:paraId="01F796E7" w14:textId="77777777" w:rsidR="00E4582E" w:rsidRPr="00D50CD4" w:rsidRDefault="000A6897" w:rsidP="00D50CD4">
      <w:pPr>
        <w:pStyle w:val="Heading3"/>
      </w:pPr>
      <w:r>
        <w:br w:type="page"/>
      </w:r>
      <w:bookmarkStart w:id="35" w:name="_Toc444523518"/>
      <w:r w:rsidR="00E4582E" w:rsidRPr="00D50CD4">
        <w:lastRenderedPageBreak/>
        <w:t>3.2.</w:t>
      </w:r>
      <w:r w:rsidR="005F29CD" w:rsidRPr="00D50CD4">
        <w:tab/>
      </w:r>
      <w:r w:rsidR="00E4582E" w:rsidRPr="00D50CD4">
        <w:t xml:space="preserve">Budgeted </w:t>
      </w:r>
      <w:r w:rsidR="00F626C2" w:rsidRPr="00D50CD4">
        <w:t>financial statements tables</w:t>
      </w:r>
      <w:bookmarkEnd w:id="35"/>
    </w:p>
    <w:p w14:paraId="47F85C65" w14:textId="5979CBCB" w:rsidR="00FB299A" w:rsidRPr="00A124A0" w:rsidRDefault="00E855E0" w:rsidP="00A124A0">
      <w:pPr>
        <w:spacing w:after="0"/>
        <w:rPr>
          <w:rFonts w:ascii="Arial" w:hAnsi="Arial" w:cs="Arial"/>
          <w:b/>
        </w:rPr>
      </w:pPr>
      <w:r w:rsidRPr="00A124A0">
        <w:rPr>
          <w:rFonts w:ascii="Arial" w:hAnsi="Arial" w:cs="Arial"/>
          <w:b/>
        </w:rPr>
        <w:t>Table</w:t>
      </w:r>
      <w:r w:rsidR="00971CBF" w:rsidRPr="00A124A0">
        <w:rPr>
          <w:rFonts w:ascii="Arial" w:hAnsi="Arial" w:cs="Arial"/>
          <w:b/>
        </w:rPr>
        <w:t xml:space="preserve"> 3.</w:t>
      </w:r>
      <w:r w:rsidRPr="00A124A0">
        <w:rPr>
          <w:rFonts w:ascii="Arial" w:hAnsi="Arial" w:cs="Arial"/>
          <w:b/>
        </w:rPr>
        <w:t>1</w:t>
      </w:r>
      <w:r w:rsidR="001352EE" w:rsidRPr="00A124A0">
        <w:rPr>
          <w:rFonts w:ascii="Arial" w:hAnsi="Arial" w:cs="Arial"/>
          <w:b/>
        </w:rPr>
        <w:t>:</w:t>
      </w:r>
      <w:r w:rsidRPr="00A124A0">
        <w:rPr>
          <w:rFonts w:ascii="Arial" w:hAnsi="Arial" w:cs="Arial"/>
          <w:b/>
        </w:rPr>
        <w:t xml:space="preserve"> Comprehensive </w:t>
      </w:r>
      <w:r w:rsidR="00F626C2" w:rsidRPr="00A124A0">
        <w:rPr>
          <w:rFonts w:ascii="Arial" w:hAnsi="Arial" w:cs="Arial"/>
          <w:b/>
        </w:rPr>
        <w:t>income statement (showing net cost of services</w:t>
      </w:r>
      <w:r w:rsidRPr="00A124A0">
        <w:rPr>
          <w:rFonts w:ascii="Arial" w:hAnsi="Arial" w:cs="Arial"/>
          <w:b/>
        </w:rPr>
        <w:t>)</w:t>
      </w:r>
      <w:r w:rsidR="004A1224" w:rsidRPr="00A124A0">
        <w:rPr>
          <w:rFonts w:ascii="Arial" w:hAnsi="Arial" w:cs="Arial"/>
          <w:b/>
        </w:rPr>
        <w:t xml:space="preserve"> </w:t>
      </w:r>
      <w:r w:rsidR="00E4582E" w:rsidRPr="00A124A0">
        <w:rPr>
          <w:rFonts w:ascii="Arial" w:hAnsi="Arial" w:cs="Arial"/>
          <w:b/>
          <w:snapToGrid w:val="0"/>
        </w:rPr>
        <w:t>for the period ended 30 June</w:t>
      </w:r>
    </w:p>
    <w:tbl>
      <w:tblPr>
        <w:tblW w:w="5000" w:type="pct"/>
        <w:tblLook w:val="04A0" w:firstRow="1" w:lastRow="0" w:firstColumn="1" w:lastColumn="0" w:noHBand="0" w:noVBand="1"/>
      </w:tblPr>
      <w:tblGrid>
        <w:gridCol w:w="3295"/>
        <w:gridCol w:w="974"/>
        <w:gridCol w:w="861"/>
        <w:gridCol w:w="860"/>
        <w:gridCol w:w="860"/>
        <w:gridCol w:w="860"/>
      </w:tblGrid>
      <w:tr w:rsidR="00FB299A" w:rsidRPr="00FB299A" w14:paraId="2D50DCA3" w14:textId="77777777" w:rsidTr="005D1868">
        <w:trPr>
          <w:divId w:val="715278116"/>
          <w:trHeight w:val="900"/>
        </w:trPr>
        <w:tc>
          <w:tcPr>
            <w:tcW w:w="2136" w:type="pct"/>
            <w:tcBorders>
              <w:top w:val="single" w:sz="4" w:space="0" w:color="auto"/>
              <w:left w:val="nil"/>
              <w:bottom w:val="nil"/>
              <w:right w:val="nil"/>
            </w:tcBorders>
            <w:shd w:val="clear" w:color="auto" w:fill="auto"/>
            <w:noWrap/>
            <w:hideMark/>
          </w:tcPr>
          <w:p w14:paraId="5538F47E" w14:textId="0090A436" w:rsidR="00FB299A" w:rsidRPr="00FB299A" w:rsidRDefault="00FB299A" w:rsidP="00FB299A">
            <w:pPr>
              <w:rPr>
                <w:rFonts w:ascii="Arial" w:hAnsi="Arial" w:cs="Arial"/>
                <w:b/>
                <w:bCs/>
                <w:sz w:val="16"/>
                <w:szCs w:val="16"/>
              </w:rPr>
            </w:pPr>
            <w:r w:rsidRPr="00FB299A">
              <w:rPr>
                <w:rFonts w:ascii="Arial" w:hAnsi="Arial" w:cs="Arial"/>
                <w:b/>
                <w:bCs/>
                <w:sz w:val="16"/>
                <w:szCs w:val="16"/>
              </w:rPr>
              <w:t> </w:t>
            </w:r>
          </w:p>
        </w:tc>
        <w:tc>
          <w:tcPr>
            <w:tcW w:w="631" w:type="pct"/>
            <w:tcBorders>
              <w:top w:val="single" w:sz="4" w:space="0" w:color="auto"/>
              <w:left w:val="nil"/>
              <w:bottom w:val="single" w:sz="4" w:space="0" w:color="auto"/>
              <w:right w:val="nil"/>
            </w:tcBorders>
            <w:shd w:val="clear" w:color="auto" w:fill="auto"/>
            <w:vAlign w:val="center"/>
            <w:hideMark/>
          </w:tcPr>
          <w:p w14:paraId="050857F9" w14:textId="77777777" w:rsidR="00FB299A" w:rsidRPr="00FB299A" w:rsidRDefault="00FB299A" w:rsidP="005D1868">
            <w:pPr>
              <w:spacing w:after="0" w:line="240" w:lineRule="auto"/>
              <w:jc w:val="right"/>
              <w:rPr>
                <w:rFonts w:ascii="Arial" w:hAnsi="Arial" w:cs="Arial"/>
                <w:sz w:val="16"/>
                <w:szCs w:val="16"/>
              </w:rPr>
            </w:pPr>
            <w:r w:rsidRPr="00FB299A">
              <w:rPr>
                <w:rFonts w:ascii="Arial" w:hAnsi="Arial" w:cs="Arial"/>
                <w:sz w:val="16"/>
                <w:szCs w:val="16"/>
              </w:rPr>
              <w:t>2019-20 Estimated actual</w:t>
            </w:r>
            <w:r w:rsidRPr="00FB299A">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000000" w:fill="E6E6E6"/>
            <w:vAlign w:val="center"/>
            <w:hideMark/>
          </w:tcPr>
          <w:p w14:paraId="2C23A8E6" w14:textId="77777777" w:rsidR="00FB299A" w:rsidRPr="00FB299A" w:rsidRDefault="00FB299A" w:rsidP="005D1868">
            <w:pPr>
              <w:spacing w:after="0" w:line="240" w:lineRule="auto"/>
              <w:jc w:val="right"/>
              <w:rPr>
                <w:rFonts w:ascii="Arial" w:hAnsi="Arial" w:cs="Arial"/>
                <w:sz w:val="16"/>
                <w:szCs w:val="16"/>
              </w:rPr>
            </w:pPr>
            <w:r w:rsidRPr="00FB299A">
              <w:rPr>
                <w:rFonts w:ascii="Arial" w:hAnsi="Arial" w:cs="Arial"/>
                <w:sz w:val="16"/>
                <w:szCs w:val="16"/>
              </w:rPr>
              <w:t>2020-21</w:t>
            </w:r>
            <w:r w:rsidRPr="00FB299A">
              <w:rPr>
                <w:rFonts w:ascii="Arial" w:hAnsi="Arial" w:cs="Arial"/>
                <w:sz w:val="16"/>
                <w:szCs w:val="16"/>
              </w:rPr>
              <w:br/>
              <w:t>Budget</w:t>
            </w:r>
            <w:r w:rsidRPr="00FB299A">
              <w:rPr>
                <w:rFonts w:ascii="Arial" w:hAnsi="Arial" w:cs="Arial"/>
                <w:sz w:val="16"/>
                <w:szCs w:val="16"/>
              </w:rPr>
              <w:br/>
            </w:r>
            <w:r w:rsidRPr="00FB299A">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center"/>
            <w:hideMark/>
          </w:tcPr>
          <w:p w14:paraId="6F13574B" w14:textId="77777777" w:rsidR="00FB299A" w:rsidRPr="00FB299A" w:rsidRDefault="00FB299A" w:rsidP="005D1868">
            <w:pPr>
              <w:spacing w:after="0" w:line="240" w:lineRule="auto"/>
              <w:jc w:val="right"/>
              <w:rPr>
                <w:rFonts w:ascii="Arial" w:hAnsi="Arial" w:cs="Arial"/>
                <w:sz w:val="16"/>
                <w:szCs w:val="16"/>
              </w:rPr>
            </w:pPr>
            <w:r w:rsidRPr="00FB299A">
              <w:rPr>
                <w:rFonts w:ascii="Arial" w:hAnsi="Arial" w:cs="Arial"/>
                <w:sz w:val="16"/>
                <w:szCs w:val="16"/>
              </w:rPr>
              <w:t>2021-22 Forward estimate</w:t>
            </w:r>
            <w:r w:rsidRPr="00FB299A">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center"/>
            <w:hideMark/>
          </w:tcPr>
          <w:p w14:paraId="5408CCFC" w14:textId="77777777" w:rsidR="00FB299A" w:rsidRPr="00FB299A" w:rsidRDefault="00FB299A" w:rsidP="005D1868">
            <w:pPr>
              <w:spacing w:after="0" w:line="240" w:lineRule="auto"/>
              <w:jc w:val="right"/>
              <w:rPr>
                <w:rFonts w:ascii="Arial" w:hAnsi="Arial" w:cs="Arial"/>
                <w:sz w:val="16"/>
                <w:szCs w:val="16"/>
              </w:rPr>
            </w:pPr>
            <w:r w:rsidRPr="00FB299A">
              <w:rPr>
                <w:rFonts w:ascii="Arial" w:hAnsi="Arial" w:cs="Arial"/>
                <w:sz w:val="16"/>
                <w:szCs w:val="16"/>
              </w:rPr>
              <w:t>2022-23 Forward estimate</w:t>
            </w:r>
            <w:r w:rsidRPr="00FB299A">
              <w:rPr>
                <w:rFonts w:ascii="Arial" w:hAnsi="Arial" w:cs="Arial"/>
                <w:sz w:val="16"/>
                <w:szCs w:val="16"/>
              </w:rPr>
              <w:br/>
              <w:t>$'000</w:t>
            </w:r>
          </w:p>
        </w:tc>
        <w:tc>
          <w:tcPr>
            <w:tcW w:w="558" w:type="pct"/>
            <w:tcBorders>
              <w:top w:val="single" w:sz="4" w:space="0" w:color="auto"/>
              <w:left w:val="nil"/>
              <w:bottom w:val="single" w:sz="4" w:space="0" w:color="auto"/>
              <w:right w:val="nil"/>
            </w:tcBorders>
            <w:shd w:val="clear" w:color="auto" w:fill="auto"/>
            <w:vAlign w:val="center"/>
            <w:hideMark/>
          </w:tcPr>
          <w:p w14:paraId="70ACB962" w14:textId="77777777" w:rsidR="00FB299A" w:rsidRPr="00FB299A" w:rsidRDefault="00FB299A" w:rsidP="005D1868">
            <w:pPr>
              <w:spacing w:after="0" w:line="240" w:lineRule="auto"/>
              <w:jc w:val="right"/>
              <w:rPr>
                <w:rFonts w:ascii="Arial" w:hAnsi="Arial" w:cs="Arial"/>
                <w:sz w:val="16"/>
                <w:szCs w:val="16"/>
              </w:rPr>
            </w:pPr>
            <w:r w:rsidRPr="00FB299A">
              <w:rPr>
                <w:rFonts w:ascii="Arial" w:hAnsi="Arial" w:cs="Arial"/>
                <w:sz w:val="16"/>
                <w:szCs w:val="16"/>
              </w:rPr>
              <w:t>2023-24</w:t>
            </w:r>
            <w:r w:rsidRPr="00FB299A">
              <w:rPr>
                <w:rFonts w:ascii="Arial" w:hAnsi="Arial" w:cs="Arial"/>
                <w:sz w:val="16"/>
                <w:szCs w:val="16"/>
              </w:rPr>
              <w:br/>
              <w:t>Forward estimate</w:t>
            </w:r>
            <w:r w:rsidRPr="00FB299A">
              <w:rPr>
                <w:rFonts w:ascii="Arial" w:hAnsi="Arial" w:cs="Arial"/>
                <w:sz w:val="16"/>
                <w:szCs w:val="16"/>
              </w:rPr>
              <w:br/>
              <w:t>$'000</w:t>
            </w:r>
          </w:p>
        </w:tc>
      </w:tr>
      <w:tr w:rsidR="00FB299A" w:rsidRPr="00FB299A" w14:paraId="70F7B432" w14:textId="77777777" w:rsidTr="00FB299A">
        <w:trPr>
          <w:divId w:val="715278116"/>
          <w:trHeight w:val="225"/>
        </w:trPr>
        <w:tc>
          <w:tcPr>
            <w:tcW w:w="2136" w:type="pct"/>
            <w:tcBorders>
              <w:top w:val="nil"/>
              <w:left w:val="nil"/>
              <w:bottom w:val="nil"/>
              <w:right w:val="nil"/>
            </w:tcBorders>
            <w:shd w:val="clear" w:color="auto" w:fill="auto"/>
            <w:noWrap/>
            <w:hideMark/>
          </w:tcPr>
          <w:p w14:paraId="122D32C2" w14:textId="77777777" w:rsidR="00FB299A" w:rsidRPr="00FB299A" w:rsidRDefault="00FB299A" w:rsidP="00FB299A">
            <w:pPr>
              <w:spacing w:after="0" w:line="240" w:lineRule="auto"/>
              <w:jc w:val="left"/>
              <w:rPr>
                <w:rFonts w:ascii="Arial" w:hAnsi="Arial" w:cs="Arial"/>
                <w:b/>
                <w:bCs/>
                <w:sz w:val="16"/>
                <w:szCs w:val="16"/>
              </w:rPr>
            </w:pPr>
            <w:r w:rsidRPr="00FB299A">
              <w:rPr>
                <w:rFonts w:ascii="Arial" w:hAnsi="Arial" w:cs="Arial"/>
                <w:b/>
                <w:bCs/>
                <w:sz w:val="16"/>
                <w:szCs w:val="16"/>
              </w:rPr>
              <w:t>EXPENSES</w:t>
            </w:r>
          </w:p>
        </w:tc>
        <w:tc>
          <w:tcPr>
            <w:tcW w:w="631" w:type="pct"/>
            <w:tcBorders>
              <w:top w:val="nil"/>
              <w:left w:val="nil"/>
              <w:bottom w:val="nil"/>
              <w:right w:val="nil"/>
            </w:tcBorders>
            <w:shd w:val="clear" w:color="auto" w:fill="auto"/>
            <w:noWrap/>
            <w:hideMark/>
          </w:tcPr>
          <w:p w14:paraId="6B00F246" w14:textId="77777777" w:rsidR="00FB299A" w:rsidRPr="00FB299A" w:rsidRDefault="00FB299A" w:rsidP="00FB299A">
            <w:pPr>
              <w:spacing w:after="0" w:line="240" w:lineRule="auto"/>
              <w:jc w:val="left"/>
              <w:rPr>
                <w:rFonts w:ascii="Arial" w:hAnsi="Arial" w:cs="Arial"/>
                <w:b/>
                <w:bCs/>
                <w:sz w:val="16"/>
                <w:szCs w:val="16"/>
              </w:rPr>
            </w:pPr>
          </w:p>
        </w:tc>
        <w:tc>
          <w:tcPr>
            <w:tcW w:w="558" w:type="pct"/>
            <w:tcBorders>
              <w:top w:val="nil"/>
              <w:left w:val="nil"/>
              <w:bottom w:val="nil"/>
              <w:right w:val="nil"/>
            </w:tcBorders>
            <w:shd w:val="clear" w:color="000000" w:fill="E6E6E6"/>
            <w:noWrap/>
            <w:hideMark/>
          </w:tcPr>
          <w:p w14:paraId="1E5B514E" w14:textId="77777777" w:rsidR="00FB299A" w:rsidRPr="00FB299A" w:rsidRDefault="00FB299A" w:rsidP="00FB299A">
            <w:pPr>
              <w:spacing w:after="0" w:line="240" w:lineRule="auto"/>
              <w:jc w:val="right"/>
              <w:rPr>
                <w:rFonts w:ascii="Arial" w:hAnsi="Arial" w:cs="Arial"/>
                <w:b/>
                <w:bCs/>
                <w:sz w:val="16"/>
                <w:szCs w:val="16"/>
              </w:rPr>
            </w:pPr>
            <w:r w:rsidRPr="00FB299A">
              <w:rPr>
                <w:rFonts w:ascii="Arial" w:hAnsi="Arial" w:cs="Arial"/>
                <w:b/>
                <w:bCs/>
                <w:sz w:val="16"/>
                <w:szCs w:val="16"/>
              </w:rPr>
              <w:t> </w:t>
            </w:r>
          </w:p>
        </w:tc>
        <w:tc>
          <w:tcPr>
            <w:tcW w:w="558" w:type="pct"/>
            <w:tcBorders>
              <w:top w:val="nil"/>
              <w:left w:val="nil"/>
              <w:bottom w:val="nil"/>
              <w:right w:val="nil"/>
            </w:tcBorders>
            <w:shd w:val="clear" w:color="auto" w:fill="auto"/>
            <w:noWrap/>
            <w:hideMark/>
          </w:tcPr>
          <w:p w14:paraId="304AEA24" w14:textId="77777777" w:rsidR="00FB299A" w:rsidRPr="00FB299A" w:rsidRDefault="00FB299A" w:rsidP="00FB299A">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hideMark/>
          </w:tcPr>
          <w:p w14:paraId="45052186" w14:textId="77777777" w:rsidR="00FB299A" w:rsidRPr="00FB299A" w:rsidRDefault="00FB299A" w:rsidP="00FB299A">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hideMark/>
          </w:tcPr>
          <w:p w14:paraId="70E3DF3A" w14:textId="77777777" w:rsidR="00FB299A" w:rsidRPr="00FB299A" w:rsidRDefault="00FB299A" w:rsidP="00FB299A">
            <w:pPr>
              <w:spacing w:after="0" w:line="240" w:lineRule="auto"/>
              <w:jc w:val="right"/>
              <w:rPr>
                <w:rFonts w:ascii="Times New Roman" w:hAnsi="Times New Roman"/>
              </w:rPr>
            </w:pPr>
          </w:p>
        </w:tc>
      </w:tr>
      <w:tr w:rsidR="00FB299A" w:rsidRPr="00FB299A" w14:paraId="5B63A784" w14:textId="77777777" w:rsidTr="00A54CAE">
        <w:trPr>
          <w:divId w:val="715278116"/>
          <w:trHeight w:val="225"/>
        </w:trPr>
        <w:tc>
          <w:tcPr>
            <w:tcW w:w="2136" w:type="pct"/>
            <w:tcBorders>
              <w:top w:val="nil"/>
              <w:left w:val="nil"/>
              <w:bottom w:val="nil"/>
              <w:right w:val="nil"/>
            </w:tcBorders>
            <w:shd w:val="clear" w:color="auto" w:fill="auto"/>
            <w:noWrap/>
            <w:hideMark/>
          </w:tcPr>
          <w:p w14:paraId="69C8D361" w14:textId="77777777" w:rsidR="00FB299A" w:rsidRPr="00FB299A" w:rsidRDefault="00FB299A" w:rsidP="00FB299A">
            <w:pPr>
              <w:spacing w:after="0" w:line="240" w:lineRule="auto"/>
              <w:ind w:firstLineChars="100" w:firstLine="160"/>
              <w:jc w:val="left"/>
              <w:rPr>
                <w:rFonts w:ascii="Arial" w:hAnsi="Arial" w:cs="Arial"/>
                <w:sz w:val="16"/>
                <w:szCs w:val="16"/>
              </w:rPr>
            </w:pPr>
            <w:r w:rsidRPr="00FB299A">
              <w:rPr>
                <w:rFonts w:ascii="Arial" w:hAnsi="Arial" w:cs="Arial"/>
                <w:sz w:val="16"/>
                <w:szCs w:val="16"/>
              </w:rPr>
              <w:t>Employee benefits</w:t>
            </w:r>
          </w:p>
        </w:tc>
        <w:tc>
          <w:tcPr>
            <w:tcW w:w="631" w:type="pct"/>
            <w:tcBorders>
              <w:top w:val="nil"/>
              <w:left w:val="nil"/>
              <w:bottom w:val="nil"/>
              <w:right w:val="nil"/>
            </w:tcBorders>
            <w:shd w:val="clear" w:color="auto" w:fill="auto"/>
            <w:noWrap/>
            <w:vAlign w:val="bottom"/>
            <w:hideMark/>
          </w:tcPr>
          <w:p w14:paraId="58621BC2"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2,682 </w:t>
            </w:r>
          </w:p>
        </w:tc>
        <w:tc>
          <w:tcPr>
            <w:tcW w:w="558" w:type="pct"/>
            <w:tcBorders>
              <w:top w:val="nil"/>
              <w:left w:val="nil"/>
              <w:bottom w:val="nil"/>
              <w:right w:val="nil"/>
            </w:tcBorders>
            <w:shd w:val="clear" w:color="000000" w:fill="E6E6E6"/>
            <w:noWrap/>
            <w:vAlign w:val="bottom"/>
            <w:hideMark/>
          </w:tcPr>
          <w:p w14:paraId="46CFD46B"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3,320 </w:t>
            </w:r>
          </w:p>
        </w:tc>
        <w:tc>
          <w:tcPr>
            <w:tcW w:w="558" w:type="pct"/>
            <w:tcBorders>
              <w:top w:val="nil"/>
              <w:left w:val="nil"/>
              <w:bottom w:val="nil"/>
              <w:right w:val="nil"/>
            </w:tcBorders>
            <w:shd w:val="clear" w:color="auto" w:fill="auto"/>
            <w:noWrap/>
            <w:vAlign w:val="bottom"/>
            <w:hideMark/>
          </w:tcPr>
          <w:p w14:paraId="2E14D8C6"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3,386 </w:t>
            </w:r>
          </w:p>
        </w:tc>
        <w:tc>
          <w:tcPr>
            <w:tcW w:w="558" w:type="pct"/>
            <w:tcBorders>
              <w:top w:val="nil"/>
              <w:left w:val="nil"/>
              <w:bottom w:val="nil"/>
              <w:right w:val="nil"/>
            </w:tcBorders>
            <w:shd w:val="clear" w:color="auto" w:fill="auto"/>
            <w:noWrap/>
            <w:vAlign w:val="bottom"/>
            <w:hideMark/>
          </w:tcPr>
          <w:p w14:paraId="70CCFDD7"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3,386 </w:t>
            </w:r>
          </w:p>
        </w:tc>
        <w:tc>
          <w:tcPr>
            <w:tcW w:w="558" w:type="pct"/>
            <w:tcBorders>
              <w:top w:val="nil"/>
              <w:left w:val="nil"/>
              <w:bottom w:val="nil"/>
              <w:right w:val="nil"/>
            </w:tcBorders>
            <w:shd w:val="clear" w:color="auto" w:fill="auto"/>
            <w:noWrap/>
            <w:vAlign w:val="bottom"/>
            <w:hideMark/>
          </w:tcPr>
          <w:p w14:paraId="0333201D"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3,490 </w:t>
            </w:r>
          </w:p>
        </w:tc>
      </w:tr>
      <w:tr w:rsidR="00FB299A" w:rsidRPr="00FB299A" w14:paraId="52A7EB8B" w14:textId="77777777" w:rsidTr="00A54CAE">
        <w:trPr>
          <w:divId w:val="715278116"/>
          <w:trHeight w:val="225"/>
        </w:trPr>
        <w:tc>
          <w:tcPr>
            <w:tcW w:w="2136" w:type="pct"/>
            <w:tcBorders>
              <w:top w:val="nil"/>
              <w:left w:val="nil"/>
              <w:bottom w:val="nil"/>
              <w:right w:val="nil"/>
            </w:tcBorders>
            <w:shd w:val="clear" w:color="auto" w:fill="auto"/>
            <w:noWrap/>
            <w:hideMark/>
          </w:tcPr>
          <w:p w14:paraId="191E4887" w14:textId="77777777" w:rsidR="00FB299A" w:rsidRPr="00FB299A" w:rsidRDefault="00FB299A" w:rsidP="00FB299A">
            <w:pPr>
              <w:spacing w:after="0" w:line="240" w:lineRule="auto"/>
              <w:ind w:firstLineChars="100" w:firstLine="160"/>
              <w:jc w:val="left"/>
              <w:rPr>
                <w:rFonts w:ascii="Arial" w:hAnsi="Arial" w:cs="Arial"/>
                <w:sz w:val="16"/>
                <w:szCs w:val="16"/>
              </w:rPr>
            </w:pPr>
            <w:r w:rsidRPr="00FB299A">
              <w:rPr>
                <w:rFonts w:ascii="Arial" w:hAnsi="Arial" w:cs="Arial"/>
                <w:sz w:val="16"/>
                <w:szCs w:val="16"/>
              </w:rPr>
              <w:t>Suppliers</w:t>
            </w:r>
          </w:p>
        </w:tc>
        <w:tc>
          <w:tcPr>
            <w:tcW w:w="631" w:type="pct"/>
            <w:tcBorders>
              <w:top w:val="nil"/>
              <w:left w:val="nil"/>
              <w:bottom w:val="nil"/>
              <w:right w:val="nil"/>
            </w:tcBorders>
            <w:shd w:val="clear" w:color="auto" w:fill="auto"/>
            <w:noWrap/>
            <w:vAlign w:val="bottom"/>
            <w:hideMark/>
          </w:tcPr>
          <w:p w14:paraId="39D117CB"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1,481 </w:t>
            </w:r>
          </w:p>
        </w:tc>
        <w:tc>
          <w:tcPr>
            <w:tcW w:w="558" w:type="pct"/>
            <w:tcBorders>
              <w:top w:val="nil"/>
              <w:left w:val="nil"/>
              <w:bottom w:val="nil"/>
              <w:right w:val="nil"/>
            </w:tcBorders>
            <w:shd w:val="clear" w:color="000000" w:fill="E6E6E6"/>
            <w:noWrap/>
            <w:vAlign w:val="bottom"/>
            <w:hideMark/>
          </w:tcPr>
          <w:p w14:paraId="258A9BCB"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1,304 </w:t>
            </w:r>
          </w:p>
        </w:tc>
        <w:tc>
          <w:tcPr>
            <w:tcW w:w="558" w:type="pct"/>
            <w:tcBorders>
              <w:top w:val="nil"/>
              <w:left w:val="nil"/>
              <w:bottom w:val="nil"/>
              <w:right w:val="nil"/>
            </w:tcBorders>
            <w:shd w:val="clear" w:color="auto" w:fill="auto"/>
            <w:noWrap/>
            <w:vAlign w:val="bottom"/>
            <w:hideMark/>
          </w:tcPr>
          <w:p w14:paraId="51877471"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1,243 </w:t>
            </w:r>
          </w:p>
        </w:tc>
        <w:tc>
          <w:tcPr>
            <w:tcW w:w="558" w:type="pct"/>
            <w:tcBorders>
              <w:top w:val="nil"/>
              <w:left w:val="nil"/>
              <w:bottom w:val="nil"/>
              <w:right w:val="nil"/>
            </w:tcBorders>
            <w:shd w:val="clear" w:color="auto" w:fill="auto"/>
            <w:noWrap/>
            <w:vAlign w:val="bottom"/>
            <w:hideMark/>
          </w:tcPr>
          <w:p w14:paraId="548AE7A5"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1,237 </w:t>
            </w:r>
          </w:p>
        </w:tc>
        <w:tc>
          <w:tcPr>
            <w:tcW w:w="558" w:type="pct"/>
            <w:tcBorders>
              <w:top w:val="nil"/>
              <w:left w:val="nil"/>
              <w:bottom w:val="nil"/>
              <w:right w:val="nil"/>
            </w:tcBorders>
            <w:shd w:val="clear" w:color="auto" w:fill="auto"/>
            <w:noWrap/>
            <w:vAlign w:val="bottom"/>
            <w:hideMark/>
          </w:tcPr>
          <w:p w14:paraId="6FE5818D"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1,045 </w:t>
            </w:r>
          </w:p>
        </w:tc>
      </w:tr>
      <w:tr w:rsidR="00FB299A" w:rsidRPr="00FB299A" w14:paraId="3C6516C0" w14:textId="77777777" w:rsidTr="00A54CAE">
        <w:trPr>
          <w:divId w:val="715278116"/>
          <w:trHeight w:val="225"/>
        </w:trPr>
        <w:tc>
          <w:tcPr>
            <w:tcW w:w="2136" w:type="pct"/>
            <w:tcBorders>
              <w:top w:val="nil"/>
              <w:left w:val="nil"/>
              <w:bottom w:val="nil"/>
              <w:right w:val="nil"/>
            </w:tcBorders>
            <w:shd w:val="clear" w:color="auto" w:fill="auto"/>
            <w:noWrap/>
            <w:hideMark/>
          </w:tcPr>
          <w:p w14:paraId="0F040DF0" w14:textId="77777777" w:rsidR="00FB299A" w:rsidRPr="00FB299A" w:rsidRDefault="00FB299A" w:rsidP="00FB299A">
            <w:pPr>
              <w:spacing w:after="0" w:line="240" w:lineRule="auto"/>
              <w:ind w:firstLineChars="100" w:firstLine="160"/>
              <w:jc w:val="left"/>
              <w:rPr>
                <w:rFonts w:ascii="Arial" w:hAnsi="Arial" w:cs="Arial"/>
                <w:sz w:val="16"/>
                <w:szCs w:val="16"/>
              </w:rPr>
            </w:pPr>
            <w:r w:rsidRPr="00FB299A">
              <w:rPr>
                <w:rFonts w:ascii="Arial" w:hAnsi="Arial" w:cs="Arial"/>
                <w:sz w:val="16"/>
                <w:szCs w:val="16"/>
              </w:rPr>
              <w:t>Depreciation and amortisation (a)</w:t>
            </w:r>
          </w:p>
        </w:tc>
        <w:tc>
          <w:tcPr>
            <w:tcW w:w="631" w:type="pct"/>
            <w:tcBorders>
              <w:top w:val="nil"/>
              <w:left w:val="nil"/>
              <w:bottom w:val="nil"/>
              <w:right w:val="nil"/>
            </w:tcBorders>
            <w:shd w:val="clear" w:color="auto" w:fill="auto"/>
            <w:noWrap/>
            <w:vAlign w:val="bottom"/>
            <w:hideMark/>
          </w:tcPr>
          <w:p w14:paraId="29976CE2"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251 </w:t>
            </w:r>
          </w:p>
        </w:tc>
        <w:tc>
          <w:tcPr>
            <w:tcW w:w="558" w:type="pct"/>
            <w:tcBorders>
              <w:top w:val="nil"/>
              <w:left w:val="nil"/>
              <w:bottom w:val="nil"/>
              <w:right w:val="nil"/>
            </w:tcBorders>
            <w:shd w:val="clear" w:color="000000" w:fill="E6E6E6"/>
            <w:noWrap/>
            <w:vAlign w:val="bottom"/>
            <w:hideMark/>
          </w:tcPr>
          <w:p w14:paraId="3138D286"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243 </w:t>
            </w:r>
          </w:p>
        </w:tc>
        <w:tc>
          <w:tcPr>
            <w:tcW w:w="558" w:type="pct"/>
            <w:tcBorders>
              <w:top w:val="nil"/>
              <w:left w:val="nil"/>
              <w:bottom w:val="nil"/>
              <w:right w:val="nil"/>
            </w:tcBorders>
            <w:shd w:val="clear" w:color="auto" w:fill="auto"/>
            <w:noWrap/>
            <w:vAlign w:val="bottom"/>
            <w:hideMark/>
          </w:tcPr>
          <w:p w14:paraId="6BF12FE6"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250 </w:t>
            </w:r>
          </w:p>
        </w:tc>
        <w:tc>
          <w:tcPr>
            <w:tcW w:w="558" w:type="pct"/>
            <w:tcBorders>
              <w:top w:val="nil"/>
              <w:left w:val="nil"/>
              <w:bottom w:val="nil"/>
              <w:right w:val="nil"/>
            </w:tcBorders>
            <w:shd w:val="clear" w:color="auto" w:fill="auto"/>
            <w:noWrap/>
            <w:vAlign w:val="bottom"/>
            <w:hideMark/>
          </w:tcPr>
          <w:p w14:paraId="1EC786DD"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257 </w:t>
            </w:r>
          </w:p>
        </w:tc>
        <w:tc>
          <w:tcPr>
            <w:tcW w:w="558" w:type="pct"/>
            <w:tcBorders>
              <w:top w:val="nil"/>
              <w:left w:val="nil"/>
              <w:bottom w:val="nil"/>
              <w:right w:val="nil"/>
            </w:tcBorders>
            <w:shd w:val="clear" w:color="auto" w:fill="auto"/>
            <w:noWrap/>
            <w:vAlign w:val="bottom"/>
            <w:hideMark/>
          </w:tcPr>
          <w:p w14:paraId="678D8CF2"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259 </w:t>
            </w:r>
          </w:p>
        </w:tc>
      </w:tr>
      <w:tr w:rsidR="00FB299A" w:rsidRPr="00FB299A" w14:paraId="397DA27B" w14:textId="77777777" w:rsidTr="00A54CAE">
        <w:trPr>
          <w:divId w:val="715278116"/>
          <w:trHeight w:val="225"/>
        </w:trPr>
        <w:tc>
          <w:tcPr>
            <w:tcW w:w="2136" w:type="pct"/>
            <w:tcBorders>
              <w:top w:val="nil"/>
              <w:left w:val="nil"/>
              <w:bottom w:val="nil"/>
              <w:right w:val="nil"/>
            </w:tcBorders>
            <w:shd w:val="clear" w:color="auto" w:fill="auto"/>
            <w:noWrap/>
            <w:hideMark/>
          </w:tcPr>
          <w:p w14:paraId="0D26A0BD" w14:textId="77777777" w:rsidR="00FB299A" w:rsidRPr="00FB299A" w:rsidRDefault="00FB299A" w:rsidP="00FB299A">
            <w:pPr>
              <w:spacing w:after="0" w:line="240" w:lineRule="auto"/>
              <w:ind w:firstLineChars="100" w:firstLine="160"/>
              <w:jc w:val="left"/>
              <w:rPr>
                <w:rFonts w:ascii="Arial" w:hAnsi="Arial" w:cs="Arial"/>
                <w:sz w:val="16"/>
                <w:szCs w:val="16"/>
              </w:rPr>
            </w:pPr>
            <w:r w:rsidRPr="00FB299A">
              <w:rPr>
                <w:rFonts w:ascii="Arial" w:hAnsi="Arial" w:cs="Arial"/>
                <w:sz w:val="16"/>
                <w:szCs w:val="16"/>
              </w:rPr>
              <w:t>Finance</w:t>
            </w:r>
          </w:p>
        </w:tc>
        <w:tc>
          <w:tcPr>
            <w:tcW w:w="631" w:type="pct"/>
            <w:tcBorders>
              <w:top w:val="nil"/>
              <w:left w:val="nil"/>
              <w:bottom w:val="nil"/>
              <w:right w:val="nil"/>
            </w:tcBorders>
            <w:shd w:val="clear" w:color="auto" w:fill="auto"/>
            <w:noWrap/>
            <w:vAlign w:val="bottom"/>
            <w:hideMark/>
          </w:tcPr>
          <w:p w14:paraId="1DF13619"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4 </w:t>
            </w:r>
          </w:p>
        </w:tc>
        <w:tc>
          <w:tcPr>
            <w:tcW w:w="558" w:type="pct"/>
            <w:tcBorders>
              <w:top w:val="nil"/>
              <w:left w:val="nil"/>
              <w:bottom w:val="nil"/>
              <w:right w:val="nil"/>
            </w:tcBorders>
            <w:shd w:val="clear" w:color="000000" w:fill="E6E6E6"/>
            <w:noWrap/>
            <w:vAlign w:val="bottom"/>
            <w:hideMark/>
          </w:tcPr>
          <w:p w14:paraId="49B522D7"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6 </w:t>
            </w:r>
          </w:p>
        </w:tc>
        <w:tc>
          <w:tcPr>
            <w:tcW w:w="558" w:type="pct"/>
            <w:tcBorders>
              <w:top w:val="nil"/>
              <w:left w:val="nil"/>
              <w:bottom w:val="nil"/>
              <w:right w:val="nil"/>
            </w:tcBorders>
            <w:shd w:val="clear" w:color="auto" w:fill="auto"/>
            <w:noWrap/>
            <w:vAlign w:val="bottom"/>
            <w:hideMark/>
          </w:tcPr>
          <w:p w14:paraId="45067011"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6 </w:t>
            </w:r>
          </w:p>
        </w:tc>
        <w:tc>
          <w:tcPr>
            <w:tcW w:w="558" w:type="pct"/>
            <w:tcBorders>
              <w:top w:val="nil"/>
              <w:left w:val="nil"/>
              <w:bottom w:val="nil"/>
              <w:right w:val="nil"/>
            </w:tcBorders>
            <w:shd w:val="clear" w:color="auto" w:fill="auto"/>
            <w:noWrap/>
            <w:vAlign w:val="bottom"/>
            <w:hideMark/>
          </w:tcPr>
          <w:p w14:paraId="23060D7A"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7 </w:t>
            </w:r>
          </w:p>
        </w:tc>
        <w:tc>
          <w:tcPr>
            <w:tcW w:w="558" w:type="pct"/>
            <w:tcBorders>
              <w:top w:val="nil"/>
              <w:left w:val="nil"/>
              <w:bottom w:val="nil"/>
              <w:right w:val="nil"/>
            </w:tcBorders>
            <w:shd w:val="clear" w:color="auto" w:fill="auto"/>
            <w:noWrap/>
            <w:vAlign w:val="bottom"/>
            <w:hideMark/>
          </w:tcPr>
          <w:p w14:paraId="3A3FB7DE"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7 </w:t>
            </w:r>
          </w:p>
        </w:tc>
      </w:tr>
      <w:tr w:rsidR="00FB299A" w:rsidRPr="00FB299A" w14:paraId="34BAD053" w14:textId="77777777" w:rsidTr="00A54CAE">
        <w:trPr>
          <w:divId w:val="715278116"/>
          <w:trHeight w:val="225"/>
        </w:trPr>
        <w:tc>
          <w:tcPr>
            <w:tcW w:w="2136" w:type="pct"/>
            <w:tcBorders>
              <w:top w:val="nil"/>
              <w:left w:val="nil"/>
              <w:bottom w:val="nil"/>
              <w:right w:val="nil"/>
            </w:tcBorders>
            <w:shd w:val="clear" w:color="auto" w:fill="auto"/>
            <w:noWrap/>
            <w:hideMark/>
          </w:tcPr>
          <w:p w14:paraId="23CF1291" w14:textId="77777777" w:rsidR="00FB299A" w:rsidRPr="00FB299A" w:rsidRDefault="00FB299A" w:rsidP="00FB299A">
            <w:pPr>
              <w:spacing w:after="0" w:line="240" w:lineRule="auto"/>
              <w:jc w:val="left"/>
              <w:rPr>
                <w:rFonts w:ascii="Arial" w:hAnsi="Arial" w:cs="Arial"/>
                <w:b/>
                <w:bCs/>
                <w:sz w:val="16"/>
                <w:szCs w:val="16"/>
              </w:rPr>
            </w:pPr>
            <w:r w:rsidRPr="00FB299A">
              <w:rPr>
                <w:rFonts w:ascii="Arial" w:hAnsi="Arial" w:cs="Arial"/>
                <w:b/>
                <w:bCs/>
                <w:sz w:val="16"/>
                <w:szCs w:val="16"/>
              </w:rPr>
              <w:t>Total expenses</w:t>
            </w:r>
          </w:p>
        </w:tc>
        <w:tc>
          <w:tcPr>
            <w:tcW w:w="631" w:type="pct"/>
            <w:tcBorders>
              <w:top w:val="single" w:sz="4" w:space="0" w:color="auto"/>
              <w:left w:val="nil"/>
              <w:bottom w:val="single" w:sz="4" w:space="0" w:color="auto"/>
              <w:right w:val="nil"/>
            </w:tcBorders>
            <w:shd w:val="clear" w:color="auto" w:fill="auto"/>
            <w:noWrap/>
            <w:vAlign w:val="bottom"/>
            <w:hideMark/>
          </w:tcPr>
          <w:p w14:paraId="5A07FBE6"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4,418 </w:t>
            </w:r>
          </w:p>
        </w:tc>
        <w:tc>
          <w:tcPr>
            <w:tcW w:w="558" w:type="pct"/>
            <w:tcBorders>
              <w:top w:val="single" w:sz="4" w:space="0" w:color="auto"/>
              <w:left w:val="nil"/>
              <w:bottom w:val="single" w:sz="4" w:space="0" w:color="auto"/>
              <w:right w:val="nil"/>
            </w:tcBorders>
            <w:shd w:val="clear" w:color="000000" w:fill="E6E6E6"/>
            <w:noWrap/>
            <w:vAlign w:val="bottom"/>
            <w:hideMark/>
          </w:tcPr>
          <w:p w14:paraId="7F577B5F"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4,873 </w:t>
            </w:r>
          </w:p>
        </w:tc>
        <w:tc>
          <w:tcPr>
            <w:tcW w:w="558" w:type="pct"/>
            <w:tcBorders>
              <w:top w:val="single" w:sz="4" w:space="0" w:color="auto"/>
              <w:left w:val="nil"/>
              <w:bottom w:val="single" w:sz="4" w:space="0" w:color="auto"/>
              <w:right w:val="nil"/>
            </w:tcBorders>
            <w:shd w:val="clear" w:color="auto" w:fill="auto"/>
            <w:noWrap/>
            <w:vAlign w:val="bottom"/>
            <w:hideMark/>
          </w:tcPr>
          <w:p w14:paraId="5A24DD07"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4,885 </w:t>
            </w:r>
          </w:p>
        </w:tc>
        <w:tc>
          <w:tcPr>
            <w:tcW w:w="558" w:type="pct"/>
            <w:tcBorders>
              <w:top w:val="single" w:sz="4" w:space="0" w:color="auto"/>
              <w:left w:val="nil"/>
              <w:bottom w:val="single" w:sz="4" w:space="0" w:color="auto"/>
              <w:right w:val="nil"/>
            </w:tcBorders>
            <w:shd w:val="clear" w:color="auto" w:fill="auto"/>
            <w:noWrap/>
            <w:vAlign w:val="bottom"/>
            <w:hideMark/>
          </w:tcPr>
          <w:p w14:paraId="53403693"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4,887 </w:t>
            </w:r>
          </w:p>
        </w:tc>
        <w:tc>
          <w:tcPr>
            <w:tcW w:w="558" w:type="pct"/>
            <w:tcBorders>
              <w:top w:val="single" w:sz="4" w:space="0" w:color="auto"/>
              <w:left w:val="nil"/>
              <w:bottom w:val="single" w:sz="4" w:space="0" w:color="auto"/>
              <w:right w:val="nil"/>
            </w:tcBorders>
            <w:shd w:val="clear" w:color="auto" w:fill="auto"/>
            <w:noWrap/>
            <w:vAlign w:val="bottom"/>
            <w:hideMark/>
          </w:tcPr>
          <w:p w14:paraId="617A87DB"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4,801 </w:t>
            </w:r>
          </w:p>
        </w:tc>
      </w:tr>
      <w:tr w:rsidR="00FB299A" w:rsidRPr="00FB299A" w14:paraId="4E5B2C89" w14:textId="77777777" w:rsidTr="00A54CAE">
        <w:trPr>
          <w:divId w:val="715278116"/>
          <w:trHeight w:val="225"/>
        </w:trPr>
        <w:tc>
          <w:tcPr>
            <w:tcW w:w="2136" w:type="pct"/>
            <w:tcBorders>
              <w:top w:val="nil"/>
              <w:left w:val="nil"/>
              <w:bottom w:val="nil"/>
              <w:right w:val="nil"/>
            </w:tcBorders>
            <w:shd w:val="clear" w:color="auto" w:fill="auto"/>
            <w:noWrap/>
            <w:hideMark/>
          </w:tcPr>
          <w:p w14:paraId="7DD6CBFA" w14:textId="77777777" w:rsidR="00FB299A" w:rsidRPr="00FB299A" w:rsidRDefault="00FB299A" w:rsidP="00FB299A">
            <w:pPr>
              <w:spacing w:after="0" w:line="240" w:lineRule="auto"/>
              <w:jc w:val="left"/>
              <w:rPr>
                <w:rFonts w:ascii="Arial" w:hAnsi="Arial" w:cs="Arial"/>
                <w:b/>
                <w:bCs/>
                <w:sz w:val="16"/>
                <w:szCs w:val="16"/>
              </w:rPr>
            </w:pPr>
            <w:r w:rsidRPr="00FB299A">
              <w:rPr>
                <w:rFonts w:ascii="Arial" w:hAnsi="Arial" w:cs="Arial"/>
                <w:b/>
                <w:bCs/>
                <w:sz w:val="16"/>
                <w:szCs w:val="16"/>
              </w:rPr>
              <w:t xml:space="preserve">LESS: </w:t>
            </w:r>
          </w:p>
        </w:tc>
        <w:tc>
          <w:tcPr>
            <w:tcW w:w="631" w:type="pct"/>
            <w:tcBorders>
              <w:top w:val="nil"/>
              <w:left w:val="nil"/>
              <w:bottom w:val="nil"/>
              <w:right w:val="nil"/>
            </w:tcBorders>
            <w:shd w:val="clear" w:color="auto" w:fill="auto"/>
            <w:noWrap/>
            <w:vAlign w:val="bottom"/>
            <w:hideMark/>
          </w:tcPr>
          <w:p w14:paraId="345C2F21" w14:textId="77777777" w:rsidR="00FB299A" w:rsidRPr="00FB299A" w:rsidRDefault="00FB299A" w:rsidP="00A54CA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4F88E1D3"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w:t>
            </w:r>
          </w:p>
        </w:tc>
        <w:tc>
          <w:tcPr>
            <w:tcW w:w="558" w:type="pct"/>
            <w:tcBorders>
              <w:top w:val="nil"/>
              <w:left w:val="nil"/>
              <w:bottom w:val="nil"/>
              <w:right w:val="nil"/>
            </w:tcBorders>
            <w:shd w:val="clear" w:color="auto" w:fill="auto"/>
            <w:noWrap/>
            <w:vAlign w:val="bottom"/>
            <w:hideMark/>
          </w:tcPr>
          <w:p w14:paraId="514C3784" w14:textId="77777777" w:rsidR="00FB299A" w:rsidRPr="00FB299A" w:rsidRDefault="00FB299A" w:rsidP="00A54CA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vAlign w:val="bottom"/>
            <w:hideMark/>
          </w:tcPr>
          <w:p w14:paraId="73FA90F3" w14:textId="77777777" w:rsidR="00FB299A" w:rsidRPr="00FB299A" w:rsidRDefault="00FB299A" w:rsidP="00A54CAE">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vAlign w:val="bottom"/>
            <w:hideMark/>
          </w:tcPr>
          <w:p w14:paraId="6E97BDD9" w14:textId="77777777" w:rsidR="00FB299A" w:rsidRPr="00FB299A" w:rsidRDefault="00FB299A" w:rsidP="00A54CAE">
            <w:pPr>
              <w:spacing w:after="0" w:line="240" w:lineRule="auto"/>
              <w:jc w:val="right"/>
              <w:rPr>
                <w:rFonts w:ascii="Times New Roman" w:hAnsi="Times New Roman"/>
              </w:rPr>
            </w:pPr>
          </w:p>
        </w:tc>
      </w:tr>
      <w:tr w:rsidR="00FB299A" w:rsidRPr="00FB299A" w14:paraId="7DFAF8D5" w14:textId="77777777" w:rsidTr="00A54CAE">
        <w:trPr>
          <w:divId w:val="715278116"/>
          <w:trHeight w:val="225"/>
        </w:trPr>
        <w:tc>
          <w:tcPr>
            <w:tcW w:w="2136" w:type="pct"/>
            <w:tcBorders>
              <w:top w:val="nil"/>
              <w:left w:val="nil"/>
              <w:bottom w:val="nil"/>
              <w:right w:val="nil"/>
            </w:tcBorders>
            <w:shd w:val="clear" w:color="auto" w:fill="auto"/>
            <w:noWrap/>
            <w:hideMark/>
          </w:tcPr>
          <w:p w14:paraId="1AC8639B" w14:textId="77777777" w:rsidR="00FB299A" w:rsidRPr="00FB299A" w:rsidRDefault="00FB299A" w:rsidP="00FB299A">
            <w:pPr>
              <w:spacing w:after="0" w:line="240" w:lineRule="auto"/>
              <w:jc w:val="left"/>
              <w:rPr>
                <w:rFonts w:ascii="Arial" w:hAnsi="Arial" w:cs="Arial"/>
                <w:b/>
                <w:bCs/>
                <w:sz w:val="16"/>
                <w:szCs w:val="16"/>
              </w:rPr>
            </w:pPr>
            <w:r w:rsidRPr="00FB299A">
              <w:rPr>
                <w:rFonts w:ascii="Arial" w:hAnsi="Arial" w:cs="Arial"/>
                <w:b/>
                <w:bCs/>
                <w:sz w:val="16"/>
                <w:szCs w:val="16"/>
              </w:rPr>
              <w:t>OWN-SOURCE INCOME</w:t>
            </w:r>
          </w:p>
        </w:tc>
        <w:tc>
          <w:tcPr>
            <w:tcW w:w="631" w:type="pct"/>
            <w:tcBorders>
              <w:top w:val="nil"/>
              <w:left w:val="nil"/>
              <w:bottom w:val="nil"/>
              <w:right w:val="nil"/>
            </w:tcBorders>
            <w:shd w:val="clear" w:color="auto" w:fill="auto"/>
            <w:noWrap/>
            <w:vAlign w:val="bottom"/>
            <w:hideMark/>
          </w:tcPr>
          <w:p w14:paraId="14A1F100" w14:textId="77777777" w:rsidR="00FB299A" w:rsidRPr="00FB299A" w:rsidRDefault="00FB299A" w:rsidP="00A54CA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23A74F9D"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w:t>
            </w:r>
          </w:p>
        </w:tc>
        <w:tc>
          <w:tcPr>
            <w:tcW w:w="558" w:type="pct"/>
            <w:tcBorders>
              <w:top w:val="nil"/>
              <w:left w:val="nil"/>
              <w:bottom w:val="nil"/>
              <w:right w:val="nil"/>
            </w:tcBorders>
            <w:shd w:val="clear" w:color="auto" w:fill="auto"/>
            <w:noWrap/>
            <w:vAlign w:val="bottom"/>
            <w:hideMark/>
          </w:tcPr>
          <w:p w14:paraId="64A5FFDE" w14:textId="77777777" w:rsidR="00FB299A" w:rsidRPr="00FB299A" w:rsidRDefault="00FB299A" w:rsidP="00A54CA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vAlign w:val="bottom"/>
            <w:hideMark/>
          </w:tcPr>
          <w:p w14:paraId="4F55CC94" w14:textId="77777777" w:rsidR="00FB299A" w:rsidRPr="00FB299A" w:rsidRDefault="00FB299A" w:rsidP="00A54CAE">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vAlign w:val="bottom"/>
            <w:hideMark/>
          </w:tcPr>
          <w:p w14:paraId="299616F2" w14:textId="77777777" w:rsidR="00FB299A" w:rsidRPr="00FB299A" w:rsidRDefault="00FB299A" w:rsidP="00A54CAE">
            <w:pPr>
              <w:spacing w:after="0" w:line="240" w:lineRule="auto"/>
              <w:jc w:val="right"/>
              <w:rPr>
                <w:rFonts w:ascii="Times New Roman" w:hAnsi="Times New Roman"/>
              </w:rPr>
            </w:pPr>
          </w:p>
        </w:tc>
      </w:tr>
      <w:tr w:rsidR="00FB299A" w:rsidRPr="00FB299A" w14:paraId="54113D25" w14:textId="77777777" w:rsidTr="00A54CAE">
        <w:trPr>
          <w:divId w:val="715278116"/>
          <w:trHeight w:val="225"/>
        </w:trPr>
        <w:tc>
          <w:tcPr>
            <w:tcW w:w="2136" w:type="pct"/>
            <w:tcBorders>
              <w:top w:val="nil"/>
              <w:left w:val="nil"/>
              <w:bottom w:val="nil"/>
              <w:right w:val="nil"/>
            </w:tcBorders>
            <w:shd w:val="clear" w:color="auto" w:fill="auto"/>
            <w:noWrap/>
            <w:hideMark/>
          </w:tcPr>
          <w:p w14:paraId="2029090E" w14:textId="77777777" w:rsidR="00FB299A" w:rsidRPr="00FB299A" w:rsidRDefault="00FB299A" w:rsidP="00FB299A">
            <w:pPr>
              <w:spacing w:after="0" w:line="240" w:lineRule="auto"/>
              <w:jc w:val="left"/>
              <w:rPr>
                <w:rFonts w:ascii="Arial" w:hAnsi="Arial" w:cs="Arial"/>
                <w:b/>
                <w:bCs/>
                <w:sz w:val="16"/>
                <w:szCs w:val="16"/>
              </w:rPr>
            </w:pPr>
            <w:r w:rsidRPr="00FB299A">
              <w:rPr>
                <w:rFonts w:ascii="Arial" w:hAnsi="Arial" w:cs="Arial"/>
                <w:b/>
                <w:bCs/>
                <w:sz w:val="16"/>
                <w:szCs w:val="16"/>
              </w:rPr>
              <w:t>Own-source revenue</w:t>
            </w:r>
          </w:p>
        </w:tc>
        <w:tc>
          <w:tcPr>
            <w:tcW w:w="631" w:type="pct"/>
            <w:tcBorders>
              <w:top w:val="nil"/>
              <w:left w:val="nil"/>
              <w:bottom w:val="nil"/>
              <w:right w:val="nil"/>
            </w:tcBorders>
            <w:shd w:val="clear" w:color="auto" w:fill="auto"/>
            <w:noWrap/>
            <w:vAlign w:val="bottom"/>
            <w:hideMark/>
          </w:tcPr>
          <w:p w14:paraId="614D135C" w14:textId="77777777" w:rsidR="00FB299A" w:rsidRPr="00FB299A" w:rsidRDefault="00FB299A" w:rsidP="00A54CA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64EC8FE1"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w:t>
            </w:r>
          </w:p>
        </w:tc>
        <w:tc>
          <w:tcPr>
            <w:tcW w:w="558" w:type="pct"/>
            <w:tcBorders>
              <w:top w:val="nil"/>
              <w:left w:val="nil"/>
              <w:bottom w:val="nil"/>
              <w:right w:val="nil"/>
            </w:tcBorders>
            <w:shd w:val="clear" w:color="auto" w:fill="auto"/>
            <w:noWrap/>
            <w:vAlign w:val="bottom"/>
            <w:hideMark/>
          </w:tcPr>
          <w:p w14:paraId="6258944F" w14:textId="77777777" w:rsidR="00FB299A" w:rsidRPr="00FB299A" w:rsidRDefault="00FB299A" w:rsidP="00A54CA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vAlign w:val="bottom"/>
            <w:hideMark/>
          </w:tcPr>
          <w:p w14:paraId="7B3E9847" w14:textId="77777777" w:rsidR="00FB299A" w:rsidRPr="00FB299A" w:rsidRDefault="00FB299A" w:rsidP="00A54CAE">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vAlign w:val="bottom"/>
            <w:hideMark/>
          </w:tcPr>
          <w:p w14:paraId="2B64C61E" w14:textId="77777777" w:rsidR="00FB299A" w:rsidRPr="00FB299A" w:rsidRDefault="00FB299A" w:rsidP="00A54CAE">
            <w:pPr>
              <w:spacing w:after="0" w:line="240" w:lineRule="auto"/>
              <w:jc w:val="right"/>
              <w:rPr>
                <w:rFonts w:ascii="Times New Roman" w:hAnsi="Times New Roman"/>
              </w:rPr>
            </w:pPr>
          </w:p>
        </w:tc>
      </w:tr>
      <w:tr w:rsidR="00FB299A" w:rsidRPr="00FB299A" w14:paraId="1E1F41A5" w14:textId="77777777" w:rsidTr="00A54CAE">
        <w:trPr>
          <w:divId w:val="715278116"/>
          <w:trHeight w:val="450"/>
        </w:trPr>
        <w:tc>
          <w:tcPr>
            <w:tcW w:w="2136" w:type="pct"/>
            <w:tcBorders>
              <w:top w:val="nil"/>
              <w:left w:val="nil"/>
              <w:bottom w:val="nil"/>
              <w:right w:val="nil"/>
            </w:tcBorders>
            <w:shd w:val="clear" w:color="auto" w:fill="auto"/>
            <w:hideMark/>
          </w:tcPr>
          <w:p w14:paraId="3463A2E3" w14:textId="77777777" w:rsidR="00FB299A" w:rsidRPr="00FB299A" w:rsidRDefault="00FB299A" w:rsidP="00FB299A">
            <w:pPr>
              <w:spacing w:after="0" w:line="240" w:lineRule="auto"/>
              <w:ind w:firstLineChars="100" w:firstLine="160"/>
              <w:jc w:val="left"/>
              <w:rPr>
                <w:rFonts w:ascii="Arial" w:hAnsi="Arial" w:cs="Arial"/>
                <w:sz w:val="16"/>
                <w:szCs w:val="16"/>
              </w:rPr>
            </w:pPr>
            <w:r w:rsidRPr="00FB299A">
              <w:rPr>
                <w:rFonts w:ascii="Arial" w:hAnsi="Arial" w:cs="Arial"/>
                <w:sz w:val="16"/>
                <w:szCs w:val="16"/>
              </w:rPr>
              <w:t>Sale of goods and rendering of</w:t>
            </w:r>
            <w:r w:rsidRPr="00FB299A">
              <w:rPr>
                <w:rFonts w:ascii="Arial" w:hAnsi="Arial" w:cs="Arial"/>
                <w:sz w:val="16"/>
                <w:szCs w:val="16"/>
              </w:rPr>
              <w:br/>
              <w:t xml:space="preserve">  services</w:t>
            </w:r>
          </w:p>
        </w:tc>
        <w:tc>
          <w:tcPr>
            <w:tcW w:w="631" w:type="pct"/>
            <w:tcBorders>
              <w:top w:val="nil"/>
              <w:left w:val="nil"/>
              <w:bottom w:val="nil"/>
              <w:right w:val="nil"/>
            </w:tcBorders>
            <w:shd w:val="clear" w:color="auto" w:fill="auto"/>
            <w:noWrap/>
            <w:vAlign w:val="bottom"/>
            <w:hideMark/>
          </w:tcPr>
          <w:p w14:paraId="6D6CAE43"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544 </w:t>
            </w:r>
          </w:p>
        </w:tc>
        <w:tc>
          <w:tcPr>
            <w:tcW w:w="558" w:type="pct"/>
            <w:tcBorders>
              <w:top w:val="nil"/>
              <w:left w:val="nil"/>
              <w:bottom w:val="nil"/>
              <w:right w:val="nil"/>
            </w:tcBorders>
            <w:shd w:val="clear" w:color="000000" w:fill="E6E6E6"/>
            <w:noWrap/>
            <w:vAlign w:val="bottom"/>
            <w:hideMark/>
          </w:tcPr>
          <w:p w14:paraId="7D662B56"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636 </w:t>
            </w:r>
          </w:p>
        </w:tc>
        <w:tc>
          <w:tcPr>
            <w:tcW w:w="558" w:type="pct"/>
            <w:tcBorders>
              <w:top w:val="nil"/>
              <w:left w:val="nil"/>
              <w:bottom w:val="nil"/>
              <w:right w:val="nil"/>
            </w:tcBorders>
            <w:shd w:val="clear" w:color="auto" w:fill="auto"/>
            <w:noWrap/>
            <w:vAlign w:val="bottom"/>
            <w:hideMark/>
          </w:tcPr>
          <w:p w14:paraId="53996AC4"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653 </w:t>
            </w:r>
          </w:p>
        </w:tc>
        <w:tc>
          <w:tcPr>
            <w:tcW w:w="558" w:type="pct"/>
            <w:tcBorders>
              <w:top w:val="nil"/>
              <w:left w:val="nil"/>
              <w:bottom w:val="nil"/>
              <w:right w:val="nil"/>
            </w:tcBorders>
            <w:shd w:val="clear" w:color="auto" w:fill="auto"/>
            <w:noWrap/>
            <w:vAlign w:val="bottom"/>
            <w:hideMark/>
          </w:tcPr>
          <w:p w14:paraId="3FA1CA07"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653 </w:t>
            </w:r>
          </w:p>
        </w:tc>
        <w:tc>
          <w:tcPr>
            <w:tcW w:w="558" w:type="pct"/>
            <w:tcBorders>
              <w:top w:val="nil"/>
              <w:left w:val="nil"/>
              <w:bottom w:val="nil"/>
              <w:right w:val="nil"/>
            </w:tcBorders>
            <w:shd w:val="clear" w:color="auto" w:fill="auto"/>
            <w:noWrap/>
            <w:vAlign w:val="bottom"/>
            <w:hideMark/>
          </w:tcPr>
          <w:p w14:paraId="3CD04CCE"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550 </w:t>
            </w:r>
          </w:p>
        </w:tc>
      </w:tr>
      <w:tr w:rsidR="00FB299A" w:rsidRPr="00FB299A" w14:paraId="0F95F022" w14:textId="77777777" w:rsidTr="00A54CAE">
        <w:trPr>
          <w:divId w:val="715278116"/>
          <w:trHeight w:val="225"/>
        </w:trPr>
        <w:tc>
          <w:tcPr>
            <w:tcW w:w="2136" w:type="pct"/>
            <w:tcBorders>
              <w:top w:val="nil"/>
              <w:left w:val="nil"/>
              <w:bottom w:val="nil"/>
              <w:right w:val="nil"/>
            </w:tcBorders>
            <w:shd w:val="clear" w:color="auto" w:fill="auto"/>
            <w:noWrap/>
            <w:hideMark/>
          </w:tcPr>
          <w:p w14:paraId="3026235F" w14:textId="77777777" w:rsidR="00FB299A" w:rsidRPr="00FB299A" w:rsidRDefault="00FB299A" w:rsidP="00FB299A">
            <w:pPr>
              <w:spacing w:after="0" w:line="240" w:lineRule="auto"/>
              <w:ind w:firstLineChars="100" w:firstLine="160"/>
              <w:jc w:val="left"/>
              <w:rPr>
                <w:rFonts w:ascii="Arial" w:hAnsi="Arial" w:cs="Arial"/>
                <w:sz w:val="16"/>
                <w:szCs w:val="16"/>
              </w:rPr>
            </w:pPr>
            <w:r w:rsidRPr="00FB299A">
              <w:rPr>
                <w:rFonts w:ascii="Arial" w:hAnsi="Arial" w:cs="Arial"/>
                <w:sz w:val="16"/>
                <w:szCs w:val="16"/>
              </w:rPr>
              <w:t>Other</w:t>
            </w:r>
          </w:p>
        </w:tc>
        <w:tc>
          <w:tcPr>
            <w:tcW w:w="631" w:type="pct"/>
            <w:tcBorders>
              <w:top w:val="nil"/>
              <w:left w:val="nil"/>
              <w:bottom w:val="nil"/>
              <w:right w:val="nil"/>
            </w:tcBorders>
            <w:shd w:val="clear" w:color="auto" w:fill="auto"/>
            <w:noWrap/>
            <w:vAlign w:val="bottom"/>
            <w:hideMark/>
          </w:tcPr>
          <w:p w14:paraId="4227B17A"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500 </w:t>
            </w:r>
          </w:p>
        </w:tc>
        <w:tc>
          <w:tcPr>
            <w:tcW w:w="558" w:type="pct"/>
            <w:tcBorders>
              <w:top w:val="nil"/>
              <w:left w:val="nil"/>
              <w:bottom w:val="nil"/>
              <w:right w:val="nil"/>
            </w:tcBorders>
            <w:shd w:val="clear" w:color="000000" w:fill="E6E6E6"/>
            <w:noWrap/>
            <w:vAlign w:val="bottom"/>
            <w:hideMark/>
          </w:tcPr>
          <w:p w14:paraId="07D0777B"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500 </w:t>
            </w:r>
          </w:p>
        </w:tc>
        <w:tc>
          <w:tcPr>
            <w:tcW w:w="558" w:type="pct"/>
            <w:tcBorders>
              <w:top w:val="nil"/>
              <w:left w:val="nil"/>
              <w:bottom w:val="nil"/>
              <w:right w:val="nil"/>
            </w:tcBorders>
            <w:shd w:val="clear" w:color="auto" w:fill="auto"/>
            <w:noWrap/>
            <w:vAlign w:val="bottom"/>
            <w:hideMark/>
          </w:tcPr>
          <w:p w14:paraId="63845B36"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500 </w:t>
            </w:r>
          </w:p>
        </w:tc>
        <w:tc>
          <w:tcPr>
            <w:tcW w:w="558" w:type="pct"/>
            <w:tcBorders>
              <w:top w:val="nil"/>
              <w:left w:val="nil"/>
              <w:bottom w:val="nil"/>
              <w:right w:val="nil"/>
            </w:tcBorders>
            <w:shd w:val="clear" w:color="auto" w:fill="auto"/>
            <w:noWrap/>
            <w:vAlign w:val="bottom"/>
            <w:hideMark/>
          </w:tcPr>
          <w:p w14:paraId="67AC02ED"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500 </w:t>
            </w:r>
          </w:p>
        </w:tc>
        <w:tc>
          <w:tcPr>
            <w:tcW w:w="558" w:type="pct"/>
            <w:tcBorders>
              <w:top w:val="nil"/>
              <w:left w:val="nil"/>
              <w:bottom w:val="nil"/>
              <w:right w:val="nil"/>
            </w:tcBorders>
            <w:shd w:val="clear" w:color="auto" w:fill="auto"/>
            <w:noWrap/>
            <w:vAlign w:val="bottom"/>
            <w:hideMark/>
          </w:tcPr>
          <w:p w14:paraId="4CF935E8"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500 </w:t>
            </w:r>
          </w:p>
        </w:tc>
      </w:tr>
      <w:tr w:rsidR="00FB299A" w:rsidRPr="00FB299A" w14:paraId="78342DB4" w14:textId="77777777" w:rsidTr="00A54CAE">
        <w:trPr>
          <w:divId w:val="715278116"/>
          <w:trHeight w:val="225"/>
        </w:trPr>
        <w:tc>
          <w:tcPr>
            <w:tcW w:w="2136" w:type="pct"/>
            <w:tcBorders>
              <w:top w:val="nil"/>
              <w:left w:val="nil"/>
              <w:bottom w:val="nil"/>
              <w:right w:val="nil"/>
            </w:tcBorders>
            <w:shd w:val="clear" w:color="auto" w:fill="auto"/>
            <w:noWrap/>
            <w:hideMark/>
          </w:tcPr>
          <w:p w14:paraId="0629FC95" w14:textId="77777777" w:rsidR="00FB299A" w:rsidRPr="00FB299A" w:rsidRDefault="00FB299A" w:rsidP="00FB299A">
            <w:pPr>
              <w:spacing w:after="0" w:line="240" w:lineRule="auto"/>
              <w:jc w:val="left"/>
              <w:rPr>
                <w:rFonts w:ascii="Arial" w:hAnsi="Arial" w:cs="Arial"/>
                <w:b/>
                <w:bCs/>
                <w:sz w:val="16"/>
                <w:szCs w:val="16"/>
              </w:rPr>
            </w:pPr>
            <w:r w:rsidRPr="00FB299A">
              <w:rPr>
                <w:rFonts w:ascii="Arial" w:hAnsi="Arial" w:cs="Arial"/>
                <w:b/>
                <w:bCs/>
                <w:sz w:val="16"/>
                <w:szCs w:val="16"/>
              </w:rPr>
              <w:t>Total own-source revenue</w:t>
            </w:r>
          </w:p>
        </w:tc>
        <w:tc>
          <w:tcPr>
            <w:tcW w:w="631" w:type="pct"/>
            <w:tcBorders>
              <w:top w:val="single" w:sz="4" w:space="0" w:color="auto"/>
              <w:left w:val="nil"/>
              <w:bottom w:val="single" w:sz="4" w:space="0" w:color="auto"/>
              <w:right w:val="nil"/>
            </w:tcBorders>
            <w:shd w:val="clear" w:color="auto" w:fill="auto"/>
            <w:noWrap/>
            <w:vAlign w:val="bottom"/>
            <w:hideMark/>
          </w:tcPr>
          <w:p w14:paraId="13CB8466"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1,044 </w:t>
            </w:r>
          </w:p>
        </w:tc>
        <w:tc>
          <w:tcPr>
            <w:tcW w:w="558" w:type="pct"/>
            <w:tcBorders>
              <w:top w:val="single" w:sz="4" w:space="0" w:color="auto"/>
              <w:left w:val="nil"/>
              <w:bottom w:val="single" w:sz="4" w:space="0" w:color="auto"/>
              <w:right w:val="nil"/>
            </w:tcBorders>
            <w:shd w:val="clear" w:color="000000" w:fill="E6E6E6"/>
            <w:noWrap/>
            <w:vAlign w:val="bottom"/>
            <w:hideMark/>
          </w:tcPr>
          <w:p w14:paraId="01A2ED3D"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1,136 </w:t>
            </w:r>
          </w:p>
        </w:tc>
        <w:tc>
          <w:tcPr>
            <w:tcW w:w="558" w:type="pct"/>
            <w:tcBorders>
              <w:top w:val="single" w:sz="4" w:space="0" w:color="auto"/>
              <w:left w:val="nil"/>
              <w:bottom w:val="single" w:sz="4" w:space="0" w:color="auto"/>
              <w:right w:val="nil"/>
            </w:tcBorders>
            <w:shd w:val="clear" w:color="auto" w:fill="auto"/>
            <w:noWrap/>
            <w:vAlign w:val="bottom"/>
            <w:hideMark/>
          </w:tcPr>
          <w:p w14:paraId="6273E8C4"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1,153 </w:t>
            </w:r>
          </w:p>
        </w:tc>
        <w:tc>
          <w:tcPr>
            <w:tcW w:w="558" w:type="pct"/>
            <w:tcBorders>
              <w:top w:val="single" w:sz="4" w:space="0" w:color="auto"/>
              <w:left w:val="nil"/>
              <w:bottom w:val="single" w:sz="4" w:space="0" w:color="auto"/>
              <w:right w:val="nil"/>
            </w:tcBorders>
            <w:shd w:val="clear" w:color="auto" w:fill="auto"/>
            <w:noWrap/>
            <w:vAlign w:val="bottom"/>
            <w:hideMark/>
          </w:tcPr>
          <w:p w14:paraId="13B59C78"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1,153 </w:t>
            </w:r>
          </w:p>
        </w:tc>
        <w:tc>
          <w:tcPr>
            <w:tcW w:w="558" w:type="pct"/>
            <w:tcBorders>
              <w:top w:val="single" w:sz="4" w:space="0" w:color="auto"/>
              <w:left w:val="nil"/>
              <w:bottom w:val="single" w:sz="4" w:space="0" w:color="auto"/>
              <w:right w:val="nil"/>
            </w:tcBorders>
            <w:shd w:val="clear" w:color="auto" w:fill="auto"/>
            <w:noWrap/>
            <w:vAlign w:val="bottom"/>
            <w:hideMark/>
          </w:tcPr>
          <w:p w14:paraId="394070CD"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1,050 </w:t>
            </w:r>
          </w:p>
        </w:tc>
      </w:tr>
      <w:tr w:rsidR="00FB299A" w:rsidRPr="00FB299A" w14:paraId="753FCF05" w14:textId="77777777" w:rsidTr="00A54CAE">
        <w:trPr>
          <w:divId w:val="715278116"/>
          <w:trHeight w:val="225"/>
        </w:trPr>
        <w:tc>
          <w:tcPr>
            <w:tcW w:w="2136" w:type="pct"/>
            <w:tcBorders>
              <w:top w:val="nil"/>
              <w:left w:val="nil"/>
              <w:bottom w:val="nil"/>
              <w:right w:val="nil"/>
            </w:tcBorders>
            <w:shd w:val="clear" w:color="auto" w:fill="auto"/>
            <w:noWrap/>
            <w:hideMark/>
          </w:tcPr>
          <w:p w14:paraId="04CA4C4E" w14:textId="77777777" w:rsidR="00FB299A" w:rsidRPr="00FB299A" w:rsidRDefault="00FB299A" w:rsidP="00FB299A">
            <w:pPr>
              <w:spacing w:after="0" w:line="240" w:lineRule="auto"/>
              <w:jc w:val="left"/>
              <w:rPr>
                <w:rFonts w:ascii="Arial" w:hAnsi="Arial" w:cs="Arial"/>
                <w:b/>
                <w:bCs/>
                <w:sz w:val="16"/>
                <w:szCs w:val="16"/>
              </w:rPr>
            </w:pPr>
            <w:r w:rsidRPr="00FB299A">
              <w:rPr>
                <w:rFonts w:ascii="Arial" w:hAnsi="Arial" w:cs="Arial"/>
                <w:b/>
                <w:bCs/>
                <w:sz w:val="16"/>
                <w:szCs w:val="16"/>
              </w:rPr>
              <w:t>Gains</w:t>
            </w:r>
          </w:p>
        </w:tc>
        <w:tc>
          <w:tcPr>
            <w:tcW w:w="631" w:type="pct"/>
            <w:tcBorders>
              <w:top w:val="nil"/>
              <w:left w:val="nil"/>
              <w:bottom w:val="nil"/>
              <w:right w:val="nil"/>
            </w:tcBorders>
            <w:shd w:val="clear" w:color="auto" w:fill="auto"/>
            <w:noWrap/>
            <w:vAlign w:val="bottom"/>
            <w:hideMark/>
          </w:tcPr>
          <w:p w14:paraId="5FDDEDD4" w14:textId="77777777" w:rsidR="00FB299A" w:rsidRPr="00FB299A" w:rsidRDefault="00FB299A" w:rsidP="00A54CA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000000" w:fill="E6E6E6"/>
            <w:noWrap/>
            <w:vAlign w:val="bottom"/>
            <w:hideMark/>
          </w:tcPr>
          <w:p w14:paraId="5FF9BF45"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w:t>
            </w:r>
          </w:p>
        </w:tc>
        <w:tc>
          <w:tcPr>
            <w:tcW w:w="558" w:type="pct"/>
            <w:tcBorders>
              <w:top w:val="nil"/>
              <w:left w:val="nil"/>
              <w:bottom w:val="nil"/>
              <w:right w:val="nil"/>
            </w:tcBorders>
            <w:shd w:val="clear" w:color="auto" w:fill="auto"/>
            <w:noWrap/>
            <w:vAlign w:val="bottom"/>
            <w:hideMark/>
          </w:tcPr>
          <w:p w14:paraId="0B2BB16E" w14:textId="77777777" w:rsidR="00FB299A" w:rsidRPr="00FB299A" w:rsidRDefault="00FB299A" w:rsidP="00A54CAE">
            <w:pPr>
              <w:spacing w:after="0" w:line="240" w:lineRule="auto"/>
              <w:jc w:val="right"/>
              <w:rPr>
                <w:rFonts w:ascii="Arial" w:hAnsi="Arial" w:cs="Arial"/>
                <w:b/>
                <w:bCs/>
                <w:sz w:val="16"/>
                <w:szCs w:val="16"/>
              </w:rPr>
            </w:pPr>
          </w:p>
        </w:tc>
        <w:tc>
          <w:tcPr>
            <w:tcW w:w="558" w:type="pct"/>
            <w:tcBorders>
              <w:top w:val="nil"/>
              <w:left w:val="nil"/>
              <w:bottom w:val="nil"/>
              <w:right w:val="nil"/>
            </w:tcBorders>
            <w:shd w:val="clear" w:color="auto" w:fill="auto"/>
            <w:noWrap/>
            <w:vAlign w:val="bottom"/>
            <w:hideMark/>
          </w:tcPr>
          <w:p w14:paraId="26428A00" w14:textId="77777777" w:rsidR="00FB299A" w:rsidRPr="00FB299A" w:rsidRDefault="00FB299A" w:rsidP="00A54CAE">
            <w:pPr>
              <w:spacing w:after="0" w:line="240" w:lineRule="auto"/>
              <w:jc w:val="right"/>
              <w:rPr>
                <w:rFonts w:ascii="Times New Roman" w:hAnsi="Times New Roman"/>
              </w:rPr>
            </w:pPr>
          </w:p>
        </w:tc>
        <w:tc>
          <w:tcPr>
            <w:tcW w:w="558" w:type="pct"/>
            <w:tcBorders>
              <w:top w:val="nil"/>
              <w:left w:val="nil"/>
              <w:bottom w:val="nil"/>
              <w:right w:val="nil"/>
            </w:tcBorders>
            <w:shd w:val="clear" w:color="auto" w:fill="auto"/>
            <w:noWrap/>
            <w:vAlign w:val="bottom"/>
            <w:hideMark/>
          </w:tcPr>
          <w:p w14:paraId="61B4EEF3" w14:textId="77777777" w:rsidR="00FB299A" w:rsidRPr="00FB299A" w:rsidRDefault="00FB299A" w:rsidP="00A54CAE">
            <w:pPr>
              <w:spacing w:after="0" w:line="240" w:lineRule="auto"/>
              <w:jc w:val="right"/>
              <w:rPr>
                <w:rFonts w:ascii="Times New Roman" w:hAnsi="Times New Roman"/>
              </w:rPr>
            </w:pPr>
          </w:p>
        </w:tc>
      </w:tr>
      <w:tr w:rsidR="00FB299A" w:rsidRPr="00FB299A" w14:paraId="16156C52" w14:textId="77777777" w:rsidTr="00A54CAE">
        <w:trPr>
          <w:divId w:val="715278116"/>
          <w:trHeight w:val="225"/>
        </w:trPr>
        <w:tc>
          <w:tcPr>
            <w:tcW w:w="2136" w:type="pct"/>
            <w:tcBorders>
              <w:top w:val="nil"/>
              <w:left w:val="nil"/>
              <w:bottom w:val="nil"/>
              <w:right w:val="nil"/>
            </w:tcBorders>
            <w:shd w:val="clear" w:color="auto" w:fill="auto"/>
            <w:noWrap/>
            <w:hideMark/>
          </w:tcPr>
          <w:p w14:paraId="2BF5DE7D" w14:textId="77777777" w:rsidR="00FB299A" w:rsidRPr="00FB299A" w:rsidRDefault="00FB299A" w:rsidP="00FB299A">
            <w:pPr>
              <w:spacing w:after="0" w:line="240" w:lineRule="auto"/>
              <w:ind w:firstLineChars="100" w:firstLine="160"/>
              <w:jc w:val="left"/>
              <w:rPr>
                <w:rFonts w:ascii="Arial" w:hAnsi="Arial" w:cs="Arial"/>
                <w:sz w:val="16"/>
                <w:szCs w:val="16"/>
              </w:rPr>
            </w:pPr>
            <w:r w:rsidRPr="00FB299A">
              <w:rPr>
                <w:rFonts w:ascii="Arial" w:hAnsi="Arial" w:cs="Arial"/>
                <w:sz w:val="16"/>
                <w:szCs w:val="16"/>
              </w:rPr>
              <w:t>Other</w:t>
            </w:r>
          </w:p>
        </w:tc>
        <w:tc>
          <w:tcPr>
            <w:tcW w:w="631" w:type="pct"/>
            <w:tcBorders>
              <w:top w:val="nil"/>
              <w:left w:val="nil"/>
              <w:bottom w:val="nil"/>
              <w:right w:val="nil"/>
            </w:tcBorders>
            <w:shd w:val="clear" w:color="auto" w:fill="auto"/>
            <w:noWrap/>
            <w:vAlign w:val="bottom"/>
            <w:hideMark/>
          </w:tcPr>
          <w:p w14:paraId="12653C00"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78 </w:t>
            </w:r>
          </w:p>
        </w:tc>
        <w:tc>
          <w:tcPr>
            <w:tcW w:w="558" w:type="pct"/>
            <w:tcBorders>
              <w:top w:val="nil"/>
              <w:left w:val="nil"/>
              <w:bottom w:val="nil"/>
              <w:right w:val="nil"/>
            </w:tcBorders>
            <w:shd w:val="clear" w:color="000000" w:fill="E6E6E6"/>
            <w:noWrap/>
            <w:vAlign w:val="bottom"/>
            <w:hideMark/>
          </w:tcPr>
          <w:p w14:paraId="50BB96A1"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121 </w:t>
            </w:r>
          </w:p>
        </w:tc>
        <w:tc>
          <w:tcPr>
            <w:tcW w:w="558" w:type="pct"/>
            <w:tcBorders>
              <w:top w:val="nil"/>
              <w:left w:val="nil"/>
              <w:bottom w:val="nil"/>
              <w:right w:val="nil"/>
            </w:tcBorders>
            <w:shd w:val="clear" w:color="auto" w:fill="auto"/>
            <w:noWrap/>
            <w:vAlign w:val="bottom"/>
            <w:hideMark/>
          </w:tcPr>
          <w:p w14:paraId="478E7508"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123 </w:t>
            </w:r>
          </w:p>
        </w:tc>
        <w:tc>
          <w:tcPr>
            <w:tcW w:w="558" w:type="pct"/>
            <w:tcBorders>
              <w:top w:val="nil"/>
              <w:left w:val="nil"/>
              <w:bottom w:val="nil"/>
              <w:right w:val="nil"/>
            </w:tcBorders>
            <w:shd w:val="clear" w:color="auto" w:fill="auto"/>
            <w:noWrap/>
            <w:vAlign w:val="bottom"/>
            <w:hideMark/>
          </w:tcPr>
          <w:p w14:paraId="3F2C85E1"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123 </w:t>
            </w:r>
          </w:p>
        </w:tc>
        <w:tc>
          <w:tcPr>
            <w:tcW w:w="558" w:type="pct"/>
            <w:tcBorders>
              <w:top w:val="nil"/>
              <w:left w:val="nil"/>
              <w:bottom w:val="nil"/>
              <w:right w:val="nil"/>
            </w:tcBorders>
            <w:shd w:val="clear" w:color="auto" w:fill="auto"/>
            <w:noWrap/>
            <w:vAlign w:val="bottom"/>
            <w:hideMark/>
          </w:tcPr>
          <w:p w14:paraId="2A18D7A4"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125 </w:t>
            </w:r>
          </w:p>
        </w:tc>
      </w:tr>
      <w:tr w:rsidR="00FB299A" w:rsidRPr="00FB299A" w14:paraId="3357152C" w14:textId="77777777" w:rsidTr="00A54CAE">
        <w:trPr>
          <w:divId w:val="715278116"/>
          <w:trHeight w:val="225"/>
        </w:trPr>
        <w:tc>
          <w:tcPr>
            <w:tcW w:w="2136" w:type="pct"/>
            <w:tcBorders>
              <w:top w:val="nil"/>
              <w:left w:val="nil"/>
              <w:bottom w:val="nil"/>
              <w:right w:val="nil"/>
            </w:tcBorders>
            <w:shd w:val="clear" w:color="auto" w:fill="auto"/>
            <w:noWrap/>
            <w:hideMark/>
          </w:tcPr>
          <w:p w14:paraId="4EE9530A" w14:textId="77777777" w:rsidR="00FB299A" w:rsidRPr="00FB299A" w:rsidRDefault="00FB299A" w:rsidP="00FB299A">
            <w:pPr>
              <w:spacing w:after="0" w:line="240" w:lineRule="auto"/>
              <w:jc w:val="left"/>
              <w:rPr>
                <w:rFonts w:ascii="Arial" w:hAnsi="Arial" w:cs="Arial"/>
                <w:b/>
                <w:bCs/>
                <w:sz w:val="16"/>
                <w:szCs w:val="16"/>
              </w:rPr>
            </w:pPr>
            <w:r w:rsidRPr="00FB299A">
              <w:rPr>
                <w:rFonts w:ascii="Arial" w:hAnsi="Arial" w:cs="Arial"/>
                <w:b/>
                <w:bCs/>
                <w:sz w:val="16"/>
                <w:szCs w:val="16"/>
              </w:rPr>
              <w:t>Total gains</w:t>
            </w:r>
          </w:p>
        </w:tc>
        <w:tc>
          <w:tcPr>
            <w:tcW w:w="631" w:type="pct"/>
            <w:tcBorders>
              <w:top w:val="single" w:sz="4" w:space="0" w:color="auto"/>
              <w:left w:val="nil"/>
              <w:bottom w:val="single" w:sz="4" w:space="0" w:color="auto"/>
              <w:right w:val="nil"/>
            </w:tcBorders>
            <w:shd w:val="clear" w:color="auto" w:fill="auto"/>
            <w:noWrap/>
            <w:vAlign w:val="bottom"/>
            <w:hideMark/>
          </w:tcPr>
          <w:p w14:paraId="68238AE2"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78 </w:t>
            </w:r>
          </w:p>
        </w:tc>
        <w:tc>
          <w:tcPr>
            <w:tcW w:w="558" w:type="pct"/>
            <w:tcBorders>
              <w:top w:val="single" w:sz="4" w:space="0" w:color="auto"/>
              <w:left w:val="nil"/>
              <w:bottom w:val="single" w:sz="4" w:space="0" w:color="auto"/>
              <w:right w:val="nil"/>
            </w:tcBorders>
            <w:shd w:val="clear" w:color="000000" w:fill="E6E6E6"/>
            <w:noWrap/>
            <w:vAlign w:val="bottom"/>
            <w:hideMark/>
          </w:tcPr>
          <w:p w14:paraId="369401A7"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121 </w:t>
            </w:r>
          </w:p>
        </w:tc>
        <w:tc>
          <w:tcPr>
            <w:tcW w:w="558" w:type="pct"/>
            <w:tcBorders>
              <w:top w:val="single" w:sz="4" w:space="0" w:color="auto"/>
              <w:left w:val="nil"/>
              <w:bottom w:val="single" w:sz="4" w:space="0" w:color="auto"/>
              <w:right w:val="nil"/>
            </w:tcBorders>
            <w:shd w:val="clear" w:color="auto" w:fill="auto"/>
            <w:noWrap/>
            <w:vAlign w:val="bottom"/>
            <w:hideMark/>
          </w:tcPr>
          <w:p w14:paraId="67103FAE"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123 </w:t>
            </w:r>
          </w:p>
        </w:tc>
        <w:tc>
          <w:tcPr>
            <w:tcW w:w="558" w:type="pct"/>
            <w:tcBorders>
              <w:top w:val="single" w:sz="4" w:space="0" w:color="auto"/>
              <w:left w:val="nil"/>
              <w:bottom w:val="single" w:sz="4" w:space="0" w:color="auto"/>
              <w:right w:val="nil"/>
            </w:tcBorders>
            <w:shd w:val="clear" w:color="auto" w:fill="auto"/>
            <w:noWrap/>
            <w:vAlign w:val="bottom"/>
            <w:hideMark/>
          </w:tcPr>
          <w:p w14:paraId="7567D225"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123 </w:t>
            </w:r>
          </w:p>
        </w:tc>
        <w:tc>
          <w:tcPr>
            <w:tcW w:w="558" w:type="pct"/>
            <w:tcBorders>
              <w:top w:val="single" w:sz="4" w:space="0" w:color="auto"/>
              <w:left w:val="nil"/>
              <w:bottom w:val="single" w:sz="4" w:space="0" w:color="auto"/>
              <w:right w:val="nil"/>
            </w:tcBorders>
            <w:shd w:val="clear" w:color="auto" w:fill="auto"/>
            <w:noWrap/>
            <w:vAlign w:val="bottom"/>
            <w:hideMark/>
          </w:tcPr>
          <w:p w14:paraId="2AF5D0C6"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125 </w:t>
            </w:r>
          </w:p>
        </w:tc>
      </w:tr>
      <w:tr w:rsidR="00FB299A" w:rsidRPr="00FB299A" w14:paraId="7518A3F1" w14:textId="77777777" w:rsidTr="00A54CAE">
        <w:trPr>
          <w:divId w:val="715278116"/>
          <w:trHeight w:val="225"/>
        </w:trPr>
        <w:tc>
          <w:tcPr>
            <w:tcW w:w="2136" w:type="pct"/>
            <w:tcBorders>
              <w:top w:val="nil"/>
              <w:left w:val="nil"/>
              <w:bottom w:val="nil"/>
              <w:right w:val="nil"/>
            </w:tcBorders>
            <w:shd w:val="clear" w:color="auto" w:fill="auto"/>
            <w:noWrap/>
            <w:hideMark/>
          </w:tcPr>
          <w:p w14:paraId="2ED3F946" w14:textId="77777777" w:rsidR="00FB299A" w:rsidRPr="00FB299A" w:rsidRDefault="00FB299A" w:rsidP="00FB299A">
            <w:pPr>
              <w:spacing w:after="0" w:line="240" w:lineRule="auto"/>
              <w:jc w:val="left"/>
              <w:rPr>
                <w:rFonts w:ascii="Arial" w:hAnsi="Arial" w:cs="Arial"/>
                <w:b/>
                <w:bCs/>
                <w:sz w:val="16"/>
                <w:szCs w:val="16"/>
              </w:rPr>
            </w:pPr>
            <w:r w:rsidRPr="00FB299A">
              <w:rPr>
                <w:rFonts w:ascii="Arial" w:hAnsi="Arial" w:cs="Arial"/>
                <w:b/>
                <w:bCs/>
                <w:sz w:val="16"/>
                <w:szCs w:val="16"/>
              </w:rPr>
              <w:t>Total own-source income</w:t>
            </w:r>
          </w:p>
        </w:tc>
        <w:tc>
          <w:tcPr>
            <w:tcW w:w="631" w:type="pct"/>
            <w:tcBorders>
              <w:top w:val="nil"/>
              <w:left w:val="nil"/>
              <w:bottom w:val="single" w:sz="4" w:space="0" w:color="auto"/>
              <w:right w:val="nil"/>
            </w:tcBorders>
            <w:shd w:val="clear" w:color="auto" w:fill="auto"/>
            <w:noWrap/>
            <w:vAlign w:val="bottom"/>
            <w:hideMark/>
          </w:tcPr>
          <w:p w14:paraId="150EC66D"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1,122 </w:t>
            </w:r>
          </w:p>
        </w:tc>
        <w:tc>
          <w:tcPr>
            <w:tcW w:w="558" w:type="pct"/>
            <w:tcBorders>
              <w:top w:val="nil"/>
              <w:left w:val="nil"/>
              <w:bottom w:val="single" w:sz="4" w:space="0" w:color="auto"/>
              <w:right w:val="nil"/>
            </w:tcBorders>
            <w:shd w:val="clear" w:color="000000" w:fill="E6E6E6"/>
            <w:noWrap/>
            <w:vAlign w:val="bottom"/>
            <w:hideMark/>
          </w:tcPr>
          <w:p w14:paraId="72DF0ED3"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1,257 </w:t>
            </w:r>
          </w:p>
        </w:tc>
        <w:tc>
          <w:tcPr>
            <w:tcW w:w="558" w:type="pct"/>
            <w:tcBorders>
              <w:top w:val="nil"/>
              <w:left w:val="nil"/>
              <w:bottom w:val="single" w:sz="4" w:space="0" w:color="auto"/>
              <w:right w:val="nil"/>
            </w:tcBorders>
            <w:shd w:val="clear" w:color="auto" w:fill="auto"/>
            <w:noWrap/>
            <w:vAlign w:val="bottom"/>
            <w:hideMark/>
          </w:tcPr>
          <w:p w14:paraId="72489C93"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1,276 </w:t>
            </w:r>
          </w:p>
        </w:tc>
        <w:tc>
          <w:tcPr>
            <w:tcW w:w="558" w:type="pct"/>
            <w:tcBorders>
              <w:top w:val="nil"/>
              <w:left w:val="nil"/>
              <w:bottom w:val="single" w:sz="4" w:space="0" w:color="auto"/>
              <w:right w:val="nil"/>
            </w:tcBorders>
            <w:shd w:val="clear" w:color="auto" w:fill="auto"/>
            <w:noWrap/>
            <w:vAlign w:val="bottom"/>
            <w:hideMark/>
          </w:tcPr>
          <w:p w14:paraId="66ABB134"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1,276 </w:t>
            </w:r>
          </w:p>
        </w:tc>
        <w:tc>
          <w:tcPr>
            <w:tcW w:w="558" w:type="pct"/>
            <w:tcBorders>
              <w:top w:val="nil"/>
              <w:left w:val="nil"/>
              <w:bottom w:val="single" w:sz="4" w:space="0" w:color="auto"/>
              <w:right w:val="nil"/>
            </w:tcBorders>
            <w:shd w:val="clear" w:color="auto" w:fill="auto"/>
            <w:noWrap/>
            <w:vAlign w:val="bottom"/>
            <w:hideMark/>
          </w:tcPr>
          <w:p w14:paraId="63BA1731"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1,175 </w:t>
            </w:r>
          </w:p>
        </w:tc>
      </w:tr>
      <w:tr w:rsidR="00FB299A" w:rsidRPr="00FB299A" w14:paraId="16CBA8EE" w14:textId="77777777" w:rsidTr="00A54CAE">
        <w:trPr>
          <w:divId w:val="715278116"/>
          <w:trHeight w:val="450"/>
        </w:trPr>
        <w:tc>
          <w:tcPr>
            <w:tcW w:w="2136" w:type="pct"/>
            <w:tcBorders>
              <w:top w:val="nil"/>
              <w:left w:val="nil"/>
              <w:bottom w:val="nil"/>
              <w:right w:val="nil"/>
            </w:tcBorders>
            <w:shd w:val="clear" w:color="auto" w:fill="auto"/>
            <w:hideMark/>
          </w:tcPr>
          <w:p w14:paraId="4D563907" w14:textId="77777777" w:rsidR="00FB299A" w:rsidRPr="00FB299A" w:rsidRDefault="00FB299A" w:rsidP="00FB299A">
            <w:pPr>
              <w:spacing w:after="0" w:line="240" w:lineRule="auto"/>
              <w:jc w:val="left"/>
              <w:rPr>
                <w:rFonts w:ascii="Arial" w:hAnsi="Arial" w:cs="Arial"/>
                <w:b/>
                <w:bCs/>
                <w:color w:val="000000"/>
                <w:sz w:val="16"/>
                <w:szCs w:val="16"/>
              </w:rPr>
            </w:pPr>
            <w:r w:rsidRPr="00FB299A">
              <w:rPr>
                <w:rFonts w:ascii="Arial" w:hAnsi="Arial" w:cs="Arial"/>
                <w:b/>
                <w:bCs/>
                <w:color w:val="000000"/>
                <w:sz w:val="16"/>
                <w:szCs w:val="16"/>
              </w:rPr>
              <w:t>Net (cost of)/contribution by</w:t>
            </w:r>
            <w:r w:rsidRPr="00FB299A">
              <w:rPr>
                <w:rFonts w:ascii="Arial" w:hAnsi="Arial" w:cs="Arial"/>
                <w:b/>
                <w:bCs/>
                <w:color w:val="000000"/>
                <w:sz w:val="16"/>
                <w:szCs w:val="16"/>
              </w:rPr>
              <w:br/>
              <w:t xml:space="preserve">  services</w:t>
            </w:r>
          </w:p>
        </w:tc>
        <w:tc>
          <w:tcPr>
            <w:tcW w:w="631" w:type="pct"/>
            <w:tcBorders>
              <w:top w:val="nil"/>
              <w:left w:val="nil"/>
              <w:bottom w:val="single" w:sz="4" w:space="0" w:color="auto"/>
              <w:right w:val="nil"/>
            </w:tcBorders>
            <w:shd w:val="clear" w:color="auto" w:fill="auto"/>
            <w:noWrap/>
            <w:vAlign w:val="bottom"/>
            <w:hideMark/>
          </w:tcPr>
          <w:p w14:paraId="7FD6B1B5"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(3,296)</w:t>
            </w:r>
          </w:p>
        </w:tc>
        <w:tc>
          <w:tcPr>
            <w:tcW w:w="558" w:type="pct"/>
            <w:tcBorders>
              <w:top w:val="nil"/>
              <w:left w:val="nil"/>
              <w:bottom w:val="single" w:sz="4" w:space="0" w:color="auto"/>
              <w:right w:val="nil"/>
            </w:tcBorders>
            <w:shd w:val="clear" w:color="000000" w:fill="E6E6E6"/>
            <w:noWrap/>
            <w:vAlign w:val="bottom"/>
            <w:hideMark/>
          </w:tcPr>
          <w:p w14:paraId="6A6C69BB"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(3,616)</w:t>
            </w:r>
          </w:p>
        </w:tc>
        <w:tc>
          <w:tcPr>
            <w:tcW w:w="558" w:type="pct"/>
            <w:tcBorders>
              <w:top w:val="nil"/>
              <w:left w:val="nil"/>
              <w:bottom w:val="single" w:sz="4" w:space="0" w:color="auto"/>
              <w:right w:val="nil"/>
            </w:tcBorders>
            <w:shd w:val="clear" w:color="auto" w:fill="auto"/>
            <w:noWrap/>
            <w:vAlign w:val="bottom"/>
            <w:hideMark/>
          </w:tcPr>
          <w:p w14:paraId="5C212A3C"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(3,609)</w:t>
            </w:r>
          </w:p>
        </w:tc>
        <w:tc>
          <w:tcPr>
            <w:tcW w:w="558" w:type="pct"/>
            <w:tcBorders>
              <w:top w:val="nil"/>
              <w:left w:val="nil"/>
              <w:bottom w:val="single" w:sz="4" w:space="0" w:color="auto"/>
              <w:right w:val="nil"/>
            </w:tcBorders>
            <w:shd w:val="clear" w:color="auto" w:fill="auto"/>
            <w:noWrap/>
            <w:vAlign w:val="bottom"/>
            <w:hideMark/>
          </w:tcPr>
          <w:p w14:paraId="7F5E30EF"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(3,611)</w:t>
            </w:r>
          </w:p>
        </w:tc>
        <w:tc>
          <w:tcPr>
            <w:tcW w:w="558" w:type="pct"/>
            <w:tcBorders>
              <w:top w:val="nil"/>
              <w:left w:val="nil"/>
              <w:bottom w:val="single" w:sz="4" w:space="0" w:color="auto"/>
              <w:right w:val="nil"/>
            </w:tcBorders>
            <w:shd w:val="clear" w:color="auto" w:fill="auto"/>
            <w:noWrap/>
            <w:vAlign w:val="bottom"/>
            <w:hideMark/>
          </w:tcPr>
          <w:p w14:paraId="5B884BAA"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(3,626)</w:t>
            </w:r>
          </w:p>
        </w:tc>
      </w:tr>
      <w:tr w:rsidR="00FB299A" w:rsidRPr="00FB299A" w14:paraId="389FB60B" w14:textId="77777777" w:rsidTr="00A54CAE">
        <w:trPr>
          <w:divId w:val="715278116"/>
          <w:trHeight w:val="225"/>
        </w:trPr>
        <w:tc>
          <w:tcPr>
            <w:tcW w:w="2136" w:type="pct"/>
            <w:tcBorders>
              <w:top w:val="nil"/>
              <w:left w:val="nil"/>
              <w:bottom w:val="nil"/>
              <w:right w:val="nil"/>
            </w:tcBorders>
            <w:shd w:val="clear" w:color="auto" w:fill="auto"/>
            <w:noWrap/>
            <w:hideMark/>
          </w:tcPr>
          <w:p w14:paraId="1E1C62B8" w14:textId="77777777" w:rsidR="00FB299A" w:rsidRPr="00FB299A" w:rsidRDefault="00FB299A" w:rsidP="00FB299A">
            <w:pPr>
              <w:spacing w:after="0" w:line="240" w:lineRule="auto"/>
              <w:ind w:firstLineChars="100" w:firstLine="160"/>
              <w:jc w:val="left"/>
              <w:rPr>
                <w:rFonts w:ascii="Arial" w:hAnsi="Arial" w:cs="Arial"/>
                <w:sz w:val="16"/>
                <w:szCs w:val="16"/>
              </w:rPr>
            </w:pPr>
            <w:r w:rsidRPr="00FB299A">
              <w:rPr>
                <w:rFonts w:ascii="Arial" w:hAnsi="Arial" w:cs="Arial"/>
                <w:sz w:val="16"/>
                <w:szCs w:val="16"/>
              </w:rPr>
              <w:t>Revenue from Government</w:t>
            </w:r>
          </w:p>
        </w:tc>
        <w:tc>
          <w:tcPr>
            <w:tcW w:w="631" w:type="pct"/>
            <w:tcBorders>
              <w:top w:val="nil"/>
              <w:left w:val="nil"/>
              <w:bottom w:val="single" w:sz="4" w:space="0" w:color="auto"/>
              <w:right w:val="nil"/>
            </w:tcBorders>
            <w:shd w:val="clear" w:color="auto" w:fill="auto"/>
            <w:noWrap/>
            <w:vAlign w:val="bottom"/>
            <w:hideMark/>
          </w:tcPr>
          <w:p w14:paraId="4203DF6C"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3,598 </w:t>
            </w:r>
          </w:p>
        </w:tc>
        <w:tc>
          <w:tcPr>
            <w:tcW w:w="558" w:type="pct"/>
            <w:tcBorders>
              <w:top w:val="nil"/>
              <w:left w:val="nil"/>
              <w:bottom w:val="single" w:sz="4" w:space="0" w:color="auto"/>
              <w:right w:val="nil"/>
            </w:tcBorders>
            <w:shd w:val="clear" w:color="000000" w:fill="E6E6E6"/>
            <w:noWrap/>
            <w:vAlign w:val="bottom"/>
            <w:hideMark/>
          </w:tcPr>
          <w:p w14:paraId="299EFD04" w14:textId="77777777" w:rsidR="00FB299A" w:rsidRPr="00D50CD4" w:rsidRDefault="00FB299A" w:rsidP="00A54CAE">
            <w:pPr>
              <w:spacing w:after="0" w:line="240" w:lineRule="auto"/>
              <w:jc w:val="right"/>
              <w:rPr>
                <w:rFonts w:ascii="Arial" w:hAnsi="Arial" w:cs="Arial"/>
                <w:bCs/>
                <w:sz w:val="16"/>
                <w:szCs w:val="16"/>
              </w:rPr>
            </w:pPr>
            <w:r w:rsidRPr="00D50CD4">
              <w:rPr>
                <w:rFonts w:ascii="Arial" w:hAnsi="Arial" w:cs="Arial"/>
                <w:bCs/>
                <w:sz w:val="16"/>
                <w:szCs w:val="16"/>
              </w:rPr>
              <w:t xml:space="preserve">3,565 </w:t>
            </w:r>
          </w:p>
        </w:tc>
        <w:tc>
          <w:tcPr>
            <w:tcW w:w="558" w:type="pct"/>
            <w:tcBorders>
              <w:top w:val="nil"/>
              <w:left w:val="nil"/>
              <w:bottom w:val="single" w:sz="4" w:space="0" w:color="auto"/>
              <w:right w:val="nil"/>
            </w:tcBorders>
            <w:shd w:val="clear" w:color="auto" w:fill="auto"/>
            <w:noWrap/>
            <w:vAlign w:val="bottom"/>
            <w:hideMark/>
          </w:tcPr>
          <w:p w14:paraId="535D4091"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3,558 </w:t>
            </w:r>
          </w:p>
        </w:tc>
        <w:tc>
          <w:tcPr>
            <w:tcW w:w="558" w:type="pct"/>
            <w:tcBorders>
              <w:top w:val="nil"/>
              <w:left w:val="nil"/>
              <w:bottom w:val="single" w:sz="4" w:space="0" w:color="auto"/>
              <w:right w:val="nil"/>
            </w:tcBorders>
            <w:shd w:val="clear" w:color="auto" w:fill="auto"/>
            <w:noWrap/>
            <w:vAlign w:val="bottom"/>
            <w:hideMark/>
          </w:tcPr>
          <w:p w14:paraId="3B82EAC5"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3,560 </w:t>
            </w:r>
          </w:p>
        </w:tc>
        <w:tc>
          <w:tcPr>
            <w:tcW w:w="558" w:type="pct"/>
            <w:tcBorders>
              <w:top w:val="nil"/>
              <w:left w:val="nil"/>
              <w:bottom w:val="single" w:sz="4" w:space="0" w:color="auto"/>
              <w:right w:val="nil"/>
            </w:tcBorders>
            <w:shd w:val="clear" w:color="auto" w:fill="auto"/>
            <w:noWrap/>
            <w:vAlign w:val="bottom"/>
            <w:hideMark/>
          </w:tcPr>
          <w:p w14:paraId="28755738" w14:textId="77777777" w:rsidR="00FB299A" w:rsidRPr="00FB299A" w:rsidRDefault="00FB299A" w:rsidP="00A54CAE">
            <w:pPr>
              <w:spacing w:after="0" w:line="240" w:lineRule="auto"/>
              <w:jc w:val="right"/>
              <w:rPr>
                <w:rFonts w:ascii="Arial" w:hAnsi="Arial" w:cs="Arial"/>
                <w:sz w:val="16"/>
                <w:szCs w:val="16"/>
              </w:rPr>
            </w:pPr>
            <w:r w:rsidRPr="00FB299A">
              <w:rPr>
                <w:rFonts w:ascii="Arial" w:hAnsi="Arial" w:cs="Arial"/>
                <w:sz w:val="16"/>
                <w:szCs w:val="16"/>
              </w:rPr>
              <w:t xml:space="preserve">3,574 </w:t>
            </w:r>
          </w:p>
        </w:tc>
      </w:tr>
      <w:tr w:rsidR="00FB299A" w:rsidRPr="00FB299A" w14:paraId="4A67861B" w14:textId="77777777" w:rsidTr="00A54CAE">
        <w:trPr>
          <w:divId w:val="715278116"/>
          <w:trHeight w:val="450"/>
        </w:trPr>
        <w:tc>
          <w:tcPr>
            <w:tcW w:w="2136" w:type="pct"/>
            <w:tcBorders>
              <w:top w:val="nil"/>
              <w:left w:val="nil"/>
              <w:bottom w:val="single" w:sz="4" w:space="0" w:color="auto"/>
              <w:right w:val="nil"/>
            </w:tcBorders>
            <w:shd w:val="clear" w:color="auto" w:fill="auto"/>
            <w:hideMark/>
          </w:tcPr>
          <w:p w14:paraId="62178E66" w14:textId="77777777" w:rsidR="00FB299A" w:rsidRPr="00FB299A" w:rsidRDefault="00FB299A" w:rsidP="00FB299A">
            <w:pPr>
              <w:spacing w:after="0" w:line="240" w:lineRule="auto"/>
              <w:jc w:val="left"/>
              <w:rPr>
                <w:rFonts w:ascii="Arial" w:hAnsi="Arial" w:cs="Arial"/>
                <w:b/>
                <w:bCs/>
                <w:sz w:val="16"/>
                <w:szCs w:val="16"/>
              </w:rPr>
            </w:pPr>
            <w:r w:rsidRPr="00FB299A">
              <w:rPr>
                <w:rFonts w:ascii="Arial" w:hAnsi="Arial" w:cs="Arial"/>
                <w:b/>
                <w:bCs/>
                <w:sz w:val="16"/>
                <w:szCs w:val="16"/>
              </w:rPr>
              <w:t>Surplus/(deficit) attributable to the</w:t>
            </w:r>
            <w:r w:rsidRPr="00FB299A">
              <w:rPr>
                <w:rFonts w:ascii="Arial" w:hAnsi="Arial" w:cs="Arial"/>
                <w:b/>
                <w:bCs/>
                <w:sz w:val="16"/>
                <w:szCs w:val="16"/>
              </w:rPr>
              <w:br/>
              <w:t xml:space="preserve">  Australian Government</w:t>
            </w:r>
          </w:p>
        </w:tc>
        <w:tc>
          <w:tcPr>
            <w:tcW w:w="631" w:type="pct"/>
            <w:tcBorders>
              <w:top w:val="nil"/>
              <w:left w:val="nil"/>
              <w:bottom w:val="single" w:sz="4" w:space="0" w:color="auto"/>
              <w:right w:val="nil"/>
            </w:tcBorders>
            <w:shd w:val="clear" w:color="auto" w:fill="auto"/>
            <w:noWrap/>
            <w:vAlign w:val="bottom"/>
            <w:hideMark/>
          </w:tcPr>
          <w:p w14:paraId="3CBEC70E"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 xml:space="preserve">302 </w:t>
            </w:r>
          </w:p>
        </w:tc>
        <w:tc>
          <w:tcPr>
            <w:tcW w:w="558" w:type="pct"/>
            <w:tcBorders>
              <w:top w:val="nil"/>
              <w:left w:val="nil"/>
              <w:bottom w:val="single" w:sz="4" w:space="0" w:color="auto"/>
              <w:right w:val="nil"/>
            </w:tcBorders>
            <w:shd w:val="clear" w:color="000000" w:fill="E6E6E6"/>
            <w:noWrap/>
            <w:vAlign w:val="bottom"/>
            <w:hideMark/>
          </w:tcPr>
          <w:p w14:paraId="7DE7426B"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(51)</w:t>
            </w:r>
          </w:p>
        </w:tc>
        <w:tc>
          <w:tcPr>
            <w:tcW w:w="558" w:type="pct"/>
            <w:tcBorders>
              <w:top w:val="nil"/>
              <w:left w:val="nil"/>
              <w:bottom w:val="single" w:sz="4" w:space="0" w:color="auto"/>
              <w:right w:val="nil"/>
            </w:tcBorders>
            <w:shd w:val="clear" w:color="auto" w:fill="auto"/>
            <w:noWrap/>
            <w:vAlign w:val="bottom"/>
            <w:hideMark/>
          </w:tcPr>
          <w:p w14:paraId="2BEBF703"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(51)</w:t>
            </w:r>
          </w:p>
        </w:tc>
        <w:tc>
          <w:tcPr>
            <w:tcW w:w="558" w:type="pct"/>
            <w:tcBorders>
              <w:top w:val="nil"/>
              <w:left w:val="nil"/>
              <w:bottom w:val="single" w:sz="4" w:space="0" w:color="auto"/>
              <w:right w:val="nil"/>
            </w:tcBorders>
            <w:shd w:val="clear" w:color="auto" w:fill="auto"/>
            <w:noWrap/>
            <w:vAlign w:val="bottom"/>
            <w:hideMark/>
          </w:tcPr>
          <w:p w14:paraId="166FF68C"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(51)</w:t>
            </w:r>
          </w:p>
        </w:tc>
        <w:tc>
          <w:tcPr>
            <w:tcW w:w="558" w:type="pct"/>
            <w:tcBorders>
              <w:top w:val="nil"/>
              <w:left w:val="nil"/>
              <w:bottom w:val="single" w:sz="4" w:space="0" w:color="auto"/>
              <w:right w:val="nil"/>
            </w:tcBorders>
            <w:shd w:val="clear" w:color="auto" w:fill="auto"/>
            <w:noWrap/>
            <w:vAlign w:val="bottom"/>
            <w:hideMark/>
          </w:tcPr>
          <w:p w14:paraId="60522522" w14:textId="77777777" w:rsidR="00FB299A" w:rsidRPr="00FB299A" w:rsidRDefault="00FB299A" w:rsidP="00A54CAE">
            <w:pPr>
              <w:spacing w:after="0" w:line="240" w:lineRule="auto"/>
              <w:jc w:val="right"/>
              <w:rPr>
                <w:rFonts w:ascii="Arial" w:hAnsi="Arial" w:cs="Arial"/>
                <w:b/>
                <w:bCs/>
                <w:sz w:val="16"/>
                <w:szCs w:val="16"/>
              </w:rPr>
            </w:pPr>
            <w:r w:rsidRPr="00FB299A">
              <w:rPr>
                <w:rFonts w:ascii="Arial" w:hAnsi="Arial" w:cs="Arial"/>
                <w:b/>
                <w:bCs/>
                <w:sz w:val="16"/>
                <w:szCs w:val="16"/>
              </w:rPr>
              <w:t>(52)</w:t>
            </w:r>
          </w:p>
        </w:tc>
      </w:tr>
    </w:tbl>
    <w:p w14:paraId="0BF17ACC" w14:textId="0E973285" w:rsidR="00613C26" w:rsidRDefault="00613C26" w:rsidP="00613C26">
      <w:pPr>
        <w:rPr>
          <w:lang w:val="x-none" w:eastAsia="x-none"/>
        </w:rPr>
      </w:pPr>
    </w:p>
    <w:p w14:paraId="16172C65" w14:textId="120EEF05" w:rsidR="00613C26" w:rsidRDefault="00613C26" w:rsidP="00613C26">
      <w:pPr>
        <w:rPr>
          <w:lang w:val="x-none" w:eastAsia="x-none"/>
        </w:rPr>
      </w:pPr>
    </w:p>
    <w:p w14:paraId="61F43B80" w14:textId="719B8F8A" w:rsidR="00613C26" w:rsidRDefault="00613C26" w:rsidP="00613C26">
      <w:pPr>
        <w:rPr>
          <w:lang w:val="x-none" w:eastAsia="x-none"/>
        </w:rPr>
      </w:pPr>
    </w:p>
    <w:p w14:paraId="77DE8C81" w14:textId="2FC115F1" w:rsidR="00613C26" w:rsidRDefault="00613C26" w:rsidP="00613C26">
      <w:pPr>
        <w:rPr>
          <w:lang w:val="x-none" w:eastAsia="x-none"/>
        </w:rPr>
      </w:pPr>
    </w:p>
    <w:p w14:paraId="1D7399BE" w14:textId="77777777" w:rsidR="00613C26" w:rsidRPr="00613C26" w:rsidRDefault="00613C26" w:rsidP="00613C26">
      <w:pPr>
        <w:rPr>
          <w:lang w:val="x-none" w:eastAsia="x-none"/>
        </w:rPr>
      </w:pPr>
    </w:p>
    <w:p w14:paraId="516A3757" w14:textId="11E78B10" w:rsidR="00146B5E" w:rsidRPr="00A01325" w:rsidRDefault="007742FF" w:rsidP="00A01325">
      <w:pPr>
        <w:pStyle w:val="TableGraphic"/>
      </w:pPr>
      <w:r>
        <w:br w:type="page"/>
      </w:r>
      <w:r w:rsidR="00146B5E" w:rsidRPr="00A940A0">
        <w:rPr>
          <w:rFonts w:ascii="Arial" w:hAnsi="Arial"/>
          <w:b/>
          <w:color w:val="000000"/>
          <w:lang w:val="x-none" w:eastAsia="x-none"/>
        </w:rPr>
        <w:lastRenderedPageBreak/>
        <w:t>Table 3.1: Comprehensive income statement (showing net cost of services) for the period ended 30 June</w:t>
      </w:r>
      <w:r w:rsidR="00765A82" w:rsidRPr="00A940A0">
        <w:rPr>
          <w:rFonts w:ascii="Arial" w:hAnsi="Arial"/>
          <w:b/>
          <w:color w:val="000000"/>
          <w:lang w:val="x-none" w:eastAsia="x-none"/>
        </w:rPr>
        <w:t xml:space="preserve"> (continued)</w:t>
      </w:r>
    </w:p>
    <w:p w14:paraId="72D9F512" w14:textId="77777777" w:rsidR="00A965CD" w:rsidRPr="003819E1" w:rsidRDefault="00A965CD" w:rsidP="002C1D11">
      <w:pPr>
        <w:pStyle w:val="TableGraphic"/>
        <w:rPr>
          <w:rFonts w:ascii="Arial" w:hAnsi="Arial" w:cs="Arial"/>
        </w:rPr>
      </w:pPr>
    </w:p>
    <w:p w14:paraId="291386DB" w14:textId="01DCCC53" w:rsidR="00A940A0" w:rsidRDefault="007742FF" w:rsidP="00A940A0">
      <w:pPr>
        <w:pStyle w:val="TableHeadingNoTable"/>
        <w:spacing w:after="0"/>
        <w:rPr>
          <w:rFonts w:ascii="Times New Roman" w:hAnsi="Times New Roman"/>
        </w:rPr>
      </w:pPr>
      <w:r w:rsidRPr="003819E1">
        <w:t>Note: Impact of net cash appropriation arrangements</w:t>
      </w:r>
      <w:r w:rsidR="00D52088" w:rsidRPr="00D52088">
        <w:rPr>
          <w:noProof/>
        </w:rPr>
        <w:t xml:space="preserve"> </w:t>
      </w:r>
    </w:p>
    <w:tbl>
      <w:tblPr>
        <w:tblW w:w="5000" w:type="pct"/>
        <w:tblLook w:val="04A0" w:firstRow="1" w:lastRow="0" w:firstColumn="1" w:lastColumn="0" w:noHBand="0" w:noVBand="1"/>
      </w:tblPr>
      <w:tblGrid>
        <w:gridCol w:w="3345"/>
        <w:gridCol w:w="873"/>
        <w:gridCol w:w="873"/>
        <w:gridCol w:w="873"/>
        <w:gridCol w:w="873"/>
        <w:gridCol w:w="873"/>
      </w:tblGrid>
      <w:tr w:rsidR="00A940A0" w:rsidRPr="00A940A0" w14:paraId="472F3546" w14:textId="77777777" w:rsidTr="00F6653D">
        <w:trPr>
          <w:trHeight w:hRule="exact" w:val="450"/>
        </w:trPr>
        <w:tc>
          <w:tcPr>
            <w:tcW w:w="2169" w:type="pct"/>
            <w:tcBorders>
              <w:top w:val="single" w:sz="4" w:space="0" w:color="auto"/>
              <w:left w:val="nil"/>
              <w:bottom w:val="nil"/>
              <w:right w:val="nil"/>
            </w:tcBorders>
            <w:shd w:val="clear" w:color="auto" w:fill="auto"/>
            <w:vAlign w:val="bottom"/>
            <w:hideMark/>
          </w:tcPr>
          <w:p w14:paraId="2F8E89EF" w14:textId="5878B062" w:rsidR="00A940A0" w:rsidRPr="00A940A0" w:rsidRDefault="00A940A0">
            <w:pPr>
              <w:rPr>
                <w:rFonts w:ascii="Arial" w:hAnsi="Arial" w:cs="Arial"/>
                <w:sz w:val="16"/>
                <w:szCs w:val="16"/>
              </w:rPr>
            </w:pPr>
            <w:r w:rsidRPr="00A940A0">
              <w:rPr>
                <w:rFonts w:ascii="Arial" w:hAnsi="Arial" w:cs="Arial"/>
                <w:sz w:val="16"/>
                <w:szCs w:val="16"/>
              </w:rPr>
              <w:t> </w:t>
            </w:r>
          </w:p>
        </w:tc>
        <w:tc>
          <w:tcPr>
            <w:tcW w:w="566" w:type="pct"/>
            <w:tcBorders>
              <w:top w:val="single" w:sz="4" w:space="0" w:color="auto"/>
              <w:left w:val="nil"/>
              <w:bottom w:val="single" w:sz="4" w:space="0" w:color="auto"/>
              <w:right w:val="nil"/>
            </w:tcBorders>
            <w:shd w:val="clear" w:color="auto" w:fill="auto"/>
            <w:vAlign w:val="center"/>
            <w:hideMark/>
          </w:tcPr>
          <w:p w14:paraId="0A4E560B" w14:textId="77777777" w:rsidR="00A940A0" w:rsidRPr="00A940A0" w:rsidRDefault="00A940A0" w:rsidP="00A940A0">
            <w:pPr>
              <w:spacing w:after="0" w:line="240" w:lineRule="auto"/>
              <w:jc w:val="right"/>
              <w:rPr>
                <w:rFonts w:ascii="Arial" w:hAnsi="Arial" w:cs="Arial"/>
                <w:color w:val="000000"/>
                <w:sz w:val="16"/>
                <w:szCs w:val="16"/>
              </w:rPr>
            </w:pPr>
            <w:r w:rsidRPr="00A940A0">
              <w:rPr>
                <w:rFonts w:ascii="Arial" w:hAnsi="Arial" w:cs="Arial"/>
                <w:color w:val="000000"/>
                <w:sz w:val="16"/>
                <w:szCs w:val="16"/>
              </w:rPr>
              <w:t>2019-20</w:t>
            </w:r>
            <w:r w:rsidRPr="00A940A0">
              <w:rPr>
                <w:rFonts w:ascii="Arial" w:hAnsi="Arial" w:cs="Arial"/>
                <w:color w:val="000000"/>
                <w:sz w:val="16"/>
                <w:szCs w:val="16"/>
              </w:rPr>
              <w:br/>
              <w:t>$'000</w:t>
            </w:r>
          </w:p>
        </w:tc>
        <w:tc>
          <w:tcPr>
            <w:tcW w:w="566" w:type="pct"/>
            <w:tcBorders>
              <w:top w:val="single" w:sz="4" w:space="0" w:color="auto"/>
              <w:left w:val="nil"/>
              <w:bottom w:val="single" w:sz="4" w:space="0" w:color="auto"/>
              <w:right w:val="nil"/>
            </w:tcBorders>
            <w:shd w:val="clear" w:color="000000" w:fill="E6E6E6"/>
            <w:vAlign w:val="center"/>
            <w:hideMark/>
          </w:tcPr>
          <w:p w14:paraId="7A478AA8" w14:textId="77777777" w:rsidR="00A940A0" w:rsidRPr="00A940A0" w:rsidRDefault="00A940A0" w:rsidP="00A940A0">
            <w:pPr>
              <w:spacing w:after="0" w:line="240" w:lineRule="auto"/>
              <w:jc w:val="right"/>
              <w:rPr>
                <w:rFonts w:ascii="Arial" w:hAnsi="Arial" w:cs="Arial"/>
                <w:color w:val="000000"/>
                <w:sz w:val="16"/>
                <w:szCs w:val="16"/>
              </w:rPr>
            </w:pPr>
            <w:r w:rsidRPr="00A940A0">
              <w:rPr>
                <w:rFonts w:ascii="Arial" w:hAnsi="Arial" w:cs="Arial"/>
                <w:color w:val="000000"/>
                <w:sz w:val="16"/>
                <w:szCs w:val="16"/>
              </w:rPr>
              <w:t>2020-21</w:t>
            </w:r>
            <w:r w:rsidRPr="00A940A0">
              <w:rPr>
                <w:rFonts w:ascii="Arial" w:hAnsi="Arial" w:cs="Arial"/>
                <w:color w:val="000000"/>
                <w:sz w:val="16"/>
                <w:szCs w:val="16"/>
              </w:rPr>
              <w:br/>
              <w:t>$'000</w:t>
            </w:r>
          </w:p>
        </w:tc>
        <w:tc>
          <w:tcPr>
            <w:tcW w:w="566" w:type="pct"/>
            <w:tcBorders>
              <w:top w:val="single" w:sz="4" w:space="0" w:color="auto"/>
              <w:left w:val="nil"/>
              <w:bottom w:val="single" w:sz="4" w:space="0" w:color="auto"/>
              <w:right w:val="nil"/>
            </w:tcBorders>
            <w:shd w:val="clear" w:color="auto" w:fill="auto"/>
            <w:vAlign w:val="center"/>
            <w:hideMark/>
          </w:tcPr>
          <w:p w14:paraId="259F44BF" w14:textId="77777777" w:rsidR="00A940A0" w:rsidRPr="00A940A0" w:rsidRDefault="00A940A0" w:rsidP="00A940A0">
            <w:pPr>
              <w:spacing w:after="0" w:line="240" w:lineRule="auto"/>
              <w:jc w:val="right"/>
              <w:rPr>
                <w:rFonts w:ascii="Arial" w:hAnsi="Arial" w:cs="Arial"/>
                <w:color w:val="000000"/>
                <w:sz w:val="16"/>
                <w:szCs w:val="16"/>
              </w:rPr>
            </w:pPr>
            <w:r w:rsidRPr="00A940A0">
              <w:rPr>
                <w:rFonts w:ascii="Arial" w:hAnsi="Arial" w:cs="Arial"/>
                <w:color w:val="000000"/>
                <w:sz w:val="16"/>
                <w:szCs w:val="16"/>
              </w:rPr>
              <w:t>2021-22</w:t>
            </w:r>
            <w:r w:rsidRPr="00A940A0">
              <w:rPr>
                <w:rFonts w:ascii="Arial" w:hAnsi="Arial" w:cs="Arial"/>
                <w:color w:val="000000"/>
                <w:sz w:val="16"/>
                <w:szCs w:val="16"/>
              </w:rPr>
              <w:br/>
              <w:t>$'000</w:t>
            </w:r>
          </w:p>
        </w:tc>
        <w:tc>
          <w:tcPr>
            <w:tcW w:w="566" w:type="pct"/>
            <w:tcBorders>
              <w:top w:val="single" w:sz="4" w:space="0" w:color="auto"/>
              <w:left w:val="nil"/>
              <w:bottom w:val="single" w:sz="4" w:space="0" w:color="auto"/>
              <w:right w:val="nil"/>
            </w:tcBorders>
            <w:shd w:val="clear" w:color="auto" w:fill="auto"/>
            <w:vAlign w:val="center"/>
            <w:hideMark/>
          </w:tcPr>
          <w:p w14:paraId="6A1D14A6" w14:textId="77777777" w:rsidR="00A940A0" w:rsidRPr="00A940A0" w:rsidRDefault="00A940A0" w:rsidP="00A940A0">
            <w:pPr>
              <w:spacing w:after="0" w:line="240" w:lineRule="auto"/>
              <w:jc w:val="right"/>
              <w:rPr>
                <w:rFonts w:ascii="Arial" w:hAnsi="Arial" w:cs="Arial"/>
                <w:color w:val="000000"/>
                <w:sz w:val="16"/>
                <w:szCs w:val="16"/>
              </w:rPr>
            </w:pPr>
            <w:r w:rsidRPr="00A940A0">
              <w:rPr>
                <w:rFonts w:ascii="Arial" w:hAnsi="Arial" w:cs="Arial"/>
                <w:color w:val="000000"/>
                <w:sz w:val="16"/>
                <w:szCs w:val="16"/>
              </w:rPr>
              <w:t>2022-23</w:t>
            </w:r>
            <w:r w:rsidRPr="00A940A0">
              <w:rPr>
                <w:rFonts w:ascii="Arial" w:hAnsi="Arial" w:cs="Arial"/>
                <w:color w:val="000000"/>
                <w:sz w:val="16"/>
                <w:szCs w:val="16"/>
              </w:rPr>
              <w:br/>
              <w:t>$'000</w:t>
            </w:r>
          </w:p>
        </w:tc>
        <w:tc>
          <w:tcPr>
            <w:tcW w:w="566" w:type="pct"/>
            <w:tcBorders>
              <w:top w:val="single" w:sz="4" w:space="0" w:color="auto"/>
              <w:left w:val="nil"/>
              <w:bottom w:val="single" w:sz="4" w:space="0" w:color="auto"/>
              <w:right w:val="nil"/>
            </w:tcBorders>
            <w:shd w:val="clear" w:color="auto" w:fill="auto"/>
            <w:vAlign w:val="center"/>
            <w:hideMark/>
          </w:tcPr>
          <w:p w14:paraId="78AE0628" w14:textId="77777777" w:rsidR="00A940A0" w:rsidRPr="00A940A0" w:rsidRDefault="00A940A0" w:rsidP="00A940A0">
            <w:pPr>
              <w:spacing w:after="0" w:line="240" w:lineRule="auto"/>
              <w:jc w:val="right"/>
              <w:rPr>
                <w:rFonts w:ascii="Arial" w:hAnsi="Arial" w:cs="Arial"/>
                <w:color w:val="000000"/>
                <w:sz w:val="16"/>
                <w:szCs w:val="16"/>
              </w:rPr>
            </w:pPr>
            <w:r w:rsidRPr="00A940A0">
              <w:rPr>
                <w:rFonts w:ascii="Arial" w:hAnsi="Arial" w:cs="Arial"/>
                <w:color w:val="000000"/>
                <w:sz w:val="16"/>
                <w:szCs w:val="16"/>
              </w:rPr>
              <w:t>2023-24</w:t>
            </w:r>
            <w:r w:rsidRPr="00A940A0">
              <w:rPr>
                <w:rFonts w:ascii="Arial" w:hAnsi="Arial" w:cs="Arial"/>
                <w:color w:val="000000"/>
                <w:sz w:val="16"/>
                <w:szCs w:val="16"/>
              </w:rPr>
              <w:br/>
              <w:t>$'000</w:t>
            </w:r>
          </w:p>
        </w:tc>
      </w:tr>
      <w:tr w:rsidR="00A940A0" w:rsidRPr="00A940A0" w14:paraId="21AC9E38" w14:textId="77777777" w:rsidTr="00D50CD4">
        <w:trPr>
          <w:trHeight w:hRule="exact" w:val="1361"/>
        </w:trPr>
        <w:tc>
          <w:tcPr>
            <w:tcW w:w="2169" w:type="pct"/>
            <w:tcBorders>
              <w:top w:val="nil"/>
              <w:left w:val="nil"/>
              <w:bottom w:val="nil"/>
              <w:right w:val="nil"/>
            </w:tcBorders>
            <w:shd w:val="clear" w:color="auto" w:fill="auto"/>
            <w:vAlign w:val="bottom"/>
            <w:hideMark/>
          </w:tcPr>
          <w:p w14:paraId="791BAB4C" w14:textId="77777777" w:rsidR="00A940A0" w:rsidRPr="00A940A0" w:rsidRDefault="00A940A0" w:rsidP="00D50CD4">
            <w:pPr>
              <w:spacing w:after="0" w:line="240" w:lineRule="auto"/>
              <w:jc w:val="left"/>
              <w:rPr>
                <w:rFonts w:ascii="Arial" w:hAnsi="Arial" w:cs="Arial"/>
                <w:b/>
                <w:bCs/>
                <w:color w:val="000000"/>
                <w:sz w:val="16"/>
                <w:szCs w:val="16"/>
              </w:rPr>
            </w:pPr>
            <w:r w:rsidRPr="00A940A0">
              <w:rPr>
                <w:rFonts w:ascii="Arial" w:hAnsi="Arial" w:cs="Arial"/>
                <w:b/>
                <w:bCs/>
                <w:color w:val="000000"/>
                <w:sz w:val="16"/>
                <w:szCs w:val="16"/>
              </w:rPr>
              <w:t>Total comprehensive income/(loss)</w:t>
            </w:r>
            <w:r w:rsidRPr="00A940A0">
              <w:rPr>
                <w:rFonts w:ascii="Arial" w:hAnsi="Arial" w:cs="Arial"/>
                <w:b/>
                <w:bCs/>
                <w:color w:val="000000"/>
                <w:sz w:val="16"/>
                <w:szCs w:val="16"/>
              </w:rPr>
              <w:br/>
              <w:t xml:space="preserve">  excluding depreciation/</w:t>
            </w:r>
            <w:r w:rsidRPr="00A940A0">
              <w:rPr>
                <w:rFonts w:ascii="Arial" w:hAnsi="Arial" w:cs="Arial"/>
                <w:b/>
                <w:bCs/>
                <w:color w:val="000000"/>
                <w:sz w:val="16"/>
                <w:szCs w:val="16"/>
              </w:rPr>
              <w:br/>
              <w:t xml:space="preserve">  amortisation expenses previously</w:t>
            </w:r>
            <w:r w:rsidRPr="00A940A0">
              <w:rPr>
                <w:rFonts w:ascii="Arial" w:hAnsi="Arial" w:cs="Arial"/>
                <w:b/>
                <w:bCs/>
                <w:color w:val="000000"/>
                <w:sz w:val="16"/>
                <w:szCs w:val="16"/>
              </w:rPr>
              <w:br/>
              <w:t xml:space="preserve">  funded through revenue</w:t>
            </w:r>
            <w:r w:rsidRPr="00A940A0">
              <w:rPr>
                <w:rFonts w:ascii="Arial" w:hAnsi="Arial" w:cs="Arial"/>
                <w:b/>
                <w:bCs/>
                <w:color w:val="000000"/>
                <w:sz w:val="16"/>
                <w:szCs w:val="16"/>
              </w:rPr>
              <w:br/>
              <w:t xml:space="preserve">  appropriations, depreciation on </w:t>
            </w:r>
            <w:r w:rsidRPr="00A940A0">
              <w:rPr>
                <w:rFonts w:ascii="Arial" w:hAnsi="Arial" w:cs="Arial"/>
                <w:b/>
                <w:bCs/>
                <w:color w:val="000000"/>
                <w:sz w:val="16"/>
                <w:szCs w:val="16"/>
              </w:rPr>
              <w:br/>
              <w:t xml:space="preserve">  ROU, principal repayments on </w:t>
            </w:r>
            <w:r w:rsidRPr="00A940A0">
              <w:rPr>
                <w:rFonts w:ascii="Arial" w:hAnsi="Arial" w:cs="Arial"/>
                <w:b/>
                <w:bCs/>
                <w:color w:val="000000"/>
                <w:sz w:val="16"/>
                <w:szCs w:val="16"/>
              </w:rPr>
              <w:br/>
              <w:t xml:space="preserve">  leased assets</w:t>
            </w:r>
          </w:p>
        </w:tc>
        <w:tc>
          <w:tcPr>
            <w:tcW w:w="566" w:type="pct"/>
            <w:tcBorders>
              <w:top w:val="nil"/>
              <w:left w:val="nil"/>
              <w:bottom w:val="nil"/>
              <w:right w:val="nil"/>
            </w:tcBorders>
            <w:shd w:val="clear" w:color="auto" w:fill="auto"/>
            <w:noWrap/>
            <w:vAlign w:val="bottom"/>
            <w:hideMark/>
          </w:tcPr>
          <w:p w14:paraId="35877FE4" w14:textId="77777777" w:rsidR="00A940A0" w:rsidRPr="00A940A0" w:rsidRDefault="00A940A0" w:rsidP="00A940A0">
            <w:pPr>
              <w:spacing w:after="0" w:line="240" w:lineRule="auto"/>
              <w:jc w:val="right"/>
              <w:rPr>
                <w:rFonts w:ascii="Arial" w:hAnsi="Arial" w:cs="Arial"/>
                <w:b/>
                <w:bCs/>
                <w:color w:val="000000"/>
                <w:sz w:val="16"/>
                <w:szCs w:val="16"/>
              </w:rPr>
            </w:pPr>
            <w:r w:rsidRPr="00A940A0">
              <w:rPr>
                <w:rFonts w:ascii="Arial" w:hAnsi="Arial" w:cs="Arial"/>
                <w:b/>
                <w:bCs/>
                <w:color w:val="000000"/>
                <w:sz w:val="16"/>
                <w:szCs w:val="16"/>
              </w:rPr>
              <w:t xml:space="preserve">51 </w:t>
            </w:r>
          </w:p>
        </w:tc>
        <w:tc>
          <w:tcPr>
            <w:tcW w:w="566" w:type="pct"/>
            <w:tcBorders>
              <w:top w:val="nil"/>
              <w:left w:val="nil"/>
              <w:bottom w:val="nil"/>
              <w:right w:val="nil"/>
            </w:tcBorders>
            <w:shd w:val="clear" w:color="000000" w:fill="E6E6E6"/>
            <w:noWrap/>
            <w:vAlign w:val="bottom"/>
            <w:hideMark/>
          </w:tcPr>
          <w:p w14:paraId="2A421C48" w14:textId="77777777" w:rsidR="00A940A0" w:rsidRPr="00A940A0" w:rsidRDefault="00A940A0" w:rsidP="00A940A0">
            <w:pPr>
              <w:spacing w:after="0" w:line="240" w:lineRule="auto"/>
              <w:jc w:val="right"/>
              <w:rPr>
                <w:rFonts w:ascii="Arial" w:hAnsi="Arial" w:cs="Arial"/>
                <w:b/>
                <w:bCs/>
                <w:color w:val="000000"/>
                <w:sz w:val="16"/>
                <w:szCs w:val="16"/>
              </w:rPr>
            </w:pPr>
            <w:r w:rsidRPr="00A940A0">
              <w:rPr>
                <w:rFonts w:ascii="Arial" w:hAnsi="Arial" w:cs="Arial"/>
                <w:b/>
                <w:bCs/>
                <w:color w:val="000000"/>
                <w:sz w:val="16"/>
                <w:szCs w:val="16"/>
              </w:rPr>
              <w:t>(302)</w:t>
            </w:r>
          </w:p>
        </w:tc>
        <w:tc>
          <w:tcPr>
            <w:tcW w:w="566" w:type="pct"/>
            <w:tcBorders>
              <w:top w:val="nil"/>
              <w:left w:val="nil"/>
              <w:bottom w:val="nil"/>
              <w:right w:val="nil"/>
            </w:tcBorders>
            <w:shd w:val="clear" w:color="auto" w:fill="auto"/>
            <w:noWrap/>
            <w:vAlign w:val="bottom"/>
            <w:hideMark/>
          </w:tcPr>
          <w:p w14:paraId="4543B073" w14:textId="77777777" w:rsidR="00A940A0" w:rsidRPr="00A940A0" w:rsidRDefault="00A940A0" w:rsidP="00A940A0">
            <w:pPr>
              <w:spacing w:after="0" w:line="240" w:lineRule="auto"/>
              <w:jc w:val="right"/>
              <w:rPr>
                <w:rFonts w:ascii="Arial" w:hAnsi="Arial" w:cs="Arial"/>
                <w:b/>
                <w:bCs/>
                <w:color w:val="000000"/>
                <w:sz w:val="16"/>
                <w:szCs w:val="16"/>
              </w:rPr>
            </w:pPr>
            <w:r w:rsidRPr="00A940A0">
              <w:rPr>
                <w:rFonts w:ascii="Arial" w:hAnsi="Arial" w:cs="Arial"/>
                <w:b/>
                <w:bCs/>
                <w:color w:val="000000"/>
                <w:sz w:val="16"/>
                <w:szCs w:val="16"/>
              </w:rPr>
              <w:t>(302)</w:t>
            </w:r>
          </w:p>
        </w:tc>
        <w:tc>
          <w:tcPr>
            <w:tcW w:w="566" w:type="pct"/>
            <w:tcBorders>
              <w:top w:val="nil"/>
              <w:left w:val="nil"/>
              <w:bottom w:val="nil"/>
              <w:right w:val="nil"/>
            </w:tcBorders>
            <w:shd w:val="clear" w:color="auto" w:fill="auto"/>
            <w:noWrap/>
            <w:vAlign w:val="bottom"/>
            <w:hideMark/>
          </w:tcPr>
          <w:p w14:paraId="50D511C1" w14:textId="77777777" w:rsidR="00A940A0" w:rsidRPr="00A940A0" w:rsidRDefault="00A940A0" w:rsidP="00A940A0">
            <w:pPr>
              <w:spacing w:after="0" w:line="240" w:lineRule="auto"/>
              <w:jc w:val="right"/>
              <w:rPr>
                <w:rFonts w:ascii="Arial" w:hAnsi="Arial" w:cs="Arial"/>
                <w:b/>
                <w:bCs/>
                <w:color w:val="000000"/>
                <w:sz w:val="16"/>
                <w:szCs w:val="16"/>
              </w:rPr>
            </w:pPr>
            <w:r w:rsidRPr="00A940A0">
              <w:rPr>
                <w:rFonts w:ascii="Arial" w:hAnsi="Arial" w:cs="Arial"/>
                <w:b/>
                <w:bCs/>
                <w:color w:val="000000"/>
                <w:sz w:val="16"/>
                <w:szCs w:val="16"/>
              </w:rPr>
              <w:t>(302)</w:t>
            </w:r>
          </w:p>
        </w:tc>
        <w:tc>
          <w:tcPr>
            <w:tcW w:w="566" w:type="pct"/>
            <w:tcBorders>
              <w:top w:val="nil"/>
              <w:left w:val="nil"/>
              <w:bottom w:val="nil"/>
              <w:right w:val="nil"/>
            </w:tcBorders>
            <w:shd w:val="clear" w:color="auto" w:fill="auto"/>
            <w:noWrap/>
            <w:vAlign w:val="bottom"/>
            <w:hideMark/>
          </w:tcPr>
          <w:p w14:paraId="1916FB1F" w14:textId="77777777" w:rsidR="00A940A0" w:rsidRPr="00A940A0" w:rsidRDefault="00A940A0" w:rsidP="00A940A0">
            <w:pPr>
              <w:spacing w:after="0" w:line="240" w:lineRule="auto"/>
              <w:jc w:val="right"/>
              <w:rPr>
                <w:rFonts w:ascii="Arial" w:hAnsi="Arial" w:cs="Arial"/>
                <w:b/>
                <w:bCs/>
                <w:color w:val="000000"/>
                <w:sz w:val="16"/>
                <w:szCs w:val="16"/>
              </w:rPr>
            </w:pPr>
            <w:r w:rsidRPr="00A940A0">
              <w:rPr>
                <w:rFonts w:ascii="Arial" w:hAnsi="Arial" w:cs="Arial"/>
                <w:b/>
                <w:bCs/>
                <w:color w:val="000000"/>
                <w:sz w:val="16"/>
                <w:szCs w:val="16"/>
              </w:rPr>
              <w:t>(303)</w:t>
            </w:r>
          </w:p>
        </w:tc>
      </w:tr>
      <w:tr w:rsidR="00A940A0" w:rsidRPr="00A940A0" w14:paraId="7B7A1F35" w14:textId="77777777" w:rsidTr="00D50CD4">
        <w:trPr>
          <w:trHeight w:hRule="exact" w:val="964"/>
        </w:trPr>
        <w:tc>
          <w:tcPr>
            <w:tcW w:w="2169" w:type="pct"/>
            <w:tcBorders>
              <w:top w:val="nil"/>
              <w:left w:val="nil"/>
              <w:bottom w:val="nil"/>
              <w:right w:val="nil"/>
            </w:tcBorders>
            <w:shd w:val="clear" w:color="auto" w:fill="auto"/>
            <w:vAlign w:val="bottom"/>
            <w:hideMark/>
          </w:tcPr>
          <w:p w14:paraId="763E8888" w14:textId="77777777" w:rsidR="00A940A0" w:rsidRPr="00A940A0" w:rsidRDefault="00A940A0" w:rsidP="00D50CD4">
            <w:pPr>
              <w:spacing w:after="0" w:line="240" w:lineRule="auto"/>
              <w:ind w:left="170"/>
              <w:jc w:val="left"/>
              <w:rPr>
                <w:rFonts w:ascii="Arial" w:hAnsi="Arial" w:cs="Arial"/>
                <w:color w:val="000000"/>
                <w:sz w:val="16"/>
                <w:szCs w:val="16"/>
              </w:rPr>
            </w:pPr>
            <w:r w:rsidRPr="00A940A0">
              <w:rPr>
                <w:rFonts w:ascii="Arial" w:hAnsi="Arial" w:cs="Arial"/>
                <w:color w:val="000000"/>
                <w:sz w:val="16"/>
                <w:szCs w:val="16"/>
              </w:rPr>
              <w:t>less: Depreciation/amortisation</w:t>
            </w:r>
            <w:r w:rsidRPr="00A940A0">
              <w:rPr>
                <w:rFonts w:ascii="Arial" w:hAnsi="Arial" w:cs="Arial"/>
                <w:color w:val="000000"/>
                <w:sz w:val="16"/>
                <w:szCs w:val="16"/>
              </w:rPr>
              <w:br/>
              <w:t xml:space="preserve">  expenses previously funded through</w:t>
            </w:r>
            <w:r w:rsidRPr="00A940A0">
              <w:rPr>
                <w:rFonts w:ascii="Arial" w:hAnsi="Arial" w:cs="Arial"/>
                <w:color w:val="000000"/>
                <w:sz w:val="16"/>
                <w:szCs w:val="16"/>
              </w:rPr>
              <w:br/>
              <w:t xml:space="preserve">  revenue appropriations (a) less depreciation/amortisation expenses for ROU (b)</w:t>
            </w:r>
          </w:p>
        </w:tc>
        <w:tc>
          <w:tcPr>
            <w:tcW w:w="566" w:type="pct"/>
            <w:tcBorders>
              <w:top w:val="nil"/>
              <w:left w:val="nil"/>
              <w:bottom w:val="nil"/>
              <w:right w:val="nil"/>
            </w:tcBorders>
            <w:shd w:val="clear" w:color="000000" w:fill="FFFFFF"/>
            <w:noWrap/>
            <w:vAlign w:val="bottom"/>
            <w:hideMark/>
          </w:tcPr>
          <w:p w14:paraId="5808C077" w14:textId="77777777" w:rsidR="00A940A0" w:rsidRPr="00A940A0" w:rsidRDefault="00A940A0" w:rsidP="00A940A0">
            <w:pPr>
              <w:spacing w:after="0" w:line="240" w:lineRule="auto"/>
              <w:jc w:val="right"/>
              <w:rPr>
                <w:rFonts w:ascii="Arial" w:hAnsi="Arial" w:cs="Arial"/>
                <w:sz w:val="16"/>
                <w:szCs w:val="16"/>
              </w:rPr>
            </w:pPr>
            <w:r w:rsidRPr="00A940A0">
              <w:rPr>
                <w:rFonts w:ascii="Arial" w:hAnsi="Arial" w:cs="Arial"/>
                <w:sz w:val="16"/>
                <w:szCs w:val="16"/>
              </w:rPr>
              <w:t>(251)</w:t>
            </w:r>
          </w:p>
        </w:tc>
        <w:tc>
          <w:tcPr>
            <w:tcW w:w="566" w:type="pct"/>
            <w:tcBorders>
              <w:top w:val="nil"/>
              <w:left w:val="nil"/>
              <w:bottom w:val="nil"/>
              <w:right w:val="nil"/>
            </w:tcBorders>
            <w:shd w:val="clear" w:color="000000" w:fill="E6E6E6"/>
            <w:noWrap/>
            <w:vAlign w:val="bottom"/>
            <w:hideMark/>
          </w:tcPr>
          <w:p w14:paraId="62CC8732" w14:textId="77777777" w:rsidR="00A940A0" w:rsidRPr="00D50CD4" w:rsidRDefault="00A940A0" w:rsidP="00A940A0">
            <w:pPr>
              <w:spacing w:after="0" w:line="240" w:lineRule="auto"/>
              <w:jc w:val="right"/>
              <w:rPr>
                <w:rFonts w:ascii="Arial" w:hAnsi="Arial" w:cs="Arial"/>
                <w:bCs/>
                <w:sz w:val="16"/>
                <w:szCs w:val="16"/>
              </w:rPr>
            </w:pPr>
            <w:r w:rsidRPr="00D50CD4">
              <w:rPr>
                <w:rFonts w:ascii="Arial" w:hAnsi="Arial" w:cs="Arial"/>
                <w:bCs/>
                <w:sz w:val="16"/>
                <w:szCs w:val="16"/>
              </w:rPr>
              <w:t>(251)</w:t>
            </w:r>
          </w:p>
        </w:tc>
        <w:tc>
          <w:tcPr>
            <w:tcW w:w="566" w:type="pct"/>
            <w:tcBorders>
              <w:top w:val="nil"/>
              <w:left w:val="nil"/>
              <w:bottom w:val="nil"/>
              <w:right w:val="nil"/>
            </w:tcBorders>
            <w:shd w:val="clear" w:color="000000" w:fill="FFFFFF"/>
            <w:noWrap/>
            <w:vAlign w:val="bottom"/>
            <w:hideMark/>
          </w:tcPr>
          <w:p w14:paraId="5B6B6D91" w14:textId="77777777" w:rsidR="00A940A0" w:rsidRPr="00A940A0" w:rsidRDefault="00A940A0" w:rsidP="00A940A0">
            <w:pPr>
              <w:spacing w:after="0" w:line="240" w:lineRule="auto"/>
              <w:jc w:val="right"/>
              <w:rPr>
                <w:rFonts w:ascii="Arial" w:hAnsi="Arial" w:cs="Arial"/>
                <w:sz w:val="16"/>
                <w:szCs w:val="16"/>
              </w:rPr>
            </w:pPr>
            <w:r w:rsidRPr="00A940A0">
              <w:rPr>
                <w:rFonts w:ascii="Arial" w:hAnsi="Arial" w:cs="Arial"/>
                <w:sz w:val="16"/>
                <w:szCs w:val="16"/>
              </w:rPr>
              <w:t>(251)</w:t>
            </w:r>
          </w:p>
        </w:tc>
        <w:tc>
          <w:tcPr>
            <w:tcW w:w="566" w:type="pct"/>
            <w:tcBorders>
              <w:top w:val="nil"/>
              <w:left w:val="nil"/>
              <w:bottom w:val="nil"/>
              <w:right w:val="nil"/>
            </w:tcBorders>
            <w:shd w:val="clear" w:color="000000" w:fill="FFFFFF"/>
            <w:noWrap/>
            <w:vAlign w:val="bottom"/>
            <w:hideMark/>
          </w:tcPr>
          <w:p w14:paraId="43573CCD" w14:textId="77777777" w:rsidR="00A940A0" w:rsidRPr="00A940A0" w:rsidRDefault="00A940A0" w:rsidP="00A940A0">
            <w:pPr>
              <w:spacing w:after="0" w:line="240" w:lineRule="auto"/>
              <w:jc w:val="right"/>
              <w:rPr>
                <w:rFonts w:ascii="Arial" w:hAnsi="Arial" w:cs="Arial"/>
                <w:sz w:val="16"/>
                <w:szCs w:val="16"/>
              </w:rPr>
            </w:pPr>
            <w:r w:rsidRPr="00A940A0">
              <w:rPr>
                <w:rFonts w:ascii="Arial" w:hAnsi="Arial" w:cs="Arial"/>
                <w:sz w:val="16"/>
                <w:szCs w:val="16"/>
              </w:rPr>
              <w:t>(251)</w:t>
            </w:r>
          </w:p>
        </w:tc>
        <w:tc>
          <w:tcPr>
            <w:tcW w:w="566" w:type="pct"/>
            <w:tcBorders>
              <w:top w:val="nil"/>
              <w:left w:val="nil"/>
              <w:bottom w:val="nil"/>
              <w:right w:val="nil"/>
            </w:tcBorders>
            <w:shd w:val="clear" w:color="000000" w:fill="FFFFFF"/>
            <w:noWrap/>
            <w:vAlign w:val="bottom"/>
            <w:hideMark/>
          </w:tcPr>
          <w:p w14:paraId="04C4583F" w14:textId="77777777" w:rsidR="00A940A0" w:rsidRPr="00A940A0" w:rsidRDefault="00A940A0" w:rsidP="00A940A0">
            <w:pPr>
              <w:spacing w:after="0" w:line="240" w:lineRule="auto"/>
              <w:jc w:val="right"/>
              <w:rPr>
                <w:rFonts w:ascii="Arial" w:hAnsi="Arial" w:cs="Arial"/>
                <w:sz w:val="16"/>
                <w:szCs w:val="16"/>
              </w:rPr>
            </w:pPr>
            <w:r w:rsidRPr="00A940A0">
              <w:rPr>
                <w:rFonts w:ascii="Arial" w:hAnsi="Arial" w:cs="Arial"/>
                <w:sz w:val="16"/>
                <w:szCs w:val="16"/>
              </w:rPr>
              <w:t>(251)</w:t>
            </w:r>
          </w:p>
        </w:tc>
      </w:tr>
      <w:tr w:rsidR="00A940A0" w:rsidRPr="00A940A0" w14:paraId="6188DF30" w14:textId="77777777" w:rsidTr="00D50CD4">
        <w:trPr>
          <w:trHeight w:hRule="exact" w:val="397"/>
        </w:trPr>
        <w:tc>
          <w:tcPr>
            <w:tcW w:w="2169" w:type="pct"/>
            <w:tcBorders>
              <w:top w:val="nil"/>
              <w:left w:val="nil"/>
              <w:bottom w:val="nil"/>
              <w:right w:val="nil"/>
            </w:tcBorders>
            <w:shd w:val="clear" w:color="auto" w:fill="auto"/>
            <w:vAlign w:val="bottom"/>
            <w:hideMark/>
          </w:tcPr>
          <w:p w14:paraId="170C288C" w14:textId="77777777" w:rsidR="00A940A0" w:rsidRPr="00A940A0" w:rsidRDefault="00A940A0" w:rsidP="00D50CD4">
            <w:pPr>
              <w:spacing w:after="0" w:line="240" w:lineRule="auto"/>
              <w:ind w:left="170"/>
              <w:jc w:val="left"/>
              <w:rPr>
                <w:rFonts w:ascii="Arial" w:hAnsi="Arial" w:cs="Arial"/>
                <w:color w:val="000000"/>
                <w:sz w:val="16"/>
                <w:szCs w:val="16"/>
              </w:rPr>
            </w:pPr>
            <w:r w:rsidRPr="00A940A0">
              <w:rPr>
                <w:rFonts w:ascii="Arial" w:hAnsi="Arial" w:cs="Arial"/>
                <w:color w:val="000000"/>
                <w:sz w:val="16"/>
                <w:szCs w:val="16"/>
              </w:rPr>
              <w:t>add principal repayments on leased assets (b)</w:t>
            </w:r>
          </w:p>
        </w:tc>
        <w:tc>
          <w:tcPr>
            <w:tcW w:w="566" w:type="pct"/>
            <w:tcBorders>
              <w:top w:val="nil"/>
              <w:left w:val="nil"/>
              <w:bottom w:val="nil"/>
              <w:right w:val="nil"/>
            </w:tcBorders>
            <w:shd w:val="clear" w:color="000000" w:fill="FFFFFF"/>
            <w:noWrap/>
            <w:vAlign w:val="bottom"/>
            <w:hideMark/>
          </w:tcPr>
          <w:p w14:paraId="487C32BD" w14:textId="77777777" w:rsidR="00A940A0" w:rsidRPr="00A940A0" w:rsidRDefault="00A940A0" w:rsidP="00A940A0">
            <w:pPr>
              <w:spacing w:after="0" w:line="240" w:lineRule="auto"/>
              <w:jc w:val="right"/>
              <w:rPr>
                <w:rFonts w:ascii="Arial" w:hAnsi="Arial" w:cs="Arial"/>
                <w:sz w:val="16"/>
                <w:szCs w:val="16"/>
              </w:rPr>
            </w:pPr>
            <w:r w:rsidRPr="00A940A0">
              <w:rPr>
                <w:rFonts w:ascii="Arial" w:hAnsi="Arial" w:cs="Arial"/>
                <w:sz w:val="16"/>
                <w:szCs w:val="16"/>
              </w:rPr>
              <w:t xml:space="preserve">202 </w:t>
            </w:r>
          </w:p>
        </w:tc>
        <w:tc>
          <w:tcPr>
            <w:tcW w:w="566" w:type="pct"/>
            <w:tcBorders>
              <w:top w:val="nil"/>
              <w:left w:val="nil"/>
              <w:bottom w:val="nil"/>
              <w:right w:val="nil"/>
            </w:tcBorders>
            <w:shd w:val="clear" w:color="000000" w:fill="E6E6E6"/>
            <w:noWrap/>
            <w:vAlign w:val="bottom"/>
            <w:hideMark/>
          </w:tcPr>
          <w:p w14:paraId="5FB3591F" w14:textId="77777777" w:rsidR="00A940A0" w:rsidRPr="00A940A0" w:rsidRDefault="00A940A0" w:rsidP="00A940A0">
            <w:pPr>
              <w:spacing w:after="0" w:line="240" w:lineRule="auto"/>
              <w:jc w:val="right"/>
              <w:rPr>
                <w:rFonts w:ascii="Arial" w:hAnsi="Arial" w:cs="Arial"/>
                <w:sz w:val="16"/>
                <w:szCs w:val="16"/>
              </w:rPr>
            </w:pPr>
            <w:r w:rsidRPr="00A940A0">
              <w:rPr>
                <w:rFonts w:ascii="Arial" w:hAnsi="Arial" w:cs="Arial"/>
                <w:sz w:val="16"/>
                <w:szCs w:val="16"/>
              </w:rPr>
              <w:t xml:space="preserve">211 </w:t>
            </w:r>
          </w:p>
        </w:tc>
        <w:tc>
          <w:tcPr>
            <w:tcW w:w="566" w:type="pct"/>
            <w:tcBorders>
              <w:top w:val="nil"/>
              <w:left w:val="nil"/>
              <w:bottom w:val="nil"/>
              <w:right w:val="nil"/>
            </w:tcBorders>
            <w:shd w:val="clear" w:color="000000" w:fill="FFFFFF"/>
            <w:noWrap/>
            <w:vAlign w:val="bottom"/>
            <w:hideMark/>
          </w:tcPr>
          <w:p w14:paraId="7E6ED9A4" w14:textId="77777777" w:rsidR="00A940A0" w:rsidRPr="00A940A0" w:rsidRDefault="00A940A0" w:rsidP="00A940A0">
            <w:pPr>
              <w:spacing w:after="0" w:line="240" w:lineRule="auto"/>
              <w:jc w:val="right"/>
              <w:rPr>
                <w:rFonts w:ascii="Arial" w:hAnsi="Arial" w:cs="Arial"/>
                <w:sz w:val="16"/>
                <w:szCs w:val="16"/>
              </w:rPr>
            </w:pPr>
            <w:r w:rsidRPr="00A940A0">
              <w:rPr>
                <w:rFonts w:ascii="Arial" w:hAnsi="Arial" w:cs="Arial"/>
                <w:sz w:val="16"/>
                <w:szCs w:val="16"/>
              </w:rPr>
              <w:t xml:space="preserve">202 </w:t>
            </w:r>
          </w:p>
        </w:tc>
        <w:tc>
          <w:tcPr>
            <w:tcW w:w="566" w:type="pct"/>
            <w:tcBorders>
              <w:top w:val="nil"/>
              <w:left w:val="nil"/>
              <w:bottom w:val="nil"/>
              <w:right w:val="nil"/>
            </w:tcBorders>
            <w:shd w:val="clear" w:color="000000" w:fill="FFFFFF"/>
            <w:noWrap/>
            <w:vAlign w:val="bottom"/>
            <w:hideMark/>
          </w:tcPr>
          <w:p w14:paraId="7DA0718B" w14:textId="77777777" w:rsidR="00A940A0" w:rsidRPr="00A940A0" w:rsidRDefault="00A940A0" w:rsidP="00A940A0">
            <w:pPr>
              <w:spacing w:after="0" w:line="240" w:lineRule="auto"/>
              <w:jc w:val="right"/>
              <w:rPr>
                <w:rFonts w:ascii="Arial" w:hAnsi="Arial" w:cs="Arial"/>
                <w:sz w:val="16"/>
                <w:szCs w:val="16"/>
              </w:rPr>
            </w:pPr>
            <w:r w:rsidRPr="00A940A0">
              <w:rPr>
                <w:rFonts w:ascii="Arial" w:hAnsi="Arial" w:cs="Arial"/>
                <w:sz w:val="16"/>
                <w:szCs w:val="16"/>
              </w:rPr>
              <w:t xml:space="preserve">202 </w:t>
            </w:r>
          </w:p>
        </w:tc>
        <w:tc>
          <w:tcPr>
            <w:tcW w:w="566" w:type="pct"/>
            <w:tcBorders>
              <w:top w:val="nil"/>
              <w:left w:val="nil"/>
              <w:bottom w:val="nil"/>
              <w:right w:val="nil"/>
            </w:tcBorders>
            <w:shd w:val="clear" w:color="000000" w:fill="FFFFFF"/>
            <w:noWrap/>
            <w:vAlign w:val="bottom"/>
            <w:hideMark/>
          </w:tcPr>
          <w:p w14:paraId="0F30E333" w14:textId="77777777" w:rsidR="00A940A0" w:rsidRPr="00A940A0" w:rsidRDefault="00A940A0" w:rsidP="00A940A0">
            <w:pPr>
              <w:spacing w:after="0" w:line="240" w:lineRule="auto"/>
              <w:jc w:val="right"/>
              <w:rPr>
                <w:rFonts w:ascii="Arial" w:hAnsi="Arial" w:cs="Arial"/>
                <w:sz w:val="16"/>
                <w:szCs w:val="16"/>
              </w:rPr>
            </w:pPr>
            <w:r w:rsidRPr="00A940A0">
              <w:rPr>
                <w:rFonts w:ascii="Arial" w:hAnsi="Arial" w:cs="Arial"/>
                <w:sz w:val="16"/>
                <w:szCs w:val="16"/>
              </w:rPr>
              <w:t xml:space="preserve">202 </w:t>
            </w:r>
          </w:p>
        </w:tc>
      </w:tr>
      <w:tr w:rsidR="00A940A0" w:rsidRPr="00A940A0" w14:paraId="10C45EE2" w14:textId="77777777" w:rsidTr="00D50CD4">
        <w:trPr>
          <w:trHeight w:hRule="exact" w:val="624"/>
        </w:trPr>
        <w:tc>
          <w:tcPr>
            <w:tcW w:w="2169" w:type="pct"/>
            <w:tcBorders>
              <w:top w:val="nil"/>
              <w:left w:val="nil"/>
              <w:bottom w:val="single" w:sz="4" w:space="0" w:color="auto"/>
              <w:right w:val="nil"/>
            </w:tcBorders>
            <w:shd w:val="clear" w:color="auto" w:fill="auto"/>
            <w:vAlign w:val="bottom"/>
            <w:hideMark/>
          </w:tcPr>
          <w:p w14:paraId="5AE70F19" w14:textId="77777777" w:rsidR="00A940A0" w:rsidRPr="00A940A0" w:rsidRDefault="00A940A0" w:rsidP="00D50CD4">
            <w:pPr>
              <w:spacing w:after="0" w:line="240" w:lineRule="auto"/>
              <w:jc w:val="left"/>
              <w:rPr>
                <w:rFonts w:ascii="Arial" w:hAnsi="Arial" w:cs="Arial"/>
                <w:b/>
                <w:bCs/>
                <w:color w:val="000000"/>
                <w:sz w:val="16"/>
                <w:szCs w:val="16"/>
              </w:rPr>
            </w:pPr>
            <w:r w:rsidRPr="00A940A0">
              <w:rPr>
                <w:rFonts w:ascii="Arial" w:hAnsi="Arial" w:cs="Arial"/>
                <w:b/>
                <w:bCs/>
                <w:color w:val="000000"/>
                <w:sz w:val="16"/>
                <w:szCs w:val="16"/>
              </w:rPr>
              <w:t>Total comprehensive income/(loss)</w:t>
            </w:r>
            <w:r w:rsidRPr="00A940A0">
              <w:rPr>
                <w:rFonts w:ascii="Arial" w:hAnsi="Arial" w:cs="Arial"/>
                <w:b/>
                <w:bCs/>
                <w:color w:val="000000"/>
                <w:sz w:val="16"/>
                <w:szCs w:val="16"/>
              </w:rPr>
              <w:br/>
              <w:t xml:space="preserve">  - as per the statement of</w:t>
            </w:r>
            <w:r w:rsidRPr="00A940A0">
              <w:rPr>
                <w:rFonts w:ascii="Arial" w:hAnsi="Arial" w:cs="Arial"/>
                <w:b/>
                <w:bCs/>
                <w:color w:val="000000"/>
                <w:sz w:val="16"/>
                <w:szCs w:val="16"/>
              </w:rPr>
              <w:br/>
              <w:t xml:space="preserve">  comprehensive income</w:t>
            </w:r>
          </w:p>
        </w:tc>
        <w:tc>
          <w:tcPr>
            <w:tcW w:w="566" w:type="pct"/>
            <w:tcBorders>
              <w:top w:val="single" w:sz="4" w:space="0" w:color="auto"/>
              <w:left w:val="nil"/>
              <w:bottom w:val="single" w:sz="4" w:space="0" w:color="auto"/>
              <w:right w:val="nil"/>
            </w:tcBorders>
            <w:shd w:val="clear" w:color="auto" w:fill="auto"/>
            <w:vAlign w:val="bottom"/>
            <w:hideMark/>
          </w:tcPr>
          <w:p w14:paraId="6D3B2A0A" w14:textId="77777777" w:rsidR="00A940A0" w:rsidRPr="00A940A0" w:rsidRDefault="00A940A0" w:rsidP="00A940A0">
            <w:pPr>
              <w:spacing w:after="0" w:line="240" w:lineRule="auto"/>
              <w:jc w:val="right"/>
              <w:rPr>
                <w:rFonts w:ascii="Arial" w:hAnsi="Arial" w:cs="Arial"/>
                <w:b/>
                <w:bCs/>
                <w:sz w:val="16"/>
                <w:szCs w:val="16"/>
              </w:rPr>
            </w:pPr>
            <w:r w:rsidRPr="00A940A0">
              <w:rPr>
                <w:rFonts w:ascii="Arial" w:hAnsi="Arial" w:cs="Arial"/>
                <w:b/>
                <w:bCs/>
                <w:sz w:val="16"/>
                <w:szCs w:val="16"/>
              </w:rPr>
              <w:t xml:space="preserve">302 </w:t>
            </w:r>
          </w:p>
        </w:tc>
        <w:tc>
          <w:tcPr>
            <w:tcW w:w="566" w:type="pct"/>
            <w:tcBorders>
              <w:top w:val="single" w:sz="4" w:space="0" w:color="auto"/>
              <w:left w:val="nil"/>
              <w:bottom w:val="single" w:sz="4" w:space="0" w:color="auto"/>
              <w:right w:val="nil"/>
            </w:tcBorders>
            <w:shd w:val="clear" w:color="000000" w:fill="E6E6E6"/>
            <w:vAlign w:val="bottom"/>
            <w:hideMark/>
          </w:tcPr>
          <w:p w14:paraId="11C8BA6C" w14:textId="77777777" w:rsidR="00A940A0" w:rsidRPr="00A940A0" w:rsidRDefault="00A940A0" w:rsidP="00A940A0">
            <w:pPr>
              <w:spacing w:after="0" w:line="240" w:lineRule="auto"/>
              <w:jc w:val="right"/>
              <w:rPr>
                <w:rFonts w:ascii="Arial" w:hAnsi="Arial" w:cs="Arial"/>
                <w:b/>
                <w:bCs/>
                <w:sz w:val="16"/>
                <w:szCs w:val="16"/>
              </w:rPr>
            </w:pPr>
            <w:r w:rsidRPr="00A940A0">
              <w:rPr>
                <w:rFonts w:ascii="Arial" w:hAnsi="Arial" w:cs="Arial"/>
                <w:b/>
                <w:bCs/>
                <w:sz w:val="16"/>
                <w:szCs w:val="16"/>
              </w:rPr>
              <w:t>(51)</w:t>
            </w:r>
          </w:p>
        </w:tc>
        <w:tc>
          <w:tcPr>
            <w:tcW w:w="566" w:type="pct"/>
            <w:tcBorders>
              <w:top w:val="single" w:sz="4" w:space="0" w:color="auto"/>
              <w:left w:val="nil"/>
              <w:bottom w:val="single" w:sz="4" w:space="0" w:color="auto"/>
              <w:right w:val="nil"/>
            </w:tcBorders>
            <w:shd w:val="clear" w:color="000000" w:fill="FFFFFF"/>
            <w:vAlign w:val="bottom"/>
            <w:hideMark/>
          </w:tcPr>
          <w:p w14:paraId="5CA46D37" w14:textId="77777777" w:rsidR="00A940A0" w:rsidRPr="00A940A0" w:rsidRDefault="00A940A0" w:rsidP="00A940A0">
            <w:pPr>
              <w:spacing w:after="0" w:line="240" w:lineRule="auto"/>
              <w:jc w:val="right"/>
              <w:rPr>
                <w:rFonts w:ascii="Arial" w:hAnsi="Arial" w:cs="Arial"/>
                <w:b/>
                <w:bCs/>
                <w:sz w:val="16"/>
                <w:szCs w:val="16"/>
              </w:rPr>
            </w:pPr>
            <w:r w:rsidRPr="00A940A0">
              <w:rPr>
                <w:rFonts w:ascii="Arial" w:hAnsi="Arial" w:cs="Arial"/>
                <w:b/>
                <w:bCs/>
                <w:sz w:val="16"/>
                <w:szCs w:val="16"/>
              </w:rPr>
              <w:t>(51)</w:t>
            </w:r>
          </w:p>
        </w:tc>
        <w:tc>
          <w:tcPr>
            <w:tcW w:w="566" w:type="pct"/>
            <w:tcBorders>
              <w:top w:val="single" w:sz="4" w:space="0" w:color="auto"/>
              <w:left w:val="nil"/>
              <w:bottom w:val="single" w:sz="4" w:space="0" w:color="auto"/>
              <w:right w:val="nil"/>
            </w:tcBorders>
            <w:shd w:val="clear" w:color="000000" w:fill="FFFFFF"/>
            <w:vAlign w:val="bottom"/>
            <w:hideMark/>
          </w:tcPr>
          <w:p w14:paraId="2AFEC8B9" w14:textId="77777777" w:rsidR="00A940A0" w:rsidRPr="00A940A0" w:rsidRDefault="00A940A0" w:rsidP="00A940A0">
            <w:pPr>
              <w:spacing w:after="0" w:line="240" w:lineRule="auto"/>
              <w:jc w:val="right"/>
              <w:rPr>
                <w:rFonts w:ascii="Arial" w:hAnsi="Arial" w:cs="Arial"/>
                <w:b/>
                <w:bCs/>
                <w:sz w:val="16"/>
                <w:szCs w:val="16"/>
              </w:rPr>
            </w:pPr>
            <w:r w:rsidRPr="00A940A0">
              <w:rPr>
                <w:rFonts w:ascii="Arial" w:hAnsi="Arial" w:cs="Arial"/>
                <w:b/>
                <w:bCs/>
                <w:sz w:val="16"/>
                <w:szCs w:val="16"/>
              </w:rPr>
              <w:t>(51)</w:t>
            </w:r>
          </w:p>
        </w:tc>
        <w:tc>
          <w:tcPr>
            <w:tcW w:w="566" w:type="pct"/>
            <w:tcBorders>
              <w:top w:val="single" w:sz="4" w:space="0" w:color="auto"/>
              <w:left w:val="nil"/>
              <w:bottom w:val="single" w:sz="4" w:space="0" w:color="auto"/>
              <w:right w:val="nil"/>
            </w:tcBorders>
            <w:shd w:val="clear" w:color="000000" w:fill="FFFFFF"/>
            <w:vAlign w:val="bottom"/>
            <w:hideMark/>
          </w:tcPr>
          <w:p w14:paraId="0B6730B6" w14:textId="77777777" w:rsidR="00A940A0" w:rsidRPr="00A940A0" w:rsidRDefault="00A940A0" w:rsidP="00A940A0">
            <w:pPr>
              <w:spacing w:after="0" w:line="240" w:lineRule="auto"/>
              <w:jc w:val="right"/>
              <w:rPr>
                <w:rFonts w:ascii="Arial" w:hAnsi="Arial" w:cs="Arial"/>
                <w:b/>
                <w:bCs/>
                <w:sz w:val="16"/>
                <w:szCs w:val="16"/>
              </w:rPr>
            </w:pPr>
            <w:r w:rsidRPr="00A940A0">
              <w:rPr>
                <w:rFonts w:ascii="Arial" w:hAnsi="Arial" w:cs="Arial"/>
                <w:b/>
                <w:bCs/>
                <w:sz w:val="16"/>
                <w:szCs w:val="16"/>
              </w:rPr>
              <w:t>(52)</w:t>
            </w:r>
          </w:p>
        </w:tc>
      </w:tr>
    </w:tbl>
    <w:p w14:paraId="0E40CB8E" w14:textId="57A2211A" w:rsidR="00FE5506" w:rsidRDefault="00FE5506" w:rsidP="003B0AFB">
      <w:pPr>
        <w:pStyle w:val="Source"/>
        <w:spacing w:before="40"/>
        <w:rPr>
          <w:rFonts w:cs="Arial"/>
        </w:rPr>
      </w:pPr>
      <w:r w:rsidRPr="009D54F3">
        <w:rPr>
          <w:rFonts w:cs="Arial"/>
        </w:rPr>
        <w:t>Prepared on Australian Accounting Standards basis.</w:t>
      </w:r>
    </w:p>
    <w:p w14:paraId="1D274520" w14:textId="160CC65D" w:rsidR="00D52088" w:rsidRDefault="003A3E7B" w:rsidP="00910CE8">
      <w:pPr>
        <w:pStyle w:val="ChartandTableFootnoteAlpha"/>
        <w:numPr>
          <w:ilvl w:val="0"/>
          <w:numId w:val="13"/>
        </w:numPr>
        <w:rPr>
          <w:rFonts w:cs="Arial"/>
        </w:rPr>
      </w:pPr>
      <w:r w:rsidRPr="009D54F3">
        <w:rPr>
          <w:rFonts w:cs="Arial"/>
        </w:rPr>
        <w:t>From 2010-11, the Government introduced net cash appropriation arrangements where Bill 1 revenue appropriations for the depreciation/amortisation expenses of non-corporate Commonwealth entities (and select corporate Commonwealth entities) were replaced with a separate capital budget (the Departmental Capital Budget</w:t>
      </w:r>
      <w:r w:rsidR="00146B5E" w:rsidRPr="009D54F3">
        <w:rPr>
          <w:rFonts w:cs="Arial"/>
        </w:rPr>
        <w:t>, or DCB) provided through Bill </w:t>
      </w:r>
      <w:r w:rsidRPr="009D54F3">
        <w:rPr>
          <w:rFonts w:cs="Arial"/>
        </w:rPr>
        <w:t>1 equity appropriations. For information regarding DCBs, please refer to Table</w:t>
      </w:r>
      <w:r w:rsidR="00971CBF" w:rsidRPr="009D54F3">
        <w:rPr>
          <w:rFonts w:cs="Arial"/>
        </w:rPr>
        <w:t xml:space="preserve"> 3.</w:t>
      </w:r>
      <w:r w:rsidRPr="009D54F3">
        <w:rPr>
          <w:rFonts w:cs="Arial"/>
        </w:rPr>
        <w:t>5 Departmental Capital Budget Statement.</w:t>
      </w:r>
    </w:p>
    <w:p w14:paraId="476D2FD3" w14:textId="243CF2BF" w:rsidR="00D52088" w:rsidRPr="002A0F2E" w:rsidRDefault="00D52088" w:rsidP="00910CE8">
      <w:pPr>
        <w:pStyle w:val="ChartandTableFootnoteAlpha"/>
        <w:numPr>
          <w:ilvl w:val="0"/>
          <w:numId w:val="13"/>
        </w:numPr>
      </w:pPr>
      <w:r w:rsidRPr="00D52088">
        <w:t>Applies leases under AASB 16 Leases.</w:t>
      </w:r>
    </w:p>
    <w:p w14:paraId="47B491BD" w14:textId="1A308C6A" w:rsidR="00E75A0F" w:rsidRDefault="00E75A0F" w:rsidP="00096568">
      <w:pPr>
        <w:pStyle w:val="Source"/>
        <w:rPr>
          <w:rFonts w:cs="Arial"/>
        </w:rPr>
      </w:pPr>
    </w:p>
    <w:p w14:paraId="53877C19" w14:textId="4AAB710D" w:rsidR="00E75A0F" w:rsidRDefault="00E75A0F" w:rsidP="00096568">
      <w:pPr>
        <w:pStyle w:val="Source"/>
        <w:rPr>
          <w:rFonts w:cs="Arial"/>
        </w:rPr>
      </w:pPr>
    </w:p>
    <w:p w14:paraId="37B82B05" w14:textId="6F0616B5" w:rsidR="0061791E" w:rsidRPr="00C729CE" w:rsidRDefault="000A24C4" w:rsidP="00525E3E">
      <w:pPr>
        <w:pStyle w:val="Source"/>
        <w:rPr>
          <w:rFonts w:ascii="Times New Roman" w:hAnsi="Times New Roman"/>
          <w:sz w:val="20"/>
        </w:rPr>
      </w:pPr>
      <w:r>
        <w:br w:type="page"/>
      </w:r>
      <w:r w:rsidR="00525AB1" w:rsidRPr="00C729CE">
        <w:rPr>
          <w:rFonts w:cs="Arial"/>
          <w:b/>
          <w:sz w:val="20"/>
        </w:rPr>
        <w:lastRenderedPageBreak/>
        <w:t>Table</w:t>
      </w:r>
      <w:r w:rsidR="00971CBF" w:rsidRPr="00C729CE">
        <w:rPr>
          <w:rFonts w:cs="Arial"/>
          <w:b/>
          <w:sz w:val="20"/>
        </w:rPr>
        <w:t xml:space="preserve"> 3.</w:t>
      </w:r>
      <w:r w:rsidR="00525AB1" w:rsidRPr="00C729CE">
        <w:rPr>
          <w:rFonts w:cs="Arial"/>
          <w:b/>
          <w:sz w:val="20"/>
        </w:rPr>
        <w:t xml:space="preserve">2: Budgeted </w:t>
      </w:r>
      <w:r w:rsidR="00F626C2" w:rsidRPr="00C729CE">
        <w:rPr>
          <w:rFonts w:cs="Arial"/>
          <w:b/>
          <w:sz w:val="20"/>
        </w:rPr>
        <w:t xml:space="preserve">departmental balance sheet </w:t>
      </w:r>
      <w:r w:rsidR="00525AB1" w:rsidRPr="00C729CE">
        <w:rPr>
          <w:rFonts w:cs="Arial"/>
          <w:b/>
          <w:sz w:val="20"/>
        </w:rPr>
        <w:t>(as at 30 June)</w:t>
      </w:r>
      <w:bookmarkStart w:id="36" w:name="_1663081489"/>
      <w:bookmarkEnd w:id="36"/>
    </w:p>
    <w:tbl>
      <w:tblPr>
        <w:tblW w:w="5000" w:type="pct"/>
        <w:tblLook w:val="04A0" w:firstRow="1" w:lastRow="0" w:firstColumn="1" w:lastColumn="0" w:noHBand="0" w:noVBand="1"/>
      </w:tblPr>
      <w:tblGrid>
        <w:gridCol w:w="2980"/>
        <w:gridCol w:w="1018"/>
        <w:gridCol w:w="928"/>
        <w:gridCol w:w="928"/>
        <w:gridCol w:w="928"/>
        <w:gridCol w:w="928"/>
      </w:tblGrid>
      <w:tr w:rsidR="0061791E" w:rsidRPr="0061791E" w14:paraId="684E4732" w14:textId="77777777" w:rsidTr="005D1868">
        <w:trPr>
          <w:divId w:val="2052461882"/>
          <w:trHeight w:hRule="exact" w:val="900"/>
        </w:trPr>
        <w:tc>
          <w:tcPr>
            <w:tcW w:w="1933" w:type="pct"/>
            <w:tcBorders>
              <w:top w:val="single" w:sz="4" w:space="0" w:color="auto"/>
              <w:left w:val="nil"/>
              <w:bottom w:val="nil"/>
              <w:right w:val="nil"/>
            </w:tcBorders>
            <w:shd w:val="clear" w:color="auto" w:fill="auto"/>
            <w:noWrap/>
            <w:hideMark/>
          </w:tcPr>
          <w:p w14:paraId="615B80CC" w14:textId="374A47FB" w:rsidR="0061791E" w:rsidRPr="0061791E" w:rsidRDefault="0061791E" w:rsidP="0061791E">
            <w:pPr>
              <w:rPr>
                <w:rFonts w:ascii="Arial" w:hAnsi="Arial" w:cs="Arial"/>
                <w:b/>
                <w:bCs/>
                <w:sz w:val="16"/>
                <w:szCs w:val="16"/>
              </w:rPr>
            </w:pPr>
            <w:r w:rsidRPr="0061791E">
              <w:rPr>
                <w:rFonts w:ascii="Arial" w:hAnsi="Arial" w:cs="Arial"/>
                <w:b/>
                <w:bCs/>
                <w:sz w:val="16"/>
                <w:szCs w:val="16"/>
              </w:rPr>
              <w:t> </w:t>
            </w:r>
          </w:p>
        </w:tc>
        <w:tc>
          <w:tcPr>
            <w:tcW w:w="660" w:type="pct"/>
            <w:tcBorders>
              <w:top w:val="single" w:sz="4" w:space="0" w:color="auto"/>
              <w:left w:val="nil"/>
              <w:bottom w:val="single" w:sz="4" w:space="0" w:color="auto"/>
              <w:right w:val="nil"/>
            </w:tcBorders>
            <w:shd w:val="clear" w:color="auto" w:fill="auto"/>
            <w:vAlign w:val="center"/>
            <w:hideMark/>
          </w:tcPr>
          <w:p w14:paraId="0E68F146" w14:textId="77777777" w:rsidR="0061791E" w:rsidRPr="0061791E" w:rsidRDefault="0061791E" w:rsidP="005D1868">
            <w:pPr>
              <w:spacing w:after="0" w:line="240" w:lineRule="auto"/>
              <w:jc w:val="right"/>
              <w:rPr>
                <w:rFonts w:ascii="Arial" w:hAnsi="Arial" w:cs="Arial"/>
                <w:sz w:val="16"/>
                <w:szCs w:val="16"/>
              </w:rPr>
            </w:pPr>
            <w:r w:rsidRPr="0061791E">
              <w:rPr>
                <w:rFonts w:ascii="Arial" w:hAnsi="Arial" w:cs="Arial"/>
                <w:sz w:val="16"/>
                <w:szCs w:val="16"/>
              </w:rPr>
              <w:t>2019-20 Estimated actual</w:t>
            </w:r>
            <w:r w:rsidRPr="0061791E">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000000" w:fill="E6E6E6"/>
            <w:vAlign w:val="center"/>
            <w:hideMark/>
          </w:tcPr>
          <w:p w14:paraId="6AFCB1C4" w14:textId="77777777" w:rsidR="0061791E" w:rsidRPr="0061791E" w:rsidRDefault="0061791E" w:rsidP="005D1868">
            <w:pPr>
              <w:spacing w:after="0" w:line="240" w:lineRule="auto"/>
              <w:jc w:val="right"/>
              <w:rPr>
                <w:rFonts w:ascii="Arial" w:hAnsi="Arial" w:cs="Arial"/>
                <w:sz w:val="16"/>
                <w:szCs w:val="16"/>
              </w:rPr>
            </w:pPr>
            <w:r w:rsidRPr="0061791E">
              <w:rPr>
                <w:rFonts w:ascii="Arial" w:hAnsi="Arial" w:cs="Arial"/>
                <w:sz w:val="16"/>
                <w:szCs w:val="16"/>
              </w:rPr>
              <w:t>2020-21</w:t>
            </w:r>
            <w:r w:rsidRPr="0061791E">
              <w:rPr>
                <w:rFonts w:ascii="Arial" w:hAnsi="Arial" w:cs="Arial"/>
                <w:sz w:val="16"/>
                <w:szCs w:val="16"/>
              </w:rPr>
              <w:br/>
              <w:t>Budget</w:t>
            </w:r>
            <w:r w:rsidRPr="0061791E">
              <w:rPr>
                <w:rFonts w:ascii="Arial" w:hAnsi="Arial" w:cs="Arial"/>
                <w:sz w:val="16"/>
                <w:szCs w:val="16"/>
              </w:rPr>
              <w:br/>
            </w:r>
            <w:r w:rsidRPr="0061791E">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7B3C93E7" w14:textId="77777777" w:rsidR="0061791E" w:rsidRPr="0061791E" w:rsidRDefault="0061791E" w:rsidP="005D1868">
            <w:pPr>
              <w:spacing w:after="0" w:line="240" w:lineRule="auto"/>
              <w:jc w:val="right"/>
              <w:rPr>
                <w:rFonts w:ascii="Arial" w:hAnsi="Arial" w:cs="Arial"/>
                <w:sz w:val="16"/>
                <w:szCs w:val="16"/>
              </w:rPr>
            </w:pPr>
            <w:r w:rsidRPr="0061791E">
              <w:rPr>
                <w:rFonts w:ascii="Arial" w:hAnsi="Arial" w:cs="Arial"/>
                <w:sz w:val="16"/>
                <w:szCs w:val="16"/>
              </w:rPr>
              <w:t>2021-22 Forward estimate</w:t>
            </w:r>
            <w:r w:rsidRPr="0061791E">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5E02EDBE" w14:textId="77777777" w:rsidR="0061791E" w:rsidRPr="0061791E" w:rsidRDefault="0061791E" w:rsidP="005D1868">
            <w:pPr>
              <w:spacing w:after="0" w:line="240" w:lineRule="auto"/>
              <w:jc w:val="right"/>
              <w:rPr>
                <w:rFonts w:ascii="Arial" w:hAnsi="Arial" w:cs="Arial"/>
                <w:sz w:val="16"/>
                <w:szCs w:val="16"/>
              </w:rPr>
            </w:pPr>
            <w:r w:rsidRPr="0061791E">
              <w:rPr>
                <w:rFonts w:ascii="Arial" w:hAnsi="Arial" w:cs="Arial"/>
                <w:sz w:val="16"/>
                <w:szCs w:val="16"/>
              </w:rPr>
              <w:t>2022-23 Forward estimate</w:t>
            </w:r>
            <w:r w:rsidRPr="0061791E">
              <w:rPr>
                <w:rFonts w:ascii="Arial" w:hAnsi="Arial" w:cs="Arial"/>
                <w:sz w:val="16"/>
                <w:szCs w:val="16"/>
              </w:rPr>
              <w:br/>
              <w:t>$'000</w:t>
            </w:r>
          </w:p>
        </w:tc>
        <w:tc>
          <w:tcPr>
            <w:tcW w:w="602" w:type="pct"/>
            <w:tcBorders>
              <w:top w:val="single" w:sz="4" w:space="0" w:color="auto"/>
              <w:left w:val="nil"/>
              <w:bottom w:val="single" w:sz="4" w:space="0" w:color="auto"/>
              <w:right w:val="nil"/>
            </w:tcBorders>
            <w:shd w:val="clear" w:color="auto" w:fill="auto"/>
            <w:vAlign w:val="center"/>
            <w:hideMark/>
          </w:tcPr>
          <w:p w14:paraId="3167705C" w14:textId="77777777" w:rsidR="0061791E" w:rsidRPr="0061791E" w:rsidRDefault="0061791E" w:rsidP="005D1868">
            <w:pPr>
              <w:spacing w:after="0" w:line="240" w:lineRule="auto"/>
              <w:jc w:val="right"/>
              <w:rPr>
                <w:rFonts w:ascii="Arial" w:hAnsi="Arial" w:cs="Arial"/>
                <w:sz w:val="16"/>
                <w:szCs w:val="16"/>
              </w:rPr>
            </w:pPr>
            <w:r w:rsidRPr="0061791E">
              <w:rPr>
                <w:rFonts w:ascii="Arial" w:hAnsi="Arial" w:cs="Arial"/>
                <w:sz w:val="16"/>
                <w:szCs w:val="16"/>
              </w:rPr>
              <w:t>2023-24</w:t>
            </w:r>
            <w:r w:rsidRPr="0061791E">
              <w:rPr>
                <w:rFonts w:ascii="Arial" w:hAnsi="Arial" w:cs="Arial"/>
                <w:sz w:val="16"/>
                <w:szCs w:val="16"/>
              </w:rPr>
              <w:br/>
              <w:t>Forward estimate</w:t>
            </w:r>
            <w:r w:rsidRPr="0061791E">
              <w:rPr>
                <w:rFonts w:ascii="Arial" w:hAnsi="Arial" w:cs="Arial"/>
                <w:sz w:val="16"/>
                <w:szCs w:val="16"/>
              </w:rPr>
              <w:br/>
              <w:t>$'000</w:t>
            </w:r>
          </w:p>
        </w:tc>
      </w:tr>
      <w:tr w:rsidR="0061791E" w:rsidRPr="0061791E" w14:paraId="3BB5CE27"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1E0E37D6"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ASSETS</w:t>
            </w:r>
          </w:p>
        </w:tc>
        <w:tc>
          <w:tcPr>
            <w:tcW w:w="660" w:type="pct"/>
            <w:tcBorders>
              <w:top w:val="nil"/>
              <w:left w:val="nil"/>
              <w:bottom w:val="nil"/>
              <w:right w:val="nil"/>
            </w:tcBorders>
            <w:shd w:val="clear" w:color="auto" w:fill="auto"/>
            <w:noWrap/>
            <w:vAlign w:val="center"/>
            <w:hideMark/>
          </w:tcPr>
          <w:p w14:paraId="2280CB16" w14:textId="77777777" w:rsidR="0061791E" w:rsidRPr="0061791E" w:rsidRDefault="0061791E" w:rsidP="0061791E">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41FBC343" w14:textId="77777777" w:rsidR="0061791E" w:rsidRPr="0061791E" w:rsidRDefault="0061791E" w:rsidP="0061791E">
            <w:pPr>
              <w:spacing w:after="0" w:line="240" w:lineRule="auto"/>
              <w:jc w:val="left"/>
              <w:rPr>
                <w:rFonts w:ascii="Arial" w:hAnsi="Arial" w:cs="Arial"/>
                <w:color w:val="000000"/>
                <w:sz w:val="16"/>
                <w:szCs w:val="16"/>
              </w:rPr>
            </w:pPr>
            <w:r w:rsidRPr="0061791E">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727ECAFC" w14:textId="77777777" w:rsidR="0061791E" w:rsidRPr="0061791E" w:rsidRDefault="0061791E" w:rsidP="0061791E">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053E2A19" w14:textId="77777777" w:rsidR="0061791E" w:rsidRPr="0061791E" w:rsidRDefault="0061791E" w:rsidP="0061791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3CE1C0FF" w14:textId="77777777" w:rsidR="0061791E" w:rsidRPr="0061791E" w:rsidRDefault="0061791E" w:rsidP="0061791E">
            <w:pPr>
              <w:spacing w:after="0" w:line="240" w:lineRule="auto"/>
              <w:jc w:val="left"/>
              <w:rPr>
                <w:rFonts w:ascii="Times New Roman" w:hAnsi="Times New Roman"/>
              </w:rPr>
            </w:pPr>
          </w:p>
        </w:tc>
      </w:tr>
      <w:tr w:rsidR="0061791E" w:rsidRPr="0061791E" w14:paraId="0B4CDCAC"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48B28E00"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Financial assets</w:t>
            </w:r>
          </w:p>
        </w:tc>
        <w:tc>
          <w:tcPr>
            <w:tcW w:w="660" w:type="pct"/>
            <w:tcBorders>
              <w:top w:val="nil"/>
              <w:left w:val="nil"/>
              <w:bottom w:val="nil"/>
              <w:right w:val="nil"/>
            </w:tcBorders>
            <w:shd w:val="clear" w:color="auto" w:fill="auto"/>
            <w:noWrap/>
            <w:vAlign w:val="center"/>
            <w:hideMark/>
          </w:tcPr>
          <w:p w14:paraId="04FE7C0E" w14:textId="77777777" w:rsidR="0061791E" w:rsidRPr="0061791E" w:rsidRDefault="0061791E" w:rsidP="0061791E">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31E9E7B3" w14:textId="77777777" w:rsidR="0061791E" w:rsidRPr="0061791E" w:rsidRDefault="0061791E" w:rsidP="0061791E">
            <w:pPr>
              <w:spacing w:after="0" w:line="240" w:lineRule="auto"/>
              <w:jc w:val="left"/>
              <w:rPr>
                <w:rFonts w:ascii="Arial" w:hAnsi="Arial" w:cs="Arial"/>
                <w:color w:val="000000"/>
                <w:sz w:val="16"/>
                <w:szCs w:val="16"/>
              </w:rPr>
            </w:pPr>
            <w:r w:rsidRPr="0061791E">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756A83DC" w14:textId="77777777" w:rsidR="0061791E" w:rsidRPr="0061791E" w:rsidRDefault="0061791E" w:rsidP="0061791E">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125173DA" w14:textId="77777777" w:rsidR="0061791E" w:rsidRPr="0061791E" w:rsidRDefault="0061791E" w:rsidP="0061791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59D63F72" w14:textId="77777777" w:rsidR="0061791E" w:rsidRPr="0061791E" w:rsidRDefault="0061791E" w:rsidP="0061791E">
            <w:pPr>
              <w:spacing w:after="0" w:line="240" w:lineRule="auto"/>
              <w:jc w:val="left"/>
              <w:rPr>
                <w:rFonts w:ascii="Times New Roman" w:hAnsi="Times New Roman"/>
              </w:rPr>
            </w:pPr>
          </w:p>
        </w:tc>
      </w:tr>
      <w:tr w:rsidR="0061791E" w:rsidRPr="0061791E" w14:paraId="4A6EB054"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1EBA6750"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 xml:space="preserve">Cash </w:t>
            </w:r>
            <w:r w:rsidRPr="0061791E">
              <w:rPr>
                <w:rFonts w:ascii="Arial" w:hAnsi="Arial" w:cs="Arial"/>
                <w:sz w:val="16"/>
                <w:szCs w:val="16"/>
              </w:rPr>
              <w:t>and cash equivalents</w:t>
            </w:r>
          </w:p>
        </w:tc>
        <w:tc>
          <w:tcPr>
            <w:tcW w:w="660" w:type="pct"/>
            <w:tcBorders>
              <w:top w:val="nil"/>
              <w:left w:val="nil"/>
              <w:bottom w:val="nil"/>
              <w:right w:val="nil"/>
            </w:tcBorders>
            <w:shd w:val="clear" w:color="auto" w:fill="auto"/>
            <w:noWrap/>
            <w:vAlign w:val="center"/>
            <w:hideMark/>
          </w:tcPr>
          <w:p w14:paraId="701A1DB5"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2,183</w:t>
            </w:r>
          </w:p>
        </w:tc>
        <w:tc>
          <w:tcPr>
            <w:tcW w:w="602" w:type="pct"/>
            <w:tcBorders>
              <w:top w:val="nil"/>
              <w:left w:val="nil"/>
              <w:bottom w:val="nil"/>
              <w:right w:val="nil"/>
            </w:tcBorders>
            <w:shd w:val="clear" w:color="000000" w:fill="E6E6E6"/>
            <w:noWrap/>
            <w:vAlign w:val="center"/>
            <w:hideMark/>
          </w:tcPr>
          <w:p w14:paraId="34F2AB0E"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2,183</w:t>
            </w:r>
          </w:p>
        </w:tc>
        <w:tc>
          <w:tcPr>
            <w:tcW w:w="602" w:type="pct"/>
            <w:tcBorders>
              <w:top w:val="nil"/>
              <w:left w:val="nil"/>
              <w:bottom w:val="nil"/>
              <w:right w:val="nil"/>
            </w:tcBorders>
            <w:shd w:val="clear" w:color="auto" w:fill="auto"/>
            <w:noWrap/>
            <w:vAlign w:val="center"/>
            <w:hideMark/>
          </w:tcPr>
          <w:p w14:paraId="5C990D21"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2,183</w:t>
            </w:r>
          </w:p>
        </w:tc>
        <w:tc>
          <w:tcPr>
            <w:tcW w:w="602" w:type="pct"/>
            <w:tcBorders>
              <w:top w:val="nil"/>
              <w:left w:val="nil"/>
              <w:bottom w:val="nil"/>
              <w:right w:val="nil"/>
            </w:tcBorders>
            <w:shd w:val="clear" w:color="auto" w:fill="auto"/>
            <w:noWrap/>
            <w:vAlign w:val="center"/>
            <w:hideMark/>
          </w:tcPr>
          <w:p w14:paraId="76998B0B"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2,183</w:t>
            </w:r>
          </w:p>
        </w:tc>
        <w:tc>
          <w:tcPr>
            <w:tcW w:w="602" w:type="pct"/>
            <w:tcBorders>
              <w:top w:val="nil"/>
              <w:left w:val="nil"/>
              <w:bottom w:val="nil"/>
              <w:right w:val="nil"/>
            </w:tcBorders>
            <w:shd w:val="clear" w:color="auto" w:fill="auto"/>
            <w:noWrap/>
            <w:vAlign w:val="center"/>
            <w:hideMark/>
          </w:tcPr>
          <w:p w14:paraId="7B781FF3"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2,183</w:t>
            </w:r>
          </w:p>
        </w:tc>
      </w:tr>
      <w:tr w:rsidR="0061791E" w:rsidRPr="0061791E" w14:paraId="09029CAA"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136F5485"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Trade and other receivables</w:t>
            </w:r>
          </w:p>
        </w:tc>
        <w:tc>
          <w:tcPr>
            <w:tcW w:w="660" w:type="pct"/>
            <w:tcBorders>
              <w:top w:val="nil"/>
              <w:left w:val="nil"/>
              <w:bottom w:val="nil"/>
              <w:right w:val="nil"/>
            </w:tcBorders>
            <w:shd w:val="clear" w:color="auto" w:fill="auto"/>
            <w:noWrap/>
            <w:vAlign w:val="center"/>
            <w:hideMark/>
          </w:tcPr>
          <w:p w14:paraId="310A292A"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259</w:t>
            </w:r>
          </w:p>
        </w:tc>
        <w:tc>
          <w:tcPr>
            <w:tcW w:w="602" w:type="pct"/>
            <w:tcBorders>
              <w:top w:val="nil"/>
              <w:left w:val="nil"/>
              <w:bottom w:val="nil"/>
              <w:right w:val="nil"/>
            </w:tcBorders>
            <w:shd w:val="clear" w:color="000000" w:fill="E6E6E6"/>
            <w:noWrap/>
            <w:vAlign w:val="center"/>
            <w:hideMark/>
          </w:tcPr>
          <w:p w14:paraId="6DDA0899"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259</w:t>
            </w:r>
          </w:p>
        </w:tc>
        <w:tc>
          <w:tcPr>
            <w:tcW w:w="602" w:type="pct"/>
            <w:tcBorders>
              <w:top w:val="nil"/>
              <w:left w:val="nil"/>
              <w:bottom w:val="nil"/>
              <w:right w:val="nil"/>
            </w:tcBorders>
            <w:shd w:val="clear" w:color="auto" w:fill="auto"/>
            <w:noWrap/>
            <w:vAlign w:val="center"/>
            <w:hideMark/>
          </w:tcPr>
          <w:p w14:paraId="6088B557"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260</w:t>
            </w:r>
          </w:p>
        </w:tc>
        <w:tc>
          <w:tcPr>
            <w:tcW w:w="602" w:type="pct"/>
            <w:tcBorders>
              <w:top w:val="nil"/>
              <w:left w:val="nil"/>
              <w:bottom w:val="nil"/>
              <w:right w:val="nil"/>
            </w:tcBorders>
            <w:shd w:val="clear" w:color="auto" w:fill="auto"/>
            <w:noWrap/>
            <w:vAlign w:val="center"/>
            <w:hideMark/>
          </w:tcPr>
          <w:p w14:paraId="77A1A9D6"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260</w:t>
            </w:r>
          </w:p>
        </w:tc>
        <w:tc>
          <w:tcPr>
            <w:tcW w:w="602" w:type="pct"/>
            <w:tcBorders>
              <w:top w:val="nil"/>
              <w:left w:val="nil"/>
              <w:bottom w:val="nil"/>
              <w:right w:val="nil"/>
            </w:tcBorders>
            <w:shd w:val="clear" w:color="auto" w:fill="auto"/>
            <w:noWrap/>
            <w:vAlign w:val="center"/>
            <w:hideMark/>
          </w:tcPr>
          <w:p w14:paraId="0FFD71C7"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260</w:t>
            </w:r>
          </w:p>
        </w:tc>
      </w:tr>
      <w:tr w:rsidR="0061791E" w:rsidRPr="0061791E" w14:paraId="744C964E" w14:textId="77777777" w:rsidTr="00DD0170">
        <w:trPr>
          <w:divId w:val="2052461882"/>
          <w:trHeight w:hRule="exact" w:val="210"/>
        </w:trPr>
        <w:tc>
          <w:tcPr>
            <w:tcW w:w="1933" w:type="pct"/>
            <w:tcBorders>
              <w:top w:val="nil"/>
              <w:left w:val="nil"/>
              <w:bottom w:val="nil"/>
              <w:right w:val="nil"/>
            </w:tcBorders>
            <w:shd w:val="clear" w:color="auto" w:fill="auto"/>
            <w:noWrap/>
            <w:vAlign w:val="center"/>
            <w:hideMark/>
          </w:tcPr>
          <w:p w14:paraId="4440D02B" w14:textId="77777777"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Total financial assets</w:t>
            </w:r>
          </w:p>
        </w:tc>
        <w:tc>
          <w:tcPr>
            <w:tcW w:w="660" w:type="pct"/>
            <w:tcBorders>
              <w:top w:val="single" w:sz="4" w:space="0" w:color="000000"/>
              <w:left w:val="nil"/>
              <w:bottom w:val="single" w:sz="4" w:space="0" w:color="000000"/>
              <w:right w:val="nil"/>
            </w:tcBorders>
            <w:shd w:val="clear" w:color="auto" w:fill="auto"/>
            <w:noWrap/>
            <w:vAlign w:val="center"/>
            <w:hideMark/>
          </w:tcPr>
          <w:p w14:paraId="057ED41F" w14:textId="50DA82F9"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2,442 </w:t>
            </w:r>
          </w:p>
        </w:tc>
        <w:tc>
          <w:tcPr>
            <w:tcW w:w="602" w:type="pct"/>
            <w:tcBorders>
              <w:top w:val="single" w:sz="4" w:space="0" w:color="000000"/>
              <w:left w:val="nil"/>
              <w:bottom w:val="single" w:sz="4" w:space="0" w:color="000000"/>
              <w:right w:val="nil"/>
            </w:tcBorders>
            <w:shd w:val="clear" w:color="000000" w:fill="E6E6E6"/>
            <w:noWrap/>
            <w:vAlign w:val="center"/>
            <w:hideMark/>
          </w:tcPr>
          <w:p w14:paraId="6D9C5C36" w14:textId="69DF79CC"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2,442 </w:t>
            </w:r>
          </w:p>
        </w:tc>
        <w:tc>
          <w:tcPr>
            <w:tcW w:w="602" w:type="pct"/>
            <w:tcBorders>
              <w:top w:val="single" w:sz="4" w:space="0" w:color="000000"/>
              <w:left w:val="nil"/>
              <w:bottom w:val="single" w:sz="4" w:space="0" w:color="000000"/>
              <w:right w:val="nil"/>
            </w:tcBorders>
            <w:shd w:val="clear" w:color="auto" w:fill="auto"/>
            <w:noWrap/>
            <w:vAlign w:val="center"/>
            <w:hideMark/>
          </w:tcPr>
          <w:p w14:paraId="228A713D" w14:textId="3D50842A"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2,443 </w:t>
            </w:r>
          </w:p>
        </w:tc>
        <w:tc>
          <w:tcPr>
            <w:tcW w:w="602" w:type="pct"/>
            <w:tcBorders>
              <w:top w:val="single" w:sz="4" w:space="0" w:color="000000"/>
              <w:left w:val="nil"/>
              <w:bottom w:val="single" w:sz="4" w:space="0" w:color="000000"/>
              <w:right w:val="nil"/>
            </w:tcBorders>
            <w:shd w:val="clear" w:color="auto" w:fill="auto"/>
            <w:noWrap/>
            <w:vAlign w:val="center"/>
            <w:hideMark/>
          </w:tcPr>
          <w:p w14:paraId="3427011C" w14:textId="54EB1F2A"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2,443 </w:t>
            </w:r>
          </w:p>
        </w:tc>
        <w:tc>
          <w:tcPr>
            <w:tcW w:w="602" w:type="pct"/>
            <w:tcBorders>
              <w:top w:val="single" w:sz="4" w:space="0" w:color="000000"/>
              <w:left w:val="nil"/>
              <w:bottom w:val="single" w:sz="4" w:space="0" w:color="000000"/>
              <w:right w:val="nil"/>
            </w:tcBorders>
            <w:shd w:val="clear" w:color="auto" w:fill="auto"/>
            <w:noWrap/>
            <w:vAlign w:val="center"/>
            <w:hideMark/>
          </w:tcPr>
          <w:p w14:paraId="576261BE" w14:textId="5B177B47"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2,443 </w:t>
            </w:r>
          </w:p>
        </w:tc>
      </w:tr>
      <w:tr w:rsidR="0061791E" w:rsidRPr="0061791E" w14:paraId="7DA7AECF"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392F17D6"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Non-financial assets</w:t>
            </w:r>
          </w:p>
        </w:tc>
        <w:tc>
          <w:tcPr>
            <w:tcW w:w="660" w:type="pct"/>
            <w:tcBorders>
              <w:top w:val="nil"/>
              <w:left w:val="nil"/>
              <w:bottom w:val="nil"/>
              <w:right w:val="nil"/>
            </w:tcBorders>
            <w:shd w:val="clear" w:color="auto" w:fill="auto"/>
            <w:noWrap/>
            <w:vAlign w:val="center"/>
            <w:hideMark/>
          </w:tcPr>
          <w:p w14:paraId="5EB23CFD" w14:textId="77777777" w:rsidR="0061791E" w:rsidRPr="0061791E" w:rsidRDefault="0061791E" w:rsidP="0061791E">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76DAA45A" w14:textId="77777777" w:rsidR="0061791E" w:rsidRPr="0061791E" w:rsidRDefault="0061791E" w:rsidP="0061791E">
            <w:pPr>
              <w:spacing w:after="0" w:line="240" w:lineRule="auto"/>
              <w:jc w:val="left"/>
              <w:rPr>
                <w:rFonts w:ascii="Arial" w:hAnsi="Arial" w:cs="Arial"/>
                <w:color w:val="000000"/>
                <w:sz w:val="16"/>
                <w:szCs w:val="16"/>
              </w:rPr>
            </w:pPr>
            <w:r w:rsidRPr="0061791E">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3CE006DC" w14:textId="77777777" w:rsidR="0061791E" w:rsidRPr="0061791E" w:rsidRDefault="0061791E" w:rsidP="0061791E">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7973EAA1" w14:textId="77777777" w:rsidR="0061791E" w:rsidRPr="0061791E" w:rsidRDefault="0061791E" w:rsidP="0061791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6EFD11FB" w14:textId="77777777" w:rsidR="0061791E" w:rsidRPr="0061791E" w:rsidRDefault="0061791E" w:rsidP="0061791E">
            <w:pPr>
              <w:spacing w:after="0" w:line="240" w:lineRule="auto"/>
              <w:jc w:val="left"/>
              <w:rPr>
                <w:rFonts w:ascii="Times New Roman" w:hAnsi="Times New Roman"/>
              </w:rPr>
            </w:pPr>
          </w:p>
        </w:tc>
      </w:tr>
      <w:tr w:rsidR="0061791E" w:rsidRPr="0061791E" w14:paraId="599AC3E2"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24EA394E"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Buildings Right of Use (ROU)</w:t>
            </w:r>
          </w:p>
        </w:tc>
        <w:tc>
          <w:tcPr>
            <w:tcW w:w="660" w:type="pct"/>
            <w:tcBorders>
              <w:top w:val="nil"/>
              <w:left w:val="nil"/>
              <w:bottom w:val="nil"/>
              <w:right w:val="nil"/>
            </w:tcBorders>
            <w:shd w:val="clear" w:color="auto" w:fill="auto"/>
            <w:noWrap/>
            <w:vAlign w:val="center"/>
            <w:hideMark/>
          </w:tcPr>
          <w:p w14:paraId="48A533C9"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350</w:t>
            </w:r>
          </w:p>
        </w:tc>
        <w:tc>
          <w:tcPr>
            <w:tcW w:w="602" w:type="pct"/>
            <w:tcBorders>
              <w:top w:val="nil"/>
              <w:left w:val="nil"/>
              <w:bottom w:val="nil"/>
              <w:right w:val="nil"/>
            </w:tcBorders>
            <w:shd w:val="clear" w:color="000000" w:fill="E6E6E6"/>
            <w:noWrap/>
            <w:vAlign w:val="center"/>
            <w:hideMark/>
          </w:tcPr>
          <w:p w14:paraId="04C086AE"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358</w:t>
            </w:r>
          </w:p>
        </w:tc>
        <w:tc>
          <w:tcPr>
            <w:tcW w:w="602" w:type="pct"/>
            <w:tcBorders>
              <w:top w:val="nil"/>
              <w:left w:val="nil"/>
              <w:bottom w:val="nil"/>
              <w:right w:val="nil"/>
            </w:tcBorders>
            <w:shd w:val="clear" w:color="auto" w:fill="auto"/>
            <w:noWrap/>
            <w:vAlign w:val="center"/>
            <w:hideMark/>
          </w:tcPr>
          <w:p w14:paraId="68FB80D3"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366</w:t>
            </w:r>
          </w:p>
        </w:tc>
        <w:tc>
          <w:tcPr>
            <w:tcW w:w="602" w:type="pct"/>
            <w:tcBorders>
              <w:top w:val="nil"/>
              <w:left w:val="nil"/>
              <w:bottom w:val="nil"/>
              <w:right w:val="nil"/>
            </w:tcBorders>
            <w:shd w:val="clear" w:color="auto" w:fill="auto"/>
            <w:noWrap/>
            <w:vAlign w:val="center"/>
            <w:hideMark/>
          </w:tcPr>
          <w:p w14:paraId="138A00A9"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374</w:t>
            </w:r>
          </w:p>
        </w:tc>
        <w:tc>
          <w:tcPr>
            <w:tcW w:w="602" w:type="pct"/>
            <w:tcBorders>
              <w:top w:val="nil"/>
              <w:left w:val="nil"/>
              <w:bottom w:val="nil"/>
              <w:right w:val="nil"/>
            </w:tcBorders>
            <w:shd w:val="clear" w:color="auto" w:fill="auto"/>
            <w:noWrap/>
            <w:vAlign w:val="center"/>
            <w:hideMark/>
          </w:tcPr>
          <w:p w14:paraId="30481D5A"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367</w:t>
            </w:r>
          </w:p>
        </w:tc>
      </w:tr>
      <w:tr w:rsidR="0061791E" w:rsidRPr="0061791E" w14:paraId="5F145DCC"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2159AC2A"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Property, plant and equipment</w:t>
            </w:r>
          </w:p>
        </w:tc>
        <w:tc>
          <w:tcPr>
            <w:tcW w:w="660" w:type="pct"/>
            <w:tcBorders>
              <w:top w:val="nil"/>
              <w:left w:val="nil"/>
              <w:bottom w:val="nil"/>
              <w:right w:val="nil"/>
            </w:tcBorders>
            <w:shd w:val="clear" w:color="auto" w:fill="auto"/>
            <w:noWrap/>
            <w:vAlign w:val="center"/>
            <w:hideMark/>
          </w:tcPr>
          <w:p w14:paraId="082E92CA"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149</w:t>
            </w:r>
          </w:p>
        </w:tc>
        <w:tc>
          <w:tcPr>
            <w:tcW w:w="602" w:type="pct"/>
            <w:tcBorders>
              <w:top w:val="nil"/>
              <w:left w:val="nil"/>
              <w:bottom w:val="nil"/>
              <w:right w:val="nil"/>
            </w:tcBorders>
            <w:shd w:val="clear" w:color="000000" w:fill="E6E6E6"/>
            <w:noWrap/>
            <w:vAlign w:val="center"/>
            <w:hideMark/>
          </w:tcPr>
          <w:p w14:paraId="7DC20674"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153</w:t>
            </w:r>
          </w:p>
        </w:tc>
        <w:tc>
          <w:tcPr>
            <w:tcW w:w="602" w:type="pct"/>
            <w:tcBorders>
              <w:top w:val="nil"/>
              <w:left w:val="nil"/>
              <w:bottom w:val="nil"/>
              <w:right w:val="nil"/>
            </w:tcBorders>
            <w:shd w:val="clear" w:color="auto" w:fill="auto"/>
            <w:noWrap/>
            <w:vAlign w:val="center"/>
            <w:hideMark/>
          </w:tcPr>
          <w:p w14:paraId="177E7D64"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153</w:t>
            </w:r>
          </w:p>
        </w:tc>
        <w:tc>
          <w:tcPr>
            <w:tcW w:w="602" w:type="pct"/>
            <w:tcBorders>
              <w:top w:val="nil"/>
              <w:left w:val="nil"/>
              <w:bottom w:val="nil"/>
              <w:right w:val="nil"/>
            </w:tcBorders>
            <w:shd w:val="clear" w:color="auto" w:fill="auto"/>
            <w:noWrap/>
            <w:vAlign w:val="center"/>
            <w:hideMark/>
          </w:tcPr>
          <w:p w14:paraId="6A9D1282"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153</w:t>
            </w:r>
          </w:p>
        </w:tc>
        <w:tc>
          <w:tcPr>
            <w:tcW w:w="602" w:type="pct"/>
            <w:tcBorders>
              <w:top w:val="nil"/>
              <w:left w:val="nil"/>
              <w:bottom w:val="nil"/>
              <w:right w:val="nil"/>
            </w:tcBorders>
            <w:shd w:val="clear" w:color="auto" w:fill="auto"/>
            <w:noWrap/>
            <w:vAlign w:val="center"/>
            <w:hideMark/>
          </w:tcPr>
          <w:p w14:paraId="26DBF35F"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153</w:t>
            </w:r>
          </w:p>
        </w:tc>
      </w:tr>
      <w:tr w:rsidR="0061791E" w:rsidRPr="0061791E" w14:paraId="48C8A954"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2B5F5698"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Intangibles</w:t>
            </w:r>
          </w:p>
        </w:tc>
        <w:tc>
          <w:tcPr>
            <w:tcW w:w="660" w:type="pct"/>
            <w:tcBorders>
              <w:top w:val="nil"/>
              <w:left w:val="nil"/>
              <w:bottom w:val="nil"/>
              <w:right w:val="nil"/>
            </w:tcBorders>
            <w:shd w:val="clear" w:color="auto" w:fill="auto"/>
            <w:noWrap/>
            <w:vAlign w:val="center"/>
            <w:hideMark/>
          </w:tcPr>
          <w:p w14:paraId="0389C5E3"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4</w:t>
            </w:r>
          </w:p>
        </w:tc>
        <w:tc>
          <w:tcPr>
            <w:tcW w:w="602" w:type="pct"/>
            <w:tcBorders>
              <w:top w:val="nil"/>
              <w:left w:val="nil"/>
              <w:bottom w:val="nil"/>
              <w:right w:val="nil"/>
            </w:tcBorders>
            <w:shd w:val="clear" w:color="000000" w:fill="E6E6E6"/>
            <w:noWrap/>
            <w:vAlign w:val="center"/>
            <w:hideMark/>
          </w:tcPr>
          <w:p w14:paraId="57793F93"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0</w:t>
            </w:r>
          </w:p>
        </w:tc>
        <w:tc>
          <w:tcPr>
            <w:tcW w:w="602" w:type="pct"/>
            <w:tcBorders>
              <w:top w:val="nil"/>
              <w:left w:val="nil"/>
              <w:bottom w:val="nil"/>
              <w:right w:val="nil"/>
            </w:tcBorders>
            <w:shd w:val="clear" w:color="auto" w:fill="auto"/>
            <w:noWrap/>
            <w:vAlign w:val="center"/>
            <w:hideMark/>
          </w:tcPr>
          <w:p w14:paraId="6188C763"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0</w:t>
            </w:r>
          </w:p>
        </w:tc>
        <w:tc>
          <w:tcPr>
            <w:tcW w:w="602" w:type="pct"/>
            <w:tcBorders>
              <w:top w:val="nil"/>
              <w:left w:val="nil"/>
              <w:bottom w:val="nil"/>
              <w:right w:val="nil"/>
            </w:tcBorders>
            <w:shd w:val="clear" w:color="auto" w:fill="auto"/>
            <w:noWrap/>
            <w:vAlign w:val="center"/>
            <w:hideMark/>
          </w:tcPr>
          <w:p w14:paraId="57560AC3"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0</w:t>
            </w:r>
          </w:p>
        </w:tc>
        <w:tc>
          <w:tcPr>
            <w:tcW w:w="602" w:type="pct"/>
            <w:tcBorders>
              <w:top w:val="nil"/>
              <w:left w:val="nil"/>
              <w:bottom w:val="nil"/>
              <w:right w:val="nil"/>
            </w:tcBorders>
            <w:shd w:val="clear" w:color="auto" w:fill="auto"/>
            <w:noWrap/>
            <w:vAlign w:val="center"/>
            <w:hideMark/>
          </w:tcPr>
          <w:p w14:paraId="1AE7C6F7"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0</w:t>
            </w:r>
          </w:p>
        </w:tc>
      </w:tr>
      <w:tr w:rsidR="0061791E" w:rsidRPr="0061791E" w14:paraId="75421C64"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5514CCD0"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Other non-financial assets</w:t>
            </w:r>
          </w:p>
        </w:tc>
        <w:tc>
          <w:tcPr>
            <w:tcW w:w="660" w:type="pct"/>
            <w:tcBorders>
              <w:top w:val="nil"/>
              <w:left w:val="nil"/>
              <w:bottom w:val="nil"/>
              <w:right w:val="nil"/>
            </w:tcBorders>
            <w:shd w:val="clear" w:color="auto" w:fill="auto"/>
            <w:noWrap/>
            <w:vAlign w:val="center"/>
            <w:hideMark/>
          </w:tcPr>
          <w:p w14:paraId="1A02247A"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64</w:t>
            </w:r>
          </w:p>
        </w:tc>
        <w:tc>
          <w:tcPr>
            <w:tcW w:w="602" w:type="pct"/>
            <w:tcBorders>
              <w:top w:val="nil"/>
              <w:left w:val="nil"/>
              <w:bottom w:val="nil"/>
              <w:right w:val="nil"/>
            </w:tcBorders>
            <w:shd w:val="clear" w:color="000000" w:fill="E6E6E6"/>
            <w:noWrap/>
            <w:vAlign w:val="center"/>
            <w:hideMark/>
          </w:tcPr>
          <w:p w14:paraId="5F3E18C9"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128</w:t>
            </w:r>
          </w:p>
        </w:tc>
        <w:tc>
          <w:tcPr>
            <w:tcW w:w="602" w:type="pct"/>
            <w:tcBorders>
              <w:top w:val="nil"/>
              <w:left w:val="nil"/>
              <w:bottom w:val="nil"/>
              <w:right w:val="nil"/>
            </w:tcBorders>
            <w:shd w:val="clear" w:color="auto" w:fill="auto"/>
            <w:noWrap/>
            <w:vAlign w:val="center"/>
            <w:hideMark/>
          </w:tcPr>
          <w:p w14:paraId="6C49C742"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129</w:t>
            </w:r>
          </w:p>
        </w:tc>
        <w:tc>
          <w:tcPr>
            <w:tcW w:w="602" w:type="pct"/>
            <w:tcBorders>
              <w:top w:val="nil"/>
              <w:left w:val="nil"/>
              <w:bottom w:val="nil"/>
              <w:right w:val="nil"/>
            </w:tcBorders>
            <w:shd w:val="clear" w:color="auto" w:fill="auto"/>
            <w:noWrap/>
            <w:vAlign w:val="center"/>
            <w:hideMark/>
          </w:tcPr>
          <w:p w14:paraId="656E32EC"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133</w:t>
            </w:r>
          </w:p>
        </w:tc>
        <w:tc>
          <w:tcPr>
            <w:tcW w:w="602" w:type="pct"/>
            <w:tcBorders>
              <w:top w:val="nil"/>
              <w:left w:val="nil"/>
              <w:bottom w:val="nil"/>
              <w:right w:val="nil"/>
            </w:tcBorders>
            <w:shd w:val="clear" w:color="auto" w:fill="auto"/>
            <w:noWrap/>
            <w:vAlign w:val="center"/>
            <w:hideMark/>
          </w:tcPr>
          <w:p w14:paraId="4FA482FE"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133</w:t>
            </w:r>
          </w:p>
        </w:tc>
      </w:tr>
      <w:tr w:rsidR="0061791E" w:rsidRPr="0061791E" w14:paraId="2A19C69D" w14:textId="77777777" w:rsidTr="00DD0170">
        <w:trPr>
          <w:divId w:val="2052461882"/>
          <w:trHeight w:hRule="exact" w:val="210"/>
        </w:trPr>
        <w:tc>
          <w:tcPr>
            <w:tcW w:w="1933" w:type="pct"/>
            <w:tcBorders>
              <w:top w:val="nil"/>
              <w:left w:val="nil"/>
              <w:bottom w:val="nil"/>
              <w:right w:val="nil"/>
            </w:tcBorders>
            <w:shd w:val="clear" w:color="auto" w:fill="auto"/>
            <w:noWrap/>
            <w:vAlign w:val="center"/>
            <w:hideMark/>
          </w:tcPr>
          <w:p w14:paraId="04482B88" w14:textId="77777777"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Total non-financial assets</w:t>
            </w:r>
          </w:p>
        </w:tc>
        <w:tc>
          <w:tcPr>
            <w:tcW w:w="660" w:type="pct"/>
            <w:tcBorders>
              <w:top w:val="single" w:sz="4" w:space="0" w:color="000000"/>
              <w:left w:val="nil"/>
              <w:bottom w:val="single" w:sz="4" w:space="0" w:color="000000"/>
              <w:right w:val="nil"/>
            </w:tcBorders>
            <w:shd w:val="clear" w:color="auto" w:fill="auto"/>
            <w:noWrap/>
            <w:vAlign w:val="center"/>
            <w:hideMark/>
          </w:tcPr>
          <w:p w14:paraId="5FBAB5FA" w14:textId="2EE137A6"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567 </w:t>
            </w:r>
          </w:p>
        </w:tc>
        <w:tc>
          <w:tcPr>
            <w:tcW w:w="602" w:type="pct"/>
            <w:tcBorders>
              <w:top w:val="single" w:sz="4" w:space="0" w:color="000000"/>
              <w:left w:val="nil"/>
              <w:bottom w:val="single" w:sz="4" w:space="0" w:color="000000"/>
              <w:right w:val="nil"/>
            </w:tcBorders>
            <w:shd w:val="clear" w:color="000000" w:fill="E6E6E6"/>
            <w:noWrap/>
            <w:vAlign w:val="center"/>
            <w:hideMark/>
          </w:tcPr>
          <w:p w14:paraId="18E43328" w14:textId="2BE10000"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639 </w:t>
            </w:r>
          </w:p>
        </w:tc>
        <w:tc>
          <w:tcPr>
            <w:tcW w:w="602" w:type="pct"/>
            <w:tcBorders>
              <w:top w:val="single" w:sz="4" w:space="0" w:color="000000"/>
              <w:left w:val="nil"/>
              <w:bottom w:val="single" w:sz="4" w:space="0" w:color="000000"/>
              <w:right w:val="nil"/>
            </w:tcBorders>
            <w:shd w:val="clear" w:color="auto" w:fill="auto"/>
            <w:noWrap/>
            <w:vAlign w:val="center"/>
            <w:hideMark/>
          </w:tcPr>
          <w:p w14:paraId="058B3843" w14:textId="34147DD2"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648 </w:t>
            </w:r>
          </w:p>
        </w:tc>
        <w:tc>
          <w:tcPr>
            <w:tcW w:w="602" w:type="pct"/>
            <w:tcBorders>
              <w:top w:val="single" w:sz="4" w:space="0" w:color="000000"/>
              <w:left w:val="nil"/>
              <w:bottom w:val="single" w:sz="4" w:space="0" w:color="000000"/>
              <w:right w:val="nil"/>
            </w:tcBorders>
            <w:shd w:val="clear" w:color="auto" w:fill="auto"/>
            <w:noWrap/>
            <w:vAlign w:val="center"/>
            <w:hideMark/>
          </w:tcPr>
          <w:p w14:paraId="48FA14B1" w14:textId="112BADCB"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660 </w:t>
            </w:r>
          </w:p>
        </w:tc>
        <w:tc>
          <w:tcPr>
            <w:tcW w:w="602" w:type="pct"/>
            <w:tcBorders>
              <w:top w:val="single" w:sz="4" w:space="0" w:color="000000"/>
              <w:left w:val="nil"/>
              <w:bottom w:val="single" w:sz="4" w:space="0" w:color="000000"/>
              <w:right w:val="nil"/>
            </w:tcBorders>
            <w:shd w:val="clear" w:color="auto" w:fill="auto"/>
            <w:noWrap/>
            <w:vAlign w:val="center"/>
            <w:hideMark/>
          </w:tcPr>
          <w:p w14:paraId="3CF8A68A" w14:textId="535CE727"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653 </w:t>
            </w:r>
          </w:p>
        </w:tc>
      </w:tr>
      <w:tr w:rsidR="0061791E" w:rsidRPr="0061791E" w14:paraId="09091899"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39E53DA4"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Total assets</w:t>
            </w:r>
          </w:p>
        </w:tc>
        <w:tc>
          <w:tcPr>
            <w:tcW w:w="660" w:type="pct"/>
            <w:tcBorders>
              <w:top w:val="nil"/>
              <w:left w:val="nil"/>
              <w:bottom w:val="single" w:sz="4" w:space="0" w:color="000000"/>
              <w:right w:val="nil"/>
            </w:tcBorders>
            <w:shd w:val="clear" w:color="auto" w:fill="auto"/>
            <w:noWrap/>
            <w:vAlign w:val="center"/>
            <w:hideMark/>
          </w:tcPr>
          <w:p w14:paraId="2A7A96CB" w14:textId="5753C9C1"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w:t>
            </w:r>
            <w:r>
              <w:rPr>
                <w:rFonts w:ascii="Arial" w:hAnsi="Arial" w:cs="Arial"/>
                <w:b/>
                <w:bCs/>
                <w:color w:val="000000"/>
                <w:sz w:val="16"/>
                <w:szCs w:val="16"/>
              </w:rPr>
              <w:t xml:space="preserve">  </w:t>
            </w:r>
            <w:r w:rsidRPr="0061791E">
              <w:rPr>
                <w:rFonts w:ascii="Arial" w:hAnsi="Arial" w:cs="Arial"/>
                <w:b/>
                <w:bCs/>
                <w:color w:val="000000"/>
                <w:sz w:val="16"/>
                <w:szCs w:val="16"/>
              </w:rPr>
              <w:t xml:space="preserve">   3,009 </w:t>
            </w:r>
          </w:p>
        </w:tc>
        <w:tc>
          <w:tcPr>
            <w:tcW w:w="602" w:type="pct"/>
            <w:tcBorders>
              <w:top w:val="nil"/>
              <w:left w:val="nil"/>
              <w:bottom w:val="single" w:sz="4" w:space="0" w:color="000000"/>
              <w:right w:val="nil"/>
            </w:tcBorders>
            <w:shd w:val="clear" w:color="000000" w:fill="E6E6E6"/>
            <w:noWrap/>
            <w:vAlign w:val="center"/>
            <w:hideMark/>
          </w:tcPr>
          <w:p w14:paraId="3BF7B7E6" w14:textId="132CADCE"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3,081 </w:t>
            </w:r>
          </w:p>
        </w:tc>
        <w:tc>
          <w:tcPr>
            <w:tcW w:w="602" w:type="pct"/>
            <w:tcBorders>
              <w:top w:val="nil"/>
              <w:left w:val="nil"/>
              <w:bottom w:val="single" w:sz="4" w:space="0" w:color="000000"/>
              <w:right w:val="nil"/>
            </w:tcBorders>
            <w:shd w:val="clear" w:color="auto" w:fill="auto"/>
            <w:noWrap/>
            <w:vAlign w:val="center"/>
            <w:hideMark/>
          </w:tcPr>
          <w:p w14:paraId="2956B757"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3,091 </w:t>
            </w:r>
          </w:p>
        </w:tc>
        <w:tc>
          <w:tcPr>
            <w:tcW w:w="602" w:type="pct"/>
            <w:tcBorders>
              <w:top w:val="nil"/>
              <w:left w:val="nil"/>
              <w:bottom w:val="single" w:sz="4" w:space="0" w:color="000000"/>
              <w:right w:val="nil"/>
            </w:tcBorders>
            <w:shd w:val="clear" w:color="auto" w:fill="auto"/>
            <w:noWrap/>
            <w:vAlign w:val="center"/>
            <w:hideMark/>
          </w:tcPr>
          <w:p w14:paraId="7EC454B3" w14:textId="2FFB363F"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3,103 </w:t>
            </w:r>
          </w:p>
        </w:tc>
        <w:tc>
          <w:tcPr>
            <w:tcW w:w="602" w:type="pct"/>
            <w:tcBorders>
              <w:top w:val="nil"/>
              <w:left w:val="nil"/>
              <w:bottom w:val="single" w:sz="4" w:space="0" w:color="000000"/>
              <w:right w:val="nil"/>
            </w:tcBorders>
            <w:shd w:val="clear" w:color="auto" w:fill="auto"/>
            <w:noWrap/>
            <w:vAlign w:val="center"/>
            <w:hideMark/>
          </w:tcPr>
          <w:p w14:paraId="4CF25DE6"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3,096 </w:t>
            </w:r>
          </w:p>
        </w:tc>
      </w:tr>
      <w:tr w:rsidR="0061791E" w:rsidRPr="0061791E" w14:paraId="3CDC638A"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3D016978"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LIABILITIES</w:t>
            </w:r>
          </w:p>
        </w:tc>
        <w:tc>
          <w:tcPr>
            <w:tcW w:w="660" w:type="pct"/>
            <w:tcBorders>
              <w:top w:val="nil"/>
              <w:left w:val="nil"/>
              <w:bottom w:val="nil"/>
              <w:right w:val="nil"/>
            </w:tcBorders>
            <w:shd w:val="clear" w:color="auto" w:fill="auto"/>
            <w:noWrap/>
            <w:vAlign w:val="center"/>
            <w:hideMark/>
          </w:tcPr>
          <w:p w14:paraId="7A37E9CC" w14:textId="77777777" w:rsidR="0061791E" w:rsidRPr="0061791E" w:rsidRDefault="0061791E" w:rsidP="0061791E">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4E1122B5" w14:textId="77777777" w:rsidR="0061791E" w:rsidRPr="0061791E" w:rsidRDefault="0061791E" w:rsidP="0061791E">
            <w:pPr>
              <w:spacing w:after="0" w:line="240" w:lineRule="auto"/>
              <w:jc w:val="left"/>
              <w:rPr>
                <w:rFonts w:ascii="Arial" w:hAnsi="Arial" w:cs="Arial"/>
                <w:color w:val="000000"/>
                <w:sz w:val="16"/>
                <w:szCs w:val="16"/>
              </w:rPr>
            </w:pPr>
            <w:r w:rsidRPr="0061791E">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026D4D4E" w14:textId="77777777" w:rsidR="0061791E" w:rsidRPr="0061791E" w:rsidRDefault="0061791E" w:rsidP="0061791E">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363B4AC1" w14:textId="77777777" w:rsidR="0061791E" w:rsidRPr="0061791E" w:rsidRDefault="0061791E" w:rsidP="0061791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1BAFA868" w14:textId="77777777" w:rsidR="0061791E" w:rsidRPr="0061791E" w:rsidRDefault="0061791E" w:rsidP="0061791E">
            <w:pPr>
              <w:spacing w:after="0" w:line="240" w:lineRule="auto"/>
              <w:jc w:val="left"/>
              <w:rPr>
                <w:rFonts w:ascii="Times New Roman" w:hAnsi="Times New Roman"/>
              </w:rPr>
            </w:pPr>
          </w:p>
        </w:tc>
      </w:tr>
      <w:tr w:rsidR="0061791E" w:rsidRPr="0061791E" w14:paraId="19A7DE94"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6DE38317"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Payables</w:t>
            </w:r>
          </w:p>
        </w:tc>
        <w:tc>
          <w:tcPr>
            <w:tcW w:w="660" w:type="pct"/>
            <w:tcBorders>
              <w:top w:val="nil"/>
              <w:left w:val="nil"/>
              <w:bottom w:val="nil"/>
              <w:right w:val="nil"/>
            </w:tcBorders>
            <w:shd w:val="clear" w:color="auto" w:fill="auto"/>
            <w:noWrap/>
            <w:vAlign w:val="center"/>
            <w:hideMark/>
          </w:tcPr>
          <w:p w14:paraId="4C290104" w14:textId="77777777" w:rsidR="0061791E" w:rsidRPr="0061791E" w:rsidRDefault="0061791E" w:rsidP="0061791E">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5C18D370" w14:textId="77777777" w:rsidR="0061791E" w:rsidRPr="0061791E" w:rsidRDefault="0061791E" w:rsidP="0061791E">
            <w:pPr>
              <w:spacing w:after="0" w:line="240" w:lineRule="auto"/>
              <w:jc w:val="left"/>
              <w:rPr>
                <w:rFonts w:ascii="Arial" w:hAnsi="Arial" w:cs="Arial"/>
                <w:color w:val="000000"/>
                <w:sz w:val="16"/>
                <w:szCs w:val="16"/>
              </w:rPr>
            </w:pPr>
            <w:r w:rsidRPr="0061791E">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3F74597D" w14:textId="77777777" w:rsidR="0061791E" w:rsidRPr="0061791E" w:rsidRDefault="0061791E" w:rsidP="0061791E">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6D99D62A" w14:textId="77777777" w:rsidR="0061791E" w:rsidRPr="0061791E" w:rsidRDefault="0061791E" w:rsidP="0061791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41BA0D95" w14:textId="77777777" w:rsidR="0061791E" w:rsidRPr="0061791E" w:rsidRDefault="0061791E" w:rsidP="0061791E">
            <w:pPr>
              <w:spacing w:after="0" w:line="240" w:lineRule="auto"/>
              <w:jc w:val="left"/>
              <w:rPr>
                <w:rFonts w:ascii="Times New Roman" w:hAnsi="Times New Roman"/>
              </w:rPr>
            </w:pPr>
          </w:p>
        </w:tc>
      </w:tr>
      <w:tr w:rsidR="0061791E" w:rsidRPr="0061791E" w14:paraId="2221005D"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58129840"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Suppliers</w:t>
            </w:r>
          </w:p>
        </w:tc>
        <w:tc>
          <w:tcPr>
            <w:tcW w:w="660" w:type="pct"/>
            <w:tcBorders>
              <w:top w:val="nil"/>
              <w:left w:val="nil"/>
              <w:bottom w:val="nil"/>
              <w:right w:val="nil"/>
            </w:tcBorders>
            <w:shd w:val="clear" w:color="auto" w:fill="auto"/>
            <w:noWrap/>
            <w:vAlign w:val="center"/>
            <w:hideMark/>
          </w:tcPr>
          <w:p w14:paraId="5C67A9D6"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46</w:t>
            </w:r>
          </w:p>
        </w:tc>
        <w:tc>
          <w:tcPr>
            <w:tcW w:w="602" w:type="pct"/>
            <w:tcBorders>
              <w:top w:val="nil"/>
              <w:left w:val="nil"/>
              <w:bottom w:val="nil"/>
              <w:right w:val="nil"/>
            </w:tcBorders>
            <w:shd w:val="clear" w:color="000000" w:fill="E6E6E6"/>
            <w:noWrap/>
            <w:vAlign w:val="center"/>
            <w:hideMark/>
          </w:tcPr>
          <w:p w14:paraId="0FEB67BD"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106</w:t>
            </w:r>
          </w:p>
        </w:tc>
        <w:tc>
          <w:tcPr>
            <w:tcW w:w="602" w:type="pct"/>
            <w:tcBorders>
              <w:top w:val="nil"/>
              <w:left w:val="nil"/>
              <w:bottom w:val="nil"/>
              <w:right w:val="nil"/>
            </w:tcBorders>
            <w:shd w:val="clear" w:color="auto" w:fill="auto"/>
            <w:noWrap/>
            <w:vAlign w:val="center"/>
            <w:hideMark/>
          </w:tcPr>
          <w:p w14:paraId="54F76DD7"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104</w:t>
            </w:r>
          </w:p>
        </w:tc>
        <w:tc>
          <w:tcPr>
            <w:tcW w:w="602" w:type="pct"/>
            <w:tcBorders>
              <w:top w:val="nil"/>
              <w:left w:val="nil"/>
              <w:bottom w:val="nil"/>
              <w:right w:val="nil"/>
            </w:tcBorders>
            <w:shd w:val="clear" w:color="auto" w:fill="auto"/>
            <w:noWrap/>
            <w:vAlign w:val="center"/>
            <w:hideMark/>
          </w:tcPr>
          <w:p w14:paraId="333DA314"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104</w:t>
            </w:r>
          </w:p>
        </w:tc>
        <w:tc>
          <w:tcPr>
            <w:tcW w:w="602" w:type="pct"/>
            <w:tcBorders>
              <w:top w:val="nil"/>
              <w:left w:val="nil"/>
              <w:bottom w:val="nil"/>
              <w:right w:val="nil"/>
            </w:tcBorders>
            <w:shd w:val="clear" w:color="auto" w:fill="auto"/>
            <w:noWrap/>
            <w:vAlign w:val="center"/>
            <w:hideMark/>
          </w:tcPr>
          <w:p w14:paraId="5EA6052A"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104</w:t>
            </w:r>
          </w:p>
        </w:tc>
      </w:tr>
      <w:tr w:rsidR="0061791E" w:rsidRPr="0061791E" w14:paraId="0B7C7ECC"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6717BD09"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Other payables</w:t>
            </w:r>
          </w:p>
        </w:tc>
        <w:tc>
          <w:tcPr>
            <w:tcW w:w="660" w:type="pct"/>
            <w:tcBorders>
              <w:top w:val="nil"/>
              <w:left w:val="nil"/>
              <w:bottom w:val="nil"/>
              <w:right w:val="nil"/>
            </w:tcBorders>
            <w:shd w:val="clear" w:color="auto" w:fill="auto"/>
            <w:noWrap/>
            <w:vAlign w:val="center"/>
            <w:hideMark/>
          </w:tcPr>
          <w:p w14:paraId="14BBE687"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150</w:t>
            </w:r>
          </w:p>
        </w:tc>
        <w:tc>
          <w:tcPr>
            <w:tcW w:w="602" w:type="pct"/>
            <w:tcBorders>
              <w:top w:val="nil"/>
              <w:left w:val="nil"/>
              <w:bottom w:val="nil"/>
              <w:right w:val="nil"/>
            </w:tcBorders>
            <w:shd w:val="clear" w:color="000000" w:fill="E6E6E6"/>
            <w:noWrap/>
            <w:vAlign w:val="center"/>
            <w:hideMark/>
          </w:tcPr>
          <w:p w14:paraId="07877DDF"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150</w:t>
            </w:r>
          </w:p>
        </w:tc>
        <w:tc>
          <w:tcPr>
            <w:tcW w:w="602" w:type="pct"/>
            <w:tcBorders>
              <w:top w:val="nil"/>
              <w:left w:val="nil"/>
              <w:bottom w:val="nil"/>
              <w:right w:val="nil"/>
            </w:tcBorders>
            <w:shd w:val="clear" w:color="auto" w:fill="auto"/>
            <w:noWrap/>
            <w:vAlign w:val="center"/>
            <w:hideMark/>
          </w:tcPr>
          <w:p w14:paraId="73F489A8"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150</w:t>
            </w:r>
          </w:p>
        </w:tc>
        <w:tc>
          <w:tcPr>
            <w:tcW w:w="602" w:type="pct"/>
            <w:tcBorders>
              <w:top w:val="nil"/>
              <w:left w:val="nil"/>
              <w:bottom w:val="nil"/>
              <w:right w:val="nil"/>
            </w:tcBorders>
            <w:shd w:val="clear" w:color="auto" w:fill="auto"/>
            <w:noWrap/>
            <w:vAlign w:val="center"/>
            <w:hideMark/>
          </w:tcPr>
          <w:p w14:paraId="0751F456"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150</w:t>
            </w:r>
          </w:p>
        </w:tc>
        <w:tc>
          <w:tcPr>
            <w:tcW w:w="602" w:type="pct"/>
            <w:tcBorders>
              <w:top w:val="nil"/>
              <w:left w:val="nil"/>
              <w:bottom w:val="nil"/>
              <w:right w:val="nil"/>
            </w:tcBorders>
            <w:shd w:val="clear" w:color="auto" w:fill="auto"/>
            <w:noWrap/>
            <w:vAlign w:val="center"/>
            <w:hideMark/>
          </w:tcPr>
          <w:p w14:paraId="6E1735EC"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150</w:t>
            </w:r>
          </w:p>
        </w:tc>
      </w:tr>
      <w:tr w:rsidR="0061791E" w:rsidRPr="0061791E" w14:paraId="56D1CB9A" w14:textId="77777777" w:rsidTr="00DD0170">
        <w:trPr>
          <w:divId w:val="2052461882"/>
          <w:trHeight w:hRule="exact" w:val="210"/>
        </w:trPr>
        <w:tc>
          <w:tcPr>
            <w:tcW w:w="1933" w:type="pct"/>
            <w:tcBorders>
              <w:top w:val="nil"/>
              <w:left w:val="nil"/>
              <w:bottom w:val="nil"/>
              <w:right w:val="nil"/>
            </w:tcBorders>
            <w:shd w:val="clear" w:color="auto" w:fill="auto"/>
            <w:noWrap/>
            <w:vAlign w:val="center"/>
            <w:hideMark/>
          </w:tcPr>
          <w:p w14:paraId="4219067D" w14:textId="77777777"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Total payables</w:t>
            </w:r>
          </w:p>
        </w:tc>
        <w:tc>
          <w:tcPr>
            <w:tcW w:w="660" w:type="pct"/>
            <w:tcBorders>
              <w:top w:val="single" w:sz="4" w:space="0" w:color="000000"/>
              <w:left w:val="nil"/>
              <w:bottom w:val="single" w:sz="4" w:space="0" w:color="000000"/>
              <w:right w:val="nil"/>
            </w:tcBorders>
            <w:shd w:val="clear" w:color="auto" w:fill="auto"/>
            <w:noWrap/>
            <w:vAlign w:val="center"/>
            <w:hideMark/>
          </w:tcPr>
          <w:p w14:paraId="551AD3F5" w14:textId="68BBF42C" w:rsidR="0061791E" w:rsidRPr="0061791E" w:rsidRDefault="0061791E" w:rsidP="0061791E">
            <w:pPr>
              <w:spacing w:after="0" w:line="240" w:lineRule="auto"/>
              <w:jc w:val="center"/>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196 </w:t>
            </w:r>
          </w:p>
        </w:tc>
        <w:tc>
          <w:tcPr>
            <w:tcW w:w="602" w:type="pct"/>
            <w:tcBorders>
              <w:top w:val="single" w:sz="4" w:space="0" w:color="000000"/>
              <w:left w:val="nil"/>
              <w:bottom w:val="single" w:sz="4" w:space="0" w:color="000000"/>
              <w:right w:val="nil"/>
            </w:tcBorders>
            <w:shd w:val="clear" w:color="000000" w:fill="E6E6E6"/>
            <w:noWrap/>
            <w:vAlign w:val="center"/>
            <w:hideMark/>
          </w:tcPr>
          <w:p w14:paraId="01424316" w14:textId="292E1A84"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256 </w:t>
            </w:r>
          </w:p>
        </w:tc>
        <w:tc>
          <w:tcPr>
            <w:tcW w:w="602" w:type="pct"/>
            <w:tcBorders>
              <w:top w:val="single" w:sz="4" w:space="0" w:color="000000"/>
              <w:left w:val="nil"/>
              <w:bottom w:val="single" w:sz="4" w:space="0" w:color="000000"/>
              <w:right w:val="nil"/>
            </w:tcBorders>
            <w:shd w:val="clear" w:color="auto" w:fill="auto"/>
            <w:noWrap/>
            <w:vAlign w:val="center"/>
            <w:hideMark/>
          </w:tcPr>
          <w:p w14:paraId="661457BD" w14:textId="2B6DAA61"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254 </w:t>
            </w:r>
          </w:p>
        </w:tc>
        <w:tc>
          <w:tcPr>
            <w:tcW w:w="602" w:type="pct"/>
            <w:tcBorders>
              <w:top w:val="single" w:sz="4" w:space="0" w:color="000000"/>
              <w:left w:val="nil"/>
              <w:bottom w:val="single" w:sz="4" w:space="0" w:color="000000"/>
              <w:right w:val="nil"/>
            </w:tcBorders>
            <w:shd w:val="clear" w:color="auto" w:fill="auto"/>
            <w:noWrap/>
            <w:vAlign w:val="center"/>
            <w:hideMark/>
          </w:tcPr>
          <w:p w14:paraId="3576E912" w14:textId="62BA9832"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254 </w:t>
            </w:r>
          </w:p>
        </w:tc>
        <w:tc>
          <w:tcPr>
            <w:tcW w:w="602" w:type="pct"/>
            <w:tcBorders>
              <w:top w:val="single" w:sz="4" w:space="0" w:color="000000"/>
              <w:left w:val="nil"/>
              <w:bottom w:val="single" w:sz="4" w:space="0" w:color="000000"/>
              <w:right w:val="nil"/>
            </w:tcBorders>
            <w:shd w:val="clear" w:color="auto" w:fill="auto"/>
            <w:noWrap/>
            <w:vAlign w:val="center"/>
            <w:hideMark/>
          </w:tcPr>
          <w:p w14:paraId="2DD81CB3" w14:textId="71C9B891"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254 </w:t>
            </w:r>
          </w:p>
        </w:tc>
      </w:tr>
      <w:tr w:rsidR="0061791E" w:rsidRPr="0061791E" w14:paraId="523CEA3A"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497CC536"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Interest bearing liabilities</w:t>
            </w:r>
          </w:p>
        </w:tc>
        <w:tc>
          <w:tcPr>
            <w:tcW w:w="660" w:type="pct"/>
            <w:tcBorders>
              <w:top w:val="nil"/>
              <w:left w:val="nil"/>
              <w:bottom w:val="nil"/>
              <w:right w:val="nil"/>
            </w:tcBorders>
            <w:shd w:val="clear" w:color="auto" w:fill="auto"/>
            <w:noWrap/>
            <w:vAlign w:val="center"/>
            <w:hideMark/>
          </w:tcPr>
          <w:p w14:paraId="52A68288" w14:textId="77777777" w:rsidR="0061791E" w:rsidRPr="0061791E" w:rsidRDefault="0061791E" w:rsidP="0061791E">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58EA740C" w14:textId="77777777" w:rsidR="0061791E" w:rsidRPr="0061791E" w:rsidRDefault="0061791E" w:rsidP="0061791E">
            <w:pPr>
              <w:spacing w:after="0" w:line="240" w:lineRule="auto"/>
              <w:jc w:val="left"/>
              <w:rPr>
                <w:rFonts w:ascii="Arial" w:hAnsi="Arial" w:cs="Arial"/>
                <w:color w:val="000000"/>
                <w:sz w:val="16"/>
                <w:szCs w:val="16"/>
              </w:rPr>
            </w:pPr>
            <w:r w:rsidRPr="0061791E">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3572C5A1" w14:textId="77777777" w:rsidR="0061791E" w:rsidRPr="0061791E" w:rsidRDefault="0061791E" w:rsidP="0061791E">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0F148017" w14:textId="77777777" w:rsidR="0061791E" w:rsidRPr="0061791E" w:rsidRDefault="0061791E" w:rsidP="0061791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2082BA97" w14:textId="77777777" w:rsidR="0061791E" w:rsidRPr="0061791E" w:rsidRDefault="0061791E" w:rsidP="0061791E">
            <w:pPr>
              <w:spacing w:after="0" w:line="240" w:lineRule="auto"/>
              <w:jc w:val="left"/>
              <w:rPr>
                <w:rFonts w:ascii="Times New Roman" w:hAnsi="Times New Roman"/>
              </w:rPr>
            </w:pPr>
          </w:p>
        </w:tc>
      </w:tr>
      <w:tr w:rsidR="0061791E" w:rsidRPr="0061791E" w14:paraId="6AB26D61"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05F295D4"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Leases</w:t>
            </w:r>
          </w:p>
        </w:tc>
        <w:tc>
          <w:tcPr>
            <w:tcW w:w="660" w:type="pct"/>
            <w:tcBorders>
              <w:top w:val="nil"/>
              <w:left w:val="nil"/>
              <w:bottom w:val="nil"/>
              <w:right w:val="nil"/>
            </w:tcBorders>
            <w:shd w:val="clear" w:color="auto" w:fill="auto"/>
            <w:noWrap/>
            <w:vAlign w:val="center"/>
            <w:hideMark/>
          </w:tcPr>
          <w:p w14:paraId="466AA8ED"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358</w:t>
            </w:r>
          </w:p>
        </w:tc>
        <w:tc>
          <w:tcPr>
            <w:tcW w:w="602" w:type="pct"/>
            <w:tcBorders>
              <w:top w:val="nil"/>
              <w:left w:val="nil"/>
              <w:bottom w:val="nil"/>
              <w:right w:val="nil"/>
            </w:tcBorders>
            <w:shd w:val="clear" w:color="000000" w:fill="E6E6E6"/>
            <w:noWrap/>
            <w:vAlign w:val="center"/>
            <w:hideMark/>
          </w:tcPr>
          <w:p w14:paraId="04DF6DCF"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370</w:t>
            </w:r>
          </w:p>
        </w:tc>
        <w:tc>
          <w:tcPr>
            <w:tcW w:w="602" w:type="pct"/>
            <w:tcBorders>
              <w:top w:val="nil"/>
              <w:left w:val="nil"/>
              <w:bottom w:val="nil"/>
              <w:right w:val="nil"/>
            </w:tcBorders>
            <w:shd w:val="clear" w:color="auto" w:fill="auto"/>
            <w:noWrap/>
            <w:vAlign w:val="center"/>
            <w:hideMark/>
          </w:tcPr>
          <w:p w14:paraId="0A844C49"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382</w:t>
            </w:r>
          </w:p>
        </w:tc>
        <w:tc>
          <w:tcPr>
            <w:tcW w:w="602" w:type="pct"/>
            <w:tcBorders>
              <w:top w:val="nil"/>
              <w:left w:val="nil"/>
              <w:bottom w:val="nil"/>
              <w:right w:val="nil"/>
            </w:tcBorders>
            <w:shd w:val="clear" w:color="auto" w:fill="auto"/>
            <w:noWrap/>
            <w:vAlign w:val="center"/>
            <w:hideMark/>
          </w:tcPr>
          <w:p w14:paraId="106F34D6"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394</w:t>
            </w:r>
          </w:p>
        </w:tc>
        <w:tc>
          <w:tcPr>
            <w:tcW w:w="602" w:type="pct"/>
            <w:tcBorders>
              <w:top w:val="nil"/>
              <w:left w:val="nil"/>
              <w:bottom w:val="nil"/>
              <w:right w:val="nil"/>
            </w:tcBorders>
            <w:shd w:val="clear" w:color="auto" w:fill="auto"/>
            <w:noWrap/>
            <w:vAlign w:val="center"/>
            <w:hideMark/>
          </w:tcPr>
          <w:p w14:paraId="154A9E95"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387</w:t>
            </w:r>
          </w:p>
        </w:tc>
      </w:tr>
      <w:tr w:rsidR="0061791E" w:rsidRPr="0061791E" w14:paraId="69B9D938" w14:textId="77777777" w:rsidTr="00DD0170">
        <w:trPr>
          <w:divId w:val="2052461882"/>
          <w:trHeight w:hRule="exact" w:val="210"/>
        </w:trPr>
        <w:tc>
          <w:tcPr>
            <w:tcW w:w="1933" w:type="pct"/>
            <w:tcBorders>
              <w:top w:val="nil"/>
              <w:left w:val="nil"/>
              <w:bottom w:val="nil"/>
              <w:right w:val="nil"/>
            </w:tcBorders>
            <w:shd w:val="clear" w:color="auto" w:fill="auto"/>
            <w:noWrap/>
            <w:vAlign w:val="center"/>
            <w:hideMark/>
          </w:tcPr>
          <w:p w14:paraId="5A1B055E" w14:textId="77777777"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Total interest bearing liabilities</w:t>
            </w:r>
          </w:p>
        </w:tc>
        <w:tc>
          <w:tcPr>
            <w:tcW w:w="660" w:type="pct"/>
            <w:tcBorders>
              <w:top w:val="single" w:sz="4" w:space="0" w:color="000000"/>
              <w:left w:val="nil"/>
              <w:bottom w:val="single" w:sz="4" w:space="0" w:color="000000"/>
              <w:right w:val="nil"/>
            </w:tcBorders>
            <w:shd w:val="clear" w:color="auto" w:fill="auto"/>
            <w:noWrap/>
            <w:vAlign w:val="center"/>
            <w:hideMark/>
          </w:tcPr>
          <w:p w14:paraId="59A9CCE6" w14:textId="0D931AFF"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358 </w:t>
            </w:r>
          </w:p>
        </w:tc>
        <w:tc>
          <w:tcPr>
            <w:tcW w:w="602" w:type="pct"/>
            <w:tcBorders>
              <w:top w:val="single" w:sz="4" w:space="0" w:color="000000"/>
              <w:left w:val="nil"/>
              <w:bottom w:val="single" w:sz="4" w:space="0" w:color="000000"/>
              <w:right w:val="nil"/>
            </w:tcBorders>
            <w:shd w:val="clear" w:color="000000" w:fill="E6E6E6"/>
            <w:noWrap/>
            <w:vAlign w:val="center"/>
            <w:hideMark/>
          </w:tcPr>
          <w:p w14:paraId="62268704" w14:textId="5F7F6866"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370 </w:t>
            </w:r>
          </w:p>
        </w:tc>
        <w:tc>
          <w:tcPr>
            <w:tcW w:w="602" w:type="pct"/>
            <w:tcBorders>
              <w:top w:val="single" w:sz="4" w:space="0" w:color="000000"/>
              <w:left w:val="nil"/>
              <w:bottom w:val="single" w:sz="4" w:space="0" w:color="000000"/>
              <w:right w:val="nil"/>
            </w:tcBorders>
            <w:shd w:val="clear" w:color="auto" w:fill="auto"/>
            <w:noWrap/>
            <w:vAlign w:val="center"/>
            <w:hideMark/>
          </w:tcPr>
          <w:p w14:paraId="7B16A121" w14:textId="35D50100"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382 </w:t>
            </w:r>
          </w:p>
        </w:tc>
        <w:tc>
          <w:tcPr>
            <w:tcW w:w="602" w:type="pct"/>
            <w:tcBorders>
              <w:top w:val="single" w:sz="4" w:space="0" w:color="000000"/>
              <w:left w:val="nil"/>
              <w:bottom w:val="single" w:sz="4" w:space="0" w:color="000000"/>
              <w:right w:val="nil"/>
            </w:tcBorders>
            <w:shd w:val="clear" w:color="auto" w:fill="auto"/>
            <w:noWrap/>
            <w:vAlign w:val="center"/>
            <w:hideMark/>
          </w:tcPr>
          <w:p w14:paraId="2E3078C8" w14:textId="47941EB6"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394 </w:t>
            </w:r>
          </w:p>
        </w:tc>
        <w:tc>
          <w:tcPr>
            <w:tcW w:w="602" w:type="pct"/>
            <w:tcBorders>
              <w:top w:val="single" w:sz="4" w:space="0" w:color="000000"/>
              <w:left w:val="nil"/>
              <w:bottom w:val="single" w:sz="4" w:space="0" w:color="000000"/>
              <w:right w:val="nil"/>
            </w:tcBorders>
            <w:shd w:val="clear" w:color="auto" w:fill="auto"/>
            <w:noWrap/>
            <w:vAlign w:val="center"/>
            <w:hideMark/>
          </w:tcPr>
          <w:p w14:paraId="14966BFF" w14:textId="186B116C"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387 </w:t>
            </w:r>
          </w:p>
        </w:tc>
      </w:tr>
      <w:tr w:rsidR="0061791E" w:rsidRPr="0061791E" w14:paraId="7574AE08"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19CF3368"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Provisions</w:t>
            </w:r>
          </w:p>
        </w:tc>
        <w:tc>
          <w:tcPr>
            <w:tcW w:w="660" w:type="pct"/>
            <w:tcBorders>
              <w:top w:val="nil"/>
              <w:left w:val="nil"/>
              <w:bottom w:val="nil"/>
              <w:right w:val="nil"/>
            </w:tcBorders>
            <w:shd w:val="clear" w:color="auto" w:fill="auto"/>
            <w:noWrap/>
            <w:vAlign w:val="center"/>
            <w:hideMark/>
          </w:tcPr>
          <w:p w14:paraId="3CF3CC23" w14:textId="77777777" w:rsidR="0061791E" w:rsidRPr="0061791E" w:rsidRDefault="0061791E" w:rsidP="0061791E">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6FEB2CC2" w14:textId="77777777" w:rsidR="0061791E" w:rsidRPr="0061791E" w:rsidRDefault="0061791E" w:rsidP="0061791E">
            <w:pPr>
              <w:spacing w:after="0" w:line="240" w:lineRule="auto"/>
              <w:jc w:val="left"/>
              <w:rPr>
                <w:rFonts w:ascii="Arial" w:hAnsi="Arial" w:cs="Arial"/>
                <w:color w:val="000000"/>
                <w:sz w:val="16"/>
                <w:szCs w:val="16"/>
              </w:rPr>
            </w:pPr>
            <w:r w:rsidRPr="0061791E">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2C210AB6" w14:textId="77777777" w:rsidR="0061791E" w:rsidRPr="0061791E" w:rsidRDefault="0061791E" w:rsidP="0061791E">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0AA4A1E4" w14:textId="77777777" w:rsidR="0061791E" w:rsidRPr="0061791E" w:rsidRDefault="0061791E" w:rsidP="0061791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68E35D06" w14:textId="77777777" w:rsidR="0061791E" w:rsidRPr="0061791E" w:rsidRDefault="0061791E" w:rsidP="0061791E">
            <w:pPr>
              <w:spacing w:after="0" w:line="240" w:lineRule="auto"/>
              <w:jc w:val="left"/>
              <w:rPr>
                <w:rFonts w:ascii="Times New Roman" w:hAnsi="Times New Roman"/>
              </w:rPr>
            </w:pPr>
          </w:p>
        </w:tc>
      </w:tr>
      <w:tr w:rsidR="0061791E" w:rsidRPr="0061791E" w14:paraId="1A87A5D5"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1845569B"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Employee provisions</w:t>
            </w:r>
          </w:p>
        </w:tc>
        <w:tc>
          <w:tcPr>
            <w:tcW w:w="660" w:type="pct"/>
            <w:tcBorders>
              <w:top w:val="nil"/>
              <w:left w:val="nil"/>
              <w:bottom w:val="nil"/>
              <w:right w:val="nil"/>
            </w:tcBorders>
            <w:shd w:val="clear" w:color="auto" w:fill="auto"/>
            <w:noWrap/>
            <w:vAlign w:val="center"/>
            <w:hideMark/>
          </w:tcPr>
          <w:p w14:paraId="371828CA"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304</w:t>
            </w:r>
          </w:p>
        </w:tc>
        <w:tc>
          <w:tcPr>
            <w:tcW w:w="602" w:type="pct"/>
            <w:tcBorders>
              <w:top w:val="nil"/>
              <w:left w:val="nil"/>
              <w:bottom w:val="nil"/>
              <w:right w:val="nil"/>
            </w:tcBorders>
            <w:shd w:val="clear" w:color="000000" w:fill="E6E6E6"/>
            <w:noWrap/>
            <w:vAlign w:val="center"/>
            <w:hideMark/>
          </w:tcPr>
          <w:p w14:paraId="34E194DE"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304</w:t>
            </w:r>
          </w:p>
        </w:tc>
        <w:tc>
          <w:tcPr>
            <w:tcW w:w="602" w:type="pct"/>
            <w:tcBorders>
              <w:top w:val="nil"/>
              <w:left w:val="nil"/>
              <w:bottom w:val="nil"/>
              <w:right w:val="nil"/>
            </w:tcBorders>
            <w:shd w:val="clear" w:color="auto" w:fill="auto"/>
            <w:noWrap/>
            <w:vAlign w:val="center"/>
            <w:hideMark/>
          </w:tcPr>
          <w:p w14:paraId="4D18C710"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304</w:t>
            </w:r>
          </w:p>
        </w:tc>
        <w:tc>
          <w:tcPr>
            <w:tcW w:w="602" w:type="pct"/>
            <w:tcBorders>
              <w:top w:val="nil"/>
              <w:left w:val="nil"/>
              <w:bottom w:val="nil"/>
              <w:right w:val="nil"/>
            </w:tcBorders>
            <w:shd w:val="clear" w:color="auto" w:fill="auto"/>
            <w:noWrap/>
            <w:vAlign w:val="center"/>
            <w:hideMark/>
          </w:tcPr>
          <w:p w14:paraId="4A99966A"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304</w:t>
            </w:r>
          </w:p>
        </w:tc>
        <w:tc>
          <w:tcPr>
            <w:tcW w:w="602" w:type="pct"/>
            <w:tcBorders>
              <w:top w:val="nil"/>
              <w:left w:val="nil"/>
              <w:bottom w:val="nil"/>
              <w:right w:val="nil"/>
            </w:tcBorders>
            <w:shd w:val="clear" w:color="auto" w:fill="auto"/>
            <w:noWrap/>
            <w:vAlign w:val="center"/>
            <w:hideMark/>
          </w:tcPr>
          <w:p w14:paraId="012C460A"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304</w:t>
            </w:r>
          </w:p>
        </w:tc>
      </w:tr>
      <w:tr w:rsidR="0061791E" w:rsidRPr="0061791E" w14:paraId="4AA44963" w14:textId="77777777" w:rsidTr="00DD0170">
        <w:trPr>
          <w:divId w:val="2052461882"/>
          <w:trHeight w:hRule="exact" w:val="210"/>
        </w:trPr>
        <w:tc>
          <w:tcPr>
            <w:tcW w:w="1933" w:type="pct"/>
            <w:tcBorders>
              <w:top w:val="nil"/>
              <w:left w:val="nil"/>
              <w:bottom w:val="nil"/>
              <w:right w:val="nil"/>
            </w:tcBorders>
            <w:shd w:val="clear" w:color="auto" w:fill="auto"/>
            <w:noWrap/>
            <w:vAlign w:val="center"/>
            <w:hideMark/>
          </w:tcPr>
          <w:p w14:paraId="60F198B2" w14:textId="77777777"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Total provisions</w:t>
            </w:r>
          </w:p>
        </w:tc>
        <w:tc>
          <w:tcPr>
            <w:tcW w:w="660" w:type="pct"/>
            <w:tcBorders>
              <w:top w:val="single" w:sz="4" w:space="0" w:color="000000"/>
              <w:left w:val="nil"/>
              <w:bottom w:val="single" w:sz="4" w:space="0" w:color="000000"/>
              <w:right w:val="nil"/>
            </w:tcBorders>
            <w:shd w:val="clear" w:color="auto" w:fill="auto"/>
            <w:noWrap/>
            <w:vAlign w:val="center"/>
            <w:hideMark/>
          </w:tcPr>
          <w:p w14:paraId="2F7BD279" w14:textId="17746182"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304 </w:t>
            </w:r>
          </w:p>
        </w:tc>
        <w:tc>
          <w:tcPr>
            <w:tcW w:w="602" w:type="pct"/>
            <w:tcBorders>
              <w:top w:val="single" w:sz="4" w:space="0" w:color="000000"/>
              <w:left w:val="nil"/>
              <w:bottom w:val="single" w:sz="4" w:space="0" w:color="000000"/>
              <w:right w:val="nil"/>
            </w:tcBorders>
            <w:shd w:val="clear" w:color="000000" w:fill="E6E6E6"/>
            <w:noWrap/>
            <w:vAlign w:val="center"/>
            <w:hideMark/>
          </w:tcPr>
          <w:p w14:paraId="3C463A08" w14:textId="465A762C"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304 </w:t>
            </w:r>
          </w:p>
        </w:tc>
        <w:tc>
          <w:tcPr>
            <w:tcW w:w="602" w:type="pct"/>
            <w:tcBorders>
              <w:top w:val="single" w:sz="4" w:space="0" w:color="000000"/>
              <w:left w:val="nil"/>
              <w:bottom w:val="single" w:sz="4" w:space="0" w:color="000000"/>
              <w:right w:val="nil"/>
            </w:tcBorders>
            <w:shd w:val="clear" w:color="auto" w:fill="auto"/>
            <w:noWrap/>
            <w:vAlign w:val="center"/>
            <w:hideMark/>
          </w:tcPr>
          <w:p w14:paraId="6D2D2915" w14:textId="4A76B069"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304 </w:t>
            </w:r>
          </w:p>
        </w:tc>
        <w:tc>
          <w:tcPr>
            <w:tcW w:w="602" w:type="pct"/>
            <w:tcBorders>
              <w:top w:val="single" w:sz="4" w:space="0" w:color="000000"/>
              <w:left w:val="nil"/>
              <w:bottom w:val="single" w:sz="4" w:space="0" w:color="000000"/>
              <w:right w:val="nil"/>
            </w:tcBorders>
            <w:shd w:val="clear" w:color="auto" w:fill="auto"/>
            <w:noWrap/>
            <w:vAlign w:val="center"/>
            <w:hideMark/>
          </w:tcPr>
          <w:p w14:paraId="788E0535" w14:textId="28226483"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304 </w:t>
            </w:r>
          </w:p>
        </w:tc>
        <w:tc>
          <w:tcPr>
            <w:tcW w:w="602" w:type="pct"/>
            <w:tcBorders>
              <w:top w:val="single" w:sz="4" w:space="0" w:color="000000"/>
              <w:left w:val="nil"/>
              <w:bottom w:val="single" w:sz="4" w:space="0" w:color="000000"/>
              <w:right w:val="nil"/>
            </w:tcBorders>
            <w:shd w:val="clear" w:color="auto" w:fill="auto"/>
            <w:noWrap/>
            <w:vAlign w:val="center"/>
            <w:hideMark/>
          </w:tcPr>
          <w:p w14:paraId="7B6AC8BF" w14:textId="5E8825E3" w:rsidR="0061791E" w:rsidRPr="0061791E" w:rsidRDefault="0061791E" w:rsidP="0061791E">
            <w:pPr>
              <w:spacing w:after="0" w:line="240" w:lineRule="auto"/>
              <w:jc w:val="left"/>
              <w:rPr>
                <w:rFonts w:ascii="Arial" w:hAnsi="Arial" w:cs="Arial"/>
                <w:b/>
                <w:bCs/>
                <w:i/>
                <w:iCs/>
                <w:color w:val="000000"/>
                <w:sz w:val="16"/>
                <w:szCs w:val="16"/>
              </w:rPr>
            </w:pPr>
            <w:r w:rsidRPr="0061791E">
              <w:rPr>
                <w:rFonts w:ascii="Arial" w:hAnsi="Arial" w:cs="Arial"/>
                <w:b/>
                <w:bCs/>
                <w:i/>
                <w:iCs/>
                <w:color w:val="000000"/>
                <w:sz w:val="16"/>
                <w:szCs w:val="16"/>
              </w:rPr>
              <w:t xml:space="preserve">      </w:t>
            </w:r>
            <w:r w:rsidR="00112F95">
              <w:rPr>
                <w:rFonts w:ascii="Arial" w:hAnsi="Arial" w:cs="Arial"/>
                <w:b/>
                <w:bCs/>
                <w:i/>
                <w:iCs/>
                <w:color w:val="000000"/>
                <w:sz w:val="16"/>
                <w:szCs w:val="16"/>
              </w:rPr>
              <w:t xml:space="preserve"> </w:t>
            </w:r>
            <w:r w:rsidRPr="0061791E">
              <w:rPr>
                <w:rFonts w:ascii="Arial" w:hAnsi="Arial" w:cs="Arial"/>
                <w:b/>
                <w:bCs/>
                <w:i/>
                <w:iCs/>
                <w:color w:val="000000"/>
                <w:sz w:val="16"/>
                <w:szCs w:val="16"/>
              </w:rPr>
              <w:t xml:space="preserve">   304 </w:t>
            </w:r>
          </w:p>
        </w:tc>
      </w:tr>
      <w:tr w:rsidR="0061791E" w:rsidRPr="0061791E" w14:paraId="1C215633"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1BA03A80"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Total liabilities</w:t>
            </w:r>
          </w:p>
        </w:tc>
        <w:tc>
          <w:tcPr>
            <w:tcW w:w="660" w:type="pct"/>
            <w:tcBorders>
              <w:top w:val="nil"/>
              <w:left w:val="nil"/>
              <w:bottom w:val="single" w:sz="4" w:space="0" w:color="auto"/>
              <w:right w:val="nil"/>
            </w:tcBorders>
            <w:shd w:val="clear" w:color="auto" w:fill="auto"/>
            <w:noWrap/>
            <w:vAlign w:val="center"/>
            <w:hideMark/>
          </w:tcPr>
          <w:p w14:paraId="6CF10AAD" w14:textId="66CD84CD"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w:t>
            </w:r>
            <w:r w:rsidR="00112F95">
              <w:rPr>
                <w:rFonts w:ascii="Arial" w:hAnsi="Arial" w:cs="Arial"/>
                <w:b/>
                <w:bCs/>
                <w:color w:val="000000"/>
                <w:sz w:val="16"/>
                <w:szCs w:val="16"/>
              </w:rPr>
              <w:t xml:space="preserve"> </w:t>
            </w:r>
            <w:r w:rsidRPr="0061791E">
              <w:rPr>
                <w:rFonts w:ascii="Arial" w:hAnsi="Arial" w:cs="Arial"/>
                <w:b/>
                <w:bCs/>
                <w:color w:val="000000"/>
                <w:sz w:val="16"/>
                <w:szCs w:val="16"/>
              </w:rPr>
              <w:t xml:space="preserve"> </w:t>
            </w:r>
            <w:r>
              <w:rPr>
                <w:rFonts w:ascii="Arial" w:hAnsi="Arial" w:cs="Arial"/>
                <w:b/>
                <w:bCs/>
                <w:color w:val="000000"/>
                <w:sz w:val="16"/>
                <w:szCs w:val="16"/>
              </w:rPr>
              <w:t xml:space="preserve"> </w:t>
            </w:r>
            <w:r w:rsidRPr="0061791E">
              <w:rPr>
                <w:rFonts w:ascii="Arial" w:hAnsi="Arial" w:cs="Arial"/>
                <w:b/>
                <w:bCs/>
                <w:color w:val="000000"/>
                <w:sz w:val="16"/>
                <w:szCs w:val="16"/>
              </w:rPr>
              <w:t xml:space="preserve">   858 </w:t>
            </w:r>
          </w:p>
        </w:tc>
        <w:tc>
          <w:tcPr>
            <w:tcW w:w="602" w:type="pct"/>
            <w:tcBorders>
              <w:top w:val="nil"/>
              <w:left w:val="nil"/>
              <w:bottom w:val="single" w:sz="4" w:space="0" w:color="auto"/>
              <w:right w:val="nil"/>
            </w:tcBorders>
            <w:shd w:val="clear" w:color="000000" w:fill="E6E6E6"/>
            <w:noWrap/>
            <w:vAlign w:val="center"/>
            <w:hideMark/>
          </w:tcPr>
          <w:p w14:paraId="7633884E"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930 </w:t>
            </w:r>
          </w:p>
        </w:tc>
        <w:tc>
          <w:tcPr>
            <w:tcW w:w="602" w:type="pct"/>
            <w:tcBorders>
              <w:top w:val="nil"/>
              <w:left w:val="nil"/>
              <w:bottom w:val="single" w:sz="4" w:space="0" w:color="auto"/>
              <w:right w:val="nil"/>
            </w:tcBorders>
            <w:shd w:val="clear" w:color="auto" w:fill="auto"/>
            <w:noWrap/>
            <w:vAlign w:val="center"/>
            <w:hideMark/>
          </w:tcPr>
          <w:p w14:paraId="3201031C"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940 </w:t>
            </w:r>
          </w:p>
        </w:tc>
        <w:tc>
          <w:tcPr>
            <w:tcW w:w="602" w:type="pct"/>
            <w:tcBorders>
              <w:top w:val="nil"/>
              <w:left w:val="nil"/>
              <w:bottom w:val="single" w:sz="4" w:space="0" w:color="auto"/>
              <w:right w:val="nil"/>
            </w:tcBorders>
            <w:shd w:val="clear" w:color="auto" w:fill="auto"/>
            <w:noWrap/>
            <w:vAlign w:val="center"/>
            <w:hideMark/>
          </w:tcPr>
          <w:p w14:paraId="6BE11CDD"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952 </w:t>
            </w:r>
          </w:p>
        </w:tc>
        <w:tc>
          <w:tcPr>
            <w:tcW w:w="602" w:type="pct"/>
            <w:tcBorders>
              <w:top w:val="nil"/>
              <w:left w:val="nil"/>
              <w:bottom w:val="single" w:sz="4" w:space="0" w:color="auto"/>
              <w:right w:val="nil"/>
            </w:tcBorders>
            <w:shd w:val="clear" w:color="auto" w:fill="auto"/>
            <w:noWrap/>
            <w:vAlign w:val="center"/>
            <w:hideMark/>
          </w:tcPr>
          <w:p w14:paraId="361D465E"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945 </w:t>
            </w:r>
          </w:p>
        </w:tc>
      </w:tr>
      <w:tr w:rsidR="0061791E" w:rsidRPr="0061791E" w14:paraId="6816200C"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45F49208" w14:textId="77777777" w:rsidR="0061791E" w:rsidRPr="0061791E" w:rsidRDefault="0061791E" w:rsidP="0061791E">
            <w:pPr>
              <w:spacing w:after="0" w:line="240" w:lineRule="auto"/>
              <w:jc w:val="left"/>
              <w:rPr>
                <w:rFonts w:ascii="Arial" w:hAnsi="Arial" w:cs="Arial"/>
                <w:b/>
                <w:bCs/>
                <w:sz w:val="16"/>
                <w:szCs w:val="16"/>
              </w:rPr>
            </w:pPr>
            <w:r w:rsidRPr="0061791E">
              <w:rPr>
                <w:rFonts w:ascii="Arial" w:hAnsi="Arial" w:cs="Arial"/>
                <w:b/>
                <w:bCs/>
                <w:sz w:val="16"/>
                <w:szCs w:val="16"/>
              </w:rPr>
              <w:t>Net assets</w:t>
            </w:r>
          </w:p>
        </w:tc>
        <w:tc>
          <w:tcPr>
            <w:tcW w:w="660" w:type="pct"/>
            <w:tcBorders>
              <w:top w:val="nil"/>
              <w:left w:val="nil"/>
              <w:bottom w:val="single" w:sz="4" w:space="0" w:color="auto"/>
              <w:right w:val="nil"/>
            </w:tcBorders>
            <w:shd w:val="clear" w:color="auto" w:fill="auto"/>
            <w:noWrap/>
            <w:vAlign w:val="center"/>
            <w:hideMark/>
          </w:tcPr>
          <w:p w14:paraId="52931CE3" w14:textId="47A75DE1"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w:t>
            </w:r>
            <w:r w:rsidR="00C729CE">
              <w:rPr>
                <w:rFonts w:ascii="Arial" w:hAnsi="Arial" w:cs="Arial"/>
                <w:b/>
                <w:bCs/>
                <w:color w:val="000000"/>
                <w:sz w:val="16"/>
                <w:szCs w:val="16"/>
              </w:rPr>
              <w:t xml:space="preserve"> </w:t>
            </w:r>
            <w:r w:rsidRPr="0061791E">
              <w:rPr>
                <w:rFonts w:ascii="Arial" w:hAnsi="Arial" w:cs="Arial"/>
                <w:b/>
                <w:bCs/>
                <w:color w:val="000000"/>
                <w:sz w:val="16"/>
                <w:szCs w:val="16"/>
              </w:rPr>
              <w:t xml:space="preserve">    </w:t>
            </w:r>
            <w:r>
              <w:rPr>
                <w:rFonts w:ascii="Arial" w:hAnsi="Arial" w:cs="Arial"/>
                <w:b/>
                <w:bCs/>
                <w:color w:val="000000"/>
                <w:sz w:val="16"/>
                <w:szCs w:val="16"/>
              </w:rPr>
              <w:t xml:space="preserve"> </w:t>
            </w:r>
            <w:r w:rsidRPr="0061791E">
              <w:rPr>
                <w:rFonts w:ascii="Arial" w:hAnsi="Arial" w:cs="Arial"/>
                <w:b/>
                <w:bCs/>
                <w:color w:val="000000"/>
                <w:sz w:val="16"/>
                <w:szCs w:val="16"/>
              </w:rPr>
              <w:t xml:space="preserve">2,151 </w:t>
            </w:r>
          </w:p>
        </w:tc>
        <w:tc>
          <w:tcPr>
            <w:tcW w:w="602" w:type="pct"/>
            <w:tcBorders>
              <w:top w:val="nil"/>
              <w:left w:val="nil"/>
              <w:bottom w:val="single" w:sz="4" w:space="0" w:color="auto"/>
              <w:right w:val="nil"/>
            </w:tcBorders>
            <w:shd w:val="clear" w:color="000000" w:fill="E6E6E6"/>
            <w:noWrap/>
            <w:vAlign w:val="center"/>
            <w:hideMark/>
          </w:tcPr>
          <w:p w14:paraId="70C82474"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2,151 </w:t>
            </w:r>
          </w:p>
        </w:tc>
        <w:tc>
          <w:tcPr>
            <w:tcW w:w="602" w:type="pct"/>
            <w:tcBorders>
              <w:top w:val="nil"/>
              <w:left w:val="nil"/>
              <w:bottom w:val="single" w:sz="4" w:space="0" w:color="auto"/>
              <w:right w:val="nil"/>
            </w:tcBorders>
            <w:shd w:val="clear" w:color="auto" w:fill="auto"/>
            <w:noWrap/>
            <w:vAlign w:val="center"/>
            <w:hideMark/>
          </w:tcPr>
          <w:p w14:paraId="492B56DF"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2,151 </w:t>
            </w:r>
          </w:p>
        </w:tc>
        <w:tc>
          <w:tcPr>
            <w:tcW w:w="602" w:type="pct"/>
            <w:tcBorders>
              <w:top w:val="nil"/>
              <w:left w:val="nil"/>
              <w:bottom w:val="single" w:sz="4" w:space="0" w:color="auto"/>
              <w:right w:val="nil"/>
            </w:tcBorders>
            <w:shd w:val="clear" w:color="auto" w:fill="auto"/>
            <w:noWrap/>
            <w:vAlign w:val="center"/>
            <w:hideMark/>
          </w:tcPr>
          <w:p w14:paraId="1EB09609"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2,151 </w:t>
            </w:r>
          </w:p>
        </w:tc>
        <w:tc>
          <w:tcPr>
            <w:tcW w:w="602" w:type="pct"/>
            <w:tcBorders>
              <w:top w:val="nil"/>
              <w:left w:val="nil"/>
              <w:bottom w:val="single" w:sz="4" w:space="0" w:color="auto"/>
              <w:right w:val="nil"/>
            </w:tcBorders>
            <w:shd w:val="clear" w:color="auto" w:fill="auto"/>
            <w:noWrap/>
            <w:vAlign w:val="center"/>
            <w:hideMark/>
          </w:tcPr>
          <w:p w14:paraId="777895C2"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2,151 </w:t>
            </w:r>
          </w:p>
        </w:tc>
      </w:tr>
      <w:tr w:rsidR="0061791E" w:rsidRPr="0061791E" w14:paraId="2FD75563"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051692C0"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EQUITY*</w:t>
            </w:r>
          </w:p>
        </w:tc>
        <w:tc>
          <w:tcPr>
            <w:tcW w:w="660" w:type="pct"/>
            <w:tcBorders>
              <w:top w:val="nil"/>
              <w:left w:val="nil"/>
              <w:bottom w:val="nil"/>
              <w:right w:val="nil"/>
            </w:tcBorders>
            <w:shd w:val="clear" w:color="auto" w:fill="auto"/>
            <w:noWrap/>
            <w:vAlign w:val="center"/>
            <w:hideMark/>
          </w:tcPr>
          <w:p w14:paraId="4E0881E0" w14:textId="77777777" w:rsidR="0061791E" w:rsidRPr="0061791E" w:rsidRDefault="0061791E" w:rsidP="0061791E">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376B5C12" w14:textId="77777777" w:rsidR="0061791E" w:rsidRPr="0061791E" w:rsidRDefault="0061791E" w:rsidP="0061791E">
            <w:pPr>
              <w:spacing w:after="0" w:line="240" w:lineRule="auto"/>
              <w:jc w:val="left"/>
              <w:rPr>
                <w:rFonts w:ascii="Arial" w:hAnsi="Arial" w:cs="Arial"/>
                <w:color w:val="000000"/>
                <w:sz w:val="16"/>
                <w:szCs w:val="16"/>
              </w:rPr>
            </w:pPr>
            <w:r w:rsidRPr="0061791E">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2CB7F562" w14:textId="77777777" w:rsidR="0061791E" w:rsidRPr="0061791E" w:rsidRDefault="0061791E" w:rsidP="0061791E">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284D7816" w14:textId="77777777" w:rsidR="0061791E" w:rsidRPr="0061791E" w:rsidRDefault="0061791E" w:rsidP="0061791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3F04A268" w14:textId="77777777" w:rsidR="0061791E" w:rsidRPr="0061791E" w:rsidRDefault="0061791E" w:rsidP="0061791E">
            <w:pPr>
              <w:spacing w:after="0" w:line="240" w:lineRule="auto"/>
              <w:jc w:val="left"/>
              <w:rPr>
                <w:rFonts w:ascii="Times New Roman" w:hAnsi="Times New Roman"/>
              </w:rPr>
            </w:pPr>
          </w:p>
        </w:tc>
      </w:tr>
      <w:tr w:rsidR="0061791E" w:rsidRPr="0061791E" w14:paraId="31E9F244"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72F37620"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Parent entity interest</w:t>
            </w:r>
          </w:p>
        </w:tc>
        <w:tc>
          <w:tcPr>
            <w:tcW w:w="660" w:type="pct"/>
            <w:tcBorders>
              <w:top w:val="nil"/>
              <w:left w:val="nil"/>
              <w:bottom w:val="nil"/>
              <w:right w:val="nil"/>
            </w:tcBorders>
            <w:shd w:val="clear" w:color="auto" w:fill="auto"/>
            <w:noWrap/>
            <w:vAlign w:val="center"/>
            <w:hideMark/>
          </w:tcPr>
          <w:p w14:paraId="0107AE8D" w14:textId="77777777" w:rsidR="0061791E" w:rsidRPr="0061791E" w:rsidRDefault="0061791E" w:rsidP="0061791E">
            <w:pPr>
              <w:spacing w:after="0" w:line="240" w:lineRule="auto"/>
              <w:jc w:val="left"/>
              <w:rPr>
                <w:rFonts w:ascii="Arial" w:hAnsi="Arial" w:cs="Arial"/>
                <w:b/>
                <w:bCs/>
                <w:color w:val="000000"/>
                <w:sz w:val="16"/>
                <w:szCs w:val="16"/>
              </w:rPr>
            </w:pPr>
          </w:p>
        </w:tc>
        <w:tc>
          <w:tcPr>
            <w:tcW w:w="602" w:type="pct"/>
            <w:tcBorders>
              <w:top w:val="nil"/>
              <w:left w:val="nil"/>
              <w:bottom w:val="nil"/>
              <w:right w:val="nil"/>
            </w:tcBorders>
            <w:shd w:val="clear" w:color="000000" w:fill="E6E6E6"/>
            <w:noWrap/>
            <w:vAlign w:val="center"/>
            <w:hideMark/>
          </w:tcPr>
          <w:p w14:paraId="1EC013B1" w14:textId="77777777" w:rsidR="0061791E" w:rsidRPr="0061791E" w:rsidRDefault="0061791E" w:rsidP="0061791E">
            <w:pPr>
              <w:spacing w:after="0" w:line="240" w:lineRule="auto"/>
              <w:jc w:val="left"/>
              <w:rPr>
                <w:rFonts w:ascii="Arial" w:hAnsi="Arial" w:cs="Arial"/>
                <w:color w:val="000000"/>
                <w:sz w:val="16"/>
                <w:szCs w:val="16"/>
              </w:rPr>
            </w:pPr>
            <w:r w:rsidRPr="0061791E">
              <w:rPr>
                <w:rFonts w:ascii="Arial" w:hAnsi="Arial" w:cs="Arial"/>
                <w:color w:val="000000"/>
                <w:sz w:val="16"/>
                <w:szCs w:val="16"/>
              </w:rPr>
              <w:t> </w:t>
            </w:r>
          </w:p>
        </w:tc>
        <w:tc>
          <w:tcPr>
            <w:tcW w:w="602" w:type="pct"/>
            <w:tcBorders>
              <w:top w:val="nil"/>
              <w:left w:val="nil"/>
              <w:bottom w:val="nil"/>
              <w:right w:val="nil"/>
            </w:tcBorders>
            <w:shd w:val="clear" w:color="auto" w:fill="auto"/>
            <w:noWrap/>
            <w:vAlign w:val="center"/>
            <w:hideMark/>
          </w:tcPr>
          <w:p w14:paraId="49C0372E" w14:textId="77777777" w:rsidR="0061791E" w:rsidRPr="0061791E" w:rsidRDefault="0061791E" w:rsidP="0061791E">
            <w:pPr>
              <w:spacing w:after="0" w:line="240" w:lineRule="auto"/>
              <w:jc w:val="left"/>
              <w:rPr>
                <w:rFonts w:ascii="Arial" w:hAnsi="Arial" w:cs="Arial"/>
                <w:color w:val="000000"/>
                <w:sz w:val="16"/>
                <w:szCs w:val="16"/>
              </w:rPr>
            </w:pPr>
          </w:p>
        </w:tc>
        <w:tc>
          <w:tcPr>
            <w:tcW w:w="602" w:type="pct"/>
            <w:tcBorders>
              <w:top w:val="nil"/>
              <w:left w:val="nil"/>
              <w:bottom w:val="nil"/>
              <w:right w:val="nil"/>
            </w:tcBorders>
            <w:shd w:val="clear" w:color="auto" w:fill="auto"/>
            <w:noWrap/>
            <w:vAlign w:val="center"/>
            <w:hideMark/>
          </w:tcPr>
          <w:p w14:paraId="6E11C8CC" w14:textId="77777777" w:rsidR="0061791E" w:rsidRPr="0061791E" w:rsidRDefault="0061791E" w:rsidP="0061791E">
            <w:pPr>
              <w:spacing w:after="0" w:line="240" w:lineRule="auto"/>
              <w:jc w:val="left"/>
              <w:rPr>
                <w:rFonts w:ascii="Times New Roman" w:hAnsi="Times New Roman"/>
              </w:rPr>
            </w:pPr>
          </w:p>
        </w:tc>
        <w:tc>
          <w:tcPr>
            <w:tcW w:w="602" w:type="pct"/>
            <w:tcBorders>
              <w:top w:val="nil"/>
              <w:left w:val="nil"/>
              <w:bottom w:val="nil"/>
              <w:right w:val="nil"/>
            </w:tcBorders>
            <w:shd w:val="clear" w:color="auto" w:fill="auto"/>
            <w:noWrap/>
            <w:vAlign w:val="center"/>
            <w:hideMark/>
          </w:tcPr>
          <w:p w14:paraId="3B511D9D" w14:textId="77777777" w:rsidR="0061791E" w:rsidRPr="0061791E" w:rsidRDefault="0061791E" w:rsidP="0061791E">
            <w:pPr>
              <w:spacing w:after="0" w:line="240" w:lineRule="auto"/>
              <w:jc w:val="left"/>
              <w:rPr>
                <w:rFonts w:ascii="Times New Roman" w:hAnsi="Times New Roman"/>
              </w:rPr>
            </w:pPr>
          </w:p>
        </w:tc>
      </w:tr>
      <w:tr w:rsidR="0061791E" w:rsidRPr="0061791E" w14:paraId="4EC8FB89" w14:textId="77777777" w:rsidTr="00DD0170">
        <w:trPr>
          <w:divId w:val="2052461882"/>
          <w:trHeight w:hRule="exact" w:val="225"/>
        </w:trPr>
        <w:tc>
          <w:tcPr>
            <w:tcW w:w="1933" w:type="pct"/>
            <w:tcBorders>
              <w:top w:val="nil"/>
              <w:left w:val="nil"/>
              <w:bottom w:val="nil"/>
              <w:right w:val="nil"/>
            </w:tcBorders>
            <w:shd w:val="clear" w:color="auto" w:fill="auto"/>
            <w:noWrap/>
            <w:vAlign w:val="center"/>
            <w:hideMark/>
          </w:tcPr>
          <w:p w14:paraId="76FFF98F"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Contributed equity</w:t>
            </w:r>
          </w:p>
        </w:tc>
        <w:tc>
          <w:tcPr>
            <w:tcW w:w="660" w:type="pct"/>
            <w:tcBorders>
              <w:top w:val="nil"/>
              <w:left w:val="nil"/>
              <w:bottom w:val="nil"/>
              <w:right w:val="nil"/>
            </w:tcBorders>
            <w:shd w:val="clear" w:color="auto" w:fill="auto"/>
            <w:noWrap/>
            <w:vAlign w:val="center"/>
            <w:hideMark/>
          </w:tcPr>
          <w:p w14:paraId="5515E181"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 xml:space="preserve">651 </w:t>
            </w:r>
          </w:p>
        </w:tc>
        <w:tc>
          <w:tcPr>
            <w:tcW w:w="602" w:type="pct"/>
            <w:tcBorders>
              <w:top w:val="nil"/>
              <w:left w:val="nil"/>
              <w:bottom w:val="nil"/>
              <w:right w:val="nil"/>
            </w:tcBorders>
            <w:shd w:val="clear" w:color="000000" w:fill="E6E6E6"/>
            <w:noWrap/>
            <w:vAlign w:val="center"/>
            <w:hideMark/>
          </w:tcPr>
          <w:p w14:paraId="4378E3C3"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 xml:space="preserve">702 </w:t>
            </w:r>
          </w:p>
        </w:tc>
        <w:tc>
          <w:tcPr>
            <w:tcW w:w="602" w:type="pct"/>
            <w:tcBorders>
              <w:top w:val="nil"/>
              <w:left w:val="nil"/>
              <w:bottom w:val="nil"/>
              <w:right w:val="nil"/>
            </w:tcBorders>
            <w:shd w:val="clear" w:color="auto" w:fill="auto"/>
            <w:noWrap/>
            <w:vAlign w:val="center"/>
            <w:hideMark/>
          </w:tcPr>
          <w:p w14:paraId="0FC677C6"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 xml:space="preserve">753 </w:t>
            </w:r>
          </w:p>
        </w:tc>
        <w:tc>
          <w:tcPr>
            <w:tcW w:w="602" w:type="pct"/>
            <w:tcBorders>
              <w:top w:val="nil"/>
              <w:left w:val="nil"/>
              <w:bottom w:val="nil"/>
              <w:right w:val="nil"/>
            </w:tcBorders>
            <w:shd w:val="clear" w:color="auto" w:fill="auto"/>
            <w:noWrap/>
            <w:vAlign w:val="center"/>
            <w:hideMark/>
          </w:tcPr>
          <w:p w14:paraId="4BEDA8CB"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 xml:space="preserve">804 </w:t>
            </w:r>
          </w:p>
        </w:tc>
        <w:tc>
          <w:tcPr>
            <w:tcW w:w="602" w:type="pct"/>
            <w:tcBorders>
              <w:top w:val="nil"/>
              <w:left w:val="nil"/>
              <w:bottom w:val="nil"/>
              <w:right w:val="nil"/>
            </w:tcBorders>
            <w:shd w:val="clear" w:color="auto" w:fill="auto"/>
            <w:noWrap/>
            <w:vAlign w:val="center"/>
            <w:hideMark/>
          </w:tcPr>
          <w:p w14:paraId="7771409F"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 xml:space="preserve">856 </w:t>
            </w:r>
          </w:p>
        </w:tc>
      </w:tr>
      <w:tr w:rsidR="0061791E" w:rsidRPr="0061791E" w14:paraId="5082E518" w14:textId="77777777" w:rsidTr="00E1057D">
        <w:trPr>
          <w:divId w:val="2052461882"/>
          <w:trHeight w:hRule="exact" w:val="450"/>
        </w:trPr>
        <w:tc>
          <w:tcPr>
            <w:tcW w:w="1933" w:type="pct"/>
            <w:tcBorders>
              <w:top w:val="nil"/>
              <w:left w:val="nil"/>
              <w:bottom w:val="nil"/>
              <w:right w:val="nil"/>
            </w:tcBorders>
            <w:shd w:val="clear" w:color="auto" w:fill="auto"/>
            <w:vAlign w:val="center"/>
            <w:hideMark/>
          </w:tcPr>
          <w:p w14:paraId="0F66A6A4" w14:textId="77777777" w:rsidR="0061791E" w:rsidRPr="0061791E" w:rsidRDefault="0061791E" w:rsidP="0061791E">
            <w:pPr>
              <w:spacing w:after="0" w:line="240" w:lineRule="auto"/>
              <w:ind w:left="170"/>
              <w:jc w:val="left"/>
              <w:rPr>
                <w:rFonts w:ascii="Arial" w:hAnsi="Arial" w:cs="Arial"/>
                <w:color w:val="000000"/>
                <w:sz w:val="16"/>
                <w:szCs w:val="16"/>
              </w:rPr>
            </w:pPr>
            <w:r w:rsidRPr="0061791E">
              <w:rPr>
                <w:rFonts w:ascii="Arial" w:hAnsi="Arial" w:cs="Arial"/>
                <w:color w:val="000000"/>
                <w:sz w:val="16"/>
                <w:szCs w:val="16"/>
              </w:rPr>
              <w:t>Retained surplus (accumulated</w:t>
            </w:r>
            <w:r w:rsidRPr="0061791E">
              <w:rPr>
                <w:rFonts w:ascii="Arial" w:hAnsi="Arial" w:cs="Arial"/>
                <w:color w:val="000000"/>
                <w:sz w:val="16"/>
                <w:szCs w:val="16"/>
              </w:rPr>
              <w:br/>
              <w:t xml:space="preserve">  deficit)</w:t>
            </w:r>
          </w:p>
        </w:tc>
        <w:tc>
          <w:tcPr>
            <w:tcW w:w="660" w:type="pct"/>
            <w:tcBorders>
              <w:top w:val="nil"/>
              <w:left w:val="nil"/>
              <w:bottom w:val="single" w:sz="4" w:space="0" w:color="auto"/>
              <w:right w:val="nil"/>
            </w:tcBorders>
            <w:shd w:val="clear" w:color="auto" w:fill="auto"/>
            <w:noWrap/>
            <w:vAlign w:val="bottom"/>
            <w:hideMark/>
          </w:tcPr>
          <w:p w14:paraId="70139C52"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 xml:space="preserve">1,500 </w:t>
            </w:r>
          </w:p>
        </w:tc>
        <w:tc>
          <w:tcPr>
            <w:tcW w:w="602" w:type="pct"/>
            <w:tcBorders>
              <w:top w:val="nil"/>
              <w:left w:val="nil"/>
              <w:bottom w:val="single" w:sz="4" w:space="0" w:color="auto"/>
              <w:right w:val="nil"/>
            </w:tcBorders>
            <w:shd w:val="clear" w:color="000000" w:fill="E6E6E6"/>
            <w:noWrap/>
            <w:vAlign w:val="bottom"/>
            <w:hideMark/>
          </w:tcPr>
          <w:p w14:paraId="3B60DF37"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 xml:space="preserve">1,449 </w:t>
            </w:r>
          </w:p>
        </w:tc>
        <w:tc>
          <w:tcPr>
            <w:tcW w:w="602" w:type="pct"/>
            <w:tcBorders>
              <w:top w:val="nil"/>
              <w:left w:val="nil"/>
              <w:bottom w:val="single" w:sz="4" w:space="0" w:color="auto"/>
              <w:right w:val="nil"/>
            </w:tcBorders>
            <w:shd w:val="clear" w:color="auto" w:fill="auto"/>
            <w:noWrap/>
            <w:vAlign w:val="bottom"/>
            <w:hideMark/>
          </w:tcPr>
          <w:p w14:paraId="0E600A57"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 xml:space="preserve">1,398 </w:t>
            </w:r>
          </w:p>
        </w:tc>
        <w:tc>
          <w:tcPr>
            <w:tcW w:w="602" w:type="pct"/>
            <w:tcBorders>
              <w:top w:val="nil"/>
              <w:left w:val="nil"/>
              <w:bottom w:val="single" w:sz="4" w:space="0" w:color="auto"/>
              <w:right w:val="nil"/>
            </w:tcBorders>
            <w:shd w:val="clear" w:color="auto" w:fill="auto"/>
            <w:noWrap/>
            <w:vAlign w:val="bottom"/>
            <w:hideMark/>
          </w:tcPr>
          <w:p w14:paraId="1579586A"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 xml:space="preserve">1,347 </w:t>
            </w:r>
          </w:p>
        </w:tc>
        <w:tc>
          <w:tcPr>
            <w:tcW w:w="602" w:type="pct"/>
            <w:tcBorders>
              <w:top w:val="nil"/>
              <w:left w:val="nil"/>
              <w:bottom w:val="single" w:sz="4" w:space="0" w:color="auto"/>
              <w:right w:val="nil"/>
            </w:tcBorders>
            <w:shd w:val="clear" w:color="auto" w:fill="auto"/>
            <w:noWrap/>
            <w:vAlign w:val="bottom"/>
            <w:hideMark/>
          </w:tcPr>
          <w:p w14:paraId="6B41A5CF" w14:textId="77777777" w:rsidR="0061791E" w:rsidRPr="0061791E" w:rsidRDefault="0061791E" w:rsidP="0061791E">
            <w:pPr>
              <w:spacing w:after="0" w:line="240" w:lineRule="auto"/>
              <w:jc w:val="right"/>
              <w:rPr>
                <w:rFonts w:ascii="Arial" w:hAnsi="Arial" w:cs="Arial"/>
                <w:color w:val="000000"/>
                <w:sz w:val="16"/>
                <w:szCs w:val="16"/>
              </w:rPr>
            </w:pPr>
            <w:r w:rsidRPr="0061791E">
              <w:rPr>
                <w:rFonts w:ascii="Arial" w:hAnsi="Arial" w:cs="Arial"/>
                <w:color w:val="000000"/>
                <w:sz w:val="16"/>
                <w:szCs w:val="16"/>
              </w:rPr>
              <w:t xml:space="preserve">1,295 </w:t>
            </w:r>
          </w:p>
        </w:tc>
      </w:tr>
      <w:tr w:rsidR="0061791E" w:rsidRPr="0061791E" w14:paraId="5613239E" w14:textId="77777777" w:rsidTr="00E1057D">
        <w:trPr>
          <w:divId w:val="2052461882"/>
          <w:trHeight w:hRule="exact" w:val="225"/>
        </w:trPr>
        <w:tc>
          <w:tcPr>
            <w:tcW w:w="1933" w:type="pct"/>
            <w:tcBorders>
              <w:top w:val="nil"/>
              <w:left w:val="nil"/>
              <w:bottom w:val="single" w:sz="4" w:space="0" w:color="000000"/>
              <w:right w:val="nil"/>
            </w:tcBorders>
            <w:shd w:val="clear" w:color="auto" w:fill="auto"/>
            <w:noWrap/>
            <w:vAlign w:val="center"/>
            <w:hideMark/>
          </w:tcPr>
          <w:p w14:paraId="489B9CF7"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Total equity</w:t>
            </w:r>
          </w:p>
        </w:tc>
        <w:tc>
          <w:tcPr>
            <w:tcW w:w="660" w:type="pct"/>
            <w:tcBorders>
              <w:top w:val="single" w:sz="4" w:space="0" w:color="auto"/>
              <w:left w:val="nil"/>
              <w:bottom w:val="single" w:sz="4" w:space="0" w:color="auto"/>
              <w:right w:val="nil"/>
            </w:tcBorders>
            <w:shd w:val="clear" w:color="auto" w:fill="auto"/>
            <w:noWrap/>
            <w:vAlign w:val="bottom"/>
            <w:hideMark/>
          </w:tcPr>
          <w:p w14:paraId="14E18201" w14:textId="0A9E162A" w:rsidR="0061791E" w:rsidRPr="0061791E" w:rsidRDefault="0061791E" w:rsidP="0061791E">
            <w:pPr>
              <w:spacing w:after="0" w:line="240" w:lineRule="auto"/>
              <w:jc w:val="left"/>
              <w:rPr>
                <w:rFonts w:ascii="Arial" w:hAnsi="Arial" w:cs="Arial"/>
                <w:b/>
                <w:bCs/>
                <w:color w:val="000000"/>
                <w:sz w:val="16"/>
                <w:szCs w:val="16"/>
              </w:rPr>
            </w:pPr>
            <w:r>
              <w:rPr>
                <w:rFonts w:ascii="Arial" w:hAnsi="Arial" w:cs="Arial"/>
                <w:b/>
                <w:bCs/>
                <w:color w:val="000000"/>
                <w:sz w:val="16"/>
                <w:szCs w:val="16"/>
              </w:rPr>
              <w:t xml:space="preserve">  </w:t>
            </w:r>
            <w:r w:rsidR="007254A8">
              <w:rPr>
                <w:rFonts w:ascii="Arial" w:hAnsi="Arial" w:cs="Arial"/>
                <w:b/>
                <w:bCs/>
                <w:color w:val="000000"/>
                <w:sz w:val="16"/>
                <w:szCs w:val="16"/>
              </w:rPr>
              <w:t xml:space="preserve"> </w:t>
            </w:r>
            <w:r>
              <w:rPr>
                <w:rFonts w:ascii="Arial" w:hAnsi="Arial" w:cs="Arial"/>
                <w:b/>
                <w:bCs/>
                <w:color w:val="000000"/>
                <w:sz w:val="16"/>
                <w:szCs w:val="16"/>
              </w:rPr>
              <w:t xml:space="preserve">      2,151 </w:t>
            </w:r>
          </w:p>
        </w:tc>
        <w:tc>
          <w:tcPr>
            <w:tcW w:w="602" w:type="pct"/>
            <w:tcBorders>
              <w:top w:val="single" w:sz="4" w:space="0" w:color="auto"/>
              <w:left w:val="nil"/>
              <w:bottom w:val="single" w:sz="4" w:space="0" w:color="auto"/>
              <w:right w:val="nil"/>
            </w:tcBorders>
            <w:shd w:val="clear" w:color="000000" w:fill="E6E6E6"/>
            <w:noWrap/>
            <w:vAlign w:val="center"/>
            <w:hideMark/>
          </w:tcPr>
          <w:p w14:paraId="2A4524C6"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2,151 </w:t>
            </w:r>
          </w:p>
        </w:tc>
        <w:tc>
          <w:tcPr>
            <w:tcW w:w="602" w:type="pct"/>
            <w:tcBorders>
              <w:top w:val="single" w:sz="4" w:space="0" w:color="auto"/>
              <w:left w:val="nil"/>
              <w:bottom w:val="single" w:sz="4" w:space="0" w:color="auto"/>
              <w:right w:val="nil"/>
            </w:tcBorders>
            <w:shd w:val="clear" w:color="auto" w:fill="auto"/>
            <w:noWrap/>
            <w:vAlign w:val="center"/>
            <w:hideMark/>
          </w:tcPr>
          <w:p w14:paraId="39A0938D"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2,151 </w:t>
            </w:r>
          </w:p>
        </w:tc>
        <w:tc>
          <w:tcPr>
            <w:tcW w:w="602" w:type="pct"/>
            <w:tcBorders>
              <w:top w:val="single" w:sz="4" w:space="0" w:color="auto"/>
              <w:left w:val="nil"/>
              <w:bottom w:val="single" w:sz="4" w:space="0" w:color="auto"/>
              <w:right w:val="nil"/>
            </w:tcBorders>
            <w:shd w:val="clear" w:color="auto" w:fill="auto"/>
            <w:noWrap/>
            <w:vAlign w:val="center"/>
            <w:hideMark/>
          </w:tcPr>
          <w:p w14:paraId="604956F8"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2,151 </w:t>
            </w:r>
          </w:p>
        </w:tc>
        <w:tc>
          <w:tcPr>
            <w:tcW w:w="602" w:type="pct"/>
            <w:tcBorders>
              <w:top w:val="single" w:sz="4" w:space="0" w:color="auto"/>
              <w:left w:val="nil"/>
              <w:bottom w:val="single" w:sz="4" w:space="0" w:color="auto"/>
              <w:right w:val="nil"/>
            </w:tcBorders>
            <w:shd w:val="clear" w:color="auto" w:fill="auto"/>
            <w:noWrap/>
            <w:vAlign w:val="center"/>
            <w:hideMark/>
          </w:tcPr>
          <w:p w14:paraId="789A649F" w14:textId="77777777" w:rsidR="0061791E" w:rsidRPr="0061791E" w:rsidRDefault="0061791E" w:rsidP="0061791E">
            <w:pPr>
              <w:spacing w:after="0" w:line="240" w:lineRule="auto"/>
              <w:jc w:val="left"/>
              <w:rPr>
                <w:rFonts w:ascii="Arial" w:hAnsi="Arial" w:cs="Arial"/>
                <w:b/>
                <w:bCs/>
                <w:color w:val="000000"/>
                <w:sz w:val="16"/>
                <w:szCs w:val="16"/>
              </w:rPr>
            </w:pPr>
            <w:r w:rsidRPr="0061791E">
              <w:rPr>
                <w:rFonts w:ascii="Arial" w:hAnsi="Arial" w:cs="Arial"/>
                <w:b/>
                <w:bCs/>
                <w:color w:val="000000"/>
                <w:sz w:val="16"/>
                <w:szCs w:val="16"/>
              </w:rPr>
              <w:t xml:space="preserve">       2,151 </w:t>
            </w:r>
          </w:p>
        </w:tc>
      </w:tr>
    </w:tbl>
    <w:p w14:paraId="559D3721" w14:textId="11CFE162" w:rsidR="00947222" w:rsidRDefault="00525E3E" w:rsidP="003B0AFB">
      <w:pPr>
        <w:pStyle w:val="Source"/>
        <w:spacing w:before="40"/>
        <w:rPr>
          <w:rFonts w:ascii="Times New Roman" w:hAnsi="Times New Roman"/>
        </w:rPr>
      </w:pPr>
      <w:r w:rsidRPr="00947222">
        <w:rPr>
          <w:rFonts w:cs="Arial"/>
          <w:szCs w:val="16"/>
        </w:rPr>
        <w:t>Prepared on Australian Accounting Standards basis.</w:t>
      </w:r>
    </w:p>
    <w:p w14:paraId="72333489" w14:textId="437670D4" w:rsidR="00742112" w:rsidRPr="00947222" w:rsidRDefault="00742112" w:rsidP="00947222">
      <w:pPr>
        <w:pStyle w:val="TableGraphic"/>
        <w:rPr>
          <w:rFonts w:ascii="Arial" w:hAnsi="Arial" w:cs="Arial"/>
          <w:sz w:val="16"/>
          <w:szCs w:val="16"/>
        </w:rPr>
      </w:pPr>
      <w:r w:rsidRPr="00947222">
        <w:rPr>
          <w:rFonts w:ascii="Arial" w:hAnsi="Arial" w:cs="Arial"/>
          <w:sz w:val="16"/>
          <w:szCs w:val="16"/>
        </w:rPr>
        <w:t>*‘Equity’ is the residual interest in assets after deduction of liabilities.</w:t>
      </w:r>
    </w:p>
    <w:p w14:paraId="4B38BDA4" w14:textId="77777777" w:rsidR="00132F9E" w:rsidRPr="00152B2B" w:rsidRDefault="00132F9E" w:rsidP="00152B2B"/>
    <w:p w14:paraId="5AD026C0" w14:textId="77777777" w:rsidR="0061675B" w:rsidRPr="00152B2B" w:rsidRDefault="0061675B" w:rsidP="00152B2B"/>
    <w:p w14:paraId="41801CC4" w14:textId="614C3412" w:rsidR="00C729CE" w:rsidRDefault="000A24C4" w:rsidP="00132F9E">
      <w:pPr>
        <w:pStyle w:val="TableGraphic"/>
        <w:rPr>
          <w:rFonts w:ascii="Times New Roman" w:hAnsi="Times New Roman"/>
        </w:rPr>
      </w:pPr>
      <w:r>
        <w:br w:type="page"/>
      </w:r>
      <w:r w:rsidR="00A80C87" w:rsidRPr="00FB659F">
        <w:rPr>
          <w:rFonts w:ascii="Arial" w:hAnsi="Arial" w:cs="Arial"/>
          <w:b/>
        </w:rPr>
        <w:lastRenderedPageBreak/>
        <w:t>Table</w:t>
      </w:r>
      <w:r w:rsidR="00971CBF" w:rsidRPr="00FB659F">
        <w:rPr>
          <w:rFonts w:ascii="Arial" w:hAnsi="Arial" w:cs="Arial"/>
          <w:b/>
        </w:rPr>
        <w:t xml:space="preserve"> 3.</w:t>
      </w:r>
      <w:r w:rsidR="00A80C87" w:rsidRPr="00FB659F">
        <w:rPr>
          <w:rFonts w:ascii="Arial" w:hAnsi="Arial" w:cs="Arial"/>
          <w:b/>
        </w:rPr>
        <w:t>3</w:t>
      </w:r>
      <w:r w:rsidR="00345CCD" w:rsidRPr="00FB659F">
        <w:rPr>
          <w:rFonts w:ascii="Arial" w:hAnsi="Arial" w:cs="Arial"/>
          <w:b/>
        </w:rPr>
        <w:t xml:space="preserve">: Departmental </w:t>
      </w:r>
      <w:r w:rsidR="00F626C2" w:rsidRPr="00FB659F">
        <w:rPr>
          <w:rFonts w:ascii="Arial" w:hAnsi="Arial" w:cs="Arial"/>
          <w:b/>
        </w:rPr>
        <w:t xml:space="preserve">statement of changes in equity </w:t>
      </w:r>
      <w:r w:rsidR="00345CCD" w:rsidRPr="00FB659F">
        <w:rPr>
          <w:rFonts w:ascii="Arial" w:hAnsi="Arial" w:cs="Arial"/>
          <w:b/>
        </w:rPr>
        <w:t xml:space="preserve">— </w:t>
      </w:r>
      <w:r w:rsidR="00F626C2" w:rsidRPr="00FB659F">
        <w:rPr>
          <w:rFonts w:ascii="Arial" w:hAnsi="Arial" w:cs="Arial"/>
          <w:b/>
        </w:rPr>
        <w:t>summary of movement (</w:t>
      </w:r>
      <w:r w:rsidR="008A1DDE" w:rsidRPr="00FB659F">
        <w:rPr>
          <w:rFonts w:ascii="Arial" w:hAnsi="Arial" w:cs="Arial"/>
          <w:b/>
        </w:rPr>
        <w:t xml:space="preserve">Budget </w:t>
      </w:r>
      <w:r w:rsidR="00F626C2" w:rsidRPr="00FB659F">
        <w:rPr>
          <w:rFonts w:ascii="Arial" w:hAnsi="Arial" w:cs="Arial"/>
          <w:b/>
        </w:rPr>
        <w:t>y</w:t>
      </w:r>
      <w:r w:rsidR="008A1DDE" w:rsidRPr="00FB659F">
        <w:rPr>
          <w:rFonts w:ascii="Arial" w:hAnsi="Arial" w:cs="Arial"/>
          <w:b/>
        </w:rPr>
        <w:t xml:space="preserve">ear </w:t>
      </w:r>
      <w:r w:rsidR="00D52088" w:rsidRPr="00FB659F">
        <w:rPr>
          <w:rFonts w:ascii="Arial" w:hAnsi="Arial" w:cs="Arial"/>
          <w:b/>
        </w:rPr>
        <w:t>2020-21</w:t>
      </w:r>
      <w:r w:rsidR="00345CCD" w:rsidRPr="00FB659F">
        <w:rPr>
          <w:rFonts w:ascii="Arial" w:hAnsi="Arial" w:cs="Arial"/>
          <w:b/>
        </w:rPr>
        <w:t>)</w:t>
      </w:r>
    </w:p>
    <w:tbl>
      <w:tblPr>
        <w:tblW w:w="5000" w:type="pct"/>
        <w:tblLook w:val="04A0" w:firstRow="1" w:lastRow="0" w:firstColumn="1" w:lastColumn="0" w:noHBand="0" w:noVBand="1"/>
      </w:tblPr>
      <w:tblGrid>
        <w:gridCol w:w="4216"/>
        <w:gridCol w:w="1147"/>
        <w:gridCol w:w="1399"/>
        <w:gridCol w:w="948"/>
      </w:tblGrid>
      <w:tr w:rsidR="00C729CE" w:rsidRPr="00C729CE" w14:paraId="71BA33B7" w14:textId="77777777" w:rsidTr="005D1868">
        <w:trPr>
          <w:divId w:val="479735218"/>
          <w:trHeight w:val="900"/>
        </w:trPr>
        <w:tc>
          <w:tcPr>
            <w:tcW w:w="2734" w:type="pct"/>
            <w:tcBorders>
              <w:top w:val="single" w:sz="4" w:space="0" w:color="auto"/>
              <w:left w:val="nil"/>
              <w:bottom w:val="nil"/>
              <w:right w:val="nil"/>
            </w:tcBorders>
            <w:shd w:val="clear" w:color="auto" w:fill="auto"/>
            <w:noWrap/>
            <w:vAlign w:val="center"/>
            <w:hideMark/>
          </w:tcPr>
          <w:p w14:paraId="0BFC49CA" w14:textId="09E8C2A6" w:rsidR="00C729CE" w:rsidRPr="00C729CE" w:rsidRDefault="00C729CE" w:rsidP="00C729CE">
            <w:pPr>
              <w:jc w:val="right"/>
              <w:rPr>
                <w:rFonts w:ascii="Arial" w:hAnsi="Arial" w:cs="Arial"/>
                <w:color w:val="000000"/>
                <w:sz w:val="16"/>
                <w:szCs w:val="16"/>
              </w:rPr>
            </w:pPr>
            <w:r w:rsidRPr="00C729CE">
              <w:rPr>
                <w:rFonts w:ascii="Arial" w:hAnsi="Arial" w:cs="Arial"/>
                <w:color w:val="000000"/>
                <w:sz w:val="16"/>
                <w:szCs w:val="16"/>
              </w:rPr>
              <w:t> </w:t>
            </w:r>
          </w:p>
        </w:tc>
        <w:tc>
          <w:tcPr>
            <w:tcW w:w="744" w:type="pct"/>
            <w:tcBorders>
              <w:top w:val="single" w:sz="4" w:space="0" w:color="auto"/>
              <w:left w:val="nil"/>
              <w:bottom w:val="single" w:sz="4" w:space="0" w:color="000000"/>
              <w:right w:val="nil"/>
            </w:tcBorders>
            <w:shd w:val="clear" w:color="auto" w:fill="auto"/>
            <w:vAlign w:val="center"/>
            <w:hideMark/>
          </w:tcPr>
          <w:p w14:paraId="68A778FC" w14:textId="77777777" w:rsidR="00C729CE" w:rsidRPr="00C729CE" w:rsidRDefault="00C729CE" w:rsidP="005D1868">
            <w:pPr>
              <w:spacing w:after="0" w:line="240" w:lineRule="auto"/>
              <w:jc w:val="right"/>
              <w:rPr>
                <w:rFonts w:ascii="Arial" w:hAnsi="Arial" w:cs="Arial"/>
                <w:color w:val="000000"/>
                <w:sz w:val="16"/>
                <w:szCs w:val="16"/>
              </w:rPr>
            </w:pPr>
            <w:r w:rsidRPr="00C729CE">
              <w:rPr>
                <w:rFonts w:ascii="Arial" w:hAnsi="Arial" w:cs="Arial"/>
                <w:color w:val="000000"/>
                <w:sz w:val="16"/>
                <w:szCs w:val="16"/>
              </w:rPr>
              <w:t>Retained</w:t>
            </w:r>
            <w:r w:rsidRPr="00C729CE">
              <w:rPr>
                <w:rFonts w:ascii="Arial" w:hAnsi="Arial" w:cs="Arial"/>
                <w:color w:val="000000"/>
                <w:sz w:val="16"/>
                <w:szCs w:val="16"/>
              </w:rPr>
              <w:br/>
              <w:t>earnings</w:t>
            </w:r>
            <w:r w:rsidRPr="00C729CE">
              <w:rPr>
                <w:rFonts w:ascii="Arial" w:hAnsi="Arial" w:cs="Arial"/>
                <w:color w:val="000000"/>
                <w:sz w:val="16"/>
                <w:szCs w:val="16"/>
              </w:rPr>
              <w:br/>
            </w:r>
            <w:r w:rsidRPr="00C729CE">
              <w:rPr>
                <w:rFonts w:ascii="Arial" w:hAnsi="Arial" w:cs="Arial"/>
                <w:color w:val="000000"/>
                <w:sz w:val="16"/>
                <w:szCs w:val="16"/>
              </w:rPr>
              <w:br/>
              <w:t>$'000</w:t>
            </w:r>
          </w:p>
        </w:tc>
        <w:tc>
          <w:tcPr>
            <w:tcW w:w="907" w:type="pct"/>
            <w:tcBorders>
              <w:top w:val="single" w:sz="4" w:space="0" w:color="auto"/>
              <w:left w:val="nil"/>
              <w:bottom w:val="single" w:sz="4" w:space="0" w:color="000000"/>
              <w:right w:val="nil"/>
            </w:tcBorders>
            <w:shd w:val="clear" w:color="auto" w:fill="auto"/>
            <w:vAlign w:val="center"/>
            <w:hideMark/>
          </w:tcPr>
          <w:p w14:paraId="7BD95AFF" w14:textId="77777777" w:rsidR="00C729CE" w:rsidRPr="00C729CE" w:rsidRDefault="00C729CE" w:rsidP="005D1868">
            <w:pPr>
              <w:spacing w:after="0" w:line="240" w:lineRule="auto"/>
              <w:jc w:val="right"/>
              <w:rPr>
                <w:rFonts w:ascii="Arial" w:hAnsi="Arial" w:cs="Arial"/>
                <w:color w:val="000000"/>
                <w:sz w:val="16"/>
                <w:szCs w:val="16"/>
              </w:rPr>
            </w:pPr>
            <w:r w:rsidRPr="00C729CE">
              <w:rPr>
                <w:rFonts w:ascii="Arial" w:hAnsi="Arial" w:cs="Arial"/>
                <w:color w:val="000000"/>
                <w:sz w:val="16"/>
                <w:szCs w:val="16"/>
              </w:rPr>
              <w:t>Contributed</w:t>
            </w:r>
            <w:r w:rsidRPr="00C729CE">
              <w:rPr>
                <w:rFonts w:ascii="Arial" w:hAnsi="Arial" w:cs="Arial"/>
                <w:color w:val="000000"/>
                <w:sz w:val="16"/>
                <w:szCs w:val="16"/>
              </w:rPr>
              <w:br/>
              <w:t>equity/</w:t>
            </w:r>
            <w:r w:rsidRPr="00C729CE">
              <w:rPr>
                <w:rFonts w:ascii="Arial" w:hAnsi="Arial" w:cs="Arial"/>
                <w:color w:val="000000"/>
                <w:sz w:val="16"/>
                <w:szCs w:val="16"/>
              </w:rPr>
              <w:br/>
              <w:t>capital</w:t>
            </w:r>
            <w:r w:rsidRPr="00C729CE">
              <w:rPr>
                <w:rFonts w:ascii="Arial" w:hAnsi="Arial" w:cs="Arial"/>
                <w:color w:val="000000"/>
                <w:sz w:val="16"/>
                <w:szCs w:val="16"/>
              </w:rPr>
              <w:br/>
              <w:t>$'000</w:t>
            </w:r>
          </w:p>
        </w:tc>
        <w:tc>
          <w:tcPr>
            <w:tcW w:w="615" w:type="pct"/>
            <w:tcBorders>
              <w:top w:val="single" w:sz="4" w:space="0" w:color="auto"/>
              <w:left w:val="nil"/>
              <w:bottom w:val="single" w:sz="4" w:space="0" w:color="000000"/>
              <w:right w:val="nil"/>
            </w:tcBorders>
            <w:shd w:val="clear" w:color="auto" w:fill="auto"/>
            <w:vAlign w:val="center"/>
            <w:hideMark/>
          </w:tcPr>
          <w:p w14:paraId="5C84E7B7" w14:textId="77777777" w:rsidR="00C729CE" w:rsidRPr="00C729CE" w:rsidRDefault="00C729CE" w:rsidP="005D1868">
            <w:pPr>
              <w:spacing w:after="0" w:line="240" w:lineRule="auto"/>
              <w:jc w:val="right"/>
              <w:rPr>
                <w:rFonts w:ascii="Arial" w:hAnsi="Arial" w:cs="Arial"/>
                <w:color w:val="000000"/>
                <w:sz w:val="16"/>
                <w:szCs w:val="16"/>
              </w:rPr>
            </w:pPr>
            <w:r w:rsidRPr="00C729CE">
              <w:rPr>
                <w:rFonts w:ascii="Arial" w:hAnsi="Arial" w:cs="Arial"/>
                <w:color w:val="000000"/>
                <w:sz w:val="16"/>
                <w:szCs w:val="16"/>
              </w:rPr>
              <w:t>Total</w:t>
            </w:r>
            <w:r w:rsidRPr="00C729CE">
              <w:rPr>
                <w:rFonts w:ascii="Arial" w:hAnsi="Arial" w:cs="Arial"/>
                <w:color w:val="000000"/>
                <w:sz w:val="16"/>
                <w:szCs w:val="16"/>
              </w:rPr>
              <w:br/>
              <w:t xml:space="preserve">equity </w:t>
            </w:r>
            <w:r w:rsidRPr="00C729CE">
              <w:rPr>
                <w:rFonts w:ascii="Arial" w:hAnsi="Arial" w:cs="Arial"/>
                <w:color w:val="000000"/>
                <w:sz w:val="16"/>
                <w:szCs w:val="16"/>
              </w:rPr>
              <w:br/>
            </w:r>
            <w:r w:rsidRPr="00C729CE">
              <w:rPr>
                <w:rFonts w:ascii="Arial" w:hAnsi="Arial" w:cs="Arial"/>
                <w:color w:val="000000"/>
                <w:sz w:val="16"/>
                <w:szCs w:val="16"/>
              </w:rPr>
              <w:br/>
              <w:t>$'000</w:t>
            </w:r>
          </w:p>
        </w:tc>
      </w:tr>
      <w:tr w:rsidR="00C729CE" w:rsidRPr="00C729CE" w14:paraId="4E10D368" w14:textId="77777777" w:rsidTr="00C729CE">
        <w:trPr>
          <w:divId w:val="479735218"/>
          <w:trHeight w:val="225"/>
        </w:trPr>
        <w:tc>
          <w:tcPr>
            <w:tcW w:w="2734" w:type="pct"/>
            <w:tcBorders>
              <w:top w:val="nil"/>
              <w:left w:val="nil"/>
              <w:bottom w:val="nil"/>
              <w:right w:val="nil"/>
            </w:tcBorders>
            <w:shd w:val="clear" w:color="auto" w:fill="auto"/>
            <w:vAlign w:val="center"/>
            <w:hideMark/>
          </w:tcPr>
          <w:p w14:paraId="0F5EE453" w14:textId="77777777" w:rsidR="00C729CE" w:rsidRPr="00C729CE" w:rsidRDefault="00C729CE" w:rsidP="00C729CE">
            <w:pPr>
              <w:spacing w:after="0" w:line="240" w:lineRule="auto"/>
              <w:jc w:val="left"/>
              <w:rPr>
                <w:rFonts w:ascii="Arial" w:hAnsi="Arial" w:cs="Arial"/>
                <w:b/>
                <w:bCs/>
                <w:color w:val="000000"/>
                <w:sz w:val="16"/>
                <w:szCs w:val="16"/>
              </w:rPr>
            </w:pPr>
            <w:r w:rsidRPr="00C729CE">
              <w:rPr>
                <w:rFonts w:ascii="Arial" w:hAnsi="Arial" w:cs="Arial"/>
                <w:b/>
                <w:bCs/>
                <w:color w:val="000000"/>
                <w:sz w:val="16"/>
                <w:szCs w:val="16"/>
              </w:rPr>
              <w:t>Opening balance as at 1 July 2020</w:t>
            </w:r>
          </w:p>
        </w:tc>
        <w:tc>
          <w:tcPr>
            <w:tcW w:w="744" w:type="pct"/>
            <w:tcBorders>
              <w:top w:val="nil"/>
              <w:left w:val="nil"/>
              <w:bottom w:val="nil"/>
              <w:right w:val="nil"/>
            </w:tcBorders>
            <w:shd w:val="clear" w:color="auto" w:fill="auto"/>
            <w:noWrap/>
            <w:vAlign w:val="center"/>
            <w:hideMark/>
          </w:tcPr>
          <w:p w14:paraId="466A0CE8" w14:textId="77777777" w:rsidR="00C729CE" w:rsidRPr="00C729CE" w:rsidRDefault="00C729CE" w:rsidP="00C729CE">
            <w:pPr>
              <w:spacing w:after="0" w:line="240" w:lineRule="auto"/>
              <w:jc w:val="left"/>
              <w:rPr>
                <w:rFonts w:ascii="Arial" w:hAnsi="Arial" w:cs="Arial"/>
                <w:b/>
                <w:bCs/>
                <w:color w:val="000000"/>
                <w:sz w:val="16"/>
                <w:szCs w:val="16"/>
              </w:rPr>
            </w:pPr>
          </w:p>
        </w:tc>
        <w:tc>
          <w:tcPr>
            <w:tcW w:w="907" w:type="pct"/>
            <w:tcBorders>
              <w:top w:val="nil"/>
              <w:left w:val="nil"/>
              <w:bottom w:val="nil"/>
              <w:right w:val="nil"/>
            </w:tcBorders>
            <w:shd w:val="clear" w:color="auto" w:fill="auto"/>
            <w:noWrap/>
            <w:vAlign w:val="center"/>
            <w:hideMark/>
          </w:tcPr>
          <w:p w14:paraId="6D7E086E" w14:textId="77777777" w:rsidR="00C729CE" w:rsidRPr="00C729CE" w:rsidRDefault="00C729CE" w:rsidP="00C729CE">
            <w:pPr>
              <w:spacing w:after="0" w:line="240" w:lineRule="auto"/>
              <w:jc w:val="left"/>
              <w:rPr>
                <w:rFonts w:ascii="Times New Roman" w:hAnsi="Times New Roman"/>
              </w:rPr>
            </w:pPr>
          </w:p>
        </w:tc>
        <w:tc>
          <w:tcPr>
            <w:tcW w:w="615" w:type="pct"/>
            <w:tcBorders>
              <w:top w:val="nil"/>
              <w:left w:val="nil"/>
              <w:bottom w:val="nil"/>
              <w:right w:val="nil"/>
            </w:tcBorders>
            <w:shd w:val="clear" w:color="auto" w:fill="auto"/>
            <w:noWrap/>
            <w:vAlign w:val="center"/>
            <w:hideMark/>
          </w:tcPr>
          <w:p w14:paraId="1716503C" w14:textId="77777777" w:rsidR="00C729CE" w:rsidRPr="00C729CE" w:rsidRDefault="00C729CE" w:rsidP="00C729CE">
            <w:pPr>
              <w:spacing w:after="0" w:line="240" w:lineRule="auto"/>
              <w:jc w:val="left"/>
              <w:rPr>
                <w:rFonts w:ascii="Times New Roman" w:hAnsi="Times New Roman"/>
              </w:rPr>
            </w:pPr>
          </w:p>
        </w:tc>
      </w:tr>
      <w:tr w:rsidR="00C729CE" w:rsidRPr="00C729CE" w14:paraId="7353F40E" w14:textId="77777777" w:rsidTr="00C729CE">
        <w:trPr>
          <w:divId w:val="479735218"/>
          <w:trHeight w:val="450"/>
        </w:trPr>
        <w:tc>
          <w:tcPr>
            <w:tcW w:w="2734" w:type="pct"/>
            <w:tcBorders>
              <w:top w:val="nil"/>
              <w:left w:val="nil"/>
              <w:bottom w:val="nil"/>
              <w:right w:val="nil"/>
            </w:tcBorders>
            <w:shd w:val="clear" w:color="auto" w:fill="auto"/>
            <w:vAlign w:val="center"/>
            <w:hideMark/>
          </w:tcPr>
          <w:p w14:paraId="768B0CCD" w14:textId="77777777" w:rsidR="00C729CE" w:rsidRPr="00C729CE" w:rsidRDefault="00C729CE" w:rsidP="00C729CE">
            <w:pPr>
              <w:spacing w:after="0" w:line="240" w:lineRule="auto"/>
              <w:ind w:firstLineChars="100" w:firstLine="160"/>
              <w:jc w:val="left"/>
              <w:rPr>
                <w:rFonts w:ascii="Arial" w:hAnsi="Arial" w:cs="Arial"/>
                <w:color w:val="000000"/>
                <w:sz w:val="16"/>
                <w:szCs w:val="16"/>
              </w:rPr>
            </w:pPr>
            <w:r w:rsidRPr="00C729CE">
              <w:rPr>
                <w:rFonts w:ascii="Arial" w:hAnsi="Arial" w:cs="Arial"/>
                <w:color w:val="000000"/>
                <w:sz w:val="16"/>
                <w:szCs w:val="16"/>
              </w:rPr>
              <w:t>Balance carried forward from</w:t>
            </w:r>
            <w:r w:rsidRPr="00C729CE">
              <w:rPr>
                <w:rFonts w:ascii="Arial" w:hAnsi="Arial" w:cs="Arial"/>
                <w:color w:val="000000"/>
                <w:sz w:val="16"/>
                <w:szCs w:val="16"/>
              </w:rPr>
              <w:br/>
              <w:t xml:space="preserve">  previous period</w:t>
            </w:r>
          </w:p>
        </w:tc>
        <w:tc>
          <w:tcPr>
            <w:tcW w:w="744" w:type="pct"/>
            <w:tcBorders>
              <w:top w:val="nil"/>
              <w:left w:val="nil"/>
              <w:bottom w:val="nil"/>
              <w:right w:val="nil"/>
            </w:tcBorders>
            <w:shd w:val="clear" w:color="auto" w:fill="auto"/>
            <w:noWrap/>
            <w:vAlign w:val="bottom"/>
            <w:hideMark/>
          </w:tcPr>
          <w:p w14:paraId="4F771460" w14:textId="77777777" w:rsidR="00C729CE" w:rsidRPr="00C729CE" w:rsidRDefault="00C729CE" w:rsidP="00C729CE">
            <w:pPr>
              <w:spacing w:after="0" w:line="240" w:lineRule="auto"/>
              <w:jc w:val="right"/>
              <w:rPr>
                <w:rFonts w:ascii="Arial" w:hAnsi="Arial" w:cs="Arial"/>
                <w:color w:val="000000"/>
                <w:sz w:val="16"/>
                <w:szCs w:val="16"/>
              </w:rPr>
            </w:pPr>
            <w:r w:rsidRPr="00C729CE">
              <w:rPr>
                <w:rFonts w:ascii="Arial" w:hAnsi="Arial" w:cs="Arial"/>
                <w:color w:val="000000"/>
                <w:sz w:val="16"/>
                <w:szCs w:val="16"/>
              </w:rPr>
              <w:t xml:space="preserve">1,500 </w:t>
            </w:r>
          </w:p>
        </w:tc>
        <w:tc>
          <w:tcPr>
            <w:tcW w:w="907" w:type="pct"/>
            <w:tcBorders>
              <w:top w:val="nil"/>
              <w:left w:val="nil"/>
              <w:bottom w:val="nil"/>
              <w:right w:val="nil"/>
            </w:tcBorders>
            <w:shd w:val="clear" w:color="auto" w:fill="auto"/>
            <w:noWrap/>
            <w:vAlign w:val="bottom"/>
            <w:hideMark/>
          </w:tcPr>
          <w:p w14:paraId="2655831D" w14:textId="77777777" w:rsidR="00C729CE" w:rsidRPr="00C729CE" w:rsidRDefault="00C729CE" w:rsidP="00C729CE">
            <w:pPr>
              <w:spacing w:after="0" w:line="240" w:lineRule="auto"/>
              <w:jc w:val="right"/>
              <w:rPr>
                <w:rFonts w:ascii="Arial" w:hAnsi="Arial" w:cs="Arial"/>
                <w:color w:val="000000"/>
                <w:sz w:val="16"/>
                <w:szCs w:val="16"/>
              </w:rPr>
            </w:pPr>
            <w:r w:rsidRPr="00C729CE">
              <w:rPr>
                <w:rFonts w:ascii="Arial" w:hAnsi="Arial" w:cs="Arial"/>
                <w:color w:val="000000"/>
                <w:sz w:val="16"/>
                <w:szCs w:val="16"/>
              </w:rPr>
              <w:t xml:space="preserve">651 </w:t>
            </w:r>
          </w:p>
        </w:tc>
        <w:tc>
          <w:tcPr>
            <w:tcW w:w="615" w:type="pct"/>
            <w:tcBorders>
              <w:top w:val="nil"/>
              <w:left w:val="nil"/>
              <w:bottom w:val="nil"/>
              <w:right w:val="nil"/>
            </w:tcBorders>
            <w:shd w:val="clear" w:color="auto" w:fill="auto"/>
            <w:noWrap/>
            <w:vAlign w:val="bottom"/>
            <w:hideMark/>
          </w:tcPr>
          <w:p w14:paraId="3993BA04" w14:textId="77777777" w:rsidR="00C729CE" w:rsidRPr="00C729CE" w:rsidRDefault="00C729CE" w:rsidP="00C729CE">
            <w:pPr>
              <w:spacing w:after="0" w:line="240" w:lineRule="auto"/>
              <w:jc w:val="right"/>
              <w:rPr>
                <w:rFonts w:ascii="Arial" w:hAnsi="Arial" w:cs="Arial"/>
                <w:color w:val="000000"/>
                <w:sz w:val="16"/>
                <w:szCs w:val="16"/>
              </w:rPr>
            </w:pPr>
            <w:r w:rsidRPr="00C729CE">
              <w:rPr>
                <w:rFonts w:ascii="Arial" w:hAnsi="Arial" w:cs="Arial"/>
                <w:color w:val="000000"/>
                <w:sz w:val="16"/>
                <w:szCs w:val="16"/>
              </w:rPr>
              <w:t xml:space="preserve">2,151 </w:t>
            </w:r>
          </w:p>
        </w:tc>
      </w:tr>
      <w:tr w:rsidR="00C729CE" w:rsidRPr="00C729CE" w14:paraId="5C683CD9" w14:textId="77777777" w:rsidTr="00C729CE">
        <w:trPr>
          <w:divId w:val="479735218"/>
          <w:trHeight w:val="210"/>
        </w:trPr>
        <w:tc>
          <w:tcPr>
            <w:tcW w:w="2734" w:type="pct"/>
            <w:tcBorders>
              <w:top w:val="nil"/>
              <w:left w:val="nil"/>
              <w:bottom w:val="nil"/>
              <w:right w:val="nil"/>
            </w:tcBorders>
            <w:shd w:val="clear" w:color="auto" w:fill="auto"/>
            <w:vAlign w:val="center"/>
            <w:hideMark/>
          </w:tcPr>
          <w:p w14:paraId="76C6BDA9" w14:textId="77777777" w:rsidR="00C729CE" w:rsidRPr="00C729CE" w:rsidRDefault="00C729CE" w:rsidP="00C729CE">
            <w:pPr>
              <w:spacing w:after="0" w:line="240" w:lineRule="auto"/>
              <w:jc w:val="left"/>
              <w:rPr>
                <w:rFonts w:ascii="Arial" w:hAnsi="Arial" w:cs="Arial"/>
                <w:b/>
                <w:bCs/>
                <w:i/>
                <w:iCs/>
                <w:color w:val="000000"/>
                <w:sz w:val="16"/>
                <w:szCs w:val="16"/>
              </w:rPr>
            </w:pPr>
            <w:r w:rsidRPr="00C729CE">
              <w:rPr>
                <w:rFonts w:ascii="Arial" w:hAnsi="Arial" w:cs="Arial"/>
                <w:b/>
                <w:bCs/>
                <w:i/>
                <w:iCs/>
                <w:color w:val="000000"/>
                <w:sz w:val="16"/>
                <w:szCs w:val="16"/>
              </w:rPr>
              <w:t>Adjusted opening balance</w:t>
            </w:r>
          </w:p>
        </w:tc>
        <w:tc>
          <w:tcPr>
            <w:tcW w:w="744" w:type="pct"/>
            <w:tcBorders>
              <w:top w:val="single" w:sz="4" w:space="0" w:color="000000"/>
              <w:left w:val="nil"/>
              <w:bottom w:val="single" w:sz="4" w:space="0" w:color="000000"/>
              <w:right w:val="nil"/>
            </w:tcBorders>
            <w:shd w:val="clear" w:color="auto" w:fill="auto"/>
            <w:noWrap/>
            <w:vAlign w:val="center"/>
            <w:hideMark/>
          </w:tcPr>
          <w:p w14:paraId="4166F0E9" w14:textId="77777777" w:rsidR="00C729CE" w:rsidRPr="00C729CE" w:rsidRDefault="00C729CE" w:rsidP="00C729CE">
            <w:pPr>
              <w:spacing w:after="0" w:line="240" w:lineRule="auto"/>
              <w:jc w:val="right"/>
              <w:rPr>
                <w:rFonts w:ascii="Arial" w:hAnsi="Arial" w:cs="Arial"/>
                <w:b/>
                <w:bCs/>
                <w:i/>
                <w:iCs/>
                <w:color w:val="000000"/>
                <w:sz w:val="16"/>
                <w:szCs w:val="16"/>
              </w:rPr>
            </w:pPr>
            <w:r w:rsidRPr="00C729CE">
              <w:rPr>
                <w:rFonts w:ascii="Arial" w:hAnsi="Arial" w:cs="Arial"/>
                <w:b/>
                <w:bCs/>
                <w:i/>
                <w:iCs/>
                <w:color w:val="000000"/>
                <w:sz w:val="16"/>
                <w:szCs w:val="16"/>
              </w:rPr>
              <w:t xml:space="preserve">1,500 </w:t>
            </w:r>
          </w:p>
        </w:tc>
        <w:tc>
          <w:tcPr>
            <w:tcW w:w="907" w:type="pct"/>
            <w:tcBorders>
              <w:top w:val="single" w:sz="4" w:space="0" w:color="000000"/>
              <w:left w:val="nil"/>
              <w:bottom w:val="single" w:sz="4" w:space="0" w:color="000000"/>
              <w:right w:val="nil"/>
            </w:tcBorders>
            <w:shd w:val="clear" w:color="auto" w:fill="auto"/>
            <w:noWrap/>
            <w:vAlign w:val="center"/>
            <w:hideMark/>
          </w:tcPr>
          <w:p w14:paraId="2534DF81" w14:textId="77777777" w:rsidR="00C729CE" w:rsidRPr="00C729CE" w:rsidRDefault="00C729CE" w:rsidP="00C729CE">
            <w:pPr>
              <w:spacing w:after="0" w:line="240" w:lineRule="auto"/>
              <w:jc w:val="right"/>
              <w:rPr>
                <w:rFonts w:ascii="Arial" w:hAnsi="Arial" w:cs="Arial"/>
                <w:b/>
                <w:bCs/>
                <w:i/>
                <w:iCs/>
                <w:color w:val="000000"/>
                <w:sz w:val="16"/>
                <w:szCs w:val="16"/>
              </w:rPr>
            </w:pPr>
            <w:r w:rsidRPr="00C729CE">
              <w:rPr>
                <w:rFonts w:ascii="Arial" w:hAnsi="Arial" w:cs="Arial"/>
                <w:b/>
                <w:bCs/>
                <w:i/>
                <w:iCs/>
                <w:color w:val="000000"/>
                <w:sz w:val="16"/>
                <w:szCs w:val="16"/>
              </w:rPr>
              <w:t xml:space="preserve">651 </w:t>
            </w:r>
          </w:p>
        </w:tc>
        <w:tc>
          <w:tcPr>
            <w:tcW w:w="615" w:type="pct"/>
            <w:tcBorders>
              <w:top w:val="single" w:sz="4" w:space="0" w:color="000000"/>
              <w:left w:val="nil"/>
              <w:bottom w:val="single" w:sz="4" w:space="0" w:color="000000"/>
              <w:right w:val="nil"/>
            </w:tcBorders>
            <w:shd w:val="clear" w:color="auto" w:fill="auto"/>
            <w:noWrap/>
            <w:vAlign w:val="center"/>
            <w:hideMark/>
          </w:tcPr>
          <w:p w14:paraId="786F2EED" w14:textId="77777777" w:rsidR="00C729CE" w:rsidRPr="00C729CE" w:rsidRDefault="00C729CE" w:rsidP="00C729CE">
            <w:pPr>
              <w:spacing w:after="0" w:line="240" w:lineRule="auto"/>
              <w:jc w:val="right"/>
              <w:rPr>
                <w:rFonts w:ascii="Arial" w:hAnsi="Arial" w:cs="Arial"/>
                <w:b/>
                <w:bCs/>
                <w:i/>
                <w:iCs/>
                <w:color w:val="000000"/>
                <w:sz w:val="16"/>
                <w:szCs w:val="16"/>
              </w:rPr>
            </w:pPr>
            <w:r w:rsidRPr="00C729CE">
              <w:rPr>
                <w:rFonts w:ascii="Arial" w:hAnsi="Arial" w:cs="Arial"/>
                <w:b/>
                <w:bCs/>
                <w:i/>
                <w:iCs/>
                <w:color w:val="000000"/>
                <w:sz w:val="16"/>
                <w:szCs w:val="16"/>
              </w:rPr>
              <w:t xml:space="preserve">2,151 </w:t>
            </w:r>
          </w:p>
        </w:tc>
      </w:tr>
      <w:tr w:rsidR="00C729CE" w:rsidRPr="00C729CE" w14:paraId="46391459" w14:textId="77777777" w:rsidTr="00C729CE">
        <w:trPr>
          <w:divId w:val="479735218"/>
          <w:trHeight w:val="225"/>
        </w:trPr>
        <w:tc>
          <w:tcPr>
            <w:tcW w:w="2734" w:type="pct"/>
            <w:tcBorders>
              <w:top w:val="nil"/>
              <w:left w:val="nil"/>
              <w:bottom w:val="nil"/>
              <w:right w:val="nil"/>
            </w:tcBorders>
            <w:shd w:val="clear" w:color="auto" w:fill="auto"/>
            <w:noWrap/>
            <w:vAlign w:val="center"/>
            <w:hideMark/>
          </w:tcPr>
          <w:p w14:paraId="25F32953" w14:textId="77777777" w:rsidR="00C729CE" w:rsidRPr="00C729CE" w:rsidRDefault="00C729CE" w:rsidP="00C729CE">
            <w:pPr>
              <w:spacing w:after="0" w:line="240" w:lineRule="auto"/>
              <w:jc w:val="left"/>
              <w:rPr>
                <w:rFonts w:ascii="Arial" w:hAnsi="Arial" w:cs="Arial"/>
                <w:b/>
                <w:bCs/>
                <w:color w:val="000000"/>
                <w:sz w:val="16"/>
                <w:szCs w:val="16"/>
              </w:rPr>
            </w:pPr>
            <w:r w:rsidRPr="00C729CE">
              <w:rPr>
                <w:rFonts w:ascii="Arial" w:hAnsi="Arial" w:cs="Arial"/>
                <w:b/>
                <w:bCs/>
                <w:color w:val="000000"/>
                <w:sz w:val="16"/>
                <w:szCs w:val="16"/>
              </w:rPr>
              <w:t>Comprehensive income</w:t>
            </w:r>
          </w:p>
        </w:tc>
        <w:tc>
          <w:tcPr>
            <w:tcW w:w="744" w:type="pct"/>
            <w:tcBorders>
              <w:top w:val="nil"/>
              <w:left w:val="nil"/>
              <w:bottom w:val="nil"/>
              <w:right w:val="nil"/>
            </w:tcBorders>
            <w:shd w:val="clear" w:color="auto" w:fill="auto"/>
            <w:noWrap/>
            <w:vAlign w:val="center"/>
            <w:hideMark/>
          </w:tcPr>
          <w:p w14:paraId="7C851C7B" w14:textId="77777777" w:rsidR="00C729CE" w:rsidRPr="00C729CE" w:rsidRDefault="00C729CE" w:rsidP="00C729CE">
            <w:pPr>
              <w:spacing w:after="0" w:line="240" w:lineRule="auto"/>
              <w:jc w:val="left"/>
              <w:rPr>
                <w:rFonts w:ascii="Arial" w:hAnsi="Arial" w:cs="Arial"/>
                <w:b/>
                <w:bCs/>
                <w:color w:val="000000"/>
                <w:sz w:val="16"/>
                <w:szCs w:val="16"/>
              </w:rPr>
            </w:pPr>
          </w:p>
        </w:tc>
        <w:tc>
          <w:tcPr>
            <w:tcW w:w="907" w:type="pct"/>
            <w:tcBorders>
              <w:top w:val="nil"/>
              <w:left w:val="nil"/>
              <w:bottom w:val="nil"/>
              <w:right w:val="nil"/>
            </w:tcBorders>
            <w:shd w:val="clear" w:color="auto" w:fill="auto"/>
            <w:noWrap/>
            <w:vAlign w:val="center"/>
            <w:hideMark/>
          </w:tcPr>
          <w:p w14:paraId="19A297E4" w14:textId="77777777" w:rsidR="00C729CE" w:rsidRPr="00C729CE" w:rsidRDefault="00C729CE" w:rsidP="00C729CE">
            <w:pPr>
              <w:spacing w:after="0" w:line="240" w:lineRule="auto"/>
              <w:jc w:val="left"/>
              <w:rPr>
                <w:rFonts w:ascii="Times New Roman" w:hAnsi="Times New Roman"/>
              </w:rPr>
            </w:pPr>
          </w:p>
        </w:tc>
        <w:tc>
          <w:tcPr>
            <w:tcW w:w="615" w:type="pct"/>
            <w:tcBorders>
              <w:top w:val="nil"/>
              <w:left w:val="nil"/>
              <w:bottom w:val="nil"/>
              <w:right w:val="nil"/>
            </w:tcBorders>
            <w:shd w:val="clear" w:color="auto" w:fill="auto"/>
            <w:noWrap/>
            <w:vAlign w:val="center"/>
            <w:hideMark/>
          </w:tcPr>
          <w:p w14:paraId="0DA9CD63" w14:textId="77777777" w:rsidR="00C729CE" w:rsidRPr="00C729CE" w:rsidRDefault="00C729CE" w:rsidP="00C729CE">
            <w:pPr>
              <w:spacing w:after="0" w:line="240" w:lineRule="auto"/>
              <w:jc w:val="left"/>
              <w:rPr>
                <w:rFonts w:ascii="Times New Roman" w:hAnsi="Times New Roman"/>
              </w:rPr>
            </w:pPr>
          </w:p>
        </w:tc>
      </w:tr>
      <w:tr w:rsidR="00C729CE" w:rsidRPr="00C729CE" w14:paraId="2F34AA42" w14:textId="77777777" w:rsidTr="00C729CE">
        <w:trPr>
          <w:divId w:val="479735218"/>
          <w:trHeight w:val="225"/>
        </w:trPr>
        <w:tc>
          <w:tcPr>
            <w:tcW w:w="2734" w:type="pct"/>
            <w:tcBorders>
              <w:top w:val="nil"/>
              <w:left w:val="nil"/>
              <w:bottom w:val="nil"/>
              <w:right w:val="nil"/>
            </w:tcBorders>
            <w:shd w:val="clear" w:color="auto" w:fill="auto"/>
            <w:noWrap/>
            <w:vAlign w:val="center"/>
            <w:hideMark/>
          </w:tcPr>
          <w:p w14:paraId="16CE7BD1" w14:textId="77777777" w:rsidR="00C729CE" w:rsidRPr="00C729CE" w:rsidRDefault="00C729CE" w:rsidP="00C729CE">
            <w:pPr>
              <w:spacing w:after="0" w:line="240" w:lineRule="auto"/>
              <w:ind w:firstLineChars="100" w:firstLine="160"/>
              <w:jc w:val="left"/>
              <w:rPr>
                <w:rFonts w:ascii="Arial" w:hAnsi="Arial" w:cs="Arial"/>
                <w:color w:val="000000"/>
                <w:sz w:val="16"/>
                <w:szCs w:val="16"/>
              </w:rPr>
            </w:pPr>
            <w:r w:rsidRPr="00C729CE">
              <w:rPr>
                <w:rFonts w:ascii="Arial" w:hAnsi="Arial" w:cs="Arial"/>
                <w:color w:val="000000"/>
                <w:sz w:val="16"/>
                <w:szCs w:val="16"/>
              </w:rPr>
              <w:t>Other comprehensive income</w:t>
            </w:r>
          </w:p>
        </w:tc>
        <w:tc>
          <w:tcPr>
            <w:tcW w:w="744" w:type="pct"/>
            <w:tcBorders>
              <w:top w:val="nil"/>
              <w:left w:val="nil"/>
              <w:bottom w:val="nil"/>
              <w:right w:val="nil"/>
            </w:tcBorders>
            <w:shd w:val="clear" w:color="auto" w:fill="auto"/>
            <w:noWrap/>
            <w:vAlign w:val="center"/>
            <w:hideMark/>
          </w:tcPr>
          <w:p w14:paraId="0A70C078" w14:textId="77777777" w:rsidR="00C729CE" w:rsidRPr="00C729CE" w:rsidRDefault="00C729CE" w:rsidP="00C729CE">
            <w:pPr>
              <w:spacing w:after="0" w:line="240" w:lineRule="auto"/>
              <w:ind w:firstLineChars="100" w:firstLine="160"/>
              <w:jc w:val="left"/>
              <w:rPr>
                <w:rFonts w:ascii="Arial" w:hAnsi="Arial" w:cs="Arial"/>
                <w:color w:val="000000"/>
                <w:sz w:val="16"/>
                <w:szCs w:val="16"/>
              </w:rPr>
            </w:pPr>
          </w:p>
        </w:tc>
        <w:tc>
          <w:tcPr>
            <w:tcW w:w="907" w:type="pct"/>
            <w:tcBorders>
              <w:top w:val="nil"/>
              <w:left w:val="nil"/>
              <w:bottom w:val="nil"/>
              <w:right w:val="nil"/>
            </w:tcBorders>
            <w:shd w:val="clear" w:color="auto" w:fill="auto"/>
            <w:noWrap/>
            <w:vAlign w:val="center"/>
            <w:hideMark/>
          </w:tcPr>
          <w:p w14:paraId="22947045" w14:textId="77777777" w:rsidR="00C729CE" w:rsidRPr="00C729CE" w:rsidRDefault="00C729CE" w:rsidP="00C729CE">
            <w:pPr>
              <w:spacing w:after="0" w:line="240" w:lineRule="auto"/>
              <w:jc w:val="left"/>
              <w:rPr>
                <w:rFonts w:ascii="Times New Roman" w:hAnsi="Times New Roman"/>
              </w:rPr>
            </w:pPr>
          </w:p>
        </w:tc>
        <w:tc>
          <w:tcPr>
            <w:tcW w:w="615" w:type="pct"/>
            <w:tcBorders>
              <w:top w:val="nil"/>
              <w:left w:val="nil"/>
              <w:bottom w:val="nil"/>
              <w:right w:val="nil"/>
            </w:tcBorders>
            <w:shd w:val="clear" w:color="auto" w:fill="auto"/>
            <w:noWrap/>
            <w:vAlign w:val="center"/>
            <w:hideMark/>
          </w:tcPr>
          <w:p w14:paraId="33A3D525" w14:textId="77777777" w:rsidR="00C729CE" w:rsidRPr="00C729CE" w:rsidRDefault="00C729CE" w:rsidP="00C729CE">
            <w:pPr>
              <w:spacing w:after="0" w:line="240" w:lineRule="auto"/>
              <w:jc w:val="right"/>
              <w:rPr>
                <w:rFonts w:ascii="Arial" w:hAnsi="Arial" w:cs="Arial"/>
                <w:color w:val="000000"/>
                <w:sz w:val="16"/>
                <w:szCs w:val="16"/>
              </w:rPr>
            </w:pPr>
            <w:r w:rsidRPr="00C729CE">
              <w:rPr>
                <w:rFonts w:ascii="Arial" w:hAnsi="Arial" w:cs="Arial"/>
                <w:color w:val="000000"/>
                <w:sz w:val="16"/>
                <w:szCs w:val="16"/>
              </w:rPr>
              <w:t xml:space="preserve">- </w:t>
            </w:r>
          </w:p>
        </w:tc>
      </w:tr>
      <w:tr w:rsidR="00C729CE" w:rsidRPr="00C729CE" w14:paraId="1A5EA6BB" w14:textId="77777777" w:rsidTr="00C729CE">
        <w:trPr>
          <w:divId w:val="479735218"/>
          <w:trHeight w:val="225"/>
        </w:trPr>
        <w:tc>
          <w:tcPr>
            <w:tcW w:w="2734" w:type="pct"/>
            <w:tcBorders>
              <w:top w:val="nil"/>
              <w:left w:val="nil"/>
              <w:bottom w:val="nil"/>
              <w:right w:val="nil"/>
            </w:tcBorders>
            <w:shd w:val="clear" w:color="auto" w:fill="auto"/>
            <w:noWrap/>
            <w:vAlign w:val="center"/>
            <w:hideMark/>
          </w:tcPr>
          <w:p w14:paraId="12747A33" w14:textId="77777777" w:rsidR="00C729CE" w:rsidRPr="00C729CE" w:rsidRDefault="00C729CE" w:rsidP="00C729CE">
            <w:pPr>
              <w:spacing w:after="0" w:line="240" w:lineRule="auto"/>
              <w:ind w:firstLineChars="100" w:firstLine="160"/>
              <w:jc w:val="left"/>
              <w:rPr>
                <w:rFonts w:ascii="Arial" w:hAnsi="Arial" w:cs="Arial"/>
                <w:sz w:val="16"/>
                <w:szCs w:val="16"/>
              </w:rPr>
            </w:pPr>
            <w:r w:rsidRPr="00C729CE">
              <w:rPr>
                <w:rFonts w:ascii="Arial" w:hAnsi="Arial" w:cs="Arial"/>
                <w:sz w:val="16"/>
                <w:szCs w:val="16"/>
              </w:rPr>
              <w:t>Surplus/(deficit) for the period</w:t>
            </w:r>
          </w:p>
        </w:tc>
        <w:tc>
          <w:tcPr>
            <w:tcW w:w="744" w:type="pct"/>
            <w:tcBorders>
              <w:top w:val="nil"/>
              <w:left w:val="nil"/>
              <w:bottom w:val="nil"/>
              <w:right w:val="nil"/>
            </w:tcBorders>
            <w:shd w:val="clear" w:color="auto" w:fill="auto"/>
            <w:noWrap/>
            <w:vAlign w:val="center"/>
            <w:hideMark/>
          </w:tcPr>
          <w:p w14:paraId="1980B04D" w14:textId="77777777" w:rsidR="00C729CE" w:rsidRPr="00C729CE" w:rsidRDefault="00C729CE" w:rsidP="00C729CE">
            <w:pPr>
              <w:spacing w:after="0" w:line="240" w:lineRule="auto"/>
              <w:jc w:val="right"/>
              <w:rPr>
                <w:rFonts w:ascii="Arial" w:hAnsi="Arial" w:cs="Arial"/>
                <w:color w:val="000000"/>
                <w:sz w:val="16"/>
                <w:szCs w:val="16"/>
              </w:rPr>
            </w:pPr>
            <w:r w:rsidRPr="00C729CE">
              <w:rPr>
                <w:rFonts w:ascii="Arial" w:hAnsi="Arial" w:cs="Arial"/>
                <w:color w:val="000000"/>
                <w:sz w:val="16"/>
                <w:szCs w:val="16"/>
              </w:rPr>
              <w:t>(51)</w:t>
            </w:r>
          </w:p>
        </w:tc>
        <w:tc>
          <w:tcPr>
            <w:tcW w:w="907" w:type="pct"/>
            <w:tcBorders>
              <w:top w:val="nil"/>
              <w:left w:val="nil"/>
              <w:bottom w:val="nil"/>
              <w:right w:val="nil"/>
            </w:tcBorders>
            <w:shd w:val="clear" w:color="auto" w:fill="auto"/>
            <w:noWrap/>
            <w:vAlign w:val="center"/>
            <w:hideMark/>
          </w:tcPr>
          <w:p w14:paraId="78F82F2B" w14:textId="77777777" w:rsidR="00C729CE" w:rsidRPr="00C729CE" w:rsidRDefault="00C729CE" w:rsidP="00C729CE">
            <w:pPr>
              <w:spacing w:after="0" w:line="240" w:lineRule="auto"/>
              <w:jc w:val="right"/>
              <w:rPr>
                <w:rFonts w:ascii="Arial" w:hAnsi="Arial" w:cs="Arial"/>
                <w:color w:val="000000"/>
                <w:sz w:val="16"/>
                <w:szCs w:val="16"/>
              </w:rPr>
            </w:pPr>
            <w:r w:rsidRPr="00C729CE">
              <w:rPr>
                <w:rFonts w:ascii="Arial" w:hAnsi="Arial" w:cs="Arial"/>
                <w:color w:val="000000"/>
                <w:sz w:val="16"/>
                <w:szCs w:val="16"/>
              </w:rPr>
              <w:t xml:space="preserve">- </w:t>
            </w:r>
          </w:p>
        </w:tc>
        <w:tc>
          <w:tcPr>
            <w:tcW w:w="615" w:type="pct"/>
            <w:tcBorders>
              <w:top w:val="nil"/>
              <w:left w:val="nil"/>
              <w:bottom w:val="nil"/>
              <w:right w:val="nil"/>
            </w:tcBorders>
            <w:shd w:val="clear" w:color="auto" w:fill="auto"/>
            <w:noWrap/>
            <w:vAlign w:val="center"/>
            <w:hideMark/>
          </w:tcPr>
          <w:p w14:paraId="64368379" w14:textId="77777777" w:rsidR="00C729CE" w:rsidRPr="00C729CE" w:rsidRDefault="00C729CE" w:rsidP="00C729CE">
            <w:pPr>
              <w:spacing w:after="0" w:line="240" w:lineRule="auto"/>
              <w:jc w:val="right"/>
              <w:rPr>
                <w:rFonts w:ascii="Arial" w:hAnsi="Arial" w:cs="Arial"/>
                <w:color w:val="000000"/>
                <w:sz w:val="16"/>
                <w:szCs w:val="16"/>
              </w:rPr>
            </w:pPr>
            <w:r w:rsidRPr="00C729CE">
              <w:rPr>
                <w:rFonts w:ascii="Arial" w:hAnsi="Arial" w:cs="Arial"/>
                <w:color w:val="000000"/>
                <w:sz w:val="16"/>
                <w:szCs w:val="16"/>
              </w:rPr>
              <w:t>(51)</w:t>
            </w:r>
          </w:p>
        </w:tc>
      </w:tr>
      <w:tr w:rsidR="00C729CE" w:rsidRPr="00C729CE" w14:paraId="07A6F0B9" w14:textId="77777777" w:rsidTr="00C729CE">
        <w:trPr>
          <w:divId w:val="479735218"/>
          <w:trHeight w:val="210"/>
        </w:trPr>
        <w:tc>
          <w:tcPr>
            <w:tcW w:w="2734" w:type="pct"/>
            <w:tcBorders>
              <w:top w:val="nil"/>
              <w:left w:val="nil"/>
              <w:bottom w:val="nil"/>
              <w:right w:val="nil"/>
            </w:tcBorders>
            <w:shd w:val="clear" w:color="auto" w:fill="auto"/>
            <w:vAlign w:val="center"/>
            <w:hideMark/>
          </w:tcPr>
          <w:p w14:paraId="3C2F0B62" w14:textId="77777777" w:rsidR="00C729CE" w:rsidRPr="00C729CE" w:rsidRDefault="00C729CE" w:rsidP="00C729CE">
            <w:pPr>
              <w:spacing w:after="0" w:line="240" w:lineRule="auto"/>
              <w:jc w:val="left"/>
              <w:rPr>
                <w:rFonts w:ascii="Arial" w:hAnsi="Arial" w:cs="Arial"/>
                <w:b/>
                <w:bCs/>
                <w:i/>
                <w:iCs/>
                <w:color w:val="000000"/>
                <w:sz w:val="16"/>
                <w:szCs w:val="16"/>
              </w:rPr>
            </w:pPr>
            <w:r w:rsidRPr="00C729CE">
              <w:rPr>
                <w:rFonts w:ascii="Arial" w:hAnsi="Arial" w:cs="Arial"/>
                <w:b/>
                <w:bCs/>
                <w:i/>
                <w:iCs/>
                <w:color w:val="000000"/>
                <w:sz w:val="16"/>
                <w:szCs w:val="16"/>
              </w:rPr>
              <w:t>Total comprehensive income</w:t>
            </w:r>
          </w:p>
        </w:tc>
        <w:tc>
          <w:tcPr>
            <w:tcW w:w="744" w:type="pct"/>
            <w:tcBorders>
              <w:top w:val="single" w:sz="4" w:space="0" w:color="000000"/>
              <w:left w:val="nil"/>
              <w:bottom w:val="nil"/>
              <w:right w:val="nil"/>
            </w:tcBorders>
            <w:shd w:val="clear" w:color="auto" w:fill="auto"/>
            <w:noWrap/>
            <w:vAlign w:val="center"/>
            <w:hideMark/>
          </w:tcPr>
          <w:p w14:paraId="73D471F6" w14:textId="77777777" w:rsidR="00C729CE" w:rsidRPr="00C729CE" w:rsidRDefault="00C729CE" w:rsidP="00C729CE">
            <w:pPr>
              <w:spacing w:after="0" w:line="240" w:lineRule="auto"/>
              <w:jc w:val="right"/>
              <w:rPr>
                <w:rFonts w:ascii="Arial" w:hAnsi="Arial" w:cs="Arial"/>
                <w:b/>
                <w:bCs/>
                <w:i/>
                <w:iCs/>
                <w:color w:val="000000"/>
                <w:sz w:val="16"/>
                <w:szCs w:val="16"/>
              </w:rPr>
            </w:pPr>
            <w:r w:rsidRPr="00C729CE">
              <w:rPr>
                <w:rFonts w:ascii="Arial" w:hAnsi="Arial" w:cs="Arial"/>
                <w:b/>
                <w:bCs/>
                <w:i/>
                <w:iCs/>
                <w:color w:val="000000"/>
                <w:sz w:val="16"/>
                <w:szCs w:val="16"/>
              </w:rPr>
              <w:t>(51)</w:t>
            </w:r>
          </w:p>
        </w:tc>
        <w:tc>
          <w:tcPr>
            <w:tcW w:w="907" w:type="pct"/>
            <w:tcBorders>
              <w:top w:val="single" w:sz="4" w:space="0" w:color="000000"/>
              <w:left w:val="nil"/>
              <w:bottom w:val="nil"/>
              <w:right w:val="nil"/>
            </w:tcBorders>
            <w:shd w:val="clear" w:color="auto" w:fill="auto"/>
            <w:noWrap/>
            <w:vAlign w:val="center"/>
            <w:hideMark/>
          </w:tcPr>
          <w:p w14:paraId="3824CF85" w14:textId="77777777" w:rsidR="00C729CE" w:rsidRPr="00C729CE" w:rsidRDefault="00C729CE" w:rsidP="00C729CE">
            <w:pPr>
              <w:spacing w:after="0" w:line="240" w:lineRule="auto"/>
              <w:jc w:val="right"/>
              <w:rPr>
                <w:rFonts w:ascii="Arial" w:hAnsi="Arial" w:cs="Arial"/>
                <w:b/>
                <w:bCs/>
                <w:i/>
                <w:iCs/>
                <w:color w:val="000000"/>
                <w:sz w:val="16"/>
                <w:szCs w:val="16"/>
              </w:rPr>
            </w:pPr>
            <w:r w:rsidRPr="00C729CE">
              <w:rPr>
                <w:rFonts w:ascii="Arial" w:hAnsi="Arial" w:cs="Arial"/>
                <w:b/>
                <w:bCs/>
                <w:i/>
                <w:iCs/>
                <w:color w:val="000000"/>
                <w:sz w:val="16"/>
                <w:szCs w:val="16"/>
              </w:rPr>
              <w:t xml:space="preserve">- </w:t>
            </w:r>
          </w:p>
        </w:tc>
        <w:tc>
          <w:tcPr>
            <w:tcW w:w="615" w:type="pct"/>
            <w:tcBorders>
              <w:top w:val="single" w:sz="4" w:space="0" w:color="000000"/>
              <w:left w:val="nil"/>
              <w:bottom w:val="nil"/>
              <w:right w:val="nil"/>
            </w:tcBorders>
            <w:shd w:val="clear" w:color="auto" w:fill="auto"/>
            <w:noWrap/>
            <w:vAlign w:val="center"/>
            <w:hideMark/>
          </w:tcPr>
          <w:p w14:paraId="773A038B" w14:textId="77777777" w:rsidR="00C729CE" w:rsidRPr="00C729CE" w:rsidRDefault="00C729CE" w:rsidP="00C729CE">
            <w:pPr>
              <w:spacing w:after="0" w:line="240" w:lineRule="auto"/>
              <w:jc w:val="right"/>
              <w:rPr>
                <w:rFonts w:ascii="Arial" w:hAnsi="Arial" w:cs="Arial"/>
                <w:b/>
                <w:bCs/>
                <w:i/>
                <w:iCs/>
                <w:color w:val="000000"/>
                <w:sz w:val="16"/>
                <w:szCs w:val="16"/>
              </w:rPr>
            </w:pPr>
            <w:r w:rsidRPr="00C729CE">
              <w:rPr>
                <w:rFonts w:ascii="Arial" w:hAnsi="Arial" w:cs="Arial"/>
                <w:b/>
                <w:bCs/>
                <w:i/>
                <w:iCs/>
                <w:color w:val="000000"/>
                <w:sz w:val="16"/>
                <w:szCs w:val="16"/>
              </w:rPr>
              <w:t>(51)</w:t>
            </w:r>
          </w:p>
        </w:tc>
      </w:tr>
      <w:tr w:rsidR="00C729CE" w:rsidRPr="00C729CE" w14:paraId="2EAACF31" w14:textId="77777777" w:rsidTr="00C729CE">
        <w:trPr>
          <w:divId w:val="479735218"/>
          <w:trHeight w:val="225"/>
        </w:trPr>
        <w:tc>
          <w:tcPr>
            <w:tcW w:w="2734" w:type="pct"/>
            <w:tcBorders>
              <w:top w:val="nil"/>
              <w:left w:val="nil"/>
              <w:bottom w:val="nil"/>
              <w:right w:val="nil"/>
            </w:tcBorders>
            <w:shd w:val="clear" w:color="auto" w:fill="auto"/>
            <w:noWrap/>
            <w:vAlign w:val="center"/>
            <w:hideMark/>
          </w:tcPr>
          <w:p w14:paraId="2A6D9B30" w14:textId="77777777" w:rsidR="00C729CE" w:rsidRPr="00C729CE" w:rsidRDefault="00C729CE" w:rsidP="00C729CE">
            <w:pPr>
              <w:spacing w:after="0" w:line="240" w:lineRule="auto"/>
              <w:jc w:val="left"/>
              <w:rPr>
                <w:rFonts w:ascii="Arial" w:hAnsi="Arial" w:cs="Arial"/>
                <w:b/>
                <w:bCs/>
                <w:color w:val="000000"/>
                <w:sz w:val="16"/>
                <w:szCs w:val="16"/>
              </w:rPr>
            </w:pPr>
            <w:r w:rsidRPr="00C729CE">
              <w:rPr>
                <w:rFonts w:ascii="Arial" w:hAnsi="Arial" w:cs="Arial"/>
                <w:b/>
                <w:bCs/>
                <w:color w:val="000000"/>
                <w:sz w:val="16"/>
                <w:szCs w:val="16"/>
              </w:rPr>
              <w:t>Transactions with owners</w:t>
            </w:r>
          </w:p>
        </w:tc>
        <w:tc>
          <w:tcPr>
            <w:tcW w:w="744" w:type="pct"/>
            <w:tcBorders>
              <w:top w:val="nil"/>
              <w:left w:val="nil"/>
              <w:bottom w:val="nil"/>
              <w:right w:val="nil"/>
            </w:tcBorders>
            <w:shd w:val="clear" w:color="auto" w:fill="auto"/>
            <w:noWrap/>
            <w:vAlign w:val="center"/>
            <w:hideMark/>
          </w:tcPr>
          <w:p w14:paraId="49E739D5" w14:textId="77777777" w:rsidR="00C729CE" w:rsidRPr="00C729CE" w:rsidRDefault="00C729CE" w:rsidP="00C729CE">
            <w:pPr>
              <w:spacing w:after="0" w:line="240" w:lineRule="auto"/>
              <w:jc w:val="left"/>
              <w:rPr>
                <w:rFonts w:ascii="Arial" w:hAnsi="Arial" w:cs="Arial"/>
                <w:b/>
                <w:bCs/>
                <w:color w:val="000000"/>
                <w:sz w:val="16"/>
                <w:szCs w:val="16"/>
              </w:rPr>
            </w:pPr>
          </w:p>
        </w:tc>
        <w:tc>
          <w:tcPr>
            <w:tcW w:w="907" w:type="pct"/>
            <w:tcBorders>
              <w:top w:val="nil"/>
              <w:left w:val="nil"/>
              <w:bottom w:val="nil"/>
              <w:right w:val="nil"/>
            </w:tcBorders>
            <w:shd w:val="clear" w:color="auto" w:fill="auto"/>
            <w:noWrap/>
            <w:vAlign w:val="center"/>
            <w:hideMark/>
          </w:tcPr>
          <w:p w14:paraId="46A27F76" w14:textId="77777777" w:rsidR="00C729CE" w:rsidRPr="00C729CE" w:rsidRDefault="00C729CE" w:rsidP="00C729CE">
            <w:pPr>
              <w:spacing w:after="0" w:line="240" w:lineRule="auto"/>
              <w:jc w:val="left"/>
              <w:rPr>
                <w:rFonts w:ascii="Times New Roman" w:hAnsi="Times New Roman"/>
              </w:rPr>
            </w:pPr>
          </w:p>
        </w:tc>
        <w:tc>
          <w:tcPr>
            <w:tcW w:w="615" w:type="pct"/>
            <w:tcBorders>
              <w:top w:val="nil"/>
              <w:left w:val="nil"/>
              <w:bottom w:val="nil"/>
              <w:right w:val="nil"/>
            </w:tcBorders>
            <w:shd w:val="clear" w:color="auto" w:fill="auto"/>
            <w:noWrap/>
            <w:vAlign w:val="center"/>
            <w:hideMark/>
          </w:tcPr>
          <w:p w14:paraId="6300BEF6" w14:textId="77777777" w:rsidR="00C729CE" w:rsidRPr="00C729CE" w:rsidRDefault="00C729CE" w:rsidP="00C729CE">
            <w:pPr>
              <w:spacing w:after="0" w:line="240" w:lineRule="auto"/>
              <w:jc w:val="left"/>
              <w:rPr>
                <w:rFonts w:ascii="Times New Roman" w:hAnsi="Times New Roman"/>
              </w:rPr>
            </w:pPr>
          </w:p>
        </w:tc>
      </w:tr>
      <w:tr w:rsidR="00C729CE" w:rsidRPr="00C729CE" w14:paraId="6344C49D" w14:textId="77777777" w:rsidTr="00C729CE">
        <w:trPr>
          <w:divId w:val="479735218"/>
          <w:trHeight w:val="229"/>
        </w:trPr>
        <w:tc>
          <w:tcPr>
            <w:tcW w:w="2734" w:type="pct"/>
            <w:tcBorders>
              <w:top w:val="nil"/>
              <w:left w:val="nil"/>
              <w:bottom w:val="nil"/>
              <w:right w:val="nil"/>
            </w:tcBorders>
            <w:shd w:val="clear" w:color="auto" w:fill="auto"/>
            <w:noWrap/>
            <w:vAlign w:val="center"/>
            <w:hideMark/>
          </w:tcPr>
          <w:p w14:paraId="69DB4CE3" w14:textId="77777777" w:rsidR="00C729CE" w:rsidRPr="00C729CE" w:rsidRDefault="00C729CE" w:rsidP="00C729CE">
            <w:pPr>
              <w:spacing w:after="0" w:line="240" w:lineRule="auto"/>
              <w:jc w:val="left"/>
              <w:rPr>
                <w:rFonts w:ascii="Arial" w:hAnsi="Arial" w:cs="Arial"/>
                <w:b/>
                <w:bCs/>
                <w:i/>
                <w:iCs/>
                <w:color w:val="000000"/>
                <w:sz w:val="16"/>
                <w:szCs w:val="16"/>
              </w:rPr>
            </w:pPr>
            <w:r w:rsidRPr="00C729CE">
              <w:rPr>
                <w:rFonts w:ascii="Arial" w:hAnsi="Arial" w:cs="Arial"/>
                <w:b/>
                <w:bCs/>
                <w:i/>
                <w:iCs/>
                <w:color w:val="000000"/>
                <w:sz w:val="16"/>
                <w:szCs w:val="16"/>
              </w:rPr>
              <w:t>Contributions by owners</w:t>
            </w:r>
          </w:p>
        </w:tc>
        <w:tc>
          <w:tcPr>
            <w:tcW w:w="744" w:type="pct"/>
            <w:tcBorders>
              <w:top w:val="nil"/>
              <w:left w:val="nil"/>
              <w:bottom w:val="nil"/>
              <w:right w:val="nil"/>
            </w:tcBorders>
            <w:shd w:val="clear" w:color="auto" w:fill="auto"/>
            <w:noWrap/>
            <w:vAlign w:val="center"/>
            <w:hideMark/>
          </w:tcPr>
          <w:p w14:paraId="1D218240" w14:textId="77777777" w:rsidR="00C729CE" w:rsidRPr="00C729CE" w:rsidRDefault="00C729CE" w:rsidP="00C729CE">
            <w:pPr>
              <w:spacing w:after="0" w:line="240" w:lineRule="auto"/>
              <w:jc w:val="left"/>
              <w:rPr>
                <w:rFonts w:ascii="Arial" w:hAnsi="Arial" w:cs="Arial"/>
                <w:b/>
                <w:bCs/>
                <w:i/>
                <w:iCs/>
                <w:color w:val="000000"/>
                <w:sz w:val="16"/>
                <w:szCs w:val="16"/>
              </w:rPr>
            </w:pPr>
          </w:p>
        </w:tc>
        <w:tc>
          <w:tcPr>
            <w:tcW w:w="907" w:type="pct"/>
            <w:tcBorders>
              <w:top w:val="nil"/>
              <w:left w:val="nil"/>
              <w:bottom w:val="nil"/>
              <w:right w:val="nil"/>
            </w:tcBorders>
            <w:shd w:val="clear" w:color="auto" w:fill="auto"/>
            <w:noWrap/>
            <w:vAlign w:val="center"/>
            <w:hideMark/>
          </w:tcPr>
          <w:p w14:paraId="298E864D" w14:textId="77777777" w:rsidR="00C729CE" w:rsidRPr="00C729CE" w:rsidRDefault="00C729CE" w:rsidP="00C729CE">
            <w:pPr>
              <w:spacing w:after="0" w:line="240" w:lineRule="auto"/>
              <w:jc w:val="left"/>
              <w:rPr>
                <w:rFonts w:ascii="Times New Roman" w:hAnsi="Times New Roman"/>
              </w:rPr>
            </w:pPr>
          </w:p>
        </w:tc>
        <w:tc>
          <w:tcPr>
            <w:tcW w:w="615" w:type="pct"/>
            <w:tcBorders>
              <w:top w:val="nil"/>
              <w:left w:val="nil"/>
              <w:bottom w:val="nil"/>
              <w:right w:val="nil"/>
            </w:tcBorders>
            <w:shd w:val="clear" w:color="auto" w:fill="auto"/>
            <w:noWrap/>
            <w:vAlign w:val="center"/>
            <w:hideMark/>
          </w:tcPr>
          <w:p w14:paraId="5BC30286" w14:textId="77777777" w:rsidR="00C729CE" w:rsidRPr="00C729CE" w:rsidRDefault="00C729CE" w:rsidP="00C729CE">
            <w:pPr>
              <w:spacing w:after="0" w:line="240" w:lineRule="auto"/>
              <w:jc w:val="left"/>
              <w:rPr>
                <w:rFonts w:ascii="Times New Roman" w:hAnsi="Times New Roman"/>
              </w:rPr>
            </w:pPr>
          </w:p>
        </w:tc>
      </w:tr>
      <w:tr w:rsidR="00C729CE" w:rsidRPr="00C729CE" w14:paraId="0CDFA60D" w14:textId="77777777" w:rsidTr="00C729CE">
        <w:trPr>
          <w:divId w:val="479735218"/>
          <w:trHeight w:val="229"/>
        </w:trPr>
        <w:tc>
          <w:tcPr>
            <w:tcW w:w="2734" w:type="pct"/>
            <w:tcBorders>
              <w:top w:val="nil"/>
              <w:left w:val="nil"/>
              <w:bottom w:val="nil"/>
              <w:right w:val="nil"/>
            </w:tcBorders>
            <w:shd w:val="clear" w:color="auto" w:fill="auto"/>
            <w:noWrap/>
            <w:vAlign w:val="center"/>
            <w:hideMark/>
          </w:tcPr>
          <w:p w14:paraId="6037B77D" w14:textId="77777777" w:rsidR="00C729CE" w:rsidRPr="00C729CE" w:rsidRDefault="00C729CE" w:rsidP="00C729CE">
            <w:pPr>
              <w:spacing w:after="0" w:line="240" w:lineRule="auto"/>
              <w:ind w:firstLineChars="200" w:firstLine="320"/>
              <w:jc w:val="left"/>
              <w:rPr>
                <w:rFonts w:ascii="Arial" w:hAnsi="Arial" w:cs="Arial"/>
                <w:color w:val="000000"/>
                <w:sz w:val="16"/>
                <w:szCs w:val="16"/>
              </w:rPr>
            </w:pPr>
            <w:r w:rsidRPr="00C729CE">
              <w:rPr>
                <w:rFonts w:ascii="Arial" w:hAnsi="Arial" w:cs="Arial"/>
                <w:color w:val="000000"/>
                <w:sz w:val="16"/>
                <w:szCs w:val="16"/>
              </w:rPr>
              <w:t>Departmental Capital Budget (DCB)</w:t>
            </w:r>
          </w:p>
        </w:tc>
        <w:tc>
          <w:tcPr>
            <w:tcW w:w="744" w:type="pct"/>
            <w:tcBorders>
              <w:top w:val="nil"/>
              <w:left w:val="nil"/>
              <w:bottom w:val="nil"/>
              <w:right w:val="nil"/>
            </w:tcBorders>
            <w:shd w:val="clear" w:color="auto" w:fill="auto"/>
            <w:noWrap/>
            <w:vAlign w:val="center"/>
            <w:hideMark/>
          </w:tcPr>
          <w:p w14:paraId="54872B4C" w14:textId="77777777" w:rsidR="00C729CE" w:rsidRPr="00C729CE" w:rsidRDefault="00C729CE" w:rsidP="00C729CE">
            <w:pPr>
              <w:spacing w:after="0" w:line="240" w:lineRule="auto"/>
              <w:jc w:val="right"/>
              <w:rPr>
                <w:rFonts w:ascii="Arial" w:hAnsi="Arial" w:cs="Arial"/>
                <w:color w:val="000000"/>
                <w:sz w:val="16"/>
                <w:szCs w:val="16"/>
              </w:rPr>
            </w:pPr>
            <w:r w:rsidRPr="00C729CE">
              <w:rPr>
                <w:rFonts w:ascii="Arial" w:hAnsi="Arial" w:cs="Arial"/>
                <w:color w:val="000000"/>
                <w:sz w:val="16"/>
                <w:szCs w:val="16"/>
              </w:rPr>
              <w:t xml:space="preserve">- </w:t>
            </w:r>
          </w:p>
        </w:tc>
        <w:tc>
          <w:tcPr>
            <w:tcW w:w="907" w:type="pct"/>
            <w:tcBorders>
              <w:top w:val="nil"/>
              <w:left w:val="nil"/>
              <w:bottom w:val="nil"/>
              <w:right w:val="nil"/>
            </w:tcBorders>
            <w:shd w:val="clear" w:color="auto" w:fill="auto"/>
            <w:noWrap/>
            <w:vAlign w:val="center"/>
            <w:hideMark/>
          </w:tcPr>
          <w:p w14:paraId="6094EA3C" w14:textId="77777777" w:rsidR="00C729CE" w:rsidRPr="00C729CE" w:rsidRDefault="00C729CE" w:rsidP="00C729CE">
            <w:pPr>
              <w:spacing w:after="0" w:line="240" w:lineRule="auto"/>
              <w:jc w:val="right"/>
              <w:rPr>
                <w:rFonts w:ascii="Arial" w:hAnsi="Arial" w:cs="Arial"/>
                <w:color w:val="000000"/>
                <w:sz w:val="16"/>
                <w:szCs w:val="16"/>
              </w:rPr>
            </w:pPr>
            <w:r w:rsidRPr="00C729CE">
              <w:rPr>
                <w:rFonts w:ascii="Arial" w:hAnsi="Arial" w:cs="Arial"/>
                <w:color w:val="000000"/>
                <w:sz w:val="16"/>
                <w:szCs w:val="16"/>
              </w:rPr>
              <w:t xml:space="preserve">51 </w:t>
            </w:r>
          </w:p>
        </w:tc>
        <w:tc>
          <w:tcPr>
            <w:tcW w:w="615" w:type="pct"/>
            <w:tcBorders>
              <w:top w:val="nil"/>
              <w:left w:val="nil"/>
              <w:bottom w:val="nil"/>
              <w:right w:val="nil"/>
            </w:tcBorders>
            <w:shd w:val="clear" w:color="auto" w:fill="auto"/>
            <w:noWrap/>
            <w:vAlign w:val="center"/>
            <w:hideMark/>
          </w:tcPr>
          <w:p w14:paraId="4BEAE1A7" w14:textId="77777777" w:rsidR="00C729CE" w:rsidRPr="00C729CE" w:rsidRDefault="00C729CE" w:rsidP="00C729CE">
            <w:pPr>
              <w:spacing w:after="0" w:line="240" w:lineRule="auto"/>
              <w:jc w:val="right"/>
              <w:rPr>
                <w:rFonts w:ascii="Arial" w:hAnsi="Arial" w:cs="Arial"/>
                <w:color w:val="000000"/>
                <w:sz w:val="16"/>
                <w:szCs w:val="16"/>
              </w:rPr>
            </w:pPr>
            <w:r w:rsidRPr="00C729CE">
              <w:rPr>
                <w:rFonts w:ascii="Arial" w:hAnsi="Arial" w:cs="Arial"/>
                <w:color w:val="000000"/>
                <w:sz w:val="16"/>
                <w:szCs w:val="16"/>
              </w:rPr>
              <w:t xml:space="preserve">51 </w:t>
            </w:r>
          </w:p>
        </w:tc>
      </w:tr>
      <w:tr w:rsidR="00C729CE" w:rsidRPr="00C729CE" w14:paraId="3C387395" w14:textId="77777777" w:rsidTr="00C729CE">
        <w:trPr>
          <w:divId w:val="479735218"/>
          <w:trHeight w:val="420"/>
        </w:trPr>
        <w:tc>
          <w:tcPr>
            <w:tcW w:w="2734" w:type="pct"/>
            <w:tcBorders>
              <w:top w:val="nil"/>
              <w:left w:val="nil"/>
              <w:bottom w:val="nil"/>
              <w:right w:val="nil"/>
            </w:tcBorders>
            <w:shd w:val="clear" w:color="auto" w:fill="auto"/>
            <w:vAlign w:val="center"/>
            <w:hideMark/>
          </w:tcPr>
          <w:p w14:paraId="7AF20727" w14:textId="77777777" w:rsidR="00C729CE" w:rsidRPr="00C729CE" w:rsidRDefault="00C729CE" w:rsidP="00C729CE">
            <w:pPr>
              <w:spacing w:after="0" w:line="240" w:lineRule="auto"/>
              <w:jc w:val="left"/>
              <w:rPr>
                <w:rFonts w:ascii="Arial" w:hAnsi="Arial" w:cs="Arial"/>
                <w:b/>
                <w:bCs/>
                <w:i/>
                <w:iCs/>
                <w:color w:val="000000"/>
                <w:sz w:val="16"/>
                <w:szCs w:val="16"/>
              </w:rPr>
            </w:pPr>
            <w:r w:rsidRPr="00C729CE">
              <w:rPr>
                <w:rFonts w:ascii="Arial" w:hAnsi="Arial" w:cs="Arial"/>
                <w:b/>
                <w:bCs/>
                <w:i/>
                <w:iCs/>
                <w:color w:val="000000"/>
                <w:sz w:val="16"/>
                <w:szCs w:val="16"/>
              </w:rPr>
              <w:t>Sub-total transactions with</w:t>
            </w:r>
            <w:r w:rsidRPr="00C729CE">
              <w:rPr>
                <w:rFonts w:ascii="Arial" w:hAnsi="Arial" w:cs="Arial"/>
                <w:b/>
                <w:bCs/>
                <w:i/>
                <w:iCs/>
                <w:color w:val="000000"/>
                <w:sz w:val="16"/>
                <w:szCs w:val="16"/>
              </w:rPr>
              <w:br/>
              <w:t xml:space="preserve">  owners</w:t>
            </w:r>
          </w:p>
        </w:tc>
        <w:tc>
          <w:tcPr>
            <w:tcW w:w="744" w:type="pct"/>
            <w:tcBorders>
              <w:top w:val="single" w:sz="4" w:space="0" w:color="000000"/>
              <w:left w:val="nil"/>
              <w:bottom w:val="single" w:sz="4" w:space="0" w:color="000000"/>
              <w:right w:val="nil"/>
            </w:tcBorders>
            <w:shd w:val="clear" w:color="auto" w:fill="auto"/>
            <w:noWrap/>
            <w:vAlign w:val="bottom"/>
            <w:hideMark/>
          </w:tcPr>
          <w:p w14:paraId="3209597B" w14:textId="77777777" w:rsidR="00C729CE" w:rsidRPr="00C729CE" w:rsidRDefault="00C729CE" w:rsidP="00C729CE">
            <w:pPr>
              <w:spacing w:after="0" w:line="240" w:lineRule="auto"/>
              <w:jc w:val="right"/>
              <w:rPr>
                <w:rFonts w:ascii="Arial" w:hAnsi="Arial" w:cs="Arial"/>
                <w:b/>
                <w:bCs/>
                <w:i/>
                <w:iCs/>
                <w:color w:val="000000"/>
                <w:sz w:val="16"/>
                <w:szCs w:val="16"/>
              </w:rPr>
            </w:pPr>
            <w:r w:rsidRPr="00C729CE">
              <w:rPr>
                <w:rFonts w:ascii="Arial" w:hAnsi="Arial" w:cs="Arial"/>
                <w:b/>
                <w:bCs/>
                <w:i/>
                <w:iCs/>
                <w:color w:val="000000"/>
                <w:sz w:val="16"/>
                <w:szCs w:val="16"/>
              </w:rPr>
              <w:t xml:space="preserve">- </w:t>
            </w:r>
          </w:p>
        </w:tc>
        <w:tc>
          <w:tcPr>
            <w:tcW w:w="907" w:type="pct"/>
            <w:tcBorders>
              <w:top w:val="single" w:sz="4" w:space="0" w:color="000000"/>
              <w:left w:val="nil"/>
              <w:bottom w:val="single" w:sz="4" w:space="0" w:color="000000"/>
              <w:right w:val="nil"/>
            </w:tcBorders>
            <w:shd w:val="clear" w:color="auto" w:fill="auto"/>
            <w:noWrap/>
            <w:vAlign w:val="bottom"/>
            <w:hideMark/>
          </w:tcPr>
          <w:p w14:paraId="2BBA9655" w14:textId="77777777" w:rsidR="00C729CE" w:rsidRPr="00C729CE" w:rsidRDefault="00C729CE" w:rsidP="00C729CE">
            <w:pPr>
              <w:spacing w:after="0" w:line="240" w:lineRule="auto"/>
              <w:jc w:val="right"/>
              <w:rPr>
                <w:rFonts w:ascii="Arial" w:hAnsi="Arial" w:cs="Arial"/>
                <w:b/>
                <w:bCs/>
                <w:i/>
                <w:iCs/>
                <w:color w:val="000000"/>
                <w:sz w:val="16"/>
                <w:szCs w:val="16"/>
              </w:rPr>
            </w:pPr>
            <w:r w:rsidRPr="00C729CE">
              <w:rPr>
                <w:rFonts w:ascii="Arial" w:hAnsi="Arial" w:cs="Arial"/>
                <w:b/>
                <w:bCs/>
                <w:i/>
                <w:iCs/>
                <w:color w:val="000000"/>
                <w:sz w:val="16"/>
                <w:szCs w:val="16"/>
              </w:rPr>
              <w:t xml:space="preserve">51 </w:t>
            </w:r>
          </w:p>
        </w:tc>
        <w:tc>
          <w:tcPr>
            <w:tcW w:w="615" w:type="pct"/>
            <w:tcBorders>
              <w:top w:val="single" w:sz="4" w:space="0" w:color="000000"/>
              <w:left w:val="nil"/>
              <w:bottom w:val="single" w:sz="4" w:space="0" w:color="000000"/>
              <w:right w:val="nil"/>
            </w:tcBorders>
            <w:shd w:val="clear" w:color="auto" w:fill="auto"/>
            <w:noWrap/>
            <w:vAlign w:val="bottom"/>
            <w:hideMark/>
          </w:tcPr>
          <w:p w14:paraId="3025FBC5" w14:textId="77777777" w:rsidR="00C729CE" w:rsidRPr="00C729CE" w:rsidRDefault="00C729CE" w:rsidP="00C729CE">
            <w:pPr>
              <w:spacing w:after="0" w:line="240" w:lineRule="auto"/>
              <w:jc w:val="right"/>
              <w:rPr>
                <w:rFonts w:ascii="Arial" w:hAnsi="Arial" w:cs="Arial"/>
                <w:b/>
                <w:bCs/>
                <w:i/>
                <w:iCs/>
                <w:color w:val="000000"/>
                <w:sz w:val="16"/>
                <w:szCs w:val="16"/>
              </w:rPr>
            </w:pPr>
            <w:r w:rsidRPr="00C729CE">
              <w:rPr>
                <w:rFonts w:ascii="Arial" w:hAnsi="Arial" w:cs="Arial"/>
                <w:b/>
                <w:bCs/>
                <w:i/>
                <w:iCs/>
                <w:color w:val="000000"/>
                <w:sz w:val="16"/>
                <w:szCs w:val="16"/>
              </w:rPr>
              <w:t xml:space="preserve">51 </w:t>
            </w:r>
          </w:p>
        </w:tc>
      </w:tr>
      <w:tr w:rsidR="00C729CE" w:rsidRPr="00C729CE" w14:paraId="1A005A86" w14:textId="77777777" w:rsidTr="00C729CE">
        <w:trPr>
          <w:divId w:val="479735218"/>
          <w:trHeight w:val="450"/>
        </w:trPr>
        <w:tc>
          <w:tcPr>
            <w:tcW w:w="2734" w:type="pct"/>
            <w:tcBorders>
              <w:top w:val="nil"/>
              <w:left w:val="nil"/>
              <w:bottom w:val="nil"/>
              <w:right w:val="nil"/>
            </w:tcBorders>
            <w:shd w:val="clear" w:color="auto" w:fill="auto"/>
            <w:vAlign w:val="center"/>
            <w:hideMark/>
          </w:tcPr>
          <w:p w14:paraId="5CB6EBC0" w14:textId="77777777" w:rsidR="00C729CE" w:rsidRPr="00C729CE" w:rsidRDefault="00C729CE" w:rsidP="00C729CE">
            <w:pPr>
              <w:spacing w:after="0" w:line="240" w:lineRule="auto"/>
              <w:jc w:val="left"/>
              <w:rPr>
                <w:rFonts w:ascii="Arial" w:hAnsi="Arial" w:cs="Arial"/>
                <w:b/>
                <w:bCs/>
                <w:color w:val="000000"/>
                <w:sz w:val="16"/>
                <w:szCs w:val="16"/>
              </w:rPr>
            </w:pPr>
            <w:r w:rsidRPr="00C729CE">
              <w:rPr>
                <w:rFonts w:ascii="Arial" w:hAnsi="Arial" w:cs="Arial"/>
                <w:b/>
                <w:bCs/>
                <w:color w:val="000000"/>
                <w:sz w:val="16"/>
                <w:szCs w:val="16"/>
              </w:rPr>
              <w:t>Estimated closing balance as at</w:t>
            </w:r>
            <w:r w:rsidRPr="00C729CE">
              <w:rPr>
                <w:rFonts w:ascii="Arial" w:hAnsi="Arial" w:cs="Arial"/>
                <w:b/>
                <w:bCs/>
                <w:color w:val="000000"/>
                <w:sz w:val="16"/>
                <w:szCs w:val="16"/>
              </w:rPr>
              <w:br/>
              <w:t xml:space="preserve">  30 June 2021</w:t>
            </w:r>
          </w:p>
        </w:tc>
        <w:tc>
          <w:tcPr>
            <w:tcW w:w="744" w:type="pct"/>
            <w:tcBorders>
              <w:top w:val="nil"/>
              <w:left w:val="nil"/>
              <w:bottom w:val="single" w:sz="4" w:space="0" w:color="auto"/>
              <w:right w:val="nil"/>
            </w:tcBorders>
            <w:shd w:val="clear" w:color="auto" w:fill="auto"/>
            <w:noWrap/>
            <w:vAlign w:val="bottom"/>
            <w:hideMark/>
          </w:tcPr>
          <w:p w14:paraId="707F0FAC" w14:textId="77777777" w:rsidR="00C729CE" w:rsidRPr="00C729CE" w:rsidRDefault="00C729CE" w:rsidP="00C729CE">
            <w:pPr>
              <w:spacing w:after="0" w:line="240" w:lineRule="auto"/>
              <w:jc w:val="right"/>
              <w:rPr>
                <w:rFonts w:ascii="Arial" w:hAnsi="Arial" w:cs="Arial"/>
                <w:b/>
                <w:bCs/>
                <w:color w:val="000000"/>
                <w:sz w:val="16"/>
                <w:szCs w:val="16"/>
              </w:rPr>
            </w:pPr>
            <w:r w:rsidRPr="00C729CE">
              <w:rPr>
                <w:rFonts w:ascii="Arial" w:hAnsi="Arial" w:cs="Arial"/>
                <w:b/>
                <w:bCs/>
                <w:color w:val="000000"/>
                <w:sz w:val="16"/>
                <w:szCs w:val="16"/>
              </w:rPr>
              <w:t xml:space="preserve">1,449 </w:t>
            </w:r>
          </w:p>
        </w:tc>
        <w:tc>
          <w:tcPr>
            <w:tcW w:w="907" w:type="pct"/>
            <w:tcBorders>
              <w:top w:val="nil"/>
              <w:left w:val="nil"/>
              <w:bottom w:val="single" w:sz="4" w:space="0" w:color="auto"/>
              <w:right w:val="nil"/>
            </w:tcBorders>
            <w:shd w:val="clear" w:color="auto" w:fill="auto"/>
            <w:noWrap/>
            <w:vAlign w:val="bottom"/>
            <w:hideMark/>
          </w:tcPr>
          <w:p w14:paraId="55891B0A" w14:textId="77777777" w:rsidR="00C729CE" w:rsidRPr="00C729CE" w:rsidRDefault="00C729CE" w:rsidP="00C729CE">
            <w:pPr>
              <w:spacing w:after="0" w:line="240" w:lineRule="auto"/>
              <w:jc w:val="right"/>
              <w:rPr>
                <w:rFonts w:ascii="Arial" w:hAnsi="Arial" w:cs="Arial"/>
                <w:b/>
                <w:bCs/>
                <w:color w:val="000000"/>
                <w:sz w:val="16"/>
                <w:szCs w:val="16"/>
              </w:rPr>
            </w:pPr>
            <w:r w:rsidRPr="00C729CE">
              <w:rPr>
                <w:rFonts w:ascii="Arial" w:hAnsi="Arial" w:cs="Arial"/>
                <w:b/>
                <w:bCs/>
                <w:color w:val="000000"/>
                <w:sz w:val="16"/>
                <w:szCs w:val="16"/>
              </w:rPr>
              <w:t xml:space="preserve">702 </w:t>
            </w:r>
          </w:p>
        </w:tc>
        <w:tc>
          <w:tcPr>
            <w:tcW w:w="615" w:type="pct"/>
            <w:tcBorders>
              <w:top w:val="nil"/>
              <w:left w:val="nil"/>
              <w:bottom w:val="single" w:sz="4" w:space="0" w:color="auto"/>
              <w:right w:val="nil"/>
            </w:tcBorders>
            <w:shd w:val="clear" w:color="auto" w:fill="auto"/>
            <w:noWrap/>
            <w:vAlign w:val="bottom"/>
            <w:hideMark/>
          </w:tcPr>
          <w:p w14:paraId="07DF3BA8" w14:textId="77777777" w:rsidR="00C729CE" w:rsidRPr="00C729CE" w:rsidRDefault="00C729CE" w:rsidP="00C729CE">
            <w:pPr>
              <w:spacing w:after="0" w:line="240" w:lineRule="auto"/>
              <w:jc w:val="right"/>
              <w:rPr>
                <w:rFonts w:ascii="Arial" w:hAnsi="Arial" w:cs="Arial"/>
                <w:b/>
                <w:bCs/>
                <w:color w:val="000000"/>
                <w:sz w:val="16"/>
                <w:szCs w:val="16"/>
              </w:rPr>
            </w:pPr>
            <w:r w:rsidRPr="00C729CE">
              <w:rPr>
                <w:rFonts w:ascii="Arial" w:hAnsi="Arial" w:cs="Arial"/>
                <w:b/>
                <w:bCs/>
                <w:color w:val="000000"/>
                <w:sz w:val="16"/>
                <w:szCs w:val="16"/>
              </w:rPr>
              <w:t xml:space="preserve">2,151 </w:t>
            </w:r>
          </w:p>
        </w:tc>
      </w:tr>
      <w:tr w:rsidR="00C729CE" w:rsidRPr="00C729CE" w14:paraId="491D739A" w14:textId="77777777" w:rsidTr="00C729CE">
        <w:trPr>
          <w:divId w:val="479735218"/>
          <w:trHeight w:val="450"/>
        </w:trPr>
        <w:tc>
          <w:tcPr>
            <w:tcW w:w="2734" w:type="pct"/>
            <w:tcBorders>
              <w:top w:val="nil"/>
              <w:left w:val="nil"/>
              <w:bottom w:val="single" w:sz="4" w:space="0" w:color="000000"/>
              <w:right w:val="nil"/>
            </w:tcBorders>
            <w:shd w:val="clear" w:color="auto" w:fill="auto"/>
            <w:vAlign w:val="center"/>
            <w:hideMark/>
          </w:tcPr>
          <w:p w14:paraId="1A9D8CE4" w14:textId="77777777" w:rsidR="00C729CE" w:rsidRPr="00C729CE" w:rsidRDefault="00C729CE" w:rsidP="00C729CE">
            <w:pPr>
              <w:spacing w:after="0" w:line="240" w:lineRule="auto"/>
              <w:jc w:val="left"/>
              <w:rPr>
                <w:rFonts w:ascii="Arial" w:hAnsi="Arial" w:cs="Arial"/>
                <w:b/>
                <w:bCs/>
                <w:color w:val="000000"/>
                <w:sz w:val="16"/>
                <w:szCs w:val="16"/>
              </w:rPr>
            </w:pPr>
            <w:r w:rsidRPr="00C729CE">
              <w:rPr>
                <w:rFonts w:ascii="Arial" w:hAnsi="Arial" w:cs="Arial"/>
                <w:b/>
                <w:bCs/>
                <w:color w:val="000000"/>
                <w:sz w:val="16"/>
                <w:szCs w:val="16"/>
              </w:rPr>
              <w:t>Closing balance attributable to</w:t>
            </w:r>
            <w:r w:rsidRPr="00C729CE">
              <w:rPr>
                <w:rFonts w:ascii="Arial" w:hAnsi="Arial" w:cs="Arial"/>
                <w:b/>
                <w:bCs/>
                <w:color w:val="000000"/>
                <w:sz w:val="16"/>
                <w:szCs w:val="16"/>
              </w:rPr>
              <w:br/>
              <w:t xml:space="preserve">  the Australian Government</w:t>
            </w:r>
          </w:p>
        </w:tc>
        <w:tc>
          <w:tcPr>
            <w:tcW w:w="744" w:type="pct"/>
            <w:tcBorders>
              <w:top w:val="nil"/>
              <w:left w:val="nil"/>
              <w:bottom w:val="single" w:sz="4" w:space="0" w:color="auto"/>
              <w:right w:val="nil"/>
            </w:tcBorders>
            <w:shd w:val="clear" w:color="auto" w:fill="auto"/>
            <w:noWrap/>
            <w:vAlign w:val="bottom"/>
            <w:hideMark/>
          </w:tcPr>
          <w:p w14:paraId="2932C1E0" w14:textId="77777777" w:rsidR="00C729CE" w:rsidRPr="00C729CE" w:rsidRDefault="00C729CE" w:rsidP="00C729CE">
            <w:pPr>
              <w:spacing w:after="0" w:line="240" w:lineRule="auto"/>
              <w:jc w:val="right"/>
              <w:rPr>
                <w:rFonts w:ascii="Arial" w:hAnsi="Arial" w:cs="Arial"/>
                <w:b/>
                <w:bCs/>
                <w:color w:val="000000"/>
                <w:sz w:val="16"/>
                <w:szCs w:val="16"/>
              </w:rPr>
            </w:pPr>
            <w:r w:rsidRPr="00C729CE">
              <w:rPr>
                <w:rFonts w:ascii="Arial" w:hAnsi="Arial" w:cs="Arial"/>
                <w:b/>
                <w:bCs/>
                <w:color w:val="000000"/>
                <w:sz w:val="16"/>
                <w:szCs w:val="16"/>
              </w:rPr>
              <w:t xml:space="preserve">1,449 </w:t>
            </w:r>
          </w:p>
        </w:tc>
        <w:tc>
          <w:tcPr>
            <w:tcW w:w="907" w:type="pct"/>
            <w:tcBorders>
              <w:top w:val="nil"/>
              <w:left w:val="nil"/>
              <w:bottom w:val="single" w:sz="4" w:space="0" w:color="auto"/>
              <w:right w:val="nil"/>
            </w:tcBorders>
            <w:shd w:val="clear" w:color="auto" w:fill="auto"/>
            <w:noWrap/>
            <w:vAlign w:val="bottom"/>
            <w:hideMark/>
          </w:tcPr>
          <w:p w14:paraId="1B4466F3" w14:textId="77777777" w:rsidR="00C729CE" w:rsidRPr="00C729CE" w:rsidRDefault="00C729CE" w:rsidP="00C729CE">
            <w:pPr>
              <w:spacing w:after="0" w:line="240" w:lineRule="auto"/>
              <w:jc w:val="right"/>
              <w:rPr>
                <w:rFonts w:ascii="Arial" w:hAnsi="Arial" w:cs="Arial"/>
                <w:b/>
                <w:bCs/>
                <w:color w:val="000000"/>
                <w:sz w:val="16"/>
                <w:szCs w:val="16"/>
              </w:rPr>
            </w:pPr>
            <w:r w:rsidRPr="00C729CE">
              <w:rPr>
                <w:rFonts w:ascii="Arial" w:hAnsi="Arial" w:cs="Arial"/>
                <w:b/>
                <w:bCs/>
                <w:color w:val="000000"/>
                <w:sz w:val="16"/>
                <w:szCs w:val="16"/>
              </w:rPr>
              <w:t xml:space="preserve">702 </w:t>
            </w:r>
          </w:p>
        </w:tc>
        <w:tc>
          <w:tcPr>
            <w:tcW w:w="615" w:type="pct"/>
            <w:tcBorders>
              <w:top w:val="nil"/>
              <w:left w:val="nil"/>
              <w:bottom w:val="single" w:sz="4" w:space="0" w:color="auto"/>
              <w:right w:val="nil"/>
            </w:tcBorders>
            <w:shd w:val="clear" w:color="auto" w:fill="auto"/>
            <w:noWrap/>
            <w:vAlign w:val="bottom"/>
            <w:hideMark/>
          </w:tcPr>
          <w:p w14:paraId="2A2E3113" w14:textId="77777777" w:rsidR="00C729CE" w:rsidRPr="00C729CE" w:rsidRDefault="00C729CE" w:rsidP="00C729CE">
            <w:pPr>
              <w:spacing w:after="0" w:line="240" w:lineRule="auto"/>
              <w:jc w:val="right"/>
              <w:rPr>
                <w:rFonts w:ascii="Arial" w:hAnsi="Arial" w:cs="Arial"/>
                <w:b/>
                <w:bCs/>
                <w:color w:val="000000"/>
                <w:sz w:val="16"/>
                <w:szCs w:val="16"/>
              </w:rPr>
            </w:pPr>
            <w:r w:rsidRPr="00C729CE">
              <w:rPr>
                <w:rFonts w:ascii="Arial" w:hAnsi="Arial" w:cs="Arial"/>
                <w:b/>
                <w:bCs/>
                <w:color w:val="000000"/>
                <w:sz w:val="16"/>
                <w:szCs w:val="16"/>
              </w:rPr>
              <w:t xml:space="preserve">2,151 </w:t>
            </w:r>
          </w:p>
        </w:tc>
      </w:tr>
    </w:tbl>
    <w:p w14:paraId="7AEE8FF7" w14:textId="263884D2" w:rsidR="00132F9E" w:rsidRPr="00132F9E" w:rsidRDefault="00D606C2" w:rsidP="003B0AFB">
      <w:pPr>
        <w:pStyle w:val="TableGraphic"/>
        <w:spacing w:before="40"/>
        <w:rPr>
          <w:rFonts w:ascii="Arial" w:hAnsi="Arial" w:cs="Arial"/>
          <w:sz w:val="16"/>
          <w:szCs w:val="16"/>
        </w:rPr>
      </w:pPr>
      <w:r w:rsidRPr="00D606C2">
        <w:rPr>
          <w:rFonts w:ascii="Arial" w:hAnsi="Arial" w:cs="Arial"/>
          <w:sz w:val="16"/>
        </w:rPr>
        <w:t>Prepared on Australian Accounting Standards basis</w:t>
      </w:r>
      <w:r w:rsidR="00E1057D">
        <w:rPr>
          <w:rFonts w:ascii="Arial" w:hAnsi="Arial" w:cs="Arial"/>
          <w:sz w:val="16"/>
        </w:rPr>
        <w:t>.</w:t>
      </w:r>
    </w:p>
    <w:p w14:paraId="3D8F8D81" w14:textId="79B56CA0" w:rsidR="00FB659F" w:rsidRDefault="00FB659F">
      <w:pPr>
        <w:spacing w:after="0" w:line="240" w:lineRule="auto"/>
        <w:jc w:val="left"/>
      </w:pPr>
      <w:r>
        <w:br w:type="page"/>
      </w:r>
    </w:p>
    <w:p w14:paraId="56AFB105" w14:textId="77777777" w:rsidR="007B40EA" w:rsidRDefault="00345CCD" w:rsidP="00FB659F">
      <w:pPr>
        <w:pStyle w:val="TableGraphic"/>
        <w:tabs>
          <w:tab w:val="left" w:pos="6237"/>
        </w:tabs>
        <w:rPr>
          <w:rFonts w:ascii="Arial" w:hAnsi="Arial" w:cs="Arial"/>
          <w:b/>
        </w:rPr>
      </w:pPr>
      <w:r w:rsidRPr="000D0771">
        <w:rPr>
          <w:rFonts w:ascii="Arial" w:hAnsi="Arial" w:cs="Arial"/>
          <w:b/>
        </w:rPr>
        <w:lastRenderedPageBreak/>
        <w:t>Table</w:t>
      </w:r>
      <w:r w:rsidR="00971CBF" w:rsidRPr="000D0771">
        <w:rPr>
          <w:rFonts w:ascii="Arial" w:hAnsi="Arial" w:cs="Arial"/>
          <w:b/>
        </w:rPr>
        <w:t xml:space="preserve"> 3.</w:t>
      </w:r>
      <w:r w:rsidRPr="000D0771">
        <w:rPr>
          <w:rFonts w:ascii="Arial" w:hAnsi="Arial" w:cs="Arial"/>
          <w:b/>
        </w:rPr>
        <w:t xml:space="preserve">4: Budgeted </w:t>
      </w:r>
      <w:r w:rsidR="00F10305" w:rsidRPr="000D0771">
        <w:rPr>
          <w:rFonts w:ascii="Arial" w:hAnsi="Arial" w:cs="Arial"/>
          <w:b/>
        </w:rPr>
        <w:t xml:space="preserve">departmental statement of cash flows </w:t>
      </w:r>
      <w:r w:rsidRPr="000D0771">
        <w:rPr>
          <w:rFonts w:ascii="Arial" w:hAnsi="Arial" w:cs="Arial"/>
          <w:b/>
        </w:rPr>
        <w:t>(</w:t>
      </w:r>
      <w:r w:rsidR="00F10305" w:rsidRPr="000D0771">
        <w:rPr>
          <w:rFonts w:ascii="Arial" w:hAnsi="Arial" w:cs="Arial"/>
          <w:b/>
        </w:rPr>
        <w:t>for </w:t>
      </w:r>
      <w:r w:rsidRPr="000D0771">
        <w:rPr>
          <w:rFonts w:ascii="Arial" w:hAnsi="Arial" w:cs="Arial"/>
          <w:b/>
        </w:rPr>
        <w:t>the period ended</w:t>
      </w:r>
    </w:p>
    <w:p w14:paraId="05C855E9" w14:textId="696015FD" w:rsidR="00947E58" w:rsidRPr="000D0771" w:rsidRDefault="00345CCD" w:rsidP="00FB659F">
      <w:pPr>
        <w:pStyle w:val="TableGraphic"/>
        <w:tabs>
          <w:tab w:val="left" w:pos="6237"/>
        </w:tabs>
        <w:rPr>
          <w:rFonts w:ascii="Arial" w:hAnsi="Arial" w:cs="Arial"/>
          <w:b/>
        </w:rPr>
      </w:pPr>
      <w:r w:rsidRPr="000D0771">
        <w:rPr>
          <w:rFonts w:ascii="Arial" w:hAnsi="Arial" w:cs="Arial"/>
          <w:b/>
        </w:rPr>
        <w:t xml:space="preserve"> 30 June)</w:t>
      </w:r>
      <w:r w:rsidR="00D52088" w:rsidRPr="000D0771">
        <w:rPr>
          <w:rFonts w:ascii="Arial" w:hAnsi="Arial" w:cs="Arial"/>
          <w:b/>
          <w:noProof/>
        </w:rPr>
        <w:t xml:space="preserve"> </w:t>
      </w:r>
    </w:p>
    <w:tbl>
      <w:tblPr>
        <w:tblW w:w="5000" w:type="pct"/>
        <w:tblLook w:val="04A0" w:firstRow="1" w:lastRow="0" w:firstColumn="1" w:lastColumn="0" w:noHBand="0" w:noVBand="1"/>
      </w:tblPr>
      <w:tblGrid>
        <w:gridCol w:w="3090"/>
        <w:gridCol w:w="981"/>
        <w:gridCol w:w="904"/>
        <w:gridCol w:w="911"/>
        <w:gridCol w:w="911"/>
        <w:gridCol w:w="913"/>
      </w:tblGrid>
      <w:tr w:rsidR="00947E58" w:rsidRPr="00947E58" w14:paraId="07EE1690" w14:textId="77777777" w:rsidTr="005D1868">
        <w:trPr>
          <w:divId w:val="833452831"/>
          <w:trHeight w:val="900"/>
        </w:trPr>
        <w:tc>
          <w:tcPr>
            <w:tcW w:w="2004" w:type="pct"/>
            <w:tcBorders>
              <w:top w:val="single" w:sz="4" w:space="0" w:color="auto"/>
              <w:left w:val="nil"/>
              <w:bottom w:val="nil"/>
              <w:right w:val="nil"/>
            </w:tcBorders>
            <w:shd w:val="clear" w:color="auto" w:fill="auto"/>
            <w:noWrap/>
            <w:hideMark/>
          </w:tcPr>
          <w:p w14:paraId="758C17DE" w14:textId="146F1D6B" w:rsidR="00947E58" w:rsidRPr="00947E58" w:rsidRDefault="00947E58" w:rsidP="00947E58">
            <w:pPr>
              <w:rPr>
                <w:rFonts w:ascii="Arial" w:hAnsi="Arial" w:cs="Arial"/>
                <w:b/>
                <w:bCs/>
                <w:sz w:val="16"/>
                <w:szCs w:val="16"/>
              </w:rPr>
            </w:pPr>
            <w:r w:rsidRPr="00947E58">
              <w:rPr>
                <w:rFonts w:ascii="Arial" w:hAnsi="Arial" w:cs="Arial"/>
                <w:b/>
                <w:bCs/>
                <w:sz w:val="16"/>
                <w:szCs w:val="16"/>
              </w:rPr>
              <w:t> </w:t>
            </w:r>
          </w:p>
        </w:tc>
        <w:tc>
          <w:tcPr>
            <w:tcW w:w="636" w:type="pct"/>
            <w:tcBorders>
              <w:top w:val="single" w:sz="4" w:space="0" w:color="auto"/>
              <w:left w:val="nil"/>
              <w:bottom w:val="single" w:sz="4" w:space="0" w:color="auto"/>
              <w:right w:val="nil"/>
            </w:tcBorders>
            <w:shd w:val="clear" w:color="auto" w:fill="auto"/>
            <w:vAlign w:val="center"/>
            <w:hideMark/>
          </w:tcPr>
          <w:p w14:paraId="1A7C8388" w14:textId="77777777" w:rsidR="00947E58" w:rsidRPr="00947E58" w:rsidRDefault="00947E58" w:rsidP="005D1868">
            <w:pPr>
              <w:spacing w:after="0" w:line="240" w:lineRule="auto"/>
              <w:jc w:val="right"/>
              <w:rPr>
                <w:rFonts w:ascii="Arial" w:hAnsi="Arial" w:cs="Arial"/>
                <w:sz w:val="16"/>
                <w:szCs w:val="16"/>
              </w:rPr>
            </w:pPr>
            <w:r w:rsidRPr="00947E58">
              <w:rPr>
                <w:rFonts w:ascii="Arial" w:hAnsi="Arial" w:cs="Arial"/>
                <w:sz w:val="16"/>
                <w:szCs w:val="16"/>
              </w:rPr>
              <w:t>2019-20 Estimated actual</w:t>
            </w:r>
            <w:r w:rsidRPr="00947E58">
              <w:rPr>
                <w:rFonts w:ascii="Arial" w:hAnsi="Arial" w:cs="Arial"/>
                <w:sz w:val="16"/>
                <w:szCs w:val="16"/>
              </w:rPr>
              <w:br/>
              <w:t>$'000</w:t>
            </w:r>
          </w:p>
        </w:tc>
        <w:tc>
          <w:tcPr>
            <w:tcW w:w="586" w:type="pct"/>
            <w:tcBorders>
              <w:top w:val="single" w:sz="4" w:space="0" w:color="auto"/>
              <w:left w:val="nil"/>
              <w:bottom w:val="single" w:sz="4" w:space="0" w:color="auto"/>
              <w:right w:val="nil"/>
            </w:tcBorders>
            <w:shd w:val="clear" w:color="000000" w:fill="E6E6E6"/>
            <w:vAlign w:val="center"/>
            <w:hideMark/>
          </w:tcPr>
          <w:p w14:paraId="35CEB0D4" w14:textId="77777777" w:rsidR="00947E58" w:rsidRPr="00947E58" w:rsidRDefault="00947E58" w:rsidP="005D1868">
            <w:pPr>
              <w:spacing w:after="0" w:line="240" w:lineRule="auto"/>
              <w:jc w:val="right"/>
              <w:rPr>
                <w:rFonts w:ascii="Arial" w:hAnsi="Arial" w:cs="Arial"/>
                <w:sz w:val="16"/>
                <w:szCs w:val="16"/>
              </w:rPr>
            </w:pPr>
            <w:r w:rsidRPr="00947E58">
              <w:rPr>
                <w:rFonts w:ascii="Arial" w:hAnsi="Arial" w:cs="Arial"/>
                <w:sz w:val="16"/>
                <w:szCs w:val="16"/>
              </w:rPr>
              <w:t>2020-21</w:t>
            </w:r>
            <w:r w:rsidRPr="00947E58">
              <w:rPr>
                <w:rFonts w:ascii="Arial" w:hAnsi="Arial" w:cs="Arial"/>
                <w:sz w:val="16"/>
                <w:szCs w:val="16"/>
              </w:rPr>
              <w:br/>
              <w:t>Budget</w:t>
            </w:r>
            <w:r w:rsidRPr="00947E58">
              <w:rPr>
                <w:rFonts w:ascii="Arial" w:hAnsi="Arial" w:cs="Arial"/>
                <w:sz w:val="16"/>
                <w:szCs w:val="16"/>
              </w:rPr>
              <w:br/>
            </w:r>
            <w:r w:rsidRPr="00947E58">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center"/>
            <w:hideMark/>
          </w:tcPr>
          <w:p w14:paraId="5562863D" w14:textId="77777777" w:rsidR="00947E58" w:rsidRPr="00947E58" w:rsidRDefault="00947E58" w:rsidP="005D1868">
            <w:pPr>
              <w:spacing w:after="0" w:line="240" w:lineRule="auto"/>
              <w:jc w:val="right"/>
              <w:rPr>
                <w:rFonts w:ascii="Arial" w:hAnsi="Arial" w:cs="Arial"/>
                <w:sz w:val="16"/>
                <w:szCs w:val="16"/>
              </w:rPr>
            </w:pPr>
            <w:r w:rsidRPr="00947E58">
              <w:rPr>
                <w:rFonts w:ascii="Arial" w:hAnsi="Arial" w:cs="Arial"/>
                <w:sz w:val="16"/>
                <w:szCs w:val="16"/>
              </w:rPr>
              <w:t>2021-22 Forward estimate</w:t>
            </w:r>
            <w:r w:rsidRPr="00947E58">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center"/>
            <w:hideMark/>
          </w:tcPr>
          <w:p w14:paraId="3FC4A81A" w14:textId="77777777" w:rsidR="00947E58" w:rsidRPr="00947E58" w:rsidRDefault="00947E58" w:rsidP="005D1868">
            <w:pPr>
              <w:spacing w:after="0" w:line="240" w:lineRule="auto"/>
              <w:jc w:val="right"/>
              <w:rPr>
                <w:rFonts w:ascii="Arial" w:hAnsi="Arial" w:cs="Arial"/>
                <w:sz w:val="16"/>
                <w:szCs w:val="16"/>
              </w:rPr>
            </w:pPr>
            <w:r w:rsidRPr="00947E58">
              <w:rPr>
                <w:rFonts w:ascii="Arial" w:hAnsi="Arial" w:cs="Arial"/>
                <w:sz w:val="16"/>
                <w:szCs w:val="16"/>
              </w:rPr>
              <w:t>2022-23 Forward estimate</w:t>
            </w:r>
            <w:r w:rsidRPr="00947E58">
              <w:rPr>
                <w:rFonts w:ascii="Arial" w:hAnsi="Arial" w:cs="Arial"/>
                <w:sz w:val="16"/>
                <w:szCs w:val="16"/>
              </w:rPr>
              <w:br/>
              <w:t>$'000</w:t>
            </w:r>
          </w:p>
        </w:tc>
        <w:tc>
          <w:tcPr>
            <w:tcW w:w="591" w:type="pct"/>
            <w:tcBorders>
              <w:top w:val="single" w:sz="4" w:space="0" w:color="auto"/>
              <w:left w:val="nil"/>
              <w:bottom w:val="single" w:sz="4" w:space="0" w:color="auto"/>
              <w:right w:val="nil"/>
            </w:tcBorders>
            <w:shd w:val="clear" w:color="auto" w:fill="auto"/>
            <w:vAlign w:val="center"/>
            <w:hideMark/>
          </w:tcPr>
          <w:p w14:paraId="7671D465" w14:textId="77777777" w:rsidR="00947E58" w:rsidRPr="00947E58" w:rsidRDefault="00947E58" w:rsidP="005D1868">
            <w:pPr>
              <w:spacing w:after="0" w:line="240" w:lineRule="auto"/>
              <w:jc w:val="right"/>
              <w:rPr>
                <w:rFonts w:ascii="Arial" w:hAnsi="Arial" w:cs="Arial"/>
                <w:sz w:val="16"/>
                <w:szCs w:val="16"/>
              </w:rPr>
            </w:pPr>
            <w:r w:rsidRPr="00947E58">
              <w:rPr>
                <w:rFonts w:ascii="Arial" w:hAnsi="Arial" w:cs="Arial"/>
                <w:sz w:val="16"/>
                <w:szCs w:val="16"/>
              </w:rPr>
              <w:t>2023-24</w:t>
            </w:r>
            <w:r w:rsidRPr="00947E58">
              <w:rPr>
                <w:rFonts w:ascii="Arial" w:hAnsi="Arial" w:cs="Arial"/>
                <w:sz w:val="16"/>
                <w:szCs w:val="16"/>
              </w:rPr>
              <w:br/>
              <w:t>Forward estimate</w:t>
            </w:r>
            <w:r w:rsidRPr="00947E58">
              <w:rPr>
                <w:rFonts w:ascii="Arial" w:hAnsi="Arial" w:cs="Arial"/>
                <w:sz w:val="16"/>
                <w:szCs w:val="16"/>
              </w:rPr>
              <w:br/>
              <w:t>$'000</w:t>
            </w:r>
          </w:p>
        </w:tc>
      </w:tr>
      <w:tr w:rsidR="00947E58" w:rsidRPr="00947E58" w14:paraId="1F484234"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53E44D21"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OPERATING ACTIVITIES</w:t>
            </w:r>
          </w:p>
        </w:tc>
        <w:tc>
          <w:tcPr>
            <w:tcW w:w="636" w:type="pct"/>
            <w:tcBorders>
              <w:top w:val="nil"/>
              <w:left w:val="nil"/>
              <w:bottom w:val="nil"/>
              <w:right w:val="nil"/>
            </w:tcBorders>
            <w:shd w:val="clear" w:color="auto" w:fill="auto"/>
            <w:noWrap/>
            <w:vAlign w:val="center"/>
            <w:hideMark/>
          </w:tcPr>
          <w:p w14:paraId="786FDB61" w14:textId="77777777" w:rsidR="00947E58" w:rsidRPr="00947E58" w:rsidRDefault="00947E58" w:rsidP="00947E58">
            <w:pPr>
              <w:spacing w:after="0" w:line="240" w:lineRule="auto"/>
              <w:jc w:val="lef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center"/>
            <w:hideMark/>
          </w:tcPr>
          <w:p w14:paraId="764003C2" w14:textId="77777777" w:rsidR="00947E58" w:rsidRPr="00947E58" w:rsidRDefault="00947E58" w:rsidP="00947E58">
            <w:pPr>
              <w:spacing w:after="0" w:line="240" w:lineRule="auto"/>
              <w:jc w:val="left"/>
              <w:rPr>
                <w:rFonts w:ascii="Arial" w:hAnsi="Arial" w:cs="Arial"/>
                <w:color w:val="000000"/>
                <w:sz w:val="16"/>
                <w:szCs w:val="16"/>
              </w:rPr>
            </w:pPr>
            <w:r w:rsidRPr="00947E58">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10DD1C7F" w14:textId="77777777" w:rsidR="00947E58" w:rsidRPr="00947E58" w:rsidRDefault="00947E58" w:rsidP="00947E5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0D9AE0B9" w14:textId="77777777" w:rsidR="00947E58" w:rsidRPr="00947E58" w:rsidRDefault="00947E58" w:rsidP="00947E5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09ABCF9C" w14:textId="77777777" w:rsidR="00947E58" w:rsidRPr="00947E58" w:rsidRDefault="00947E58" w:rsidP="00947E58">
            <w:pPr>
              <w:spacing w:after="0" w:line="240" w:lineRule="auto"/>
              <w:jc w:val="left"/>
              <w:rPr>
                <w:rFonts w:ascii="Times New Roman" w:hAnsi="Times New Roman"/>
              </w:rPr>
            </w:pPr>
          </w:p>
        </w:tc>
      </w:tr>
      <w:tr w:rsidR="00947E58" w:rsidRPr="00947E58" w14:paraId="760E927C"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32209703"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Cash received</w:t>
            </w:r>
          </w:p>
        </w:tc>
        <w:tc>
          <w:tcPr>
            <w:tcW w:w="636" w:type="pct"/>
            <w:tcBorders>
              <w:top w:val="nil"/>
              <w:left w:val="nil"/>
              <w:bottom w:val="nil"/>
              <w:right w:val="nil"/>
            </w:tcBorders>
            <w:shd w:val="clear" w:color="auto" w:fill="auto"/>
            <w:noWrap/>
            <w:vAlign w:val="center"/>
            <w:hideMark/>
          </w:tcPr>
          <w:p w14:paraId="274E2AEE" w14:textId="77777777" w:rsidR="00947E58" w:rsidRPr="00947E58" w:rsidRDefault="00947E58" w:rsidP="00947E58">
            <w:pPr>
              <w:spacing w:after="0" w:line="240" w:lineRule="auto"/>
              <w:jc w:val="lef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center"/>
            <w:hideMark/>
          </w:tcPr>
          <w:p w14:paraId="7CD1A1F5" w14:textId="77777777" w:rsidR="00947E58" w:rsidRPr="00947E58" w:rsidRDefault="00947E58" w:rsidP="00947E58">
            <w:pPr>
              <w:spacing w:after="0" w:line="240" w:lineRule="auto"/>
              <w:jc w:val="left"/>
              <w:rPr>
                <w:rFonts w:ascii="Arial" w:hAnsi="Arial" w:cs="Arial"/>
                <w:color w:val="000000"/>
                <w:sz w:val="16"/>
                <w:szCs w:val="16"/>
              </w:rPr>
            </w:pPr>
            <w:r w:rsidRPr="00947E58">
              <w:rPr>
                <w:rFonts w:ascii="Arial" w:hAnsi="Arial" w:cs="Arial"/>
                <w:color w:val="000000"/>
                <w:sz w:val="16"/>
                <w:szCs w:val="16"/>
              </w:rPr>
              <w:t> </w:t>
            </w:r>
          </w:p>
        </w:tc>
        <w:tc>
          <w:tcPr>
            <w:tcW w:w="591" w:type="pct"/>
            <w:tcBorders>
              <w:top w:val="nil"/>
              <w:left w:val="nil"/>
              <w:bottom w:val="nil"/>
              <w:right w:val="nil"/>
            </w:tcBorders>
            <w:shd w:val="clear" w:color="auto" w:fill="auto"/>
            <w:noWrap/>
            <w:vAlign w:val="center"/>
            <w:hideMark/>
          </w:tcPr>
          <w:p w14:paraId="113F285F" w14:textId="77777777" w:rsidR="00947E58" w:rsidRPr="00947E58" w:rsidRDefault="00947E58" w:rsidP="00947E58">
            <w:pPr>
              <w:spacing w:after="0" w:line="240" w:lineRule="auto"/>
              <w:jc w:val="left"/>
              <w:rPr>
                <w:rFonts w:ascii="Arial" w:hAnsi="Arial" w:cs="Arial"/>
                <w:color w:val="000000"/>
                <w:sz w:val="16"/>
                <w:szCs w:val="16"/>
              </w:rPr>
            </w:pPr>
          </w:p>
        </w:tc>
        <w:tc>
          <w:tcPr>
            <w:tcW w:w="591" w:type="pct"/>
            <w:tcBorders>
              <w:top w:val="nil"/>
              <w:left w:val="nil"/>
              <w:bottom w:val="nil"/>
              <w:right w:val="nil"/>
            </w:tcBorders>
            <w:shd w:val="clear" w:color="auto" w:fill="auto"/>
            <w:noWrap/>
            <w:vAlign w:val="center"/>
            <w:hideMark/>
          </w:tcPr>
          <w:p w14:paraId="3EFC7B6F" w14:textId="77777777" w:rsidR="00947E58" w:rsidRPr="00947E58" w:rsidRDefault="00947E58" w:rsidP="00947E58">
            <w:pPr>
              <w:spacing w:after="0" w:line="240" w:lineRule="auto"/>
              <w:jc w:val="left"/>
              <w:rPr>
                <w:rFonts w:ascii="Times New Roman" w:hAnsi="Times New Roman"/>
              </w:rPr>
            </w:pPr>
          </w:p>
        </w:tc>
        <w:tc>
          <w:tcPr>
            <w:tcW w:w="591" w:type="pct"/>
            <w:tcBorders>
              <w:top w:val="nil"/>
              <w:left w:val="nil"/>
              <w:bottom w:val="nil"/>
              <w:right w:val="nil"/>
            </w:tcBorders>
            <w:shd w:val="clear" w:color="auto" w:fill="auto"/>
            <w:noWrap/>
            <w:vAlign w:val="center"/>
            <w:hideMark/>
          </w:tcPr>
          <w:p w14:paraId="771830A1" w14:textId="77777777" w:rsidR="00947E58" w:rsidRPr="00947E58" w:rsidRDefault="00947E58" w:rsidP="00947E58">
            <w:pPr>
              <w:spacing w:after="0" w:line="240" w:lineRule="auto"/>
              <w:jc w:val="left"/>
              <w:rPr>
                <w:rFonts w:ascii="Times New Roman" w:hAnsi="Times New Roman"/>
              </w:rPr>
            </w:pPr>
          </w:p>
        </w:tc>
      </w:tr>
      <w:tr w:rsidR="00947E58" w:rsidRPr="00947E58" w14:paraId="063BE438"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2816A4F2" w14:textId="77777777" w:rsidR="00947E58" w:rsidRPr="00947E58" w:rsidRDefault="00947E58" w:rsidP="00DD0170">
            <w:pPr>
              <w:spacing w:after="0" w:line="240" w:lineRule="auto"/>
              <w:ind w:firstLineChars="100" w:firstLine="160"/>
              <w:jc w:val="left"/>
              <w:rPr>
                <w:rFonts w:ascii="Arial" w:hAnsi="Arial" w:cs="Arial"/>
                <w:color w:val="000000"/>
                <w:sz w:val="16"/>
                <w:szCs w:val="16"/>
              </w:rPr>
            </w:pPr>
            <w:r w:rsidRPr="00947E58">
              <w:rPr>
                <w:rFonts w:ascii="Arial" w:hAnsi="Arial" w:cs="Arial"/>
                <w:color w:val="000000"/>
                <w:sz w:val="16"/>
                <w:szCs w:val="16"/>
              </w:rPr>
              <w:t>Appropriations</w:t>
            </w:r>
          </w:p>
        </w:tc>
        <w:tc>
          <w:tcPr>
            <w:tcW w:w="636" w:type="pct"/>
            <w:tcBorders>
              <w:top w:val="nil"/>
              <w:left w:val="nil"/>
              <w:bottom w:val="nil"/>
              <w:right w:val="nil"/>
            </w:tcBorders>
            <w:shd w:val="clear" w:color="auto" w:fill="auto"/>
            <w:noWrap/>
            <w:vAlign w:val="bottom"/>
            <w:hideMark/>
          </w:tcPr>
          <w:p w14:paraId="07C2A22C"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5,145 </w:t>
            </w:r>
          </w:p>
        </w:tc>
        <w:tc>
          <w:tcPr>
            <w:tcW w:w="586" w:type="pct"/>
            <w:tcBorders>
              <w:top w:val="nil"/>
              <w:left w:val="nil"/>
              <w:bottom w:val="nil"/>
              <w:right w:val="nil"/>
            </w:tcBorders>
            <w:shd w:val="clear" w:color="000000" w:fill="E6E6E6"/>
            <w:noWrap/>
            <w:vAlign w:val="bottom"/>
            <w:hideMark/>
          </w:tcPr>
          <w:p w14:paraId="50D425AF"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3,565 </w:t>
            </w:r>
          </w:p>
        </w:tc>
        <w:tc>
          <w:tcPr>
            <w:tcW w:w="591" w:type="pct"/>
            <w:tcBorders>
              <w:top w:val="nil"/>
              <w:left w:val="nil"/>
              <w:bottom w:val="nil"/>
              <w:right w:val="nil"/>
            </w:tcBorders>
            <w:shd w:val="clear" w:color="auto" w:fill="auto"/>
            <w:noWrap/>
            <w:vAlign w:val="bottom"/>
            <w:hideMark/>
          </w:tcPr>
          <w:p w14:paraId="75B69126"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3,557 </w:t>
            </w:r>
          </w:p>
        </w:tc>
        <w:tc>
          <w:tcPr>
            <w:tcW w:w="591" w:type="pct"/>
            <w:tcBorders>
              <w:top w:val="nil"/>
              <w:left w:val="nil"/>
              <w:bottom w:val="nil"/>
              <w:right w:val="nil"/>
            </w:tcBorders>
            <w:shd w:val="clear" w:color="auto" w:fill="auto"/>
            <w:noWrap/>
            <w:vAlign w:val="bottom"/>
            <w:hideMark/>
          </w:tcPr>
          <w:p w14:paraId="77EB5231"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3,560 </w:t>
            </w:r>
          </w:p>
        </w:tc>
        <w:tc>
          <w:tcPr>
            <w:tcW w:w="591" w:type="pct"/>
            <w:tcBorders>
              <w:top w:val="nil"/>
              <w:left w:val="nil"/>
              <w:bottom w:val="nil"/>
              <w:right w:val="nil"/>
            </w:tcBorders>
            <w:shd w:val="clear" w:color="auto" w:fill="auto"/>
            <w:noWrap/>
            <w:vAlign w:val="bottom"/>
            <w:hideMark/>
          </w:tcPr>
          <w:p w14:paraId="19BD1784"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3,574 </w:t>
            </w:r>
          </w:p>
        </w:tc>
      </w:tr>
      <w:tr w:rsidR="00947E58" w:rsidRPr="00947E58" w14:paraId="0A8F6A2D" w14:textId="77777777" w:rsidTr="00DD0170">
        <w:trPr>
          <w:divId w:val="833452831"/>
          <w:trHeight w:val="450"/>
        </w:trPr>
        <w:tc>
          <w:tcPr>
            <w:tcW w:w="2004" w:type="pct"/>
            <w:tcBorders>
              <w:top w:val="nil"/>
              <w:left w:val="nil"/>
              <w:bottom w:val="nil"/>
              <w:right w:val="nil"/>
            </w:tcBorders>
            <w:shd w:val="clear" w:color="auto" w:fill="auto"/>
            <w:vAlign w:val="bottom"/>
            <w:hideMark/>
          </w:tcPr>
          <w:p w14:paraId="42AEF3D6" w14:textId="3ED99BE0" w:rsidR="00947E58" w:rsidRPr="00947E58" w:rsidRDefault="00947E58" w:rsidP="00DD0170">
            <w:pPr>
              <w:spacing w:after="0" w:line="240" w:lineRule="auto"/>
              <w:ind w:firstLineChars="100" w:firstLine="160"/>
              <w:jc w:val="left"/>
              <w:rPr>
                <w:rFonts w:ascii="Arial" w:hAnsi="Arial" w:cs="Arial"/>
                <w:color w:val="000000"/>
                <w:sz w:val="16"/>
                <w:szCs w:val="16"/>
              </w:rPr>
            </w:pPr>
            <w:r w:rsidRPr="00947E58">
              <w:rPr>
                <w:rFonts w:ascii="Arial" w:hAnsi="Arial" w:cs="Arial"/>
                <w:color w:val="000000"/>
                <w:sz w:val="16"/>
                <w:szCs w:val="16"/>
              </w:rPr>
              <w:t>Sale of goods and rendering of</w:t>
            </w:r>
            <w:r w:rsidRPr="00947E58">
              <w:rPr>
                <w:rFonts w:ascii="Arial" w:hAnsi="Arial" w:cs="Arial"/>
                <w:color w:val="000000"/>
                <w:sz w:val="16"/>
                <w:szCs w:val="16"/>
              </w:rPr>
              <w:br/>
              <w:t xml:space="preserve">   </w:t>
            </w:r>
            <w:r w:rsidR="000D0771">
              <w:rPr>
                <w:rFonts w:ascii="Arial" w:hAnsi="Arial" w:cs="Arial"/>
                <w:color w:val="000000"/>
                <w:sz w:val="16"/>
                <w:szCs w:val="16"/>
              </w:rPr>
              <w:t xml:space="preserve"> </w:t>
            </w:r>
            <w:r w:rsidRPr="00947E58">
              <w:rPr>
                <w:rFonts w:ascii="Arial" w:hAnsi="Arial" w:cs="Arial"/>
                <w:color w:val="000000"/>
                <w:sz w:val="16"/>
                <w:szCs w:val="16"/>
              </w:rPr>
              <w:t>services</w:t>
            </w:r>
          </w:p>
        </w:tc>
        <w:tc>
          <w:tcPr>
            <w:tcW w:w="636" w:type="pct"/>
            <w:tcBorders>
              <w:top w:val="nil"/>
              <w:left w:val="nil"/>
              <w:bottom w:val="nil"/>
              <w:right w:val="nil"/>
            </w:tcBorders>
            <w:shd w:val="clear" w:color="auto" w:fill="auto"/>
            <w:noWrap/>
            <w:vAlign w:val="bottom"/>
            <w:hideMark/>
          </w:tcPr>
          <w:p w14:paraId="4CCD3B1F"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604 </w:t>
            </w:r>
          </w:p>
        </w:tc>
        <w:tc>
          <w:tcPr>
            <w:tcW w:w="586" w:type="pct"/>
            <w:tcBorders>
              <w:top w:val="nil"/>
              <w:left w:val="nil"/>
              <w:bottom w:val="nil"/>
              <w:right w:val="nil"/>
            </w:tcBorders>
            <w:shd w:val="clear" w:color="000000" w:fill="E6E6E6"/>
            <w:noWrap/>
            <w:vAlign w:val="bottom"/>
            <w:hideMark/>
          </w:tcPr>
          <w:p w14:paraId="7862010E"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636 </w:t>
            </w:r>
          </w:p>
        </w:tc>
        <w:tc>
          <w:tcPr>
            <w:tcW w:w="591" w:type="pct"/>
            <w:tcBorders>
              <w:top w:val="nil"/>
              <w:left w:val="nil"/>
              <w:bottom w:val="nil"/>
              <w:right w:val="nil"/>
            </w:tcBorders>
            <w:shd w:val="clear" w:color="auto" w:fill="auto"/>
            <w:noWrap/>
            <w:vAlign w:val="bottom"/>
            <w:hideMark/>
          </w:tcPr>
          <w:p w14:paraId="62CF6C65"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653 </w:t>
            </w:r>
          </w:p>
        </w:tc>
        <w:tc>
          <w:tcPr>
            <w:tcW w:w="591" w:type="pct"/>
            <w:tcBorders>
              <w:top w:val="nil"/>
              <w:left w:val="nil"/>
              <w:bottom w:val="nil"/>
              <w:right w:val="nil"/>
            </w:tcBorders>
            <w:shd w:val="clear" w:color="auto" w:fill="auto"/>
            <w:noWrap/>
            <w:vAlign w:val="bottom"/>
            <w:hideMark/>
          </w:tcPr>
          <w:p w14:paraId="4A7E57B3"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653 </w:t>
            </w:r>
          </w:p>
        </w:tc>
        <w:tc>
          <w:tcPr>
            <w:tcW w:w="591" w:type="pct"/>
            <w:tcBorders>
              <w:top w:val="nil"/>
              <w:left w:val="nil"/>
              <w:bottom w:val="nil"/>
              <w:right w:val="nil"/>
            </w:tcBorders>
            <w:shd w:val="clear" w:color="auto" w:fill="auto"/>
            <w:noWrap/>
            <w:vAlign w:val="bottom"/>
            <w:hideMark/>
          </w:tcPr>
          <w:p w14:paraId="6BF75547"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550 </w:t>
            </w:r>
          </w:p>
        </w:tc>
      </w:tr>
      <w:tr w:rsidR="00947E58" w:rsidRPr="00947E58" w14:paraId="5B69B502" w14:textId="77777777" w:rsidTr="00DD0170">
        <w:trPr>
          <w:divId w:val="833452831"/>
          <w:trHeight w:val="225"/>
        </w:trPr>
        <w:tc>
          <w:tcPr>
            <w:tcW w:w="2004" w:type="pct"/>
            <w:tcBorders>
              <w:top w:val="nil"/>
              <w:left w:val="nil"/>
              <w:bottom w:val="nil"/>
              <w:right w:val="nil"/>
            </w:tcBorders>
            <w:shd w:val="clear" w:color="auto" w:fill="auto"/>
            <w:vAlign w:val="bottom"/>
            <w:hideMark/>
          </w:tcPr>
          <w:p w14:paraId="3AE8EAAF" w14:textId="77777777" w:rsidR="00947E58" w:rsidRPr="00947E58" w:rsidRDefault="00947E58" w:rsidP="00DD0170">
            <w:pPr>
              <w:spacing w:after="0" w:line="240" w:lineRule="auto"/>
              <w:ind w:firstLineChars="100" w:firstLine="160"/>
              <w:jc w:val="left"/>
              <w:rPr>
                <w:rFonts w:ascii="Arial" w:hAnsi="Arial" w:cs="Arial"/>
                <w:color w:val="000000"/>
                <w:sz w:val="16"/>
                <w:szCs w:val="16"/>
              </w:rPr>
            </w:pPr>
            <w:r w:rsidRPr="00947E58">
              <w:rPr>
                <w:rFonts w:ascii="Arial" w:hAnsi="Arial" w:cs="Arial"/>
                <w:color w:val="000000"/>
                <w:sz w:val="16"/>
                <w:szCs w:val="16"/>
              </w:rPr>
              <w:t>Net GST Received</w:t>
            </w:r>
          </w:p>
        </w:tc>
        <w:tc>
          <w:tcPr>
            <w:tcW w:w="636" w:type="pct"/>
            <w:tcBorders>
              <w:top w:val="nil"/>
              <w:left w:val="nil"/>
              <w:bottom w:val="nil"/>
              <w:right w:val="nil"/>
            </w:tcBorders>
            <w:shd w:val="clear" w:color="auto" w:fill="auto"/>
            <w:noWrap/>
            <w:vAlign w:val="bottom"/>
            <w:hideMark/>
          </w:tcPr>
          <w:p w14:paraId="1480071B"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125 </w:t>
            </w:r>
          </w:p>
        </w:tc>
        <w:tc>
          <w:tcPr>
            <w:tcW w:w="586" w:type="pct"/>
            <w:tcBorders>
              <w:top w:val="nil"/>
              <w:left w:val="nil"/>
              <w:bottom w:val="nil"/>
              <w:right w:val="nil"/>
            </w:tcBorders>
            <w:shd w:val="clear" w:color="000000" w:fill="E6E6E6"/>
            <w:noWrap/>
            <w:vAlign w:val="bottom"/>
            <w:hideMark/>
          </w:tcPr>
          <w:p w14:paraId="0E9D4DE2"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43C19DFC"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75D69FF0"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45C2C0C2"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 </w:t>
            </w:r>
          </w:p>
        </w:tc>
      </w:tr>
      <w:tr w:rsidR="00947E58" w:rsidRPr="00947E58" w14:paraId="12FE9928"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0151E21A" w14:textId="77777777" w:rsidR="00947E58" w:rsidRPr="00947E58" w:rsidRDefault="00947E58" w:rsidP="00DD0170">
            <w:pPr>
              <w:spacing w:after="0" w:line="240" w:lineRule="auto"/>
              <w:ind w:firstLineChars="100" w:firstLine="160"/>
              <w:jc w:val="left"/>
              <w:rPr>
                <w:rFonts w:ascii="Arial" w:hAnsi="Arial" w:cs="Arial"/>
                <w:color w:val="000000"/>
                <w:sz w:val="16"/>
                <w:szCs w:val="16"/>
              </w:rPr>
            </w:pPr>
            <w:r w:rsidRPr="00947E58">
              <w:rPr>
                <w:rFonts w:ascii="Arial" w:hAnsi="Arial" w:cs="Arial"/>
                <w:color w:val="000000"/>
                <w:sz w:val="16"/>
                <w:szCs w:val="16"/>
              </w:rPr>
              <w:t xml:space="preserve">Other </w:t>
            </w:r>
          </w:p>
        </w:tc>
        <w:tc>
          <w:tcPr>
            <w:tcW w:w="636" w:type="pct"/>
            <w:tcBorders>
              <w:top w:val="nil"/>
              <w:left w:val="nil"/>
              <w:bottom w:val="nil"/>
              <w:right w:val="nil"/>
            </w:tcBorders>
            <w:shd w:val="clear" w:color="auto" w:fill="auto"/>
            <w:noWrap/>
            <w:vAlign w:val="bottom"/>
            <w:hideMark/>
          </w:tcPr>
          <w:p w14:paraId="3D5BA0CA"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510 </w:t>
            </w:r>
          </w:p>
        </w:tc>
        <w:tc>
          <w:tcPr>
            <w:tcW w:w="586" w:type="pct"/>
            <w:tcBorders>
              <w:top w:val="nil"/>
              <w:left w:val="nil"/>
              <w:bottom w:val="nil"/>
              <w:right w:val="nil"/>
            </w:tcBorders>
            <w:shd w:val="clear" w:color="000000" w:fill="E6E6E6"/>
            <w:noWrap/>
            <w:vAlign w:val="bottom"/>
            <w:hideMark/>
          </w:tcPr>
          <w:p w14:paraId="7F3438B3"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500 </w:t>
            </w:r>
          </w:p>
        </w:tc>
        <w:tc>
          <w:tcPr>
            <w:tcW w:w="591" w:type="pct"/>
            <w:tcBorders>
              <w:top w:val="nil"/>
              <w:left w:val="nil"/>
              <w:bottom w:val="nil"/>
              <w:right w:val="nil"/>
            </w:tcBorders>
            <w:shd w:val="clear" w:color="auto" w:fill="auto"/>
            <w:noWrap/>
            <w:vAlign w:val="bottom"/>
            <w:hideMark/>
          </w:tcPr>
          <w:p w14:paraId="11703619"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500 </w:t>
            </w:r>
          </w:p>
        </w:tc>
        <w:tc>
          <w:tcPr>
            <w:tcW w:w="591" w:type="pct"/>
            <w:tcBorders>
              <w:top w:val="nil"/>
              <w:left w:val="nil"/>
              <w:bottom w:val="nil"/>
              <w:right w:val="nil"/>
            </w:tcBorders>
            <w:shd w:val="clear" w:color="auto" w:fill="auto"/>
            <w:noWrap/>
            <w:vAlign w:val="bottom"/>
            <w:hideMark/>
          </w:tcPr>
          <w:p w14:paraId="18D8155B"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500 </w:t>
            </w:r>
          </w:p>
        </w:tc>
        <w:tc>
          <w:tcPr>
            <w:tcW w:w="591" w:type="pct"/>
            <w:tcBorders>
              <w:top w:val="nil"/>
              <w:left w:val="nil"/>
              <w:bottom w:val="nil"/>
              <w:right w:val="nil"/>
            </w:tcBorders>
            <w:shd w:val="clear" w:color="auto" w:fill="auto"/>
            <w:noWrap/>
            <w:vAlign w:val="bottom"/>
            <w:hideMark/>
          </w:tcPr>
          <w:p w14:paraId="34B80758"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500 </w:t>
            </w:r>
          </w:p>
        </w:tc>
      </w:tr>
      <w:tr w:rsidR="00947E58" w:rsidRPr="00947E58" w14:paraId="08CB70EF" w14:textId="77777777" w:rsidTr="00DD0170">
        <w:trPr>
          <w:divId w:val="833452831"/>
          <w:trHeight w:val="210"/>
        </w:trPr>
        <w:tc>
          <w:tcPr>
            <w:tcW w:w="2004" w:type="pct"/>
            <w:tcBorders>
              <w:top w:val="nil"/>
              <w:left w:val="nil"/>
              <w:bottom w:val="nil"/>
              <w:right w:val="nil"/>
            </w:tcBorders>
            <w:shd w:val="clear" w:color="auto" w:fill="auto"/>
            <w:noWrap/>
            <w:vAlign w:val="bottom"/>
            <w:hideMark/>
          </w:tcPr>
          <w:p w14:paraId="4C46535F" w14:textId="77777777" w:rsidR="00947E58" w:rsidRPr="00947E58" w:rsidRDefault="00947E58" w:rsidP="00DD0170">
            <w:pPr>
              <w:spacing w:after="0" w:line="240" w:lineRule="auto"/>
              <w:jc w:val="left"/>
              <w:rPr>
                <w:rFonts w:ascii="Arial" w:hAnsi="Arial" w:cs="Arial"/>
                <w:b/>
                <w:bCs/>
                <w:i/>
                <w:iCs/>
                <w:color w:val="000000"/>
                <w:sz w:val="16"/>
                <w:szCs w:val="16"/>
              </w:rPr>
            </w:pPr>
            <w:r w:rsidRPr="00947E58">
              <w:rPr>
                <w:rFonts w:ascii="Arial" w:hAnsi="Arial" w:cs="Arial"/>
                <w:b/>
                <w:bCs/>
                <w:i/>
                <w:iCs/>
                <w:color w:val="000000"/>
                <w:sz w:val="16"/>
                <w:szCs w:val="16"/>
              </w:rPr>
              <w:t>Total cash received</w:t>
            </w:r>
          </w:p>
        </w:tc>
        <w:tc>
          <w:tcPr>
            <w:tcW w:w="636" w:type="pct"/>
            <w:tcBorders>
              <w:top w:val="single" w:sz="4" w:space="0" w:color="000000"/>
              <w:left w:val="nil"/>
              <w:bottom w:val="single" w:sz="4" w:space="0" w:color="000000"/>
              <w:right w:val="nil"/>
            </w:tcBorders>
            <w:shd w:val="clear" w:color="auto" w:fill="auto"/>
            <w:noWrap/>
            <w:vAlign w:val="bottom"/>
            <w:hideMark/>
          </w:tcPr>
          <w:p w14:paraId="40F9340F"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6,384 </w:t>
            </w:r>
          </w:p>
        </w:tc>
        <w:tc>
          <w:tcPr>
            <w:tcW w:w="586" w:type="pct"/>
            <w:tcBorders>
              <w:top w:val="single" w:sz="4" w:space="0" w:color="000000"/>
              <w:left w:val="nil"/>
              <w:bottom w:val="single" w:sz="4" w:space="0" w:color="000000"/>
              <w:right w:val="nil"/>
            </w:tcBorders>
            <w:shd w:val="clear" w:color="000000" w:fill="E6E6E6"/>
            <w:noWrap/>
            <w:vAlign w:val="bottom"/>
            <w:hideMark/>
          </w:tcPr>
          <w:p w14:paraId="334F0768"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4,701 </w:t>
            </w:r>
          </w:p>
        </w:tc>
        <w:tc>
          <w:tcPr>
            <w:tcW w:w="591" w:type="pct"/>
            <w:tcBorders>
              <w:top w:val="single" w:sz="4" w:space="0" w:color="000000"/>
              <w:left w:val="nil"/>
              <w:bottom w:val="single" w:sz="4" w:space="0" w:color="000000"/>
              <w:right w:val="nil"/>
            </w:tcBorders>
            <w:shd w:val="clear" w:color="auto" w:fill="auto"/>
            <w:noWrap/>
            <w:vAlign w:val="bottom"/>
            <w:hideMark/>
          </w:tcPr>
          <w:p w14:paraId="79DBE018"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4,710 </w:t>
            </w:r>
          </w:p>
        </w:tc>
        <w:tc>
          <w:tcPr>
            <w:tcW w:w="591" w:type="pct"/>
            <w:tcBorders>
              <w:top w:val="single" w:sz="4" w:space="0" w:color="000000"/>
              <w:left w:val="nil"/>
              <w:bottom w:val="single" w:sz="4" w:space="0" w:color="000000"/>
              <w:right w:val="nil"/>
            </w:tcBorders>
            <w:shd w:val="clear" w:color="auto" w:fill="auto"/>
            <w:noWrap/>
            <w:vAlign w:val="bottom"/>
            <w:hideMark/>
          </w:tcPr>
          <w:p w14:paraId="0330E538"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4,713 </w:t>
            </w:r>
          </w:p>
        </w:tc>
        <w:tc>
          <w:tcPr>
            <w:tcW w:w="591" w:type="pct"/>
            <w:tcBorders>
              <w:top w:val="single" w:sz="4" w:space="0" w:color="000000"/>
              <w:left w:val="nil"/>
              <w:bottom w:val="single" w:sz="4" w:space="0" w:color="000000"/>
              <w:right w:val="nil"/>
            </w:tcBorders>
            <w:shd w:val="clear" w:color="auto" w:fill="auto"/>
            <w:noWrap/>
            <w:vAlign w:val="bottom"/>
            <w:hideMark/>
          </w:tcPr>
          <w:p w14:paraId="05D6496C"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4,624 </w:t>
            </w:r>
          </w:p>
        </w:tc>
      </w:tr>
      <w:tr w:rsidR="00947E58" w:rsidRPr="00947E58" w14:paraId="147CE15A"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7FB829DF"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Cash used</w:t>
            </w:r>
          </w:p>
        </w:tc>
        <w:tc>
          <w:tcPr>
            <w:tcW w:w="636" w:type="pct"/>
            <w:tcBorders>
              <w:top w:val="nil"/>
              <w:left w:val="nil"/>
              <w:bottom w:val="nil"/>
              <w:right w:val="nil"/>
            </w:tcBorders>
            <w:shd w:val="clear" w:color="auto" w:fill="auto"/>
            <w:noWrap/>
            <w:vAlign w:val="bottom"/>
            <w:hideMark/>
          </w:tcPr>
          <w:p w14:paraId="572B55A3" w14:textId="77777777" w:rsidR="00947E58" w:rsidRPr="00947E58" w:rsidRDefault="00947E58" w:rsidP="00DD0170">
            <w:pPr>
              <w:spacing w:after="0" w:line="240" w:lineRule="auto"/>
              <w:jc w:val="righ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bottom"/>
            <w:hideMark/>
          </w:tcPr>
          <w:p w14:paraId="34812A4E"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5A40AEE0" w14:textId="77777777" w:rsidR="00947E58" w:rsidRPr="00947E58" w:rsidRDefault="00947E58" w:rsidP="00DD0170">
            <w:pPr>
              <w:spacing w:after="0" w:line="240" w:lineRule="auto"/>
              <w:jc w:val="righ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7E81BE95" w14:textId="77777777" w:rsidR="00947E58" w:rsidRPr="00947E58" w:rsidRDefault="00947E58" w:rsidP="00DD0170">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527959F5" w14:textId="77777777" w:rsidR="00947E58" w:rsidRPr="00947E58" w:rsidRDefault="00947E58" w:rsidP="00DD0170">
            <w:pPr>
              <w:spacing w:after="0" w:line="240" w:lineRule="auto"/>
              <w:jc w:val="right"/>
              <w:rPr>
                <w:rFonts w:ascii="Times New Roman" w:hAnsi="Times New Roman"/>
              </w:rPr>
            </w:pPr>
          </w:p>
        </w:tc>
      </w:tr>
      <w:tr w:rsidR="00947E58" w:rsidRPr="00947E58" w14:paraId="7F75E87A"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15DDE8E7" w14:textId="77777777" w:rsidR="00947E58" w:rsidRPr="00947E58" w:rsidRDefault="00947E58" w:rsidP="00DD0170">
            <w:pPr>
              <w:spacing w:after="0" w:line="240" w:lineRule="auto"/>
              <w:ind w:firstLineChars="100" w:firstLine="160"/>
              <w:jc w:val="left"/>
              <w:rPr>
                <w:rFonts w:ascii="Arial" w:hAnsi="Arial" w:cs="Arial"/>
                <w:color w:val="000000"/>
                <w:sz w:val="16"/>
                <w:szCs w:val="16"/>
              </w:rPr>
            </w:pPr>
            <w:r w:rsidRPr="00947E58">
              <w:rPr>
                <w:rFonts w:ascii="Arial" w:hAnsi="Arial" w:cs="Arial"/>
                <w:color w:val="000000"/>
                <w:sz w:val="16"/>
                <w:szCs w:val="16"/>
              </w:rPr>
              <w:t>Employees</w:t>
            </w:r>
          </w:p>
        </w:tc>
        <w:tc>
          <w:tcPr>
            <w:tcW w:w="636" w:type="pct"/>
            <w:tcBorders>
              <w:top w:val="nil"/>
              <w:left w:val="nil"/>
              <w:bottom w:val="nil"/>
              <w:right w:val="nil"/>
            </w:tcBorders>
            <w:shd w:val="clear" w:color="auto" w:fill="auto"/>
            <w:noWrap/>
            <w:vAlign w:val="bottom"/>
            <w:hideMark/>
          </w:tcPr>
          <w:p w14:paraId="7D3CAA06"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2,975 </w:t>
            </w:r>
          </w:p>
        </w:tc>
        <w:tc>
          <w:tcPr>
            <w:tcW w:w="586" w:type="pct"/>
            <w:tcBorders>
              <w:top w:val="nil"/>
              <w:left w:val="nil"/>
              <w:bottom w:val="nil"/>
              <w:right w:val="nil"/>
            </w:tcBorders>
            <w:shd w:val="clear" w:color="000000" w:fill="E6E6E6"/>
            <w:noWrap/>
            <w:vAlign w:val="bottom"/>
            <w:hideMark/>
          </w:tcPr>
          <w:p w14:paraId="1B53ACA8"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3,320 </w:t>
            </w:r>
          </w:p>
        </w:tc>
        <w:tc>
          <w:tcPr>
            <w:tcW w:w="591" w:type="pct"/>
            <w:tcBorders>
              <w:top w:val="nil"/>
              <w:left w:val="nil"/>
              <w:bottom w:val="nil"/>
              <w:right w:val="nil"/>
            </w:tcBorders>
            <w:shd w:val="clear" w:color="auto" w:fill="auto"/>
            <w:noWrap/>
            <w:vAlign w:val="bottom"/>
            <w:hideMark/>
          </w:tcPr>
          <w:p w14:paraId="741361E6"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3,386 </w:t>
            </w:r>
          </w:p>
        </w:tc>
        <w:tc>
          <w:tcPr>
            <w:tcW w:w="591" w:type="pct"/>
            <w:tcBorders>
              <w:top w:val="nil"/>
              <w:left w:val="nil"/>
              <w:bottom w:val="nil"/>
              <w:right w:val="nil"/>
            </w:tcBorders>
            <w:shd w:val="clear" w:color="auto" w:fill="auto"/>
            <w:noWrap/>
            <w:vAlign w:val="bottom"/>
            <w:hideMark/>
          </w:tcPr>
          <w:p w14:paraId="269FAF97"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3,386 </w:t>
            </w:r>
          </w:p>
        </w:tc>
        <w:tc>
          <w:tcPr>
            <w:tcW w:w="591" w:type="pct"/>
            <w:tcBorders>
              <w:top w:val="nil"/>
              <w:left w:val="nil"/>
              <w:bottom w:val="nil"/>
              <w:right w:val="nil"/>
            </w:tcBorders>
            <w:shd w:val="clear" w:color="auto" w:fill="auto"/>
            <w:noWrap/>
            <w:vAlign w:val="bottom"/>
            <w:hideMark/>
          </w:tcPr>
          <w:p w14:paraId="571FF138"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3,490 </w:t>
            </w:r>
          </w:p>
        </w:tc>
      </w:tr>
      <w:tr w:rsidR="00947E58" w:rsidRPr="00947E58" w14:paraId="3424B92D"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6964892D" w14:textId="77777777" w:rsidR="00947E58" w:rsidRPr="00947E58" w:rsidRDefault="00947E58" w:rsidP="00DD0170">
            <w:pPr>
              <w:spacing w:after="0" w:line="240" w:lineRule="auto"/>
              <w:ind w:firstLineChars="100" w:firstLine="160"/>
              <w:jc w:val="left"/>
              <w:rPr>
                <w:rFonts w:ascii="Arial" w:hAnsi="Arial" w:cs="Arial"/>
                <w:color w:val="000000"/>
                <w:sz w:val="16"/>
                <w:szCs w:val="16"/>
              </w:rPr>
            </w:pPr>
            <w:r w:rsidRPr="00947E58">
              <w:rPr>
                <w:rFonts w:ascii="Arial" w:hAnsi="Arial" w:cs="Arial"/>
                <w:color w:val="000000"/>
                <w:sz w:val="16"/>
                <w:szCs w:val="16"/>
              </w:rPr>
              <w:t>Suppliers</w:t>
            </w:r>
          </w:p>
        </w:tc>
        <w:tc>
          <w:tcPr>
            <w:tcW w:w="636" w:type="pct"/>
            <w:tcBorders>
              <w:top w:val="nil"/>
              <w:left w:val="nil"/>
              <w:bottom w:val="nil"/>
              <w:right w:val="nil"/>
            </w:tcBorders>
            <w:shd w:val="clear" w:color="auto" w:fill="auto"/>
            <w:noWrap/>
            <w:vAlign w:val="bottom"/>
            <w:hideMark/>
          </w:tcPr>
          <w:p w14:paraId="50EF831A"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1,501 </w:t>
            </w:r>
          </w:p>
        </w:tc>
        <w:tc>
          <w:tcPr>
            <w:tcW w:w="586" w:type="pct"/>
            <w:tcBorders>
              <w:top w:val="nil"/>
              <w:left w:val="nil"/>
              <w:bottom w:val="nil"/>
              <w:right w:val="nil"/>
            </w:tcBorders>
            <w:shd w:val="clear" w:color="000000" w:fill="E6E6E6"/>
            <w:noWrap/>
            <w:vAlign w:val="bottom"/>
            <w:hideMark/>
          </w:tcPr>
          <w:p w14:paraId="0F854AAC"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1,170 </w:t>
            </w:r>
          </w:p>
        </w:tc>
        <w:tc>
          <w:tcPr>
            <w:tcW w:w="591" w:type="pct"/>
            <w:tcBorders>
              <w:top w:val="nil"/>
              <w:left w:val="nil"/>
              <w:bottom w:val="nil"/>
              <w:right w:val="nil"/>
            </w:tcBorders>
            <w:shd w:val="clear" w:color="auto" w:fill="auto"/>
            <w:noWrap/>
            <w:vAlign w:val="bottom"/>
            <w:hideMark/>
          </w:tcPr>
          <w:p w14:paraId="078E743E"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1,122 </w:t>
            </w:r>
          </w:p>
        </w:tc>
        <w:tc>
          <w:tcPr>
            <w:tcW w:w="591" w:type="pct"/>
            <w:tcBorders>
              <w:top w:val="nil"/>
              <w:left w:val="nil"/>
              <w:bottom w:val="nil"/>
              <w:right w:val="nil"/>
            </w:tcBorders>
            <w:shd w:val="clear" w:color="auto" w:fill="auto"/>
            <w:noWrap/>
            <w:vAlign w:val="bottom"/>
            <w:hideMark/>
          </w:tcPr>
          <w:p w14:paraId="7F0E1422"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1,125 </w:t>
            </w:r>
          </w:p>
        </w:tc>
        <w:tc>
          <w:tcPr>
            <w:tcW w:w="591" w:type="pct"/>
            <w:tcBorders>
              <w:top w:val="nil"/>
              <w:left w:val="nil"/>
              <w:bottom w:val="nil"/>
              <w:right w:val="nil"/>
            </w:tcBorders>
            <w:shd w:val="clear" w:color="auto" w:fill="auto"/>
            <w:noWrap/>
            <w:vAlign w:val="bottom"/>
            <w:hideMark/>
          </w:tcPr>
          <w:p w14:paraId="5A276399"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932 </w:t>
            </w:r>
          </w:p>
        </w:tc>
      </w:tr>
      <w:tr w:rsidR="00947E58" w:rsidRPr="00947E58" w14:paraId="7D5AFF37"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7FE0CFF5" w14:textId="65B7E2D6" w:rsidR="00947E58" w:rsidRPr="00947E58" w:rsidRDefault="00947E58" w:rsidP="00DD0170">
            <w:pPr>
              <w:spacing w:after="0" w:line="240" w:lineRule="auto"/>
              <w:ind w:firstLineChars="100" w:firstLine="160"/>
              <w:jc w:val="left"/>
              <w:rPr>
                <w:rFonts w:ascii="Arial" w:hAnsi="Arial" w:cs="Arial"/>
                <w:color w:val="000000"/>
                <w:sz w:val="16"/>
                <w:szCs w:val="16"/>
              </w:rPr>
            </w:pPr>
            <w:r w:rsidRPr="00947E58">
              <w:rPr>
                <w:rFonts w:ascii="Arial" w:hAnsi="Arial" w:cs="Arial"/>
                <w:color w:val="000000"/>
                <w:sz w:val="16"/>
                <w:szCs w:val="16"/>
              </w:rPr>
              <w:t>Interest payments on lease liabilities</w:t>
            </w:r>
          </w:p>
        </w:tc>
        <w:tc>
          <w:tcPr>
            <w:tcW w:w="636" w:type="pct"/>
            <w:tcBorders>
              <w:top w:val="nil"/>
              <w:left w:val="nil"/>
              <w:bottom w:val="nil"/>
              <w:right w:val="nil"/>
            </w:tcBorders>
            <w:shd w:val="clear" w:color="auto" w:fill="auto"/>
            <w:noWrap/>
            <w:vAlign w:val="bottom"/>
            <w:hideMark/>
          </w:tcPr>
          <w:p w14:paraId="6E96D752"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4 </w:t>
            </w:r>
          </w:p>
        </w:tc>
        <w:tc>
          <w:tcPr>
            <w:tcW w:w="586" w:type="pct"/>
            <w:tcBorders>
              <w:top w:val="nil"/>
              <w:left w:val="nil"/>
              <w:bottom w:val="nil"/>
              <w:right w:val="nil"/>
            </w:tcBorders>
            <w:shd w:val="clear" w:color="000000" w:fill="E6E6E6"/>
            <w:noWrap/>
            <w:vAlign w:val="bottom"/>
            <w:hideMark/>
          </w:tcPr>
          <w:p w14:paraId="2BCF6598"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4E7934FC"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1AF28D4D"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 </w:t>
            </w:r>
          </w:p>
        </w:tc>
        <w:tc>
          <w:tcPr>
            <w:tcW w:w="591" w:type="pct"/>
            <w:tcBorders>
              <w:top w:val="nil"/>
              <w:left w:val="nil"/>
              <w:bottom w:val="nil"/>
              <w:right w:val="nil"/>
            </w:tcBorders>
            <w:shd w:val="clear" w:color="auto" w:fill="auto"/>
            <w:noWrap/>
            <w:vAlign w:val="bottom"/>
            <w:hideMark/>
          </w:tcPr>
          <w:p w14:paraId="66239012"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 </w:t>
            </w:r>
          </w:p>
        </w:tc>
      </w:tr>
      <w:tr w:rsidR="00947E58" w:rsidRPr="00947E58" w14:paraId="7AA496CE" w14:textId="77777777" w:rsidTr="00DD0170">
        <w:trPr>
          <w:divId w:val="833452831"/>
          <w:trHeight w:val="210"/>
        </w:trPr>
        <w:tc>
          <w:tcPr>
            <w:tcW w:w="2004" w:type="pct"/>
            <w:tcBorders>
              <w:top w:val="nil"/>
              <w:left w:val="nil"/>
              <w:bottom w:val="nil"/>
              <w:right w:val="nil"/>
            </w:tcBorders>
            <w:shd w:val="clear" w:color="auto" w:fill="auto"/>
            <w:noWrap/>
            <w:vAlign w:val="bottom"/>
            <w:hideMark/>
          </w:tcPr>
          <w:p w14:paraId="26FDEAC7" w14:textId="77777777" w:rsidR="00947E58" w:rsidRPr="00947E58" w:rsidRDefault="00947E58" w:rsidP="00DD0170">
            <w:pPr>
              <w:spacing w:after="0" w:line="240" w:lineRule="auto"/>
              <w:jc w:val="left"/>
              <w:rPr>
                <w:rFonts w:ascii="Arial" w:hAnsi="Arial" w:cs="Arial"/>
                <w:b/>
                <w:bCs/>
                <w:i/>
                <w:iCs/>
                <w:color w:val="000000"/>
                <w:sz w:val="16"/>
                <w:szCs w:val="16"/>
              </w:rPr>
            </w:pPr>
            <w:r w:rsidRPr="00947E58">
              <w:rPr>
                <w:rFonts w:ascii="Arial" w:hAnsi="Arial" w:cs="Arial"/>
                <w:b/>
                <w:bCs/>
                <w:i/>
                <w:iCs/>
                <w:color w:val="000000"/>
                <w:sz w:val="16"/>
                <w:szCs w:val="16"/>
              </w:rPr>
              <w:t>Total cash used</w:t>
            </w:r>
          </w:p>
        </w:tc>
        <w:tc>
          <w:tcPr>
            <w:tcW w:w="636" w:type="pct"/>
            <w:tcBorders>
              <w:top w:val="single" w:sz="4" w:space="0" w:color="000000"/>
              <w:left w:val="nil"/>
              <w:bottom w:val="nil"/>
              <w:right w:val="nil"/>
            </w:tcBorders>
            <w:shd w:val="clear" w:color="auto" w:fill="auto"/>
            <w:noWrap/>
            <w:vAlign w:val="bottom"/>
            <w:hideMark/>
          </w:tcPr>
          <w:p w14:paraId="76248944"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4,480 </w:t>
            </w:r>
          </w:p>
        </w:tc>
        <w:tc>
          <w:tcPr>
            <w:tcW w:w="586" w:type="pct"/>
            <w:tcBorders>
              <w:top w:val="single" w:sz="4" w:space="0" w:color="000000"/>
              <w:left w:val="nil"/>
              <w:bottom w:val="nil"/>
              <w:right w:val="nil"/>
            </w:tcBorders>
            <w:shd w:val="clear" w:color="000000" w:fill="E6E6E6"/>
            <w:noWrap/>
            <w:vAlign w:val="bottom"/>
            <w:hideMark/>
          </w:tcPr>
          <w:p w14:paraId="72B2DFA6"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4,490 </w:t>
            </w:r>
          </w:p>
        </w:tc>
        <w:tc>
          <w:tcPr>
            <w:tcW w:w="591" w:type="pct"/>
            <w:tcBorders>
              <w:top w:val="single" w:sz="4" w:space="0" w:color="000000"/>
              <w:left w:val="nil"/>
              <w:bottom w:val="nil"/>
              <w:right w:val="nil"/>
            </w:tcBorders>
            <w:shd w:val="clear" w:color="auto" w:fill="auto"/>
            <w:noWrap/>
            <w:vAlign w:val="bottom"/>
            <w:hideMark/>
          </w:tcPr>
          <w:p w14:paraId="533ADD83"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4,508 </w:t>
            </w:r>
          </w:p>
        </w:tc>
        <w:tc>
          <w:tcPr>
            <w:tcW w:w="591" w:type="pct"/>
            <w:tcBorders>
              <w:top w:val="single" w:sz="4" w:space="0" w:color="000000"/>
              <w:left w:val="nil"/>
              <w:bottom w:val="nil"/>
              <w:right w:val="nil"/>
            </w:tcBorders>
            <w:shd w:val="clear" w:color="auto" w:fill="auto"/>
            <w:noWrap/>
            <w:vAlign w:val="bottom"/>
            <w:hideMark/>
          </w:tcPr>
          <w:p w14:paraId="1450CE53"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4,511 </w:t>
            </w:r>
          </w:p>
        </w:tc>
        <w:tc>
          <w:tcPr>
            <w:tcW w:w="591" w:type="pct"/>
            <w:tcBorders>
              <w:top w:val="single" w:sz="4" w:space="0" w:color="000000"/>
              <w:left w:val="nil"/>
              <w:bottom w:val="nil"/>
              <w:right w:val="nil"/>
            </w:tcBorders>
            <w:shd w:val="clear" w:color="auto" w:fill="auto"/>
            <w:noWrap/>
            <w:vAlign w:val="bottom"/>
            <w:hideMark/>
          </w:tcPr>
          <w:p w14:paraId="7B07F08F"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4,422 </w:t>
            </w:r>
          </w:p>
        </w:tc>
      </w:tr>
      <w:tr w:rsidR="00947E58" w:rsidRPr="00947E58" w14:paraId="103A0034" w14:textId="77777777" w:rsidTr="00DD0170">
        <w:trPr>
          <w:divId w:val="833452831"/>
          <w:trHeight w:val="450"/>
        </w:trPr>
        <w:tc>
          <w:tcPr>
            <w:tcW w:w="2004" w:type="pct"/>
            <w:tcBorders>
              <w:top w:val="nil"/>
              <w:left w:val="nil"/>
              <w:bottom w:val="nil"/>
              <w:right w:val="nil"/>
            </w:tcBorders>
            <w:shd w:val="clear" w:color="auto" w:fill="auto"/>
            <w:vAlign w:val="bottom"/>
            <w:hideMark/>
          </w:tcPr>
          <w:p w14:paraId="173A5C97"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Net cash from/(used by)</w:t>
            </w:r>
            <w:r w:rsidRPr="00947E58">
              <w:rPr>
                <w:rFonts w:ascii="Arial" w:hAnsi="Arial" w:cs="Arial"/>
                <w:b/>
                <w:bCs/>
                <w:color w:val="000000"/>
                <w:sz w:val="16"/>
                <w:szCs w:val="16"/>
              </w:rPr>
              <w:br/>
              <w:t xml:space="preserve">  operating activities</w:t>
            </w:r>
          </w:p>
        </w:tc>
        <w:tc>
          <w:tcPr>
            <w:tcW w:w="636" w:type="pct"/>
            <w:tcBorders>
              <w:top w:val="single" w:sz="4" w:space="0" w:color="auto"/>
              <w:left w:val="nil"/>
              <w:bottom w:val="single" w:sz="4" w:space="0" w:color="auto"/>
              <w:right w:val="nil"/>
            </w:tcBorders>
            <w:shd w:val="clear" w:color="auto" w:fill="auto"/>
            <w:noWrap/>
            <w:vAlign w:val="bottom"/>
            <w:hideMark/>
          </w:tcPr>
          <w:p w14:paraId="34FEDB28"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xml:space="preserve">1,904 </w:t>
            </w:r>
          </w:p>
        </w:tc>
        <w:tc>
          <w:tcPr>
            <w:tcW w:w="586" w:type="pct"/>
            <w:tcBorders>
              <w:top w:val="single" w:sz="4" w:space="0" w:color="auto"/>
              <w:left w:val="nil"/>
              <w:bottom w:val="single" w:sz="4" w:space="0" w:color="auto"/>
              <w:right w:val="nil"/>
            </w:tcBorders>
            <w:shd w:val="clear" w:color="000000" w:fill="E6E6E6"/>
            <w:noWrap/>
            <w:vAlign w:val="bottom"/>
            <w:hideMark/>
          </w:tcPr>
          <w:p w14:paraId="302A6041"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xml:space="preserve">211 </w:t>
            </w:r>
          </w:p>
        </w:tc>
        <w:tc>
          <w:tcPr>
            <w:tcW w:w="591" w:type="pct"/>
            <w:tcBorders>
              <w:top w:val="single" w:sz="4" w:space="0" w:color="auto"/>
              <w:left w:val="nil"/>
              <w:bottom w:val="single" w:sz="4" w:space="0" w:color="auto"/>
              <w:right w:val="nil"/>
            </w:tcBorders>
            <w:shd w:val="clear" w:color="auto" w:fill="auto"/>
            <w:noWrap/>
            <w:vAlign w:val="bottom"/>
            <w:hideMark/>
          </w:tcPr>
          <w:p w14:paraId="64BB6578"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xml:space="preserve">202 </w:t>
            </w:r>
          </w:p>
        </w:tc>
        <w:tc>
          <w:tcPr>
            <w:tcW w:w="591" w:type="pct"/>
            <w:tcBorders>
              <w:top w:val="single" w:sz="4" w:space="0" w:color="auto"/>
              <w:left w:val="nil"/>
              <w:bottom w:val="single" w:sz="4" w:space="0" w:color="auto"/>
              <w:right w:val="nil"/>
            </w:tcBorders>
            <w:shd w:val="clear" w:color="auto" w:fill="auto"/>
            <w:noWrap/>
            <w:vAlign w:val="bottom"/>
            <w:hideMark/>
          </w:tcPr>
          <w:p w14:paraId="04308DDB"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xml:space="preserve">202 </w:t>
            </w:r>
          </w:p>
        </w:tc>
        <w:tc>
          <w:tcPr>
            <w:tcW w:w="591" w:type="pct"/>
            <w:tcBorders>
              <w:top w:val="single" w:sz="4" w:space="0" w:color="auto"/>
              <w:left w:val="nil"/>
              <w:bottom w:val="single" w:sz="4" w:space="0" w:color="auto"/>
              <w:right w:val="nil"/>
            </w:tcBorders>
            <w:shd w:val="clear" w:color="auto" w:fill="auto"/>
            <w:noWrap/>
            <w:vAlign w:val="bottom"/>
            <w:hideMark/>
          </w:tcPr>
          <w:p w14:paraId="55BEB531"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xml:space="preserve">202 </w:t>
            </w:r>
          </w:p>
        </w:tc>
      </w:tr>
      <w:tr w:rsidR="00947E58" w:rsidRPr="00947E58" w14:paraId="38A6F3F1"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1C2697D8"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INVESTING ACTIVITIES</w:t>
            </w:r>
          </w:p>
        </w:tc>
        <w:tc>
          <w:tcPr>
            <w:tcW w:w="636" w:type="pct"/>
            <w:tcBorders>
              <w:top w:val="nil"/>
              <w:left w:val="nil"/>
              <w:bottom w:val="nil"/>
              <w:right w:val="nil"/>
            </w:tcBorders>
            <w:shd w:val="clear" w:color="auto" w:fill="auto"/>
            <w:noWrap/>
            <w:vAlign w:val="bottom"/>
            <w:hideMark/>
          </w:tcPr>
          <w:p w14:paraId="0F9C01DA" w14:textId="77777777" w:rsidR="00947E58" w:rsidRPr="00947E58" w:rsidRDefault="00947E58" w:rsidP="00DD0170">
            <w:pPr>
              <w:spacing w:after="0" w:line="240" w:lineRule="auto"/>
              <w:jc w:val="righ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bottom"/>
            <w:hideMark/>
          </w:tcPr>
          <w:p w14:paraId="6EFFCD80"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667BA860" w14:textId="77777777" w:rsidR="00947E58" w:rsidRPr="00947E58" w:rsidRDefault="00947E58" w:rsidP="00DD0170">
            <w:pPr>
              <w:spacing w:after="0" w:line="240" w:lineRule="auto"/>
              <w:jc w:val="righ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30F754E6" w14:textId="77777777" w:rsidR="00947E58" w:rsidRPr="00947E58" w:rsidRDefault="00947E58" w:rsidP="00DD0170">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1B80D638" w14:textId="77777777" w:rsidR="00947E58" w:rsidRPr="00947E58" w:rsidRDefault="00947E58" w:rsidP="00DD0170">
            <w:pPr>
              <w:spacing w:after="0" w:line="240" w:lineRule="auto"/>
              <w:jc w:val="right"/>
              <w:rPr>
                <w:rFonts w:ascii="Times New Roman" w:hAnsi="Times New Roman"/>
              </w:rPr>
            </w:pPr>
          </w:p>
        </w:tc>
      </w:tr>
      <w:tr w:rsidR="00947E58" w:rsidRPr="00947E58" w14:paraId="6BD9E816"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77E936F8"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Cash used</w:t>
            </w:r>
          </w:p>
        </w:tc>
        <w:tc>
          <w:tcPr>
            <w:tcW w:w="636" w:type="pct"/>
            <w:tcBorders>
              <w:top w:val="nil"/>
              <w:left w:val="nil"/>
              <w:bottom w:val="nil"/>
              <w:right w:val="nil"/>
            </w:tcBorders>
            <w:shd w:val="clear" w:color="auto" w:fill="auto"/>
            <w:noWrap/>
            <w:vAlign w:val="bottom"/>
            <w:hideMark/>
          </w:tcPr>
          <w:p w14:paraId="48EEC0CE" w14:textId="77777777" w:rsidR="00947E58" w:rsidRPr="00947E58" w:rsidRDefault="00947E58" w:rsidP="00DD0170">
            <w:pPr>
              <w:spacing w:after="0" w:line="240" w:lineRule="auto"/>
              <w:jc w:val="righ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bottom"/>
            <w:hideMark/>
          </w:tcPr>
          <w:p w14:paraId="0A676A4B"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3C656F5A" w14:textId="77777777" w:rsidR="00947E58" w:rsidRPr="00947E58" w:rsidRDefault="00947E58" w:rsidP="00DD0170">
            <w:pPr>
              <w:spacing w:after="0" w:line="240" w:lineRule="auto"/>
              <w:jc w:val="righ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1A6D9AB3" w14:textId="77777777" w:rsidR="00947E58" w:rsidRPr="00947E58" w:rsidRDefault="00947E58" w:rsidP="00DD0170">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79D4980B" w14:textId="77777777" w:rsidR="00947E58" w:rsidRPr="00947E58" w:rsidRDefault="00947E58" w:rsidP="00DD0170">
            <w:pPr>
              <w:spacing w:after="0" w:line="240" w:lineRule="auto"/>
              <w:jc w:val="right"/>
              <w:rPr>
                <w:rFonts w:ascii="Times New Roman" w:hAnsi="Times New Roman"/>
              </w:rPr>
            </w:pPr>
          </w:p>
        </w:tc>
      </w:tr>
      <w:tr w:rsidR="00947E58" w:rsidRPr="00947E58" w14:paraId="5F40BC81" w14:textId="77777777" w:rsidTr="00DD0170">
        <w:trPr>
          <w:divId w:val="833452831"/>
          <w:trHeight w:val="450"/>
        </w:trPr>
        <w:tc>
          <w:tcPr>
            <w:tcW w:w="2004" w:type="pct"/>
            <w:tcBorders>
              <w:top w:val="nil"/>
              <w:left w:val="nil"/>
              <w:bottom w:val="nil"/>
              <w:right w:val="nil"/>
            </w:tcBorders>
            <w:shd w:val="clear" w:color="auto" w:fill="auto"/>
            <w:vAlign w:val="bottom"/>
            <w:hideMark/>
          </w:tcPr>
          <w:p w14:paraId="21A98B35" w14:textId="493B998B" w:rsidR="00947E58" w:rsidRPr="00947E58" w:rsidRDefault="00947E58" w:rsidP="00DD0170">
            <w:pPr>
              <w:spacing w:after="0" w:line="240" w:lineRule="auto"/>
              <w:ind w:firstLineChars="100" w:firstLine="160"/>
              <w:jc w:val="left"/>
              <w:rPr>
                <w:rFonts w:ascii="Arial" w:hAnsi="Arial" w:cs="Arial"/>
                <w:color w:val="000000"/>
                <w:sz w:val="16"/>
                <w:szCs w:val="16"/>
              </w:rPr>
            </w:pPr>
            <w:r w:rsidRPr="00947E58">
              <w:rPr>
                <w:rFonts w:ascii="Arial" w:hAnsi="Arial" w:cs="Arial"/>
                <w:color w:val="000000"/>
                <w:sz w:val="16"/>
                <w:szCs w:val="16"/>
              </w:rPr>
              <w:t>Purchase of property, plant and</w:t>
            </w:r>
            <w:r w:rsidRPr="00947E58">
              <w:rPr>
                <w:rFonts w:ascii="Arial" w:hAnsi="Arial" w:cs="Arial"/>
                <w:color w:val="000000"/>
                <w:sz w:val="16"/>
                <w:szCs w:val="16"/>
              </w:rPr>
              <w:br/>
              <w:t xml:space="preserve">  </w:t>
            </w:r>
            <w:r w:rsidR="000D0771">
              <w:rPr>
                <w:rFonts w:ascii="Arial" w:hAnsi="Arial" w:cs="Arial"/>
                <w:color w:val="000000"/>
                <w:sz w:val="16"/>
                <w:szCs w:val="16"/>
              </w:rPr>
              <w:t xml:space="preserve">  </w:t>
            </w:r>
            <w:r w:rsidRPr="00947E58">
              <w:rPr>
                <w:rFonts w:ascii="Arial" w:hAnsi="Arial" w:cs="Arial"/>
                <w:color w:val="000000"/>
                <w:sz w:val="16"/>
                <w:szCs w:val="16"/>
              </w:rPr>
              <w:t>equipment and intangibles</w:t>
            </w:r>
          </w:p>
        </w:tc>
        <w:tc>
          <w:tcPr>
            <w:tcW w:w="636" w:type="pct"/>
            <w:tcBorders>
              <w:top w:val="nil"/>
              <w:left w:val="nil"/>
              <w:bottom w:val="nil"/>
              <w:right w:val="nil"/>
            </w:tcBorders>
            <w:shd w:val="clear" w:color="auto" w:fill="auto"/>
            <w:noWrap/>
            <w:vAlign w:val="bottom"/>
            <w:hideMark/>
          </w:tcPr>
          <w:p w14:paraId="004E236F"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63 </w:t>
            </w:r>
          </w:p>
        </w:tc>
        <w:tc>
          <w:tcPr>
            <w:tcW w:w="586" w:type="pct"/>
            <w:tcBorders>
              <w:top w:val="nil"/>
              <w:left w:val="nil"/>
              <w:bottom w:val="nil"/>
              <w:right w:val="nil"/>
            </w:tcBorders>
            <w:shd w:val="clear" w:color="000000" w:fill="E6E6E6"/>
            <w:noWrap/>
            <w:vAlign w:val="bottom"/>
            <w:hideMark/>
          </w:tcPr>
          <w:p w14:paraId="50B20F1F"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51 </w:t>
            </w:r>
          </w:p>
        </w:tc>
        <w:tc>
          <w:tcPr>
            <w:tcW w:w="591" w:type="pct"/>
            <w:tcBorders>
              <w:top w:val="nil"/>
              <w:left w:val="nil"/>
              <w:bottom w:val="nil"/>
              <w:right w:val="nil"/>
            </w:tcBorders>
            <w:shd w:val="clear" w:color="auto" w:fill="auto"/>
            <w:noWrap/>
            <w:vAlign w:val="bottom"/>
            <w:hideMark/>
          </w:tcPr>
          <w:p w14:paraId="59FB0223"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51 </w:t>
            </w:r>
          </w:p>
        </w:tc>
        <w:tc>
          <w:tcPr>
            <w:tcW w:w="591" w:type="pct"/>
            <w:tcBorders>
              <w:top w:val="nil"/>
              <w:left w:val="nil"/>
              <w:bottom w:val="nil"/>
              <w:right w:val="nil"/>
            </w:tcBorders>
            <w:shd w:val="clear" w:color="auto" w:fill="auto"/>
            <w:noWrap/>
            <w:vAlign w:val="bottom"/>
            <w:hideMark/>
          </w:tcPr>
          <w:p w14:paraId="0D8DD3D5"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51 </w:t>
            </w:r>
          </w:p>
        </w:tc>
        <w:tc>
          <w:tcPr>
            <w:tcW w:w="591" w:type="pct"/>
            <w:tcBorders>
              <w:top w:val="nil"/>
              <w:left w:val="nil"/>
              <w:bottom w:val="nil"/>
              <w:right w:val="nil"/>
            </w:tcBorders>
            <w:shd w:val="clear" w:color="auto" w:fill="auto"/>
            <w:noWrap/>
            <w:vAlign w:val="bottom"/>
            <w:hideMark/>
          </w:tcPr>
          <w:p w14:paraId="15044110"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52 </w:t>
            </w:r>
          </w:p>
        </w:tc>
      </w:tr>
      <w:tr w:rsidR="00947E58" w:rsidRPr="00947E58" w14:paraId="7797E7F6" w14:textId="77777777" w:rsidTr="00DD0170">
        <w:trPr>
          <w:divId w:val="833452831"/>
          <w:trHeight w:val="210"/>
        </w:trPr>
        <w:tc>
          <w:tcPr>
            <w:tcW w:w="2004" w:type="pct"/>
            <w:tcBorders>
              <w:top w:val="nil"/>
              <w:left w:val="nil"/>
              <w:right w:val="nil"/>
            </w:tcBorders>
            <w:shd w:val="clear" w:color="auto" w:fill="auto"/>
            <w:noWrap/>
            <w:vAlign w:val="bottom"/>
            <w:hideMark/>
          </w:tcPr>
          <w:p w14:paraId="518C9BD2" w14:textId="77777777" w:rsidR="00947E58" w:rsidRPr="00947E58" w:rsidRDefault="00947E58" w:rsidP="00DD0170">
            <w:pPr>
              <w:spacing w:after="0" w:line="240" w:lineRule="auto"/>
              <w:jc w:val="left"/>
              <w:rPr>
                <w:rFonts w:ascii="Arial" w:hAnsi="Arial" w:cs="Arial"/>
                <w:b/>
                <w:bCs/>
                <w:i/>
                <w:iCs/>
                <w:color w:val="000000"/>
                <w:sz w:val="16"/>
                <w:szCs w:val="16"/>
              </w:rPr>
            </w:pPr>
            <w:r w:rsidRPr="00947E58">
              <w:rPr>
                <w:rFonts w:ascii="Arial" w:hAnsi="Arial" w:cs="Arial"/>
                <w:b/>
                <w:bCs/>
                <w:i/>
                <w:iCs/>
                <w:color w:val="000000"/>
                <w:sz w:val="16"/>
                <w:szCs w:val="16"/>
              </w:rPr>
              <w:t>Total cash used</w:t>
            </w:r>
          </w:p>
        </w:tc>
        <w:tc>
          <w:tcPr>
            <w:tcW w:w="636" w:type="pct"/>
            <w:tcBorders>
              <w:top w:val="single" w:sz="4" w:space="0" w:color="000000"/>
              <w:left w:val="nil"/>
              <w:bottom w:val="single" w:sz="4" w:space="0" w:color="000000"/>
              <w:right w:val="nil"/>
            </w:tcBorders>
            <w:shd w:val="clear" w:color="auto" w:fill="auto"/>
            <w:noWrap/>
            <w:vAlign w:val="bottom"/>
            <w:hideMark/>
          </w:tcPr>
          <w:p w14:paraId="1A42A3E7"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63 </w:t>
            </w:r>
          </w:p>
        </w:tc>
        <w:tc>
          <w:tcPr>
            <w:tcW w:w="586" w:type="pct"/>
            <w:tcBorders>
              <w:top w:val="single" w:sz="4" w:space="0" w:color="000000"/>
              <w:left w:val="nil"/>
              <w:bottom w:val="single" w:sz="4" w:space="0" w:color="000000"/>
              <w:right w:val="nil"/>
            </w:tcBorders>
            <w:shd w:val="clear" w:color="000000" w:fill="E6E6E6"/>
            <w:noWrap/>
            <w:vAlign w:val="bottom"/>
            <w:hideMark/>
          </w:tcPr>
          <w:p w14:paraId="09969BE1"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51 </w:t>
            </w:r>
          </w:p>
        </w:tc>
        <w:tc>
          <w:tcPr>
            <w:tcW w:w="591" w:type="pct"/>
            <w:tcBorders>
              <w:top w:val="single" w:sz="4" w:space="0" w:color="000000"/>
              <w:left w:val="nil"/>
              <w:bottom w:val="single" w:sz="4" w:space="0" w:color="000000"/>
              <w:right w:val="nil"/>
            </w:tcBorders>
            <w:shd w:val="clear" w:color="auto" w:fill="auto"/>
            <w:noWrap/>
            <w:vAlign w:val="bottom"/>
            <w:hideMark/>
          </w:tcPr>
          <w:p w14:paraId="71E6BABC"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51 </w:t>
            </w:r>
          </w:p>
        </w:tc>
        <w:tc>
          <w:tcPr>
            <w:tcW w:w="591" w:type="pct"/>
            <w:tcBorders>
              <w:top w:val="single" w:sz="4" w:space="0" w:color="000000"/>
              <w:left w:val="nil"/>
              <w:bottom w:val="single" w:sz="4" w:space="0" w:color="000000"/>
              <w:right w:val="nil"/>
            </w:tcBorders>
            <w:shd w:val="clear" w:color="auto" w:fill="auto"/>
            <w:noWrap/>
            <w:vAlign w:val="bottom"/>
            <w:hideMark/>
          </w:tcPr>
          <w:p w14:paraId="3B96C0BF"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51 </w:t>
            </w:r>
          </w:p>
        </w:tc>
        <w:tc>
          <w:tcPr>
            <w:tcW w:w="591" w:type="pct"/>
            <w:tcBorders>
              <w:top w:val="single" w:sz="4" w:space="0" w:color="000000"/>
              <w:left w:val="nil"/>
              <w:bottom w:val="single" w:sz="4" w:space="0" w:color="000000"/>
              <w:right w:val="nil"/>
            </w:tcBorders>
            <w:shd w:val="clear" w:color="auto" w:fill="auto"/>
            <w:noWrap/>
            <w:vAlign w:val="bottom"/>
            <w:hideMark/>
          </w:tcPr>
          <w:p w14:paraId="216D425F"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52 </w:t>
            </w:r>
          </w:p>
        </w:tc>
      </w:tr>
      <w:tr w:rsidR="00947E58" w:rsidRPr="00947E58" w14:paraId="6BDA7824" w14:textId="77777777" w:rsidTr="00DD0170">
        <w:trPr>
          <w:divId w:val="833452831"/>
          <w:trHeight w:val="450"/>
        </w:trPr>
        <w:tc>
          <w:tcPr>
            <w:tcW w:w="2004" w:type="pct"/>
            <w:tcBorders>
              <w:top w:val="nil"/>
              <w:left w:val="nil"/>
              <w:right w:val="nil"/>
            </w:tcBorders>
            <w:shd w:val="clear" w:color="auto" w:fill="auto"/>
            <w:vAlign w:val="bottom"/>
            <w:hideMark/>
          </w:tcPr>
          <w:p w14:paraId="19AAC414"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Net cash from/(used by)</w:t>
            </w:r>
            <w:r w:rsidRPr="00947E58">
              <w:rPr>
                <w:rFonts w:ascii="Arial" w:hAnsi="Arial" w:cs="Arial"/>
                <w:b/>
                <w:bCs/>
                <w:color w:val="000000"/>
                <w:sz w:val="16"/>
                <w:szCs w:val="16"/>
              </w:rPr>
              <w:br/>
              <w:t xml:space="preserve">  investing activities</w:t>
            </w:r>
          </w:p>
        </w:tc>
        <w:tc>
          <w:tcPr>
            <w:tcW w:w="636" w:type="pct"/>
            <w:tcBorders>
              <w:top w:val="nil"/>
              <w:left w:val="nil"/>
              <w:bottom w:val="single" w:sz="4" w:space="0" w:color="auto"/>
              <w:right w:val="nil"/>
            </w:tcBorders>
            <w:shd w:val="clear" w:color="auto" w:fill="auto"/>
            <w:noWrap/>
            <w:vAlign w:val="bottom"/>
            <w:hideMark/>
          </w:tcPr>
          <w:p w14:paraId="4730E28C"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(63)</w:t>
            </w:r>
          </w:p>
        </w:tc>
        <w:tc>
          <w:tcPr>
            <w:tcW w:w="586" w:type="pct"/>
            <w:tcBorders>
              <w:top w:val="nil"/>
              <w:left w:val="nil"/>
              <w:bottom w:val="single" w:sz="4" w:space="0" w:color="auto"/>
              <w:right w:val="nil"/>
            </w:tcBorders>
            <w:shd w:val="clear" w:color="000000" w:fill="E6E6E6"/>
            <w:noWrap/>
            <w:vAlign w:val="bottom"/>
            <w:hideMark/>
          </w:tcPr>
          <w:p w14:paraId="396FDFF0"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(51)</w:t>
            </w:r>
          </w:p>
        </w:tc>
        <w:tc>
          <w:tcPr>
            <w:tcW w:w="591" w:type="pct"/>
            <w:tcBorders>
              <w:top w:val="nil"/>
              <w:left w:val="nil"/>
              <w:bottom w:val="single" w:sz="4" w:space="0" w:color="auto"/>
              <w:right w:val="nil"/>
            </w:tcBorders>
            <w:shd w:val="clear" w:color="auto" w:fill="auto"/>
            <w:noWrap/>
            <w:vAlign w:val="bottom"/>
            <w:hideMark/>
          </w:tcPr>
          <w:p w14:paraId="13EED42E"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(51)</w:t>
            </w:r>
          </w:p>
        </w:tc>
        <w:tc>
          <w:tcPr>
            <w:tcW w:w="591" w:type="pct"/>
            <w:tcBorders>
              <w:top w:val="nil"/>
              <w:left w:val="nil"/>
              <w:bottom w:val="single" w:sz="4" w:space="0" w:color="auto"/>
              <w:right w:val="nil"/>
            </w:tcBorders>
            <w:shd w:val="clear" w:color="auto" w:fill="auto"/>
            <w:noWrap/>
            <w:vAlign w:val="bottom"/>
            <w:hideMark/>
          </w:tcPr>
          <w:p w14:paraId="4C4EA1F5"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(51)</w:t>
            </w:r>
          </w:p>
        </w:tc>
        <w:tc>
          <w:tcPr>
            <w:tcW w:w="591" w:type="pct"/>
            <w:tcBorders>
              <w:top w:val="nil"/>
              <w:left w:val="nil"/>
              <w:bottom w:val="single" w:sz="4" w:space="0" w:color="auto"/>
              <w:right w:val="nil"/>
            </w:tcBorders>
            <w:shd w:val="clear" w:color="auto" w:fill="auto"/>
            <w:noWrap/>
            <w:vAlign w:val="bottom"/>
            <w:hideMark/>
          </w:tcPr>
          <w:p w14:paraId="7FA80526"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(52)</w:t>
            </w:r>
          </w:p>
        </w:tc>
      </w:tr>
      <w:tr w:rsidR="00947E58" w:rsidRPr="00947E58" w14:paraId="2EF95BF0" w14:textId="77777777" w:rsidTr="00DD0170">
        <w:trPr>
          <w:divId w:val="833452831"/>
          <w:trHeight w:val="225"/>
        </w:trPr>
        <w:tc>
          <w:tcPr>
            <w:tcW w:w="2004" w:type="pct"/>
            <w:tcBorders>
              <w:left w:val="nil"/>
              <w:bottom w:val="nil"/>
              <w:right w:val="nil"/>
            </w:tcBorders>
            <w:shd w:val="clear" w:color="auto" w:fill="auto"/>
            <w:vAlign w:val="bottom"/>
            <w:hideMark/>
          </w:tcPr>
          <w:p w14:paraId="373FE84D" w14:textId="77777777" w:rsidR="00947E58" w:rsidRPr="00947E58" w:rsidRDefault="00947E58" w:rsidP="00DD0170">
            <w:pPr>
              <w:spacing w:after="0" w:line="240" w:lineRule="auto"/>
              <w:jc w:val="left"/>
              <w:rPr>
                <w:rFonts w:ascii="Arial" w:hAnsi="Arial" w:cs="Arial"/>
                <w:b/>
                <w:bCs/>
                <w:color w:val="000000"/>
                <w:sz w:val="16"/>
                <w:szCs w:val="16"/>
              </w:rPr>
            </w:pPr>
          </w:p>
        </w:tc>
        <w:tc>
          <w:tcPr>
            <w:tcW w:w="636" w:type="pct"/>
            <w:tcBorders>
              <w:top w:val="nil"/>
              <w:left w:val="nil"/>
              <w:bottom w:val="nil"/>
              <w:right w:val="nil"/>
            </w:tcBorders>
            <w:shd w:val="clear" w:color="auto" w:fill="auto"/>
            <w:noWrap/>
            <w:vAlign w:val="bottom"/>
            <w:hideMark/>
          </w:tcPr>
          <w:p w14:paraId="29BFA91E" w14:textId="77777777" w:rsidR="00947E58" w:rsidRPr="00947E58" w:rsidRDefault="00947E58" w:rsidP="00DD0170">
            <w:pPr>
              <w:spacing w:after="0" w:line="240" w:lineRule="auto"/>
              <w:jc w:val="right"/>
              <w:rPr>
                <w:rFonts w:ascii="Times New Roman" w:hAnsi="Times New Roman"/>
              </w:rPr>
            </w:pPr>
          </w:p>
        </w:tc>
        <w:tc>
          <w:tcPr>
            <w:tcW w:w="586" w:type="pct"/>
            <w:tcBorders>
              <w:top w:val="nil"/>
              <w:left w:val="nil"/>
              <w:bottom w:val="nil"/>
              <w:right w:val="nil"/>
            </w:tcBorders>
            <w:shd w:val="clear" w:color="000000" w:fill="E6E6E6"/>
            <w:noWrap/>
            <w:vAlign w:val="bottom"/>
            <w:hideMark/>
          </w:tcPr>
          <w:p w14:paraId="38C7A0E4"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w:t>
            </w:r>
          </w:p>
        </w:tc>
        <w:tc>
          <w:tcPr>
            <w:tcW w:w="591" w:type="pct"/>
            <w:tcBorders>
              <w:top w:val="nil"/>
              <w:left w:val="nil"/>
              <w:bottom w:val="nil"/>
              <w:right w:val="nil"/>
            </w:tcBorders>
            <w:shd w:val="clear" w:color="auto" w:fill="auto"/>
            <w:noWrap/>
            <w:vAlign w:val="bottom"/>
            <w:hideMark/>
          </w:tcPr>
          <w:p w14:paraId="5D741F1F" w14:textId="77777777" w:rsidR="00947E58" w:rsidRPr="00947E58" w:rsidRDefault="00947E58" w:rsidP="00DD0170">
            <w:pPr>
              <w:spacing w:after="0" w:line="240" w:lineRule="auto"/>
              <w:jc w:val="right"/>
              <w:rPr>
                <w:rFonts w:ascii="Arial" w:hAnsi="Arial" w:cs="Arial"/>
                <w:b/>
                <w:bCs/>
                <w:color w:val="000000"/>
                <w:sz w:val="16"/>
                <w:szCs w:val="16"/>
              </w:rPr>
            </w:pPr>
          </w:p>
        </w:tc>
        <w:tc>
          <w:tcPr>
            <w:tcW w:w="591" w:type="pct"/>
            <w:tcBorders>
              <w:top w:val="nil"/>
              <w:left w:val="nil"/>
              <w:bottom w:val="nil"/>
              <w:right w:val="nil"/>
            </w:tcBorders>
            <w:shd w:val="clear" w:color="auto" w:fill="auto"/>
            <w:noWrap/>
            <w:vAlign w:val="bottom"/>
            <w:hideMark/>
          </w:tcPr>
          <w:p w14:paraId="4ADACF5D" w14:textId="77777777" w:rsidR="00947E58" w:rsidRPr="00947E58" w:rsidRDefault="00947E58" w:rsidP="00DD0170">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4751FA3A" w14:textId="77777777" w:rsidR="00947E58" w:rsidRPr="00947E58" w:rsidRDefault="00947E58" w:rsidP="00DD0170">
            <w:pPr>
              <w:spacing w:after="0" w:line="240" w:lineRule="auto"/>
              <w:jc w:val="right"/>
              <w:rPr>
                <w:rFonts w:ascii="Times New Roman" w:hAnsi="Times New Roman"/>
              </w:rPr>
            </w:pPr>
          </w:p>
        </w:tc>
      </w:tr>
      <w:tr w:rsidR="00947E58" w:rsidRPr="00947E58" w14:paraId="1DC4EB85"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2F48CA00"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FINANCING ACTIVITIES</w:t>
            </w:r>
          </w:p>
        </w:tc>
        <w:tc>
          <w:tcPr>
            <w:tcW w:w="636" w:type="pct"/>
            <w:tcBorders>
              <w:top w:val="nil"/>
              <w:left w:val="nil"/>
              <w:bottom w:val="nil"/>
              <w:right w:val="nil"/>
            </w:tcBorders>
            <w:shd w:val="clear" w:color="auto" w:fill="auto"/>
            <w:noWrap/>
            <w:vAlign w:val="bottom"/>
            <w:hideMark/>
          </w:tcPr>
          <w:p w14:paraId="167A243D" w14:textId="77777777" w:rsidR="00947E58" w:rsidRPr="00947E58" w:rsidRDefault="00947E58" w:rsidP="00DD0170">
            <w:pPr>
              <w:spacing w:after="0" w:line="240" w:lineRule="auto"/>
              <w:jc w:val="righ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bottom"/>
            <w:hideMark/>
          </w:tcPr>
          <w:p w14:paraId="66CD0183"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61BFF81F" w14:textId="77777777" w:rsidR="00947E58" w:rsidRPr="00947E58" w:rsidRDefault="00947E58" w:rsidP="00DD0170">
            <w:pPr>
              <w:spacing w:after="0" w:line="240" w:lineRule="auto"/>
              <w:jc w:val="righ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1C9EAEEE" w14:textId="77777777" w:rsidR="00947E58" w:rsidRPr="00947E58" w:rsidRDefault="00947E58" w:rsidP="00DD0170">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0EA9A8FF" w14:textId="77777777" w:rsidR="00947E58" w:rsidRPr="00947E58" w:rsidRDefault="00947E58" w:rsidP="00DD0170">
            <w:pPr>
              <w:spacing w:after="0" w:line="240" w:lineRule="auto"/>
              <w:jc w:val="right"/>
              <w:rPr>
                <w:rFonts w:ascii="Times New Roman" w:hAnsi="Times New Roman"/>
              </w:rPr>
            </w:pPr>
          </w:p>
        </w:tc>
      </w:tr>
      <w:tr w:rsidR="00947E58" w:rsidRPr="00947E58" w14:paraId="77F14B4A"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268C1F97"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Cash received</w:t>
            </w:r>
          </w:p>
        </w:tc>
        <w:tc>
          <w:tcPr>
            <w:tcW w:w="636" w:type="pct"/>
            <w:tcBorders>
              <w:top w:val="nil"/>
              <w:left w:val="nil"/>
              <w:bottom w:val="nil"/>
              <w:right w:val="nil"/>
            </w:tcBorders>
            <w:shd w:val="clear" w:color="auto" w:fill="auto"/>
            <w:noWrap/>
            <w:vAlign w:val="bottom"/>
            <w:hideMark/>
          </w:tcPr>
          <w:p w14:paraId="68A4A843" w14:textId="77777777" w:rsidR="00947E58" w:rsidRPr="00947E58" w:rsidRDefault="00947E58" w:rsidP="00DD0170">
            <w:pPr>
              <w:spacing w:after="0" w:line="240" w:lineRule="auto"/>
              <w:jc w:val="righ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bottom"/>
            <w:hideMark/>
          </w:tcPr>
          <w:p w14:paraId="0FD80C54"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6E5D9AE6" w14:textId="77777777" w:rsidR="00947E58" w:rsidRPr="00947E58" w:rsidRDefault="00947E58" w:rsidP="00DD0170">
            <w:pPr>
              <w:spacing w:after="0" w:line="240" w:lineRule="auto"/>
              <w:jc w:val="righ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180C6617" w14:textId="77777777" w:rsidR="00947E58" w:rsidRPr="00947E58" w:rsidRDefault="00947E58" w:rsidP="00DD0170">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2EB52FA3" w14:textId="77777777" w:rsidR="00947E58" w:rsidRPr="00947E58" w:rsidRDefault="00947E58" w:rsidP="00DD0170">
            <w:pPr>
              <w:spacing w:after="0" w:line="240" w:lineRule="auto"/>
              <w:jc w:val="right"/>
              <w:rPr>
                <w:rFonts w:ascii="Times New Roman" w:hAnsi="Times New Roman"/>
              </w:rPr>
            </w:pPr>
          </w:p>
        </w:tc>
      </w:tr>
      <w:tr w:rsidR="00947E58" w:rsidRPr="00947E58" w14:paraId="7C7DEAFA"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7EE2563B" w14:textId="77777777" w:rsidR="00947E58" w:rsidRPr="00947E58" w:rsidRDefault="00947E58" w:rsidP="00DD0170">
            <w:pPr>
              <w:spacing w:after="0" w:line="240" w:lineRule="auto"/>
              <w:ind w:firstLineChars="100" w:firstLine="160"/>
              <w:jc w:val="left"/>
              <w:rPr>
                <w:rFonts w:ascii="Arial" w:hAnsi="Arial" w:cs="Arial"/>
                <w:color w:val="000000"/>
                <w:sz w:val="16"/>
                <w:szCs w:val="16"/>
              </w:rPr>
            </w:pPr>
            <w:r w:rsidRPr="00947E58">
              <w:rPr>
                <w:rFonts w:ascii="Arial" w:hAnsi="Arial" w:cs="Arial"/>
                <w:color w:val="000000"/>
                <w:sz w:val="16"/>
                <w:szCs w:val="16"/>
              </w:rPr>
              <w:t>Contributed equity</w:t>
            </w:r>
          </w:p>
        </w:tc>
        <w:tc>
          <w:tcPr>
            <w:tcW w:w="636" w:type="pct"/>
            <w:tcBorders>
              <w:top w:val="nil"/>
              <w:left w:val="nil"/>
              <w:bottom w:val="nil"/>
              <w:right w:val="nil"/>
            </w:tcBorders>
            <w:shd w:val="clear" w:color="auto" w:fill="auto"/>
            <w:noWrap/>
            <w:vAlign w:val="bottom"/>
            <w:hideMark/>
          </w:tcPr>
          <w:p w14:paraId="4C131B7B"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79 </w:t>
            </w:r>
          </w:p>
        </w:tc>
        <w:tc>
          <w:tcPr>
            <w:tcW w:w="586" w:type="pct"/>
            <w:tcBorders>
              <w:top w:val="nil"/>
              <w:left w:val="nil"/>
              <w:bottom w:val="nil"/>
              <w:right w:val="nil"/>
            </w:tcBorders>
            <w:shd w:val="clear" w:color="000000" w:fill="E6E6E6"/>
            <w:noWrap/>
            <w:vAlign w:val="bottom"/>
            <w:hideMark/>
          </w:tcPr>
          <w:p w14:paraId="141215E1"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51 </w:t>
            </w:r>
          </w:p>
        </w:tc>
        <w:tc>
          <w:tcPr>
            <w:tcW w:w="591" w:type="pct"/>
            <w:tcBorders>
              <w:top w:val="nil"/>
              <w:left w:val="nil"/>
              <w:bottom w:val="nil"/>
              <w:right w:val="nil"/>
            </w:tcBorders>
            <w:shd w:val="clear" w:color="auto" w:fill="auto"/>
            <w:noWrap/>
            <w:vAlign w:val="bottom"/>
            <w:hideMark/>
          </w:tcPr>
          <w:p w14:paraId="14DE0433"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51 </w:t>
            </w:r>
          </w:p>
        </w:tc>
        <w:tc>
          <w:tcPr>
            <w:tcW w:w="591" w:type="pct"/>
            <w:tcBorders>
              <w:top w:val="nil"/>
              <w:left w:val="nil"/>
              <w:bottom w:val="nil"/>
              <w:right w:val="nil"/>
            </w:tcBorders>
            <w:shd w:val="clear" w:color="auto" w:fill="auto"/>
            <w:noWrap/>
            <w:vAlign w:val="bottom"/>
            <w:hideMark/>
          </w:tcPr>
          <w:p w14:paraId="2453D97E"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51 </w:t>
            </w:r>
          </w:p>
        </w:tc>
        <w:tc>
          <w:tcPr>
            <w:tcW w:w="591" w:type="pct"/>
            <w:tcBorders>
              <w:top w:val="nil"/>
              <w:left w:val="nil"/>
              <w:bottom w:val="nil"/>
              <w:right w:val="nil"/>
            </w:tcBorders>
            <w:shd w:val="clear" w:color="auto" w:fill="auto"/>
            <w:noWrap/>
            <w:vAlign w:val="bottom"/>
            <w:hideMark/>
          </w:tcPr>
          <w:p w14:paraId="3FCB7CC2"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52 </w:t>
            </w:r>
          </w:p>
        </w:tc>
      </w:tr>
      <w:tr w:rsidR="00947E58" w:rsidRPr="00947E58" w14:paraId="60804EBC" w14:textId="77777777" w:rsidTr="00DD0170">
        <w:trPr>
          <w:divId w:val="833452831"/>
          <w:trHeight w:val="210"/>
        </w:trPr>
        <w:tc>
          <w:tcPr>
            <w:tcW w:w="2004" w:type="pct"/>
            <w:tcBorders>
              <w:top w:val="nil"/>
              <w:left w:val="nil"/>
              <w:bottom w:val="nil"/>
              <w:right w:val="nil"/>
            </w:tcBorders>
            <w:shd w:val="clear" w:color="auto" w:fill="auto"/>
            <w:noWrap/>
            <w:vAlign w:val="bottom"/>
            <w:hideMark/>
          </w:tcPr>
          <w:p w14:paraId="05AC641F" w14:textId="77777777" w:rsidR="00947E58" w:rsidRPr="00947E58" w:rsidRDefault="00947E58" w:rsidP="00DD0170">
            <w:pPr>
              <w:spacing w:after="0" w:line="240" w:lineRule="auto"/>
              <w:jc w:val="left"/>
              <w:rPr>
                <w:rFonts w:ascii="Arial" w:hAnsi="Arial" w:cs="Arial"/>
                <w:b/>
                <w:bCs/>
                <w:i/>
                <w:iCs/>
                <w:color w:val="000000"/>
                <w:sz w:val="16"/>
                <w:szCs w:val="16"/>
              </w:rPr>
            </w:pPr>
            <w:r w:rsidRPr="00947E58">
              <w:rPr>
                <w:rFonts w:ascii="Arial" w:hAnsi="Arial" w:cs="Arial"/>
                <w:b/>
                <w:bCs/>
                <w:i/>
                <w:iCs/>
                <w:color w:val="000000"/>
                <w:sz w:val="16"/>
                <w:szCs w:val="16"/>
              </w:rPr>
              <w:t>Total cash received</w:t>
            </w:r>
          </w:p>
        </w:tc>
        <w:tc>
          <w:tcPr>
            <w:tcW w:w="636" w:type="pct"/>
            <w:tcBorders>
              <w:top w:val="single" w:sz="4" w:space="0" w:color="000000"/>
              <w:left w:val="nil"/>
              <w:bottom w:val="single" w:sz="4" w:space="0" w:color="000000"/>
              <w:right w:val="nil"/>
            </w:tcBorders>
            <w:shd w:val="clear" w:color="auto" w:fill="auto"/>
            <w:noWrap/>
            <w:vAlign w:val="bottom"/>
            <w:hideMark/>
          </w:tcPr>
          <w:p w14:paraId="4189B0EF"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79 </w:t>
            </w:r>
          </w:p>
        </w:tc>
        <w:tc>
          <w:tcPr>
            <w:tcW w:w="586" w:type="pct"/>
            <w:tcBorders>
              <w:top w:val="single" w:sz="4" w:space="0" w:color="000000"/>
              <w:left w:val="nil"/>
              <w:bottom w:val="single" w:sz="4" w:space="0" w:color="000000"/>
              <w:right w:val="nil"/>
            </w:tcBorders>
            <w:shd w:val="clear" w:color="000000" w:fill="E6E6E6"/>
            <w:noWrap/>
            <w:vAlign w:val="bottom"/>
            <w:hideMark/>
          </w:tcPr>
          <w:p w14:paraId="5A559917"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51 </w:t>
            </w:r>
          </w:p>
        </w:tc>
        <w:tc>
          <w:tcPr>
            <w:tcW w:w="591" w:type="pct"/>
            <w:tcBorders>
              <w:top w:val="single" w:sz="4" w:space="0" w:color="000000"/>
              <w:left w:val="nil"/>
              <w:bottom w:val="single" w:sz="4" w:space="0" w:color="000000"/>
              <w:right w:val="nil"/>
            </w:tcBorders>
            <w:shd w:val="clear" w:color="auto" w:fill="auto"/>
            <w:noWrap/>
            <w:vAlign w:val="bottom"/>
            <w:hideMark/>
          </w:tcPr>
          <w:p w14:paraId="20DEE026"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51 </w:t>
            </w:r>
          </w:p>
        </w:tc>
        <w:tc>
          <w:tcPr>
            <w:tcW w:w="591" w:type="pct"/>
            <w:tcBorders>
              <w:top w:val="single" w:sz="4" w:space="0" w:color="000000"/>
              <w:left w:val="nil"/>
              <w:bottom w:val="single" w:sz="4" w:space="0" w:color="000000"/>
              <w:right w:val="nil"/>
            </w:tcBorders>
            <w:shd w:val="clear" w:color="auto" w:fill="auto"/>
            <w:noWrap/>
            <w:vAlign w:val="bottom"/>
            <w:hideMark/>
          </w:tcPr>
          <w:p w14:paraId="2149CEA6"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51 </w:t>
            </w:r>
          </w:p>
        </w:tc>
        <w:tc>
          <w:tcPr>
            <w:tcW w:w="591" w:type="pct"/>
            <w:tcBorders>
              <w:top w:val="single" w:sz="4" w:space="0" w:color="000000"/>
              <w:left w:val="nil"/>
              <w:bottom w:val="single" w:sz="4" w:space="0" w:color="000000"/>
              <w:right w:val="nil"/>
            </w:tcBorders>
            <w:shd w:val="clear" w:color="auto" w:fill="auto"/>
            <w:noWrap/>
            <w:vAlign w:val="bottom"/>
            <w:hideMark/>
          </w:tcPr>
          <w:p w14:paraId="27897CAA"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52 </w:t>
            </w:r>
          </w:p>
        </w:tc>
      </w:tr>
      <w:tr w:rsidR="00947E58" w:rsidRPr="00947E58" w14:paraId="36B14042"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35597F5A"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Cash used</w:t>
            </w:r>
          </w:p>
        </w:tc>
        <w:tc>
          <w:tcPr>
            <w:tcW w:w="636" w:type="pct"/>
            <w:tcBorders>
              <w:top w:val="nil"/>
              <w:left w:val="nil"/>
              <w:bottom w:val="nil"/>
              <w:right w:val="nil"/>
            </w:tcBorders>
            <w:shd w:val="clear" w:color="auto" w:fill="auto"/>
            <w:noWrap/>
            <w:vAlign w:val="bottom"/>
            <w:hideMark/>
          </w:tcPr>
          <w:p w14:paraId="45777F9B" w14:textId="77777777" w:rsidR="00947E58" w:rsidRPr="00947E58" w:rsidRDefault="00947E58" w:rsidP="00DD0170">
            <w:pPr>
              <w:spacing w:after="0" w:line="240" w:lineRule="auto"/>
              <w:jc w:val="right"/>
              <w:rPr>
                <w:rFonts w:ascii="Arial" w:hAnsi="Arial" w:cs="Arial"/>
                <w:b/>
                <w:bCs/>
                <w:color w:val="000000"/>
                <w:sz w:val="16"/>
                <w:szCs w:val="16"/>
              </w:rPr>
            </w:pPr>
          </w:p>
        </w:tc>
        <w:tc>
          <w:tcPr>
            <w:tcW w:w="586" w:type="pct"/>
            <w:tcBorders>
              <w:top w:val="nil"/>
              <w:left w:val="nil"/>
              <w:bottom w:val="nil"/>
              <w:right w:val="nil"/>
            </w:tcBorders>
            <w:shd w:val="clear" w:color="000000" w:fill="E6E6E6"/>
            <w:noWrap/>
            <w:vAlign w:val="bottom"/>
            <w:hideMark/>
          </w:tcPr>
          <w:p w14:paraId="146723F8"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w:t>
            </w:r>
          </w:p>
        </w:tc>
        <w:tc>
          <w:tcPr>
            <w:tcW w:w="591" w:type="pct"/>
            <w:tcBorders>
              <w:top w:val="nil"/>
              <w:left w:val="nil"/>
              <w:bottom w:val="nil"/>
              <w:right w:val="nil"/>
            </w:tcBorders>
            <w:shd w:val="clear" w:color="auto" w:fill="auto"/>
            <w:noWrap/>
            <w:vAlign w:val="bottom"/>
            <w:hideMark/>
          </w:tcPr>
          <w:p w14:paraId="53DB9F95" w14:textId="77777777" w:rsidR="00947E58" w:rsidRPr="00947E58" w:rsidRDefault="00947E58" w:rsidP="00DD0170">
            <w:pPr>
              <w:spacing w:after="0" w:line="240" w:lineRule="auto"/>
              <w:jc w:val="right"/>
              <w:rPr>
                <w:rFonts w:ascii="Arial" w:hAnsi="Arial" w:cs="Arial"/>
                <w:color w:val="000000"/>
                <w:sz w:val="16"/>
                <w:szCs w:val="16"/>
              </w:rPr>
            </w:pPr>
          </w:p>
        </w:tc>
        <w:tc>
          <w:tcPr>
            <w:tcW w:w="591" w:type="pct"/>
            <w:tcBorders>
              <w:top w:val="nil"/>
              <w:left w:val="nil"/>
              <w:bottom w:val="nil"/>
              <w:right w:val="nil"/>
            </w:tcBorders>
            <w:shd w:val="clear" w:color="auto" w:fill="auto"/>
            <w:noWrap/>
            <w:vAlign w:val="bottom"/>
            <w:hideMark/>
          </w:tcPr>
          <w:p w14:paraId="2B8603B4" w14:textId="77777777" w:rsidR="00947E58" w:rsidRPr="00947E58" w:rsidRDefault="00947E58" w:rsidP="00DD0170">
            <w:pPr>
              <w:spacing w:after="0" w:line="240" w:lineRule="auto"/>
              <w:jc w:val="right"/>
              <w:rPr>
                <w:rFonts w:ascii="Times New Roman" w:hAnsi="Times New Roman"/>
              </w:rPr>
            </w:pPr>
          </w:p>
        </w:tc>
        <w:tc>
          <w:tcPr>
            <w:tcW w:w="591" w:type="pct"/>
            <w:tcBorders>
              <w:top w:val="nil"/>
              <w:left w:val="nil"/>
              <w:bottom w:val="nil"/>
              <w:right w:val="nil"/>
            </w:tcBorders>
            <w:shd w:val="clear" w:color="auto" w:fill="auto"/>
            <w:noWrap/>
            <w:vAlign w:val="bottom"/>
            <w:hideMark/>
          </w:tcPr>
          <w:p w14:paraId="4F48CB6F" w14:textId="77777777" w:rsidR="00947E58" w:rsidRPr="00947E58" w:rsidRDefault="00947E58" w:rsidP="00DD0170">
            <w:pPr>
              <w:spacing w:after="0" w:line="240" w:lineRule="auto"/>
              <w:jc w:val="right"/>
              <w:rPr>
                <w:rFonts w:ascii="Times New Roman" w:hAnsi="Times New Roman"/>
              </w:rPr>
            </w:pPr>
          </w:p>
        </w:tc>
      </w:tr>
      <w:tr w:rsidR="00947E58" w:rsidRPr="00947E58" w14:paraId="352C5684" w14:textId="77777777" w:rsidTr="00DD0170">
        <w:trPr>
          <w:divId w:val="833452831"/>
          <w:trHeight w:val="225"/>
        </w:trPr>
        <w:tc>
          <w:tcPr>
            <w:tcW w:w="2004" w:type="pct"/>
            <w:tcBorders>
              <w:top w:val="nil"/>
              <w:left w:val="nil"/>
              <w:bottom w:val="nil"/>
              <w:right w:val="nil"/>
            </w:tcBorders>
            <w:shd w:val="clear" w:color="auto" w:fill="auto"/>
            <w:noWrap/>
            <w:vAlign w:val="bottom"/>
            <w:hideMark/>
          </w:tcPr>
          <w:p w14:paraId="48FB0323" w14:textId="77777777" w:rsidR="00947E58" w:rsidRPr="00947E58" w:rsidRDefault="00947E58" w:rsidP="00DD0170">
            <w:pPr>
              <w:spacing w:after="0" w:line="240" w:lineRule="auto"/>
              <w:ind w:firstLineChars="100" w:firstLine="160"/>
              <w:jc w:val="left"/>
              <w:rPr>
                <w:rFonts w:ascii="Arial" w:hAnsi="Arial" w:cs="Arial"/>
                <w:sz w:val="16"/>
                <w:szCs w:val="16"/>
              </w:rPr>
            </w:pPr>
            <w:r w:rsidRPr="00947E58">
              <w:rPr>
                <w:rFonts w:ascii="Arial" w:hAnsi="Arial" w:cs="Arial"/>
                <w:sz w:val="16"/>
                <w:szCs w:val="16"/>
              </w:rPr>
              <w:t>Principal payments on lease liability</w:t>
            </w:r>
          </w:p>
        </w:tc>
        <w:tc>
          <w:tcPr>
            <w:tcW w:w="636" w:type="pct"/>
            <w:tcBorders>
              <w:top w:val="nil"/>
              <w:left w:val="nil"/>
              <w:bottom w:val="nil"/>
              <w:right w:val="nil"/>
            </w:tcBorders>
            <w:shd w:val="clear" w:color="auto" w:fill="auto"/>
            <w:noWrap/>
            <w:vAlign w:val="bottom"/>
            <w:hideMark/>
          </w:tcPr>
          <w:p w14:paraId="60B4236A"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202 </w:t>
            </w:r>
          </w:p>
        </w:tc>
        <w:tc>
          <w:tcPr>
            <w:tcW w:w="586" w:type="pct"/>
            <w:tcBorders>
              <w:top w:val="nil"/>
              <w:left w:val="nil"/>
              <w:bottom w:val="nil"/>
              <w:right w:val="nil"/>
            </w:tcBorders>
            <w:shd w:val="clear" w:color="000000" w:fill="E6E6E6"/>
            <w:noWrap/>
            <w:vAlign w:val="bottom"/>
            <w:hideMark/>
          </w:tcPr>
          <w:p w14:paraId="79BF8135"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211 </w:t>
            </w:r>
          </w:p>
        </w:tc>
        <w:tc>
          <w:tcPr>
            <w:tcW w:w="591" w:type="pct"/>
            <w:tcBorders>
              <w:top w:val="nil"/>
              <w:left w:val="nil"/>
              <w:bottom w:val="nil"/>
              <w:right w:val="nil"/>
            </w:tcBorders>
            <w:shd w:val="clear" w:color="auto" w:fill="auto"/>
            <w:noWrap/>
            <w:vAlign w:val="bottom"/>
            <w:hideMark/>
          </w:tcPr>
          <w:p w14:paraId="42CCB714"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202 </w:t>
            </w:r>
          </w:p>
        </w:tc>
        <w:tc>
          <w:tcPr>
            <w:tcW w:w="591" w:type="pct"/>
            <w:tcBorders>
              <w:top w:val="nil"/>
              <w:left w:val="nil"/>
              <w:bottom w:val="nil"/>
              <w:right w:val="nil"/>
            </w:tcBorders>
            <w:shd w:val="clear" w:color="auto" w:fill="auto"/>
            <w:noWrap/>
            <w:vAlign w:val="bottom"/>
            <w:hideMark/>
          </w:tcPr>
          <w:p w14:paraId="4298589A"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202 </w:t>
            </w:r>
          </w:p>
        </w:tc>
        <w:tc>
          <w:tcPr>
            <w:tcW w:w="591" w:type="pct"/>
            <w:tcBorders>
              <w:top w:val="nil"/>
              <w:left w:val="nil"/>
              <w:bottom w:val="nil"/>
              <w:right w:val="nil"/>
            </w:tcBorders>
            <w:shd w:val="clear" w:color="auto" w:fill="auto"/>
            <w:noWrap/>
            <w:vAlign w:val="bottom"/>
            <w:hideMark/>
          </w:tcPr>
          <w:p w14:paraId="698BD9B8"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202 </w:t>
            </w:r>
          </w:p>
        </w:tc>
      </w:tr>
      <w:tr w:rsidR="00947E58" w:rsidRPr="00947E58" w14:paraId="3C4A595A" w14:textId="77777777" w:rsidTr="00DD0170">
        <w:trPr>
          <w:divId w:val="833452831"/>
          <w:trHeight w:val="210"/>
        </w:trPr>
        <w:tc>
          <w:tcPr>
            <w:tcW w:w="2004" w:type="pct"/>
            <w:tcBorders>
              <w:top w:val="nil"/>
              <w:left w:val="nil"/>
              <w:bottom w:val="nil"/>
              <w:right w:val="nil"/>
            </w:tcBorders>
            <w:shd w:val="clear" w:color="auto" w:fill="auto"/>
            <w:noWrap/>
            <w:vAlign w:val="bottom"/>
            <w:hideMark/>
          </w:tcPr>
          <w:p w14:paraId="00FFC44C" w14:textId="77777777" w:rsidR="00947E58" w:rsidRPr="00947E58" w:rsidRDefault="00947E58" w:rsidP="00DD0170">
            <w:pPr>
              <w:spacing w:after="0" w:line="240" w:lineRule="auto"/>
              <w:jc w:val="left"/>
              <w:rPr>
                <w:rFonts w:ascii="Arial" w:hAnsi="Arial" w:cs="Arial"/>
                <w:b/>
                <w:bCs/>
                <w:i/>
                <w:iCs/>
                <w:color w:val="000000"/>
                <w:sz w:val="16"/>
                <w:szCs w:val="16"/>
              </w:rPr>
            </w:pPr>
            <w:r w:rsidRPr="00947E58">
              <w:rPr>
                <w:rFonts w:ascii="Arial" w:hAnsi="Arial" w:cs="Arial"/>
                <w:b/>
                <w:bCs/>
                <w:i/>
                <w:iCs/>
                <w:color w:val="000000"/>
                <w:sz w:val="16"/>
                <w:szCs w:val="16"/>
              </w:rPr>
              <w:t>Total cash used</w:t>
            </w:r>
          </w:p>
        </w:tc>
        <w:tc>
          <w:tcPr>
            <w:tcW w:w="636" w:type="pct"/>
            <w:tcBorders>
              <w:top w:val="single" w:sz="4" w:space="0" w:color="000000"/>
              <w:left w:val="nil"/>
              <w:bottom w:val="single" w:sz="4" w:space="0" w:color="000000"/>
              <w:right w:val="nil"/>
            </w:tcBorders>
            <w:shd w:val="clear" w:color="auto" w:fill="auto"/>
            <w:noWrap/>
            <w:vAlign w:val="bottom"/>
            <w:hideMark/>
          </w:tcPr>
          <w:p w14:paraId="6F1A4FE1"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202 </w:t>
            </w:r>
          </w:p>
        </w:tc>
        <w:tc>
          <w:tcPr>
            <w:tcW w:w="586" w:type="pct"/>
            <w:tcBorders>
              <w:top w:val="single" w:sz="4" w:space="0" w:color="000000"/>
              <w:left w:val="nil"/>
              <w:bottom w:val="single" w:sz="4" w:space="0" w:color="000000"/>
              <w:right w:val="nil"/>
            </w:tcBorders>
            <w:shd w:val="clear" w:color="000000" w:fill="E6E6E6"/>
            <w:noWrap/>
            <w:vAlign w:val="bottom"/>
            <w:hideMark/>
          </w:tcPr>
          <w:p w14:paraId="5F775463"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211 </w:t>
            </w:r>
          </w:p>
        </w:tc>
        <w:tc>
          <w:tcPr>
            <w:tcW w:w="591" w:type="pct"/>
            <w:tcBorders>
              <w:top w:val="single" w:sz="4" w:space="0" w:color="000000"/>
              <w:left w:val="nil"/>
              <w:bottom w:val="single" w:sz="4" w:space="0" w:color="000000"/>
              <w:right w:val="nil"/>
            </w:tcBorders>
            <w:shd w:val="clear" w:color="auto" w:fill="auto"/>
            <w:noWrap/>
            <w:vAlign w:val="bottom"/>
            <w:hideMark/>
          </w:tcPr>
          <w:p w14:paraId="7FED43AF"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202 </w:t>
            </w:r>
          </w:p>
        </w:tc>
        <w:tc>
          <w:tcPr>
            <w:tcW w:w="591" w:type="pct"/>
            <w:tcBorders>
              <w:top w:val="single" w:sz="4" w:space="0" w:color="000000"/>
              <w:left w:val="nil"/>
              <w:bottom w:val="single" w:sz="4" w:space="0" w:color="000000"/>
              <w:right w:val="nil"/>
            </w:tcBorders>
            <w:shd w:val="clear" w:color="auto" w:fill="auto"/>
            <w:noWrap/>
            <w:vAlign w:val="bottom"/>
            <w:hideMark/>
          </w:tcPr>
          <w:p w14:paraId="4C4A9C17"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202 </w:t>
            </w:r>
          </w:p>
        </w:tc>
        <w:tc>
          <w:tcPr>
            <w:tcW w:w="591" w:type="pct"/>
            <w:tcBorders>
              <w:top w:val="single" w:sz="4" w:space="0" w:color="000000"/>
              <w:left w:val="nil"/>
              <w:bottom w:val="single" w:sz="4" w:space="0" w:color="000000"/>
              <w:right w:val="nil"/>
            </w:tcBorders>
            <w:shd w:val="clear" w:color="auto" w:fill="auto"/>
            <w:noWrap/>
            <w:vAlign w:val="bottom"/>
            <w:hideMark/>
          </w:tcPr>
          <w:p w14:paraId="65530096" w14:textId="77777777" w:rsidR="00947E58" w:rsidRPr="00947E58" w:rsidRDefault="00947E58" w:rsidP="00DD0170">
            <w:pPr>
              <w:spacing w:after="0" w:line="240" w:lineRule="auto"/>
              <w:jc w:val="right"/>
              <w:rPr>
                <w:rFonts w:ascii="Arial" w:hAnsi="Arial" w:cs="Arial"/>
                <w:b/>
                <w:bCs/>
                <w:i/>
                <w:iCs/>
                <w:color w:val="000000"/>
                <w:sz w:val="16"/>
                <w:szCs w:val="16"/>
              </w:rPr>
            </w:pPr>
            <w:r w:rsidRPr="00947E58">
              <w:rPr>
                <w:rFonts w:ascii="Arial" w:hAnsi="Arial" w:cs="Arial"/>
                <w:b/>
                <w:bCs/>
                <w:i/>
                <w:iCs/>
                <w:color w:val="000000"/>
                <w:sz w:val="16"/>
                <w:szCs w:val="16"/>
              </w:rPr>
              <w:t xml:space="preserve">202 </w:t>
            </w:r>
          </w:p>
        </w:tc>
      </w:tr>
      <w:tr w:rsidR="00947E58" w:rsidRPr="00947E58" w14:paraId="1A3C4F53" w14:textId="77777777" w:rsidTr="00DD0170">
        <w:trPr>
          <w:divId w:val="833452831"/>
          <w:trHeight w:val="450"/>
        </w:trPr>
        <w:tc>
          <w:tcPr>
            <w:tcW w:w="2004" w:type="pct"/>
            <w:tcBorders>
              <w:top w:val="nil"/>
              <w:left w:val="nil"/>
              <w:bottom w:val="nil"/>
              <w:right w:val="nil"/>
            </w:tcBorders>
            <w:shd w:val="clear" w:color="auto" w:fill="auto"/>
            <w:vAlign w:val="bottom"/>
            <w:hideMark/>
          </w:tcPr>
          <w:p w14:paraId="0B52A9E4"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Net cash from/(used by)</w:t>
            </w:r>
            <w:r w:rsidRPr="00947E58">
              <w:rPr>
                <w:rFonts w:ascii="Arial" w:hAnsi="Arial" w:cs="Arial"/>
                <w:b/>
                <w:bCs/>
                <w:color w:val="000000"/>
                <w:sz w:val="16"/>
                <w:szCs w:val="16"/>
              </w:rPr>
              <w:br/>
              <w:t xml:space="preserve">  financing activities</w:t>
            </w:r>
          </w:p>
        </w:tc>
        <w:tc>
          <w:tcPr>
            <w:tcW w:w="636" w:type="pct"/>
            <w:tcBorders>
              <w:top w:val="nil"/>
              <w:left w:val="nil"/>
              <w:bottom w:val="single" w:sz="4" w:space="0" w:color="000000"/>
              <w:right w:val="nil"/>
            </w:tcBorders>
            <w:shd w:val="clear" w:color="auto" w:fill="auto"/>
            <w:noWrap/>
            <w:vAlign w:val="bottom"/>
            <w:hideMark/>
          </w:tcPr>
          <w:p w14:paraId="7D4C3B48"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(123)</w:t>
            </w:r>
          </w:p>
        </w:tc>
        <w:tc>
          <w:tcPr>
            <w:tcW w:w="586" w:type="pct"/>
            <w:tcBorders>
              <w:top w:val="nil"/>
              <w:left w:val="nil"/>
              <w:bottom w:val="single" w:sz="4" w:space="0" w:color="000000"/>
              <w:right w:val="nil"/>
            </w:tcBorders>
            <w:shd w:val="clear" w:color="000000" w:fill="E6E6E6"/>
            <w:noWrap/>
            <w:vAlign w:val="bottom"/>
            <w:hideMark/>
          </w:tcPr>
          <w:p w14:paraId="708B46D8"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(160)</w:t>
            </w:r>
          </w:p>
        </w:tc>
        <w:tc>
          <w:tcPr>
            <w:tcW w:w="591" w:type="pct"/>
            <w:tcBorders>
              <w:top w:val="nil"/>
              <w:left w:val="nil"/>
              <w:bottom w:val="single" w:sz="4" w:space="0" w:color="000000"/>
              <w:right w:val="nil"/>
            </w:tcBorders>
            <w:shd w:val="clear" w:color="auto" w:fill="auto"/>
            <w:noWrap/>
            <w:vAlign w:val="bottom"/>
            <w:hideMark/>
          </w:tcPr>
          <w:p w14:paraId="2A29B8E4"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(151)</w:t>
            </w:r>
          </w:p>
        </w:tc>
        <w:tc>
          <w:tcPr>
            <w:tcW w:w="591" w:type="pct"/>
            <w:tcBorders>
              <w:top w:val="nil"/>
              <w:left w:val="nil"/>
              <w:bottom w:val="single" w:sz="4" w:space="0" w:color="000000"/>
              <w:right w:val="nil"/>
            </w:tcBorders>
            <w:shd w:val="clear" w:color="auto" w:fill="auto"/>
            <w:noWrap/>
            <w:vAlign w:val="bottom"/>
            <w:hideMark/>
          </w:tcPr>
          <w:p w14:paraId="1DA6D660"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(151)</w:t>
            </w:r>
          </w:p>
        </w:tc>
        <w:tc>
          <w:tcPr>
            <w:tcW w:w="591" w:type="pct"/>
            <w:tcBorders>
              <w:top w:val="nil"/>
              <w:left w:val="nil"/>
              <w:bottom w:val="single" w:sz="4" w:space="0" w:color="000000"/>
              <w:right w:val="nil"/>
            </w:tcBorders>
            <w:shd w:val="clear" w:color="auto" w:fill="auto"/>
            <w:noWrap/>
            <w:vAlign w:val="bottom"/>
            <w:hideMark/>
          </w:tcPr>
          <w:p w14:paraId="247AE8A9"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(150)</w:t>
            </w:r>
          </w:p>
        </w:tc>
      </w:tr>
      <w:tr w:rsidR="00947E58" w:rsidRPr="00947E58" w14:paraId="07D0C06D" w14:textId="77777777" w:rsidTr="00DD0170">
        <w:trPr>
          <w:divId w:val="833452831"/>
          <w:trHeight w:val="450"/>
        </w:trPr>
        <w:tc>
          <w:tcPr>
            <w:tcW w:w="2004" w:type="pct"/>
            <w:tcBorders>
              <w:top w:val="nil"/>
              <w:left w:val="nil"/>
              <w:bottom w:val="nil"/>
              <w:right w:val="nil"/>
            </w:tcBorders>
            <w:shd w:val="clear" w:color="auto" w:fill="auto"/>
            <w:vAlign w:val="bottom"/>
            <w:hideMark/>
          </w:tcPr>
          <w:p w14:paraId="16BBD1E9" w14:textId="77777777" w:rsidR="00947E58" w:rsidRPr="00947E58" w:rsidRDefault="00947E58" w:rsidP="00DD0170">
            <w:pPr>
              <w:spacing w:after="0" w:line="240" w:lineRule="auto"/>
              <w:jc w:val="left"/>
              <w:rPr>
                <w:rFonts w:ascii="Arial" w:hAnsi="Arial" w:cs="Arial"/>
                <w:b/>
                <w:bCs/>
                <w:color w:val="000000"/>
                <w:sz w:val="16"/>
                <w:szCs w:val="16"/>
              </w:rPr>
            </w:pPr>
            <w:r w:rsidRPr="00947E58">
              <w:rPr>
                <w:rFonts w:ascii="Arial" w:hAnsi="Arial" w:cs="Arial"/>
                <w:b/>
                <w:bCs/>
                <w:color w:val="000000"/>
                <w:sz w:val="16"/>
                <w:szCs w:val="16"/>
              </w:rPr>
              <w:t>Net increase/(decrease) in cash</w:t>
            </w:r>
            <w:r w:rsidRPr="00947E58">
              <w:rPr>
                <w:rFonts w:ascii="Arial" w:hAnsi="Arial" w:cs="Arial"/>
                <w:b/>
                <w:bCs/>
                <w:color w:val="000000"/>
                <w:sz w:val="16"/>
                <w:szCs w:val="16"/>
              </w:rPr>
              <w:br/>
              <w:t xml:space="preserve">  held</w:t>
            </w:r>
          </w:p>
        </w:tc>
        <w:tc>
          <w:tcPr>
            <w:tcW w:w="636" w:type="pct"/>
            <w:tcBorders>
              <w:top w:val="nil"/>
              <w:left w:val="nil"/>
              <w:bottom w:val="single" w:sz="4" w:space="0" w:color="000000"/>
              <w:right w:val="nil"/>
            </w:tcBorders>
            <w:shd w:val="clear" w:color="auto" w:fill="auto"/>
            <w:noWrap/>
            <w:vAlign w:val="bottom"/>
            <w:hideMark/>
          </w:tcPr>
          <w:p w14:paraId="3E70984F"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xml:space="preserve">1,718 </w:t>
            </w:r>
          </w:p>
        </w:tc>
        <w:tc>
          <w:tcPr>
            <w:tcW w:w="586" w:type="pct"/>
            <w:tcBorders>
              <w:top w:val="nil"/>
              <w:left w:val="nil"/>
              <w:bottom w:val="single" w:sz="4" w:space="0" w:color="000000"/>
              <w:right w:val="nil"/>
            </w:tcBorders>
            <w:shd w:val="clear" w:color="000000" w:fill="E6E6E6"/>
            <w:noWrap/>
            <w:vAlign w:val="bottom"/>
            <w:hideMark/>
          </w:tcPr>
          <w:p w14:paraId="008FDF2D"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xml:space="preserve">- </w:t>
            </w:r>
          </w:p>
        </w:tc>
        <w:tc>
          <w:tcPr>
            <w:tcW w:w="591" w:type="pct"/>
            <w:tcBorders>
              <w:top w:val="nil"/>
              <w:left w:val="nil"/>
              <w:bottom w:val="single" w:sz="4" w:space="0" w:color="000000"/>
              <w:right w:val="nil"/>
            </w:tcBorders>
            <w:shd w:val="clear" w:color="auto" w:fill="auto"/>
            <w:noWrap/>
            <w:vAlign w:val="bottom"/>
            <w:hideMark/>
          </w:tcPr>
          <w:p w14:paraId="2A7177F9"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xml:space="preserve">- </w:t>
            </w:r>
          </w:p>
        </w:tc>
        <w:tc>
          <w:tcPr>
            <w:tcW w:w="591" w:type="pct"/>
            <w:tcBorders>
              <w:top w:val="nil"/>
              <w:left w:val="nil"/>
              <w:bottom w:val="single" w:sz="4" w:space="0" w:color="000000"/>
              <w:right w:val="nil"/>
            </w:tcBorders>
            <w:shd w:val="clear" w:color="auto" w:fill="auto"/>
            <w:noWrap/>
            <w:vAlign w:val="bottom"/>
            <w:hideMark/>
          </w:tcPr>
          <w:p w14:paraId="5E144EE4"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xml:space="preserve">- </w:t>
            </w:r>
          </w:p>
        </w:tc>
        <w:tc>
          <w:tcPr>
            <w:tcW w:w="591" w:type="pct"/>
            <w:tcBorders>
              <w:top w:val="nil"/>
              <w:left w:val="nil"/>
              <w:bottom w:val="single" w:sz="4" w:space="0" w:color="000000"/>
              <w:right w:val="nil"/>
            </w:tcBorders>
            <w:shd w:val="clear" w:color="auto" w:fill="auto"/>
            <w:noWrap/>
            <w:vAlign w:val="bottom"/>
            <w:hideMark/>
          </w:tcPr>
          <w:p w14:paraId="4C237873" w14:textId="77777777" w:rsidR="00947E58" w:rsidRPr="00947E58" w:rsidRDefault="00947E58" w:rsidP="00DD0170">
            <w:pPr>
              <w:spacing w:after="0" w:line="240" w:lineRule="auto"/>
              <w:jc w:val="right"/>
              <w:rPr>
                <w:rFonts w:ascii="Arial" w:hAnsi="Arial" w:cs="Arial"/>
                <w:b/>
                <w:bCs/>
                <w:color w:val="000000"/>
                <w:sz w:val="16"/>
                <w:szCs w:val="16"/>
              </w:rPr>
            </w:pPr>
            <w:r w:rsidRPr="00947E58">
              <w:rPr>
                <w:rFonts w:ascii="Arial" w:hAnsi="Arial" w:cs="Arial"/>
                <w:b/>
                <w:bCs/>
                <w:color w:val="000000"/>
                <w:sz w:val="16"/>
                <w:szCs w:val="16"/>
              </w:rPr>
              <w:t xml:space="preserve">- </w:t>
            </w:r>
          </w:p>
        </w:tc>
      </w:tr>
      <w:tr w:rsidR="00947E58" w:rsidRPr="00947E58" w14:paraId="1900B912" w14:textId="77777777" w:rsidTr="00DD0170">
        <w:trPr>
          <w:divId w:val="833452831"/>
          <w:trHeight w:val="450"/>
        </w:trPr>
        <w:tc>
          <w:tcPr>
            <w:tcW w:w="2004" w:type="pct"/>
            <w:tcBorders>
              <w:top w:val="nil"/>
              <w:left w:val="nil"/>
              <w:bottom w:val="nil"/>
              <w:right w:val="nil"/>
            </w:tcBorders>
            <w:shd w:val="clear" w:color="auto" w:fill="auto"/>
            <w:vAlign w:val="bottom"/>
            <w:hideMark/>
          </w:tcPr>
          <w:p w14:paraId="6E72D79B" w14:textId="0E7E4091" w:rsidR="00947E58" w:rsidRPr="00947E58" w:rsidRDefault="00947E58" w:rsidP="00DD0170">
            <w:pPr>
              <w:spacing w:after="0" w:line="240" w:lineRule="auto"/>
              <w:ind w:firstLineChars="100" w:firstLine="160"/>
              <w:jc w:val="left"/>
              <w:rPr>
                <w:rFonts w:ascii="Arial" w:hAnsi="Arial" w:cs="Arial"/>
                <w:color w:val="000000"/>
                <w:sz w:val="16"/>
                <w:szCs w:val="16"/>
              </w:rPr>
            </w:pPr>
            <w:r w:rsidRPr="00947E58">
              <w:rPr>
                <w:rFonts w:ascii="Arial" w:hAnsi="Arial" w:cs="Arial"/>
                <w:color w:val="000000"/>
                <w:sz w:val="16"/>
                <w:szCs w:val="16"/>
              </w:rPr>
              <w:t>Cash and cash equivalents at the</w:t>
            </w:r>
            <w:r w:rsidRPr="00947E58">
              <w:rPr>
                <w:rFonts w:ascii="Arial" w:hAnsi="Arial" w:cs="Arial"/>
                <w:color w:val="000000"/>
                <w:sz w:val="16"/>
                <w:szCs w:val="16"/>
              </w:rPr>
              <w:br/>
              <w:t xml:space="preserve">  </w:t>
            </w:r>
            <w:r w:rsidR="000D0771">
              <w:rPr>
                <w:rFonts w:ascii="Arial" w:hAnsi="Arial" w:cs="Arial"/>
                <w:color w:val="000000"/>
                <w:sz w:val="16"/>
                <w:szCs w:val="16"/>
              </w:rPr>
              <w:t xml:space="preserve"> </w:t>
            </w:r>
            <w:r w:rsidRPr="00947E58">
              <w:rPr>
                <w:rFonts w:ascii="Arial" w:hAnsi="Arial" w:cs="Arial"/>
                <w:color w:val="000000"/>
                <w:sz w:val="16"/>
                <w:szCs w:val="16"/>
              </w:rPr>
              <w:t xml:space="preserve"> beginning of the reporting period</w:t>
            </w:r>
          </w:p>
        </w:tc>
        <w:tc>
          <w:tcPr>
            <w:tcW w:w="636" w:type="pct"/>
            <w:tcBorders>
              <w:top w:val="nil"/>
              <w:left w:val="nil"/>
              <w:bottom w:val="nil"/>
              <w:right w:val="nil"/>
            </w:tcBorders>
            <w:shd w:val="clear" w:color="auto" w:fill="auto"/>
            <w:noWrap/>
            <w:vAlign w:val="bottom"/>
            <w:hideMark/>
          </w:tcPr>
          <w:p w14:paraId="46C6567C"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465 </w:t>
            </w:r>
          </w:p>
        </w:tc>
        <w:tc>
          <w:tcPr>
            <w:tcW w:w="586" w:type="pct"/>
            <w:tcBorders>
              <w:top w:val="nil"/>
              <w:left w:val="nil"/>
              <w:bottom w:val="nil"/>
              <w:right w:val="nil"/>
            </w:tcBorders>
            <w:shd w:val="clear" w:color="000000" w:fill="E6E6E6"/>
            <w:noWrap/>
            <w:vAlign w:val="bottom"/>
            <w:hideMark/>
          </w:tcPr>
          <w:p w14:paraId="41F0B295"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2,183 </w:t>
            </w:r>
          </w:p>
        </w:tc>
        <w:tc>
          <w:tcPr>
            <w:tcW w:w="591" w:type="pct"/>
            <w:tcBorders>
              <w:top w:val="nil"/>
              <w:left w:val="nil"/>
              <w:bottom w:val="nil"/>
              <w:right w:val="nil"/>
            </w:tcBorders>
            <w:shd w:val="clear" w:color="auto" w:fill="auto"/>
            <w:noWrap/>
            <w:vAlign w:val="bottom"/>
            <w:hideMark/>
          </w:tcPr>
          <w:p w14:paraId="49FFC84F"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2,183 </w:t>
            </w:r>
          </w:p>
        </w:tc>
        <w:tc>
          <w:tcPr>
            <w:tcW w:w="591" w:type="pct"/>
            <w:tcBorders>
              <w:top w:val="nil"/>
              <w:left w:val="nil"/>
              <w:bottom w:val="nil"/>
              <w:right w:val="nil"/>
            </w:tcBorders>
            <w:shd w:val="clear" w:color="auto" w:fill="auto"/>
            <w:noWrap/>
            <w:vAlign w:val="bottom"/>
            <w:hideMark/>
          </w:tcPr>
          <w:p w14:paraId="74B451CB"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2,183 </w:t>
            </w:r>
          </w:p>
        </w:tc>
        <w:tc>
          <w:tcPr>
            <w:tcW w:w="591" w:type="pct"/>
            <w:tcBorders>
              <w:top w:val="nil"/>
              <w:left w:val="nil"/>
              <w:bottom w:val="nil"/>
              <w:right w:val="nil"/>
            </w:tcBorders>
            <w:shd w:val="clear" w:color="auto" w:fill="auto"/>
            <w:noWrap/>
            <w:vAlign w:val="bottom"/>
            <w:hideMark/>
          </w:tcPr>
          <w:p w14:paraId="44B2C372"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2,183 </w:t>
            </w:r>
          </w:p>
        </w:tc>
      </w:tr>
      <w:tr w:rsidR="00947E58" w:rsidRPr="00947E58" w14:paraId="12E79D46" w14:textId="77777777" w:rsidTr="00DD0170">
        <w:trPr>
          <w:divId w:val="833452831"/>
          <w:trHeight w:val="450"/>
        </w:trPr>
        <w:tc>
          <w:tcPr>
            <w:tcW w:w="2004" w:type="pct"/>
            <w:tcBorders>
              <w:top w:val="nil"/>
              <w:left w:val="nil"/>
              <w:bottom w:val="single" w:sz="4" w:space="0" w:color="auto"/>
              <w:right w:val="nil"/>
            </w:tcBorders>
            <w:shd w:val="clear" w:color="auto" w:fill="auto"/>
            <w:vAlign w:val="bottom"/>
            <w:hideMark/>
          </w:tcPr>
          <w:p w14:paraId="4BC8940C" w14:textId="68EFB16B" w:rsidR="00947E58" w:rsidRPr="00947E58" w:rsidRDefault="000D0771" w:rsidP="00DD0170">
            <w:pPr>
              <w:spacing w:after="0" w:line="240" w:lineRule="auto"/>
              <w:jc w:val="left"/>
              <w:rPr>
                <w:rFonts w:ascii="Arial" w:hAnsi="Arial" w:cs="Arial"/>
                <w:b/>
                <w:bCs/>
                <w:color w:val="000000"/>
                <w:sz w:val="16"/>
                <w:szCs w:val="16"/>
              </w:rPr>
            </w:pPr>
            <w:r>
              <w:rPr>
                <w:rFonts w:ascii="Arial" w:hAnsi="Arial" w:cs="Arial"/>
                <w:b/>
                <w:bCs/>
                <w:color w:val="000000"/>
                <w:sz w:val="16"/>
                <w:szCs w:val="16"/>
              </w:rPr>
              <w:t>Cash and cash equivalents at</w:t>
            </w:r>
            <w:r>
              <w:rPr>
                <w:rFonts w:ascii="Arial" w:hAnsi="Arial" w:cs="Arial"/>
                <w:b/>
                <w:bCs/>
                <w:color w:val="000000"/>
                <w:sz w:val="16"/>
                <w:szCs w:val="16"/>
              </w:rPr>
              <w:br/>
            </w:r>
            <w:r w:rsidR="00947E58" w:rsidRPr="00947E58">
              <w:rPr>
                <w:rFonts w:ascii="Arial" w:hAnsi="Arial" w:cs="Arial"/>
                <w:b/>
                <w:bCs/>
                <w:color w:val="000000"/>
                <w:sz w:val="16"/>
                <w:szCs w:val="16"/>
              </w:rPr>
              <w:t>the end of the reporting period</w:t>
            </w:r>
          </w:p>
        </w:tc>
        <w:tc>
          <w:tcPr>
            <w:tcW w:w="636" w:type="pct"/>
            <w:tcBorders>
              <w:top w:val="single" w:sz="4" w:space="0" w:color="000000"/>
              <w:left w:val="nil"/>
              <w:bottom w:val="single" w:sz="4" w:space="0" w:color="auto"/>
              <w:right w:val="nil"/>
            </w:tcBorders>
            <w:shd w:val="clear" w:color="auto" w:fill="auto"/>
            <w:noWrap/>
            <w:vAlign w:val="bottom"/>
            <w:hideMark/>
          </w:tcPr>
          <w:p w14:paraId="68E46626"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2,183 </w:t>
            </w:r>
          </w:p>
        </w:tc>
        <w:tc>
          <w:tcPr>
            <w:tcW w:w="586" w:type="pct"/>
            <w:tcBorders>
              <w:top w:val="single" w:sz="4" w:space="0" w:color="000000"/>
              <w:left w:val="nil"/>
              <w:bottom w:val="single" w:sz="4" w:space="0" w:color="auto"/>
              <w:right w:val="nil"/>
            </w:tcBorders>
            <w:shd w:val="clear" w:color="000000" w:fill="E6E6E6"/>
            <w:noWrap/>
            <w:vAlign w:val="bottom"/>
            <w:hideMark/>
          </w:tcPr>
          <w:p w14:paraId="1D2FBF2F"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2,183 </w:t>
            </w:r>
          </w:p>
        </w:tc>
        <w:tc>
          <w:tcPr>
            <w:tcW w:w="591" w:type="pct"/>
            <w:tcBorders>
              <w:top w:val="single" w:sz="4" w:space="0" w:color="000000"/>
              <w:left w:val="nil"/>
              <w:bottom w:val="single" w:sz="4" w:space="0" w:color="auto"/>
              <w:right w:val="nil"/>
            </w:tcBorders>
            <w:shd w:val="clear" w:color="auto" w:fill="auto"/>
            <w:noWrap/>
            <w:vAlign w:val="bottom"/>
            <w:hideMark/>
          </w:tcPr>
          <w:p w14:paraId="4BC63FD2"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2,183 </w:t>
            </w:r>
          </w:p>
        </w:tc>
        <w:tc>
          <w:tcPr>
            <w:tcW w:w="591" w:type="pct"/>
            <w:tcBorders>
              <w:top w:val="single" w:sz="4" w:space="0" w:color="000000"/>
              <w:left w:val="nil"/>
              <w:bottom w:val="single" w:sz="4" w:space="0" w:color="auto"/>
              <w:right w:val="nil"/>
            </w:tcBorders>
            <w:shd w:val="clear" w:color="auto" w:fill="auto"/>
            <w:noWrap/>
            <w:vAlign w:val="bottom"/>
            <w:hideMark/>
          </w:tcPr>
          <w:p w14:paraId="0F8B3BA6"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2,183 </w:t>
            </w:r>
          </w:p>
        </w:tc>
        <w:tc>
          <w:tcPr>
            <w:tcW w:w="591" w:type="pct"/>
            <w:tcBorders>
              <w:top w:val="single" w:sz="4" w:space="0" w:color="000000"/>
              <w:left w:val="nil"/>
              <w:bottom w:val="single" w:sz="4" w:space="0" w:color="auto"/>
              <w:right w:val="nil"/>
            </w:tcBorders>
            <w:shd w:val="clear" w:color="auto" w:fill="auto"/>
            <w:noWrap/>
            <w:vAlign w:val="bottom"/>
            <w:hideMark/>
          </w:tcPr>
          <w:p w14:paraId="6B7C1968" w14:textId="77777777" w:rsidR="00947E58" w:rsidRPr="00947E58" w:rsidRDefault="00947E58" w:rsidP="00DD0170">
            <w:pPr>
              <w:spacing w:after="0" w:line="240" w:lineRule="auto"/>
              <w:jc w:val="right"/>
              <w:rPr>
                <w:rFonts w:ascii="Arial" w:hAnsi="Arial" w:cs="Arial"/>
                <w:color w:val="000000"/>
                <w:sz w:val="16"/>
                <w:szCs w:val="16"/>
              </w:rPr>
            </w:pPr>
            <w:r w:rsidRPr="00947E58">
              <w:rPr>
                <w:rFonts w:ascii="Arial" w:hAnsi="Arial" w:cs="Arial"/>
                <w:color w:val="000000"/>
                <w:sz w:val="16"/>
                <w:szCs w:val="16"/>
              </w:rPr>
              <w:t xml:space="preserve">2,183 </w:t>
            </w:r>
          </w:p>
        </w:tc>
      </w:tr>
      <w:tr w:rsidR="00947E58" w:rsidRPr="00947E58" w14:paraId="60A426BD" w14:textId="77777777" w:rsidTr="000D0771">
        <w:trPr>
          <w:divId w:val="833452831"/>
          <w:trHeight w:val="229"/>
        </w:trPr>
        <w:tc>
          <w:tcPr>
            <w:tcW w:w="5000" w:type="pct"/>
            <w:gridSpan w:val="6"/>
            <w:tcBorders>
              <w:top w:val="nil"/>
              <w:left w:val="nil"/>
              <w:bottom w:val="nil"/>
              <w:right w:val="nil"/>
            </w:tcBorders>
            <w:shd w:val="clear" w:color="auto" w:fill="auto"/>
            <w:noWrap/>
            <w:vAlign w:val="bottom"/>
            <w:hideMark/>
          </w:tcPr>
          <w:p w14:paraId="5A894EE2" w14:textId="77777777" w:rsidR="00947E58" w:rsidRPr="00947E58" w:rsidRDefault="00947E58" w:rsidP="003B0AFB">
            <w:pPr>
              <w:spacing w:before="40" w:after="0" w:line="240" w:lineRule="auto"/>
              <w:jc w:val="left"/>
              <w:rPr>
                <w:rFonts w:ascii="Arial" w:hAnsi="Arial" w:cs="Arial"/>
                <w:color w:val="000000"/>
                <w:sz w:val="16"/>
                <w:szCs w:val="16"/>
              </w:rPr>
            </w:pPr>
            <w:r w:rsidRPr="00947E58">
              <w:rPr>
                <w:rFonts w:ascii="Arial" w:hAnsi="Arial" w:cs="Arial"/>
                <w:color w:val="000000"/>
                <w:sz w:val="16"/>
                <w:szCs w:val="16"/>
              </w:rPr>
              <w:t>Prepared on Australian Accounting Standards basis.</w:t>
            </w:r>
          </w:p>
        </w:tc>
      </w:tr>
    </w:tbl>
    <w:p w14:paraId="5E10891F" w14:textId="7CA1E1CB" w:rsidR="00345CCD" w:rsidRPr="00132F9E" w:rsidRDefault="00345CCD" w:rsidP="00FB659F">
      <w:pPr>
        <w:pStyle w:val="TableGraphic"/>
        <w:tabs>
          <w:tab w:val="left" w:pos="6237"/>
        </w:tabs>
        <w:rPr>
          <w:rFonts w:ascii="Arial" w:hAnsi="Arial" w:cs="Arial"/>
          <w:sz w:val="16"/>
          <w:szCs w:val="16"/>
        </w:rPr>
      </w:pPr>
    </w:p>
    <w:p w14:paraId="3B6943BA" w14:textId="77777777" w:rsidR="0061675B" w:rsidRPr="00132F9E" w:rsidRDefault="0061675B" w:rsidP="00601A28">
      <w:pPr>
        <w:pStyle w:val="NoSpacing"/>
        <w:rPr>
          <w:rFonts w:ascii="Arial" w:hAnsi="Arial" w:cs="Arial"/>
          <w:sz w:val="16"/>
          <w:szCs w:val="16"/>
        </w:rPr>
      </w:pPr>
    </w:p>
    <w:p w14:paraId="558D3F3C" w14:textId="313C980C" w:rsidR="001E6B90" w:rsidRDefault="000A24C4" w:rsidP="00392DD1">
      <w:pPr>
        <w:pStyle w:val="TableGraphic"/>
        <w:rPr>
          <w:rFonts w:ascii="Times New Roman" w:hAnsi="Times New Roman"/>
        </w:rPr>
      </w:pPr>
      <w:r>
        <w:br w:type="page"/>
      </w:r>
      <w:r w:rsidR="008B4464" w:rsidRPr="00A3560B">
        <w:rPr>
          <w:rFonts w:ascii="Arial" w:hAnsi="Arial" w:cs="Arial"/>
          <w:b/>
        </w:rPr>
        <w:lastRenderedPageBreak/>
        <w:t>Table</w:t>
      </w:r>
      <w:r w:rsidR="00971CBF" w:rsidRPr="00A3560B">
        <w:rPr>
          <w:rFonts w:ascii="Arial" w:hAnsi="Arial" w:cs="Arial"/>
          <w:b/>
        </w:rPr>
        <w:t xml:space="preserve"> 3.</w:t>
      </w:r>
      <w:r w:rsidR="008B4464" w:rsidRPr="00A3560B">
        <w:rPr>
          <w:rFonts w:ascii="Arial" w:hAnsi="Arial" w:cs="Arial"/>
          <w:b/>
        </w:rPr>
        <w:t xml:space="preserve">5: </w:t>
      </w:r>
      <w:r w:rsidR="00F54947" w:rsidRPr="00A3560B">
        <w:rPr>
          <w:rFonts w:ascii="Arial" w:hAnsi="Arial" w:cs="Arial"/>
          <w:b/>
        </w:rPr>
        <w:t xml:space="preserve">Departmental </w:t>
      </w:r>
      <w:r w:rsidR="00F10305" w:rsidRPr="00A3560B">
        <w:rPr>
          <w:rFonts w:ascii="Arial" w:hAnsi="Arial" w:cs="Arial"/>
          <w:b/>
        </w:rPr>
        <w:t>capital budget statement</w:t>
      </w:r>
      <w:r w:rsidR="005067C7" w:rsidRPr="00A3560B">
        <w:rPr>
          <w:rFonts w:ascii="Arial" w:hAnsi="Arial" w:cs="Arial"/>
          <w:b/>
        </w:rPr>
        <w:t xml:space="preserve"> (for the period ended 30 June)</w:t>
      </w:r>
    </w:p>
    <w:tbl>
      <w:tblPr>
        <w:tblW w:w="5000" w:type="pct"/>
        <w:tblLook w:val="04A0" w:firstRow="1" w:lastRow="0" w:firstColumn="1" w:lastColumn="0" w:noHBand="0" w:noVBand="1"/>
      </w:tblPr>
      <w:tblGrid>
        <w:gridCol w:w="3127"/>
        <w:gridCol w:w="973"/>
        <w:gridCol w:w="902"/>
        <w:gridCol w:w="902"/>
        <w:gridCol w:w="902"/>
        <w:gridCol w:w="904"/>
      </w:tblGrid>
      <w:tr w:rsidR="001E6B90" w:rsidRPr="001E6B90" w14:paraId="025ED280" w14:textId="77777777" w:rsidTr="005D1868">
        <w:trPr>
          <w:divId w:val="252084210"/>
          <w:trHeight w:val="900"/>
        </w:trPr>
        <w:tc>
          <w:tcPr>
            <w:tcW w:w="2028" w:type="pct"/>
            <w:tcBorders>
              <w:top w:val="single" w:sz="4" w:space="0" w:color="auto"/>
              <w:left w:val="nil"/>
              <w:bottom w:val="nil"/>
              <w:right w:val="nil"/>
            </w:tcBorders>
            <w:shd w:val="clear" w:color="auto" w:fill="auto"/>
            <w:noWrap/>
            <w:hideMark/>
          </w:tcPr>
          <w:p w14:paraId="1EAACFC6" w14:textId="72FC5672" w:rsidR="001E6B90" w:rsidRPr="001E6B90" w:rsidRDefault="001E6B90" w:rsidP="001E6B90">
            <w:pPr>
              <w:rPr>
                <w:rFonts w:ascii="Arial" w:hAnsi="Arial" w:cs="Arial"/>
                <w:b/>
                <w:bCs/>
                <w:sz w:val="16"/>
                <w:szCs w:val="16"/>
              </w:rPr>
            </w:pPr>
            <w:r w:rsidRPr="001E6B90">
              <w:rPr>
                <w:rFonts w:ascii="Arial" w:hAnsi="Arial" w:cs="Arial"/>
                <w:b/>
                <w:bCs/>
                <w:sz w:val="16"/>
                <w:szCs w:val="16"/>
              </w:rPr>
              <w:t> </w:t>
            </w:r>
          </w:p>
        </w:tc>
        <w:tc>
          <w:tcPr>
            <w:tcW w:w="631" w:type="pct"/>
            <w:tcBorders>
              <w:top w:val="single" w:sz="4" w:space="0" w:color="auto"/>
              <w:left w:val="nil"/>
              <w:bottom w:val="single" w:sz="4" w:space="0" w:color="auto"/>
              <w:right w:val="nil"/>
            </w:tcBorders>
            <w:shd w:val="clear" w:color="auto" w:fill="auto"/>
            <w:vAlign w:val="center"/>
            <w:hideMark/>
          </w:tcPr>
          <w:p w14:paraId="19F1B314" w14:textId="77777777" w:rsidR="001E6B90" w:rsidRPr="001E6B90" w:rsidRDefault="001E6B90" w:rsidP="005D1868">
            <w:pPr>
              <w:spacing w:after="0" w:line="240" w:lineRule="auto"/>
              <w:jc w:val="right"/>
              <w:rPr>
                <w:rFonts w:ascii="Arial" w:hAnsi="Arial" w:cs="Arial"/>
                <w:sz w:val="16"/>
                <w:szCs w:val="16"/>
              </w:rPr>
            </w:pPr>
            <w:r w:rsidRPr="001E6B90">
              <w:rPr>
                <w:rFonts w:ascii="Arial" w:hAnsi="Arial" w:cs="Arial"/>
                <w:sz w:val="16"/>
                <w:szCs w:val="16"/>
              </w:rPr>
              <w:t>2019-20 Estimated actual</w:t>
            </w:r>
            <w:r w:rsidRPr="001E6B90">
              <w:rPr>
                <w:rFonts w:ascii="Arial" w:hAnsi="Arial" w:cs="Arial"/>
                <w:sz w:val="16"/>
                <w:szCs w:val="16"/>
              </w:rPr>
              <w:br/>
              <w:t>$'000</w:t>
            </w:r>
          </w:p>
        </w:tc>
        <w:tc>
          <w:tcPr>
            <w:tcW w:w="585" w:type="pct"/>
            <w:tcBorders>
              <w:top w:val="single" w:sz="4" w:space="0" w:color="auto"/>
              <w:left w:val="nil"/>
              <w:bottom w:val="single" w:sz="4" w:space="0" w:color="auto"/>
              <w:right w:val="nil"/>
            </w:tcBorders>
            <w:shd w:val="clear" w:color="000000" w:fill="E6E6E6"/>
            <w:vAlign w:val="center"/>
            <w:hideMark/>
          </w:tcPr>
          <w:p w14:paraId="686FB911" w14:textId="77777777" w:rsidR="001E6B90" w:rsidRPr="001E6B90" w:rsidRDefault="001E6B90" w:rsidP="005D1868">
            <w:pPr>
              <w:spacing w:after="0" w:line="240" w:lineRule="auto"/>
              <w:jc w:val="right"/>
              <w:rPr>
                <w:rFonts w:ascii="Arial" w:hAnsi="Arial" w:cs="Arial"/>
                <w:sz w:val="16"/>
                <w:szCs w:val="16"/>
              </w:rPr>
            </w:pPr>
            <w:r w:rsidRPr="001E6B90">
              <w:rPr>
                <w:rFonts w:ascii="Arial" w:hAnsi="Arial" w:cs="Arial"/>
                <w:sz w:val="16"/>
                <w:szCs w:val="16"/>
              </w:rPr>
              <w:t>2020-21</w:t>
            </w:r>
            <w:r w:rsidRPr="001E6B90">
              <w:rPr>
                <w:rFonts w:ascii="Arial" w:hAnsi="Arial" w:cs="Arial"/>
                <w:sz w:val="16"/>
                <w:szCs w:val="16"/>
              </w:rPr>
              <w:br/>
              <w:t>Budget</w:t>
            </w:r>
            <w:r w:rsidRPr="001E6B90">
              <w:rPr>
                <w:rFonts w:ascii="Arial" w:hAnsi="Arial" w:cs="Arial"/>
                <w:sz w:val="16"/>
                <w:szCs w:val="16"/>
              </w:rPr>
              <w:br/>
            </w:r>
            <w:r w:rsidRPr="001E6B90">
              <w:rPr>
                <w:rFonts w:ascii="Arial" w:hAnsi="Arial" w:cs="Arial"/>
                <w:sz w:val="16"/>
                <w:szCs w:val="16"/>
              </w:rPr>
              <w:br/>
              <w:t>$'000</w:t>
            </w:r>
          </w:p>
        </w:tc>
        <w:tc>
          <w:tcPr>
            <w:tcW w:w="585" w:type="pct"/>
            <w:tcBorders>
              <w:top w:val="single" w:sz="4" w:space="0" w:color="auto"/>
              <w:left w:val="nil"/>
              <w:bottom w:val="single" w:sz="4" w:space="0" w:color="auto"/>
              <w:right w:val="nil"/>
            </w:tcBorders>
            <w:shd w:val="clear" w:color="auto" w:fill="auto"/>
            <w:vAlign w:val="center"/>
            <w:hideMark/>
          </w:tcPr>
          <w:p w14:paraId="211BA0DD" w14:textId="77777777" w:rsidR="001E6B90" w:rsidRPr="001E6B90" w:rsidRDefault="001E6B90" w:rsidP="005D1868">
            <w:pPr>
              <w:spacing w:after="0" w:line="240" w:lineRule="auto"/>
              <w:jc w:val="right"/>
              <w:rPr>
                <w:rFonts w:ascii="Arial" w:hAnsi="Arial" w:cs="Arial"/>
                <w:sz w:val="16"/>
                <w:szCs w:val="16"/>
              </w:rPr>
            </w:pPr>
            <w:r w:rsidRPr="001E6B90">
              <w:rPr>
                <w:rFonts w:ascii="Arial" w:hAnsi="Arial" w:cs="Arial"/>
                <w:sz w:val="16"/>
                <w:szCs w:val="16"/>
              </w:rPr>
              <w:t>2021-22 Forward estimate</w:t>
            </w:r>
            <w:r w:rsidRPr="001E6B90">
              <w:rPr>
                <w:rFonts w:ascii="Arial" w:hAnsi="Arial" w:cs="Arial"/>
                <w:sz w:val="16"/>
                <w:szCs w:val="16"/>
              </w:rPr>
              <w:br/>
              <w:t>$'000</w:t>
            </w:r>
          </w:p>
        </w:tc>
        <w:tc>
          <w:tcPr>
            <w:tcW w:w="585" w:type="pct"/>
            <w:tcBorders>
              <w:top w:val="single" w:sz="4" w:space="0" w:color="auto"/>
              <w:left w:val="nil"/>
              <w:bottom w:val="single" w:sz="4" w:space="0" w:color="auto"/>
              <w:right w:val="nil"/>
            </w:tcBorders>
            <w:shd w:val="clear" w:color="auto" w:fill="auto"/>
            <w:vAlign w:val="center"/>
            <w:hideMark/>
          </w:tcPr>
          <w:p w14:paraId="3BF6F00A" w14:textId="77777777" w:rsidR="001E6B90" w:rsidRPr="001E6B90" w:rsidRDefault="001E6B90" w:rsidP="005D1868">
            <w:pPr>
              <w:spacing w:after="0" w:line="240" w:lineRule="auto"/>
              <w:jc w:val="right"/>
              <w:rPr>
                <w:rFonts w:ascii="Arial" w:hAnsi="Arial" w:cs="Arial"/>
                <w:sz w:val="16"/>
                <w:szCs w:val="16"/>
              </w:rPr>
            </w:pPr>
            <w:r w:rsidRPr="001E6B90">
              <w:rPr>
                <w:rFonts w:ascii="Arial" w:hAnsi="Arial" w:cs="Arial"/>
                <w:sz w:val="16"/>
                <w:szCs w:val="16"/>
              </w:rPr>
              <w:t>2022-23 Forward estimate</w:t>
            </w:r>
            <w:r w:rsidRPr="001E6B90">
              <w:rPr>
                <w:rFonts w:ascii="Arial" w:hAnsi="Arial" w:cs="Arial"/>
                <w:sz w:val="16"/>
                <w:szCs w:val="16"/>
              </w:rPr>
              <w:br/>
              <w:t>$'000</w:t>
            </w:r>
          </w:p>
        </w:tc>
        <w:tc>
          <w:tcPr>
            <w:tcW w:w="586" w:type="pct"/>
            <w:tcBorders>
              <w:top w:val="single" w:sz="4" w:space="0" w:color="auto"/>
              <w:left w:val="nil"/>
              <w:bottom w:val="single" w:sz="4" w:space="0" w:color="auto"/>
              <w:right w:val="nil"/>
            </w:tcBorders>
            <w:shd w:val="clear" w:color="auto" w:fill="auto"/>
            <w:vAlign w:val="center"/>
            <w:hideMark/>
          </w:tcPr>
          <w:p w14:paraId="0B637A7D" w14:textId="77777777" w:rsidR="001E6B90" w:rsidRPr="001E6B90" w:rsidRDefault="001E6B90" w:rsidP="005D1868">
            <w:pPr>
              <w:spacing w:after="0" w:line="240" w:lineRule="auto"/>
              <w:jc w:val="right"/>
              <w:rPr>
                <w:rFonts w:ascii="Arial" w:hAnsi="Arial" w:cs="Arial"/>
                <w:sz w:val="16"/>
                <w:szCs w:val="16"/>
              </w:rPr>
            </w:pPr>
            <w:r w:rsidRPr="001E6B90">
              <w:rPr>
                <w:rFonts w:ascii="Arial" w:hAnsi="Arial" w:cs="Arial"/>
                <w:sz w:val="16"/>
                <w:szCs w:val="16"/>
              </w:rPr>
              <w:t>2023-24</w:t>
            </w:r>
            <w:r w:rsidRPr="001E6B90">
              <w:rPr>
                <w:rFonts w:ascii="Arial" w:hAnsi="Arial" w:cs="Arial"/>
                <w:sz w:val="16"/>
                <w:szCs w:val="16"/>
              </w:rPr>
              <w:br/>
              <w:t>Forward estimate</w:t>
            </w:r>
            <w:r w:rsidRPr="001E6B90">
              <w:rPr>
                <w:rFonts w:ascii="Arial" w:hAnsi="Arial" w:cs="Arial"/>
                <w:sz w:val="16"/>
                <w:szCs w:val="16"/>
              </w:rPr>
              <w:br/>
              <w:t>$'000</w:t>
            </w:r>
          </w:p>
        </w:tc>
      </w:tr>
      <w:tr w:rsidR="001E6B90" w:rsidRPr="001E6B90" w14:paraId="1DF1573E" w14:textId="77777777" w:rsidTr="001E6B90">
        <w:trPr>
          <w:divId w:val="252084210"/>
          <w:trHeight w:val="229"/>
        </w:trPr>
        <w:tc>
          <w:tcPr>
            <w:tcW w:w="2028" w:type="pct"/>
            <w:tcBorders>
              <w:top w:val="nil"/>
              <w:left w:val="nil"/>
              <w:bottom w:val="nil"/>
              <w:right w:val="nil"/>
            </w:tcBorders>
            <w:shd w:val="clear" w:color="auto" w:fill="auto"/>
            <w:noWrap/>
            <w:vAlign w:val="bottom"/>
            <w:hideMark/>
          </w:tcPr>
          <w:p w14:paraId="0ABE17C0" w14:textId="77777777" w:rsidR="001E6B90" w:rsidRPr="001E6B90" w:rsidRDefault="001E6B90" w:rsidP="001E6B90">
            <w:pPr>
              <w:spacing w:after="0" w:line="240" w:lineRule="auto"/>
              <w:jc w:val="left"/>
              <w:rPr>
                <w:rFonts w:ascii="Arial" w:hAnsi="Arial" w:cs="Arial"/>
                <w:b/>
                <w:bCs/>
                <w:sz w:val="16"/>
                <w:szCs w:val="16"/>
              </w:rPr>
            </w:pPr>
            <w:r w:rsidRPr="001E6B90">
              <w:rPr>
                <w:rFonts w:ascii="Arial" w:hAnsi="Arial" w:cs="Arial"/>
                <w:b/>
                <w:bCs/>
                <w:sz w:val="16"/>
                <w:szCs w:val="16"/>
              </w:rPr>
              <w:t>NEW CAPITAL APPROPRIATIONS</w:t>
            </w:r>
          </w:p>
        </w:tc>
        <w:tc>
          <w:tcPr>
            <w:tcW w:w="631" w:type="pct"/>
            <w:tcBorders>
              <w:top w:val="nil"/>
              <w:left w:val="nil"/>
              <w:bottom w:val="nil"/>
              <w:right w:val="nil"/>
            </w:tcBorders>
            <w:shd w:val="clear" w:color="auto" w:fill="auto"/>
            <w:noWrap/>
            <w:vAlign w:val="center"/>
            <w:hideMark/>
          </w:tcPr>
          <w:p w14:paraId="39A1CA6A" w14:textId="77777777" w:rsidR="001E6B90" w:rsidRPr="001E6B90" w:rsidRDefault="001E6B90" w:rsidP="001E6B90">
            <w:pPr>
              <w:spacing w:after="0" w:line="240" w:lineRule="auto"/>
              <w:jc w:val="left"/>
              <w:rPr>
                <w:rFonts w:ascii="Arial" w:hAnsi="Arial" w:cs="Arial"/>
                <w:b/>
                <w:bCs/>
                <w:sz w:val="16"/>
                <w:szCs w:val="16"/>
              </w:rPr>
            </w:pPr>
          </w:p>
        </w:tc>
        <w:tc>
          <w:tcPr>
            <w:tcW w:w="585" w:type="pct"/>
            <w:tcBorders>
              <w:top w:val="nil"/>
              <w:left w:val="nil"/>
              <w:bottom w:val="nil"/>
              <w:right w:val="nil"/>
            </w:tcBorders>
            <w:shd w:val="clear" w:color="000000" w:fill="E6E6E6"/>
            <w:noWrap/>
            <w:vAlign w:val="center"/>
            <w:hideMark/>
          </w:tcPr>
          <w:p w14:paraId="0EDF0EAE" w14:textId="77777777" w:rsidR="001E6B90" w:rsidRPr="001E6B90" w:rsidRDefault="001E6B90" w:rsidP="001E6B90">
            <w:pPr>
              <w:spacing w:after="0" w:line="240" w:lineRule="auto"/>
              <w:jc w:val="left"/>
              <w:rPr>
                <w:rFonts w:ascii="Arial" w:hAnsi="Arial" w:cs="Arial"/>
                <w:sz w:val="16"/>
                <w:szCs w:val="16"/>
              </w:rPr>
            </w:pPr>
            <w:r w:rsidRPr="001E6B90">
              <w:rPr>
                <w:rFonts w:ascii="Arial" w:hAnsi="Arial" w:cs="Arial"/>
                <w:sz w:val="16"/>
                <w:szCs w:val="16"/>
              </w:rPr>
              <w:t> </w:t>
            </w:r>
          </w:p>
        </w:tc>
        <w:tc>
          <w:tcPr>
            <w:tcW w:w="585" w:type="pct"/>
            <w:tcBorders>
              <w:top w:val="nil"/>
              <w:left w:val="nil"/>
              <w:bottom w:val="nil"/>
              <w:right w:val="nil"/>
            </w:tcBorders>
            <w:shd w:val="clear" w:color="auto" w:fill="auto"/>
            <w:noWrap/>
            <w:vAlign w:val="center"/>
            <w:hideMark/>
          </w:tcPr>
          <w:p w14:paraId="1E42ED06" w14:textId="77777777" w:rsidR="001E6B90" w:rsidRPr="001E6B90" w:rsidRDefault="001E6B90" w:rsidP="001E6B90">
            <w:pPr>
              <w:spacing w:after="0" w:line="240" w:lineRule="auto"/>
              <w:jc w:val="left"/>
              <w:rPr>
                <w:rFonts w:ascii="Arial" w:hAnsi="Arial" w:cs="Arial"/>
                <w:sz w:val="16"/>
                <w:szCs w:val="16"/>
              </w:rPr>
            </w:pPr>
          </w:p>
        </w:tc>
        <w:tc>
          <w:tcPr>
            <w:tcW w:w="585" w:type="pct"/>
            <w:tcBorders>
              <w:top w:val="nil"/>
              <w:left w:val="nil"/>
              <w:bottom w:val="nil"/>
              <w:right w:val="nil"/>
            </w:tcBorders>
            <w:shd w:val="clear" w:color="auto" w:fill="auto"/>
            <w:noWrap/>
            <w:vAlign w:val="center"/>
            <w:hideMark/>
          </w:tcPr>
          <w:p w14:paraId="088BC16C" w14:textId="77777777" w:rsidR="001E6B90" w:rsidRPr="001E6B90" w:rsidRDefault="001E6B90" w:rsidP="001E6B90">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center"/>
            <w:hideMark/>
          </w:tcPr>
          <w:p w14:paraId="7487EF39" w14:textId="77777777" w:rsidR="001E6B90" w:rsidRPr="001E6B90" w:rsidRDefault="001E6B90" w:rsidP="001E6B90">
            <w:pPr>
              <w:spacing w:after="0" w:line="240" w:lineRule="auto"/>
              <w:jc w:val="left"/>
              <w:rPr>
                <w:rFonts w:ascii="Times New Roman" w:hAnsi="Times New Roman"/>
              </w:rPr>
            </w:pPr>
          </w:p>
        </w:tc>
      </w:tr>
      <w:tr w:rsidR="001E6B90" w:rsidRPr="001E6B90" w14:paraId="6DF10A8A" w14:textId="77777777" w:rsidTr="001E6B90">
        <w:trPr>
          <w:divId w:val="252084210"/>
          <w:trHeight w:val="229"/>
        </w:trPr>
        <w:tc>
          <w:tcPr>
            <w:tcW w:w="2028" w:type="pct"/>
            <w:tcBorders>
              <w:top w:val="nil"/>
              <w:left w:val="nil"/>
              <w:bottom w:val="nil"/>
              <w:right w:val="nil"/>
            </w:tcBorders>
            <w:shd w:val="clear" w:color="auto" w:fill="auto"/>
            <w:noWrap/>
            <w:vAlign w:val="center"/>
            <w:hideMark/>
          </w:tcPr>
          <w:p w14:paraId="4EACB0FA" w14:textId="77777777" w:rsidR="001E6B90" w:rsidRPr="001E6B90" w:rsidRDefault="001E6B90" w:rsidP="001E6B90">
            <w:pPr>
              <w:spacing w:after="0" w:line="240" w:lineRule="auto"/>
              <w:ind w:firstLineChars="100" w:firstLine="160"/>
              <w:jc w:val="left"/>
              <w:rPr>
                <w:rFonts w:ascii="Arial" w:hAnsi="Arial" w:cs="Arial"/>
                <w:sz w:val="16"/>
                <w:szCs w:val="16"/>
              </w:rPr>
            </w:pPr>
            <w:r w:rsidRPr="001E6B90">
              <w:rPr>
                <w:rFonts w:ascii="Arial" w:hAnsi="Arial" w:cs="Arial"/>
                <w:sz w:val="16"/>
                <w:szCs w:val="16"/>
              </w:rPr>
              <w:t>Capital budget - Bill 1 (DCB)</w:t>
            </w:r>
          </w:p>
        </w:tc>
        <w:tc>
          <w:tcPr>
            <w:tcW w:w="631" w:type="pct"/>
            <w:tcBorders>
              <w:top w:val="nil"/>
              <w:left w:val="nil"/>
              <w:bottom w:val="nil"/>
              <w:right w:val="nil"/>
            </w:tcBorders>
            <w:shd w:val="clear" w:color="auto" w:fill="auto"/>
            <w:noWrap/>
            <w:vAlign w:val="center"/>
            <w:hideMark/>
          </w:tcPr>
          <w:p w14:paraId="520E3D49"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 </w:t>
            </w:r>
          </w:p>
        </w:tc>
        <w:tc>
          <w:tcPr>
            <w:tcW w:w="585" w:type="pct"/>
            <w:tcBorders>
              <w:top w:val="nil"/>
              <w:left w:val="nil"/>
              <w:bottom w:val="nil"/>
              <w:right w:val="nil"/>
            </w:tcBorders>
            <w:shd w:val="clear" w:color="000000" w:fill="E6E6E6"/>
            <w:noWrap/>
            <w:vAlign w:val="center"/>
            <w:hideMark/>
          </w:tcPr>
          <w:p w14:paraId="07520AE4"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51 </w:t>
            </w:r>
          </w:p>
        </w:tc>
        <w:tc>
          <w:tcPr>
            <w:tcW w:w="585" w:type="pct"/>
            <w:tcBorders>
              <w:top w:val="nil"/>
              <w:left w:val="nil"/>
              <w:bottom w:val="nil"/>
              <w:right w:val="nil"/>
            </w:tcBorders>
            <w:shd w:val="clear" w:color="auto" w:fill="auto"/>
            <w:noWrap/>
            <w:vAlign w:val="center"/>
            <w:hideMark/>
          </w:tcPr>
          <w:p w14:paraId="7178797C"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51 </w:t>
            </w:r>
          </w:p>
        </w:tc>
        <w:tc>
          <w:tcPr>
            <w:tcW w:w="585" w:type="pct"/>
            <w:tcBorders>
              <w:top w:val="nil"/>
              <w:left w:val="nil"/>
              <w:bottom w:val="nil"/>
              <w:right w:val="nil"/>
            </w:tcBorders>
            <w:shd w:val="clear" w:color="auto" w:fill="auto"/>
            <w:noWrap/>
            <w:vAlign w:val="center"/>
            <w:hideMark/>
          </w:tcPr>
          <w:p w14:paraId="35D96DC7"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51 </w:t>
            </w:r>
          </w:p>
        </w:tc>
        <w:tc>
          <w:tcPr>
            <w:tcW w:w="586" w:type="pct"/>
            <w:tcBorders>
              <w:top w:val="nil"/>
              <w:left w:val="nil"/>
              <w:bottom w:val="nil"/>
              <w:right w:val="nil"/>
            </w:tcBorders>
            <w:shd w:val="clear" w:color="auto" w:fill="auto"/>
            <w:noWrap/>
            <w:vAlign w:val="center"/>
            <w:hideMark/>
          </w:tcPr>
          <w:p w14:paraId="71553C23"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52 </w:t>
            </w:r>
          </w:p>
        </w:tc>
      </w:tr>
      <w:tr w:rsidR="001E6B90" w:rsidRPr="001E6B90" w14:paraId="20D5FA49" w14:textId="77777777" w:rsidTr="001E6B90">
        <w:trPr>
          <w:divId w:val="252084210"/>
          <w:trHeight w:val="229"/>
        </w:trPr>
        <w:tc>
          <w:tcPr>
            <w:tcW w:w="2028" w:type="pct"/>
            <w:tcBorders>
              <w:top w:val="nil"/>
              <w:left w:val="nil"/>
              <w:bottom w:val="nil"/>
              <w:right w:val="nil"/>
            </w:tcBorders>
            <w:shd w:val="clear" w:color="auto" w:fill="auto"/>
            <w:noWrap/>
            <w:vAlign w:val="center"/>
            <w:hideMark/>
          </w:tcPr>
          <w:p w14:paraId="532E4BD7" w14:textId="77777777" w:rsidR="001E6B90" w:rsidRPr="001E6B90" w:rsidRDefault="001E6B90" w:rsidP="001E6B90">
            <w:pPr>
              <w:spacing w:after="0" w:line="240" w:lineRule="auto"/>
              <w:jc w:val="left"/>
              <w:rPr>
                <w:rFonts w:ascii="Arial" w:hAnsi="Arial" w:cs="Arial"/>
                <w:b/>
                <w:bCs/>
                <w:sz w:val="16"/>
                <w:szCs w:val="16"/>
              </w:rPr>
            </w:pPr>
            <w:r w:rsidRPr="001E6B90">
              <w:rPr>
                <w:rFonts w:ascii="Arial" w:hAnsi="Arial" w:cs="Arial"/>
                <w:b/>
                <w:bCs/>
                <w:sz w:val="16"/>
                <w:szCs w:val="16"/>
              </w:rPr>
              <w:t>Total new capital appropriations</w:t>
            </w:r>
          </w:p>
        </w:tc>
        <w:tc>
          <w:tcPr>
            <w:tcW w:w="631" w:type="pct"/>
            <w:tcBorders>
              <w:top w:val="single" w:sz="4" w:space="0" w:color="auto"/>
              <w:left w:val="nil"/>
              <w:bottom w:val="single" w:sz="4" w:space="0" w:color="auto"/>
              <w:right w:val="nil"/>
            </w:tcBorders>
            <w:shd w:val="clear" w:color="auto" w:fill="auto"/>
            <w:noWrap/>
            <w:vAlign w:val="center"/>
            <w:hideMark/>
          </w:tcPr>
          <w:p w14:paraId="32204CC0"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 </w:t>
            </w:r>
          </w:p>
        </w:tc>
        <w:tc>
          <w:tcPr>
            <w:tcW w:w="585" w:type="pct"/>
            <w:tcBorders>
              <w:top w:val="single" w:sz="4" w:space="0" w:color="auto"/>
              <w:left w:val="nil"/>
              <w:bottom w:val="single" w:sz="4" w:space="0" w:color="auto"/>
              <w:right w:val="nil"/>
            </w:tcBorders>
            <w:shd w:val="clear" w:color="000000" w:fill="E6E6E6"/>
            <w:noWrap/>
            <w:vAlign w:val="center"/>
            <w:hideMark/>
          </w:tcPr>
          <w:p w14:paraId="1C2D2CD5"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51 </w:t>
            </w:r>
          </w:p>
        </w:tc>
        <w:tc>
          <w:tcPr>
            <w:tcW w:w="585" w:type="pct"/>
            <w:tcBorders>
              <w:top w:val="single" w:sz="4" w:space="0" w:color="auto"/>
              <w:left w:val="nil"/>
              <w:bottom w:val="single" w:sz="4" w:space="0" w:color="auto"/>
              <w:right w:val="nil"/>
            </w:tcBorders>
            <w:shd w:val="clear" w:color="auto" w:fill="auto"/>
            <w:noWrap/>
            <w:vAlign w:val="center"/>
            <w:hideMark/>
          </w:tcPr>
          <w:p w14:paraId="0C1D9B02"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51 </w:t>
            </w:r>
          </w:p>
        </w:tc>
        <w:tc>
          <w:tcPr>
            <w:tcW w:w="585" w:type="pct"/>
            <w:tcBorders>
              <w:top w:val="single" w:sz="4" w:space="0" w:color="auto"/>
              <w:left w:val="nil"/>
              <w:bottom w:val="single" w:sz="4" w:space="0" w:color="auto"/>
              <w:right w:val="nil"/>
            </w:tcBorders>
            <w:shd w:val="clear" w:color="auto" w:fill="auto"/>
            <w:noWrap/>
            <w:vAlign w:val="center"/>
            <w:hideMark/>
          </w:tcPr>
          <w:p w14:paraId="66D054F8"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51 </w:t>
            </w:r>
          </w:p>
        </w:tc>
        <w:tc>
          <w:tcPr>
            <w:tcW w:w="586" w:type="pct"/>
            <w:tcBorders>
              <w:top w:val="single" w:sz="4" w:space="0" w:color="auto"/>
              <w:left w:val="nil"/>
              <w:bottom w:val="single" w:sz="4" w:space="0" w:color="auto"/>
              <w:right w:val="nil"/>
            </w:tcBorders>
            <w:shd w:val="clear" w:color="auto" w:fill="auto"/>
            <w:noWrap/>
            <w:vAlign w:val="center"/>
            <w:hideMark/>
          </w:tcPr>
          <w:p w14:paraId="6158A59A"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52 </w:t>
            </w:r>
          </w:p>
        </w:tc>
      </w:tr>
      <w:tr w:rsidR="001E6B90" w:rsidRPr="001E6B90" w14:paraId="3C3461AC" w14:textId="77777777" w:rsidTr="001E6B90">
        <w:trPr>
          <w:divId w:val="252084210"/>
          <w:trHeight w:val="229"/>
        </w:trPr>
        <w:tc>
          <w:tcPr>
            <w:tcW w:w="2028" w:type="pct"/>
            <w:tcBorders>
              <w:top w:val="nil"/>
              <w:left w:val="nil"/>
              <w:bottom w:val="nil"/>
              <w:right w:val="nil"/>
            </w:tcBorders>
            <w:shd w:val="clear" w:color="auto" w:fill="auto"/>
            <w:noWrap/>
            <w:vAlign w:val="center"/>
            <w:hideMark/>
          </w:tcPr>
          <w:p w14:paraId="4BEF873A" w14:textId="77777777" w:rsidR="001E6B90" w:rsidRPr="001E6B90" w:rsidRDefault="001E6B90" w:rsidP="001E6B90">
            <w:pPr>
              <w:spacing w:after="0" w:line="240" w:lineRule="auto"/>
              <w:jc w:val="left"/>
              <w:rPr>
                <w:rFonts w:ascii="Arial" w:hAnsi="Arial" w:cs="Arial"/>
                <w:b/>
                <w:bCs/>
                <w:i/>
                <w:iCs/>
                <w:sz w:val="16"/>
                <w:szCs w:val="16"/>
              </w:rPr>
            </w:pPr>
            <w:r w:rsidRPr="001E6B90">
              <w:rPr>
                <w:rFonts w:ascii="Arial" w:hAnsi="Arial" w:cs="Arial"/>
                <w:b/>
                <w:bCs/>
                <w:i/>
                <w:iCs/>
                <w:sz w:val="16"/>
                <w:szCs w:val="16"/>
              </w:rPr>
              <w:t>Provided for:</w:t>
            </w:r>
          </w:p>
        </w:tc>
        <w:tc>
          <w:tcPr>
            <w:tcW w:w="631" w:type="pct"/>
            <w:tcBorders>
              <w:top w:val="nil"/>
              <w:left w:val="nil"/>
              <w:bottom w:val="nil"/>
              <w:right w:val="nil"/>
            </w:tcBorders>
            <w:shd w:val="clear" w:color="auto" w:fill="auto"/>
            <w:noWrap/>
            <w:vAlign w:val="center"/>
            <w:hideMark/>
          </w:tcPr>
          <w:p w14:paraId="3F23AB90" w14:textId="77777777" w:rsidR="001E6B90" w:rsidRPr="001E6B90" w:rsidRDefault="001E6B90" w:rsidP="001E6B90">
            <w:pPr>
              <w:spacing w:after="0" w:line="240" w:lineRule="auto"/>
              <w:jc w:val="left"/>
              <w:rPr>
                <w:rFonts w:ascii="Arial" w:hAnsi="Arial" w:cs="Arial"/>
                <w:b/>
                <w:bCs/>
                <w:i/>
                <w:iCs/>
                <w:sz w:val="16"/>
                <w:szCs w:val="16"/>
              </w:rPr>
            </w:pPr>
          </w:p>
        </w:tc>
        <w:tc>
          <w:tcPr>
            <w:tcW w:w="585" w:type="pct"/>
            <w:tcBorders>
              <w:top w:val="nil"/>
              <w:left w:val="nil"/>
              <w:bottom w:val="nil"/>
              <w:right w:val="nil"/>
            </w:tcBorders>
            <w:shd w:val="clear" w:color="000000" w:fill="E6E6E6"/>
            <w:noWrap/>
            <w:vAlign w:val="center"/>
            <w:hideMark/>
          </w:tcPr>
          <w:p w14:paraId="567997F1" w14:textId="77777777" w:rsidR="001E6B90" w:rsidRPr="001E6B90" w:rsidRDefault="001E6B90" w:rsidP="001E6B90">
            <w:pPr>
              <w:spacing w:after="0" w:line="240" w:lineRule="auto"/>
              <w:jc w:val="left"/>
              <w:rPr>
                <w:rFonts w:ascii="Arial" w:hAnsi="Arial" w:cs="Arial"/>
                <w:i/>
                <w:iCs/>
                <w:sz w:val="16"/>
                <w:szCs w:val="16"/>
              </w:rPr>
            </w:pPr>
            <w:r w:rsidRPr="001E6B90">
              <w:rPr>
                <w:rFonts w:ascii="Arial" w:hAnsi="Arial" w:cs="Arial"/>
                <w:i/>
                <w:iCs/>
                <w:sz w:val="16"/>
                <w:szCs w:val="16"/>
              </w:rPr>
              <w:t> </w:t>
            </w:r>
          </w:p>
        </w:tc>
        <w:tc>
          <w:tcPr>
            <w:tcW w:w="585" w:type="pct"/>
            <w:tcBorders>
              <w:top w:val="nil"/>
              <w:left w:val="nil"/>
              <w:bottom w:val="nil"/>
              <w:right w:val="nil"/>
            </w:tcBorders>
            <w:shd w:val="clear" w:color="auto" w:fill="auto"/>
            <w:noWrap/>
            <w:vAlign w:val="center"/>
            <w:hideMark/>
          </w:tcPr>
          <w:p w14:paraId="11C6D038" w14:textId="77777777" w:rsidR="001E6B90" w:rsidRPr="001E6B90" w:rsidRDefault="001E6B90" w:rsidP="001E6B90">
            <w:pPr>
              <w:spacing w:after="0" w:line="240" w:lineRule="auto"/>
              <w:jc w:val="left"/>
              <w:rPr>
                <w:rFonts w:ascii="Arial" w:hAnsi="Arial" w:cs="Arial"/>
                <w:i/>
                <w:iCs/>
                <w:sz w:val="16"/>
                <w:szCs w:val="16"/>
              </w:rPr>
            </w:pPr>
          </w:p>
        </w:tc>
        <w:tc>
          <w:tcPr>
            <w:tcW w:w="585" w:type="pct"/>
            <w:tcBorders>
              <w:top w:val="nil"/>
              <w:left w:val="nil"/>
              <w:bottom w:val="nil"/>
              <w:right w:val="nil"/>
            </w:tcBorders>
            <w:shd w:val="clear" w:color="auto" w:fill="auto"/>
            <w:noWrap/>
            <w:vAlign w:val="center"/>
            <w:hideMark/>
          </w:tcPr>
          <w:p w14:paraId="132EBBC1" w14:textId="77777777" w:rsidR="001E6B90" w:rsidRPr="001E6B90" w:rsidRDefault="001E6B90" w:rsidP="001E6B90">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center"/>
            <w:hideMark/>
          </w:tcPr>
          <w:p w14:paraId="02E59290" w14:textId="77777777" w:rsidR="001E6B90" w:rsidRPr="001E6B90" w:rsidRDefault="001E6B90" w:rsidP="001E6B90">
            <w:pPr>
              <w:spacing w:after="0" w:line="240" w:lineRule="auto"/>
              <w:jc w:val="left"/>
              <w:rPr>
                <w:rFonts w:ascii="Times New Roman" w:hAnsi="Times New Roman"/>
              </w:rPr>
            </w:pPr>
          </w:p>
        </w:tc>
      </w:tr>
      <w:tr w:rsidR="001E6B90" w:rsidRPr="001E6B90" w14:paraId="2D882140" w14:textId="77777777" w:rsidTr="001E6B90">
        <w:trPr>
          <w:divId w:val="252084210"/>
          <w:trHeight w:val="229"/>
        </w:trPr>
        <w:tc>
          <w:tcPr>
            <w:tcW w:w="2028" w:type="pct"/>
            <w:tcBorders>
              <w:top w:val="nil"/>
              <w:left w:val="nil"/>
              <w:bottom w:val="nil"/>
              <w:right w:val="nil"/>
            </w:tcBorders>
            <w:shd w:val="clear" w:color="auto" w:fill="auto"/>
            <w:noWrap/>
            <w:vAlign w:val="center"/>
            <w:hideMark/>
          </w:tcPr>
          <w:p w14:paraId="4093E8A4" w14:textId="77777777" w:rsidR="001E6B90" w:rsidRPr="001E6B90" w:rsidRDefault="001E6B90" w:rsidP="001E6B90">
            <w:pPr>
              <w:spacing w:after="0" w:line="240" w:lineRule="auto"/>
              <w:ind w:firstLineChars="100" w:firstLine="160"/>
              <w:jc w:val="left"/>
              <w:rPr>
                <w:rFonts w:ascii="Arial" w:hAnsi="Arial" w:cs="Arial"/>
                <w:i/>
                <w:iCs/>
                <w:sz w:val="16"/>
                <w:szCs w:val="16"/>
              </w:rPr>
            </w:pPr>
            <w:r w:rsidRPr="001E6B90">
              <w:rPr>
                <w:rFonts w:ascii="Arial" w:hAnsi="Arial" w:cs="Arial"/>
                <w:i/>
                <w:iCs/>
                <w:sz w:val="16"/>
                <w:szCs w:val="16"/>
              </w:rPr>
              <w:t>Purchase of non-financial assets</w:t>
            </w:r>
          </w:p>
        </w:tc>
        <w:tc>
          <w:tcPr>
            <w:tcW w:w="631" w:type="pct"/>
            <w:tcBorders>
              <w:top w:val="nil"/>
              <w:left w:val="nil"/>
              <w:bottom w:val="nil"/>
              <w:right w:val="nil"/>
            </w:tcBorders>
            <w:shd w:val="clear" w:color="auto" w:fill="auto"/>
            <w:noWrap/>
            <w:vAlign w:val="center"/>
            <w:hideMark/>
          </w:tcPr>
          <w:p w14:paraId="0550AE4E" w14:textId="77777777" w:rsidR="001E6B90" w:rsidRPr="001E6B90" w:rsidRDefault="001E6B90" w:rsidP="001E6B90">
            <w:pPr>
              <w:spacing w:after="0" w:line="240" w:lineRule="auto"/>
              <w:jc w:val="right"/>
              <w:rPr>
                <w:rFonts w:ascii="Arial" w:hAnsi="Arial" w:cs="Arial"/>
                <w:i/>
                <w:iCs/>
                <w:sz w:val="16"/>
                <w:szCs w:val="16"/>
              </w:rPr>
            </w:pPr>
            <w:r w:rsidRPr="001E6B90">
              <w:rPr>
                <w:rFonts w:ascii="Arial" w:hAnsi="Arial" w:cs="Arial"/>
                <w:i/>
                <w:iCs/>
                <w:sz w:val="16"/>
                <w:szCs w:val="16"/>
              </w:rPr>
              <w:t xml:space="preserve">63 </w:t>
            </w:r>
          </w:p>
        </w:tc>
        <w:tc>
          <w:tcPr>
            <w:tcW w:w="585" w:type="pct"/>
            <w:tcBorders>
              <w:top w:val="nil"/>
              <w:left w:val="nil"/>
              <w:bottom w:val="nil"/>
              <w:right w:val="nil"/>
            </w:tcBorders>
            <w:shd w:val="clear" w:color="000000" w:fill="E6E6E6"/>
            <w:noWrap/>
            <w:vAlign w:val="center"/>
            <w:hideMark/>
          </w:tcPr>
          <w:p w14:paraId="033B87D5" w14:textId="77777777" w:rsidR="001E6B90" w:rsidRPr="001E6B90" w:rsidRDefault="001E6B90" w:rsidP="001E6B90">
            <w:pPr>
              <w:spacing w:after="0" w:line="240" w:lineRule="auto"/>
              <w:jc w:val="right"/>
              <w:rPr>
                <w:rFonts w:ascii="Arial" w:hAnsi="Arial" w:cs="Arial"/>
                <w:i/>
                <w:iCs/>
                <w:sz w:val="16"/>
                <w:szCs w:val="16"/>
              </w:rPr>
            </w:pPr>
            <w:r w:rsidRPr="001E6B90">
              <w:rPr>
                <w:rFonts w:ascii="Arial" w:hAnsi="Arial" w:cs="Arial"/>
                <w:i/>
                <w:iCs/>
                <w:sz w:val="16"/>
                <w:szCs w:val="16"/>
              </w:rPr>
              <w:t xml:space="preserve">51 </w:t>
            </w:r>
          </w:p>
        </w:tc>
        <w:tc>
          <w:tcPr>
            <w:tcW w:w="585" w:type="pct"/>
            <w:tcBorders>
              <w:top w:val="nil"/>
              <w:left w:val="nil"/>
              <w:bottom w:val="nil"/>
              <w:right w:val="nil"/>
            </w:tcBorders>
            <w:shd w:val="clear" w:color="auto" w:fill="auto"/>
            <w:noWrap/>
            <w:vAlign w:val="center"/>
            <w:hideMark/>
          </w:tcPr>
          <w:p w14:paraId="1DD6B146" w14:textId="77777777" w:rsidR="001E6B90" w:rsidRPr="001E6B90" w:rsidRDefault="001E6B90" w:rsidP="001E6B90">
            <w:pPr>
              <w:spacing w:after="0" w:line="240" w:lineRule="auto"/>
              <w:jc w:val="right"/>
              <w:rPr>
                <w:rFonts w:ascii="Arial" w:hAnsi="Arial" w:cs="Arial"/>
                <w:i/>
                <w:iCs/>
                <w:sz w:val="16"/>
                <w:szCs w:val="16"/>
              </w:rPr>
            </w:pPr>
            <w:r w:rsidRPr="001E6B90">
              <w:rPr>
                <w:rFonts w:ascii="Arial" w:hAnsi="Arial" w:cs="Arial"/>
                <w:i/>
                <w:iCs/>
                <w:sz w:val="16"/>
                <w:szCs w:val="16"/>
              </w:rPr>
              <w:t xml:space="preserve">51 </w:t>
            </w:r>
          </w:p>
        </w:tc>
        <w:tc>
          <w:tcPr>
            <w:tcW w:w="585" w:type="pct"/>
            <w:tcBorders>
              <w:top w:val="nil"/>
              <w:left w:val="nil"/>
              <w:bottom w:val="nil"/>
              <w:right w:val="nil"/>
            </w:tcBorders>
            <w:shd w:val="clear" w:color="auto" w:fill="auto"/>
            <w:noWrap/>
            <w:vAlign w:val="center"/>
            <w:hideMark/>
          </w:tcPr>
          <w:p w14:paraId="505B9B6E" w14:textId="77777777" w:rsidR="001E6B90" w:rsidRPr="001E6B90" w:rsidRDefault="001E6B90" w:rsidP="001E6B90">
            <w:pPr>
              <w:spacing w:after="0" w:line="240" w:lineRule="auto"/>
              <w:jc w:val="right"/>
              <w:rPr>
                <w:rFonts w:ascii="Arial" w:hAnsi="Arial" w:cs="Arial"/>
                <w:i/>
                <w:iCs/>
                <w:sz w:val="16"/>
                <w:szCs w:val="16"/>
              </w:rPr>
            </w:pPr>
            <w:r w:rsidRPr="001E6B90">
              <w:rPr>
                <w:rFonts w:ascii="Arial" w:hAnsi="Arial" w:cs="Arial"/>
                <w:i/>
                <w:iCs/>
                <w:sz w:val="16"/>
                <w:szCs w:val="16"/>
              </w:rPr>
              <w:t xml:space="preserve">51 </w:t>
            </w:r>
          </w:p>
        </w:tc>
        <w:tc>
          <w:tcPr>
            <w:tcW w:w="586" w:type="pct"/>
            <w:tcBorders>
              <w:top w:val="nil"/>
              <w:left w:val="nil"/>
              <w:bottom w:val="nil"/>
              <w:right w:val="nil"/>
            </w:tcBorders>
            <w:shd w:val="clear" w:color="auto" w:fill="auto"/>
            <w:noWrap/>
            <w:vAlign w:val="center"/>
            <w:hideMark/>
          </w:tcPr>
          <w:p w14:paraId="6566A300" w14:textId="77777777" w:rsidR="001E6B90" w:rsidRPr="001E6B90" w:rsidRDefault="001E6B90" w:rsidP="001E6B90">
            <w:pPr>
              <w:spacing w:after="0" w:line="240" w:lineRule="auto"/>
              <w:jc w:val="right"/>
              <w:rPr>
                <w:rFonts w:ascii="Arial" w:hAnsi="Arial" w:cs="Arial"/>
                <w:i/>
                <w:iCs/>
                <w:sz w:val="16"/>
                <w:szCs w:val="16"/>
              </w:rPr>
            </w:pPr>
            <w:r w:rsidRPr="001E6B90">
              <w:rPr>
                <w:rFonts w:ascii="Arial" w:hAnsi="Arial" w:cs="Arial"/>
                <w:i/>
                <w:iCs/>
                <w:sz w:val="16"/>
                <w:szCs w:val="16"/>
              </w:rPr>
              <w:t xml:space="preserve">52 </w:t>
            </w:r>
          </w:p>
        </w:tc>
      </w:tr>
      <w:tr w:rsidR="001E6B90" w:rsidRPr="001E6B90" w14:paraId="2434D634" w14:textId="77777777" w:rsidTr="001E6B90">
        <w:trPr>
          <w:divId w:val="252084210"/>
          <w:trHeight w:val="229"/>
        </w:trPr>
        <w:tc>
          <w:tcPr>
            <w:tcW w:w="2028" w:type="pct"/>
            <w:tcBorders>
              <w:top w:val="nil"/>
              <w:left w:val="nil"/>
              <w:bottom w:val="nil"/>
              <w:right w:val="nil"/>
            </w:tcBorders>
            <w:shd w:val="clear" w:color="auto" w:fill="auto"/>
            <w:noWrap/>
            <w:vAlign w:val="center"/>
            <w:hideMark/>
          </w:tcPr>
          <w:p w14:paraId="5A705D74" w14:textId="77777777" w:rsidR="001E6B90" w:rsidRPr="001E6B90" w:rsidRDefault="001E6B90" w:rsidP="001E6B90">
            <w:pPr>
              <w:spacing w:after="0" w:line="240" w:lineRule="auto"/>
              <w:jc w:val="left"/>
              <w:rPr>
                <w:rFonts w:ascii="Arial" w:hAnsi="Arial" w:cs="Arial"/>
                <w:b/>
                <w:bCs/>
                <w:i/>
                <w:iCs/>
                <w:sz w:val="16"/>
                <w:szCs w:val="16"/>
              </w:rPr>
            </w:pPr>
            <w:r w:rsidRPr="001E6B90">
              <w:rPr>
                <w:rFonts w:ascii="Arial" w:hAnsi="Arial" w:cs="Arial"/>
                <w:b/>
                <w:bCs/>
                <w:i/>
                <w:iCs/>
                <w:sz w:val="16"/>
                <w:szCs w:val="16"/>
              </w:rPr>
              <w:t>Total items</w:t>
            </w:r>
          </w:p>
        </w:tc>
        <w:tc>
          <w:tcPr>
            <w:tcW w:w="631" w:type="pct"/>
            <w:tcBorders>
              <w:top w:val="single" w:sz="4" w:space="0" w:color="auto"/>
              <w:left w:val="nil"/>
              <w:bottom w:val="single" w:sz="4" w:space="0" w:color="auto"/>
              <w:right w:val="nil"/>
            </w:tcBorders>
            <w:shd w:val="clear" w:color="auto" w:fill="auto"/>
            <w:noWrap/>
            <w:vAlign w:val="center"/>
            <w:hideMark/>
          </w:tcPr>
          <w:p w14:paraId="23BE16BD" w14:textId="77777777" w:rsidR="001E6B90" w:rsidRPr="001E6B90" w:rsidRDefault="001E6B90" w:rsidP="001E6B90">
            <w:pPr>
              <w:spacing w:after="0" w:line="240" w:lineRule="auto"/>
              <w:jc w:val="right"/>
              <w:rPr>
                <w:rFonts w:ascii="Arial" w:hAnsi="Arial" w:cs="Arial"/>
                <w:b/>
                <w:bCs/>
                <w:i/>
                <w:iCs/>
                <w:sz w:val="16"/>
                <w:szCs w:val="16"/>
              </w:rPr>
            </w:pPr>
            <w:r w:rsidRPr="001E6B90">
              <w:rPr>
                <w:rFonts w:ascii="Arial" w:hAnsi="Arial" w:cs="Arial"/>
                <w:b/>
                <w:bCs/>
                <w:i/>
                <w:iCs/>
                <w:sz w:val="16"/>
                <w:szCs w:val="16"/>
              </w:rPr>
              <w:t xml:space="preserve">63 </w:t>
            </w:r>
          </w:p>
        </w:tc>
        <w:tc>
          <w:tcPr>
            <w:tcW w:w="585" w:type="pct"/>
            <w:tcBorders>
              <w:top w:val="single" w:sz="4" w:space="0" w:color="auto"/>
              <w:left w:val="nil"/>
              <w:bottom w:val="single" w:sz="4" w:space="0" w:color="auto"/>
              <w:right w:val="nil"/>
            </w:tcBorders>
            <w:shd w:val="clear" w:color="000000" w:fill="E6E6E6"/>
            <w:noWrap/>
            <w:vAlign w:val="center"/>
            <w:hideMark/>
          </w:tcPr>
          <w:p w14:paraId="4E7B2434" w14:textId="77777777" w:rsidR="001E6B90" w:rsidRPr="001E6B90" w:rsidRDefault="001E6B90" w:rsidP="001E6B90">
            <w:pPr>
              <w:spacing w:after="0" w:line="240" w:lineRule="auto"/>
              <w:jc w:val="right"/>
              <w:rPr>
                <w:rFonts w:ascii="Arial" w:hAnsi="Arial" w:cs="Arial"/>
                <w:b/>
                <w:bCs/>
                <w:i/>
                <w:iCs/>
                <w:sz w:val="16"/>
                <w:szCs w:val="16"/>
              </w:rPr>
            </w:pPr>
            <w:r w:rsidRPr="001E6B90">
              <w:rPr>
                <w:rFonts w:ascii="Arial" w:hAnsi="Arial" w:cs="Arial"/>
                <w:b/>
                <w:bCs/>
                <w:i/>
                <w:iCs/>
                <w:sz w:val="16"/>
                <w:szCs w:val="16"/>
              </w:rPr>
              <w:t xml:space="preserve">51 </w:t>
            </w:r>
          </w:p>
        </w:tc>
        <w:tc>
          <w:tcPr>
            <w:tcW w:w="585" w:type="pct"/>
            <w:tcBorders>
              <w:top w:val="single" w:sz="4" w:space="0" w:color="auto"/>
              <w:left w:val="nil"/>
              <w:bottom w:val="single" w:sz="4" w:space="0" w:color="auto"/>
              <w:right w:val="nil"/>
            </w:tcBorders>
            <w:shd w:val="clear" w:color="auto" w:fill="auto"/>
            <w:noWrap/>
            <w:vAlign w:val="center"/>
            <w:hideMark/>
          </w:tcPr>
          <w:p w14:paraId="6528CD09" w14:textId="77777777" w:rsidR="001E6B90" w:rsidRPr="001E6B90" w:rsidRDefault="001E6B90" w:rsidP="001E6B90">
            <w:pPr>
              <w:spacing w:after="0" w:line="240" w:lineRule="auto"/>
              <w:jc w:val="right"/>
              <w:rPr>
                <w:rFonts w:ascii="Arial" w:hAnsi="Arial" w:cs="Arial"/>
                <w:b/>
                <w:bCs/>
                <w:i/>
                <w:iCs/>
                <w:sz w:val="16"/>
                <w:szCs w:val="16"/>
              </w:rPr>
            </w:pPr>
            <w:r w:rsidRPr="001E6B90">
              <w:rPr>
                <w:rFonts w:ascii="Arial" w:hAnsi="Arial" w:cs="Arial"/>
                <w:b/>
                <w:bCs/>
                <w:i/>
                <w:iCs/>
                <w:sz w:val="16"/>
                <w:szCs w:val="16"/>
              </w:rPr>
              <w:t xml:space="preserve">51 </w:t>
            </w:r>
          </w:p>
        </w:tc>
        <w:tc>
          <w:tcPr>
            <w:tcW w:w="585" w:type="pct"/>
            <w:tcBorders>
              <w:top w:val="single" w:sz="4" w:space="0" w:color="auto"/>
              <w:left w:val="nil"/>
              <w:bottom w:val="single" w:sz="4" w:space="0" w:color="auto"/>
              <w:right w:val="nil"/>
            </w:tcBorders>
            <w:shd w:val="clear" w:color="auto" w:fill="auto"/>
            <w:noWrap/>
            <w:vAlign w:val="center"/>
            <w:hideMark/>
          </w:tcPr>
          <w:p w14:paraId="694EAC8E" w14:textId="77777777" w:rsidR="001E6B90" w:rsidRPr="001E6B90" w:rsidRDefault="001E6B90" w:rsidP="001E6B90">
            <w:pPr>
              <w:spacing w:after="0" w:line="240" w:lineRule="auto"/>
              <w:jc w:val="right"/>
              <w:rPr>
                <w:rFonts w:ascii="Arial" w:hAnsi="Arial" w:cs="Arial"/>
                <w:b/>
                <w:bCs/>
                <w:i/>
                <w:iCs/>
                <w:sz w:val="16"/>
                <w:szCs w:val="16"/>
              </w:rPr>
            </w:pPr>
            <w:r w:rsidRPr="001E6B90">
              <w:rPr>
                <w:rFonts w:ascii="Arial" w:hAnsi="Arial" w:cs="Arial"/>
                <w:b/>
                <w:bCs/>
                <w:i/>
                <w:iCs/>
                <w:sz w:val="16"/>
                <w:szCs w:val="16"/>
              </w:rPr>
              <w:t xml:space="preserve">51 </w:t>
            </w:r>
          </w:p>
        </w:tc>
        <w:tc>
          <w:tcPr>
            <w:tcW w:w="586" w:type="pct"/>
            <w:tcBorders>
              <w:top w:val="single" w:sz="4" w:space="0" w:color="auto"/>
              <w:left w:val="nil"/>
              <w:bottom w:val="single" w:sz="4" w:space="0" w:color="auto"/>
              <w:right w:val="nil"/>
            </w:tcBorders>
            <w:shd w:val="clear" w:color="auto" w:fill="auto"/>
            <w:noWrap/>
            <w:vAlign w:val="center"/>
            <w:hideMark/>
          </w:tcPr>
          <w:p w14:paraId="0A3EBF12" w14:textId="77777777" w:rsidR="001E6B90" w:rsidRPr="001E6B90" w:rsidRDefault="001E6B90" w:rsidP="001E6B90">
            <w:pPr>
              <w:spacing w:after="0" w:line="240" w:lineRule="auto"/>
              <w:jc w:val="right"/>
              <w:rPr>
                <w:rFonts w:ascii="Arial" w:hAnsi="Arial" w:cs="Arial"/>
                <w:b/>
                <w:bCs/>
                <w:i/>
                <w:iCs/>
                <w:sz w:val="16"/>
                <w:szCs w:val="16"/>
              </w:rPr>
            </w:pPr>
            <w:r w:rsidRPr="001E6B90">
              <w:rPr>
                <w:rFonts w:ascii="Arial" w:hAnsi="Arial" w:cs="Arial"/>
                <w:b/>
                <w:bCs/>
                <w:i/>
                <w:iCs/>
                <w:sz w:val="16"/>
                <w:szCs w:val="16"/>
              </w:rPr>
              <w:t xml:space="preserve">52 </w:t>
            </w:r>
          </w:p>
        </w:tc>
      </w:tr>
      <w:tr w:rsidR="001E6B90" w:rsidRPr="001E6B90" w14:paraId="4B5D12F6" w14:textId="77777777" w:rsidTr="001E6B90">
        <w:trPr>
          <w:divId w:val="252084210"/>
          <w:trHeight w:val="450"/>
        </w:trPr>
        <w:tc>
          <w:tcPr>
            <w:tcW w:w="2028" w:type="pct"/>
            <w:tcBorders>
              <w:top w:val="nil"/>
              <w:left w:val="nil"/>
              <w:bottom w:val="nil"/>
              <w:right w:val="nil"/>
            </w:tcBorders>
            <w:shd w:val="clear" w:color="auto" w:fill="auto"/>
            <w:vAlign w:val="center"/>
            <w:hideMark/>
          </w:tcPr>
          <w:p w14:paraId="1A0A595E" w14:textId="77777777" w:rsidR="001E6B90" w:rsidRPr="001E6B90" w:rsidRDefault="001E6B90" w:rsidP="001E6B90">
            <w:pPr>
              <w:spacing w:after="0" w:line="240" w:lineRule="auto"/>
              <w:jc w:val="left"/>
              <w:rPr>
                <w:rFonts w:ascii="Arial" w:hAnsi="Arial" w:cs="Arial"/>
                <w:b/>
                <w:bCs/>
                <w:sz w:val="16"/>
                <w:szCs w:val="16"/>
              </w:rPr>
            </w:pPr>
            <w:r w:rsidRPr="001E6B90">
              <w:rPr>
                <w:rFonts w:ascii="Arial" w:hAnsi="Arial" w:cs="Arial"/>
                <w:b/>
                <w:bCs/>
                <w:sz w:val="16"/>
                <w:szCs w:val="16"/>
              </w:rPr>
              <w:t>PURCHASE OF NON-FINANCIAL</w:t>
            </w:r>
            <w:r w:rsidRPr="001E6B90">
              <w:rPr>
                <w:rFonts w:ascii="Arial" w:hAnsi="Arial" w:cs="Arial"/>
                <w:b/>
                <w:bCs/>
                <w:sz w:val="16"/>
                <w:szCs w:val="16"/>
              </w:rPr>
              <w:br/>
              <w:t xml:space="preserve">  ASSETS</w:t>
            </w:r>
          </w:p>
        </w:tc>
        <w:tc>
          <w:tcPr>
            <w:tcW w:w="631" w:type="pct"/>
            <w:tcBorders>
              <w:top w:val="nil"/>
              <w:left w:val="nil"/>
              <w:bottom w:val="nil"/>
              <w:right w:val="nil"/>
            </w:tcBorders>
            <w:shd w:val="clear" w:color="auto" w:fill="auto"/>
            <w:vAlign w:val="center"/>
            <w:hideMark/>
          </w:tcPr>
          <w:p w14:paraId="1A1321C6" w14:textId="77777777" w:rsidR="001E6B90" w:rsidRPr="001E6B90" w:rsidRDefault="001E6B90" w:rsidP="001E6B90">
            <w:pPr>
              <w:spacing w:after="0" w:line="240" w:lineRule="auto"/>
              <w:jc w:val="left"/>
              <w:rPr>
                <w:rFonts w:ascii="Arial" w:hAnsi="Arial" w:cs="Arial"/>
                <w:b/>
                <w:bCs/>
                <w:sz w:val="16"/>
                <w:szCs w:val="16"/>
              </w:rPr>
            </w:pPr>
          </w:p>
        </w:tc>
        <w:tc>
          <w:tcPr>
            <w:tcW w:w="585" w:type="pct"/>
            <w:tcBorders>
              <w:top w:val="nil"/>
              <w:left w:val="nil"/>
              <w:bottom w:val="nil"/>
              <w:right w:val="nil"/>
            </w:tcBorders>
            <w:shd w:val="clear" w:color="000000" w:fill="E6E6E6"/>
            <w:vAlign w:val="center"/>
            <w:hideMark/>
          </w:tcPr>
          <w:p w14:paraId="6B036C5D" w14:textId="77777777" w:rsidR="001E6B90" w:rsidRPr="001E6B90" w:rsidRDefault="001E6B90" w:rsidP="001E6B90">
            <w:pPr>
              <w:spacing w:after="0" w:line="240" w:lineRule="auto"/>
              <w:jc w:val="left"/>
              <w:rPr>
                <w:rFonts w:ascii="Arial" w:hAnsi="Arial" w:cs="Arial"/>
                <w:sz w:val="16"/>
                <w:szCs w:val="16"/>
              </w:rPr>
            </w:pPr>
            <w:r w:rsidRPr="001E6B90">
              <w:rPr>
                <w:rFonts w:ascii="Arial" w:hAnsi="Arial" w:cs="Arial"/>
                <w:sz w:val="16"/>
                <w:szCs w:val="16"/>
              </w:rPr>
              <w:t> </w:t>
            </w:r>
          </w:p>
        </w:tc>
        <w:tc>
          <w:tcPr>
            <w:tcW w:w="585" w:type="pct"/>
            <w:tcBorders>
              <w:top w:val="nil"/>
              <w:left w:val="nil"/>
              <w:bottom w:val="nil"/>
              <w:right w:val="nil"/>
            </w:tcBorders>
            <w:shd w:val="clear" w:color="auto" w:fill="auto"/>
            <w:vAlign w:val="center"/>
            <w:hideMark/>
          </w:tcPr>
          <w:p w14:paraId="7D6117E7" w14:textId="77777777" w:rsidR="001E6B90" w:rsidRPr="001E6B90" w:rsidRDefault="001E6B90" w:rsidP="001E6B90">
            <w:pPr>
              <w:spacing w:after="0" w:line="240" w:lineRule="auto"/>
              <w:jc w:val="left"/>
              <w:rPr>
                <w:rFonts w:ascii="Arial" w:hAnsi="Arial" w:cs="Arial"/>
                <w:sz w:val="16"/>
                <w:szCs w:val="16"/>
              </w:rPr>
            </w:pPr>
          </w:p>
        </w:tc>
        <w:tc>
          <w:tcPr>
            <w:tcW w:w="585" w:type="pct"/>
            <w:tcBorders>
              <w:top w:val="nil"/>
              <w:left w:val="nil"/>
              <w:bottom w:val="nil"/>
              <w:right w:val="nil"/>
            </w:tcBorders>
            <w:shd w:val="clear" w:color="auto" w:fill="auto"/>
            <w:vAlign w:val="center"/>
            <w:hideMark/>
          </w:tcPr>
          <w:p w14:paraId="10DEFD52" w14:textId="77777777" w:rsidR="001E6B90" w:rsidRPr="001E6B90" w:rsidRDefault="001E6B90" w:rsidP="001E6B90">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vAlign w:val="center"/>
            <w:hideMark/>
          </w:tcPr>
          <w:p w14:paraId="55A8E4C4" w14:textId="77777777" w:rsidR="001E6B90" w:rsidRPr="001E6B90" w:rsidRDefault="001E6B90" w:rsidP="001E6B90">
            <w:pPr>
              <w:spacing w:after="0" w:line="240" w:lineRule="auto"/>
              <w:jc w:val="left"/>
              <w:rPr>
                <w:rFonts w:ascii="Times New Roman" w:hAnsi="Times New Roman"/>
              </w:rPr>
            </w:pPr>
          </w:p>
        </w:tc>
      </w:tr>
      <w:tr w:rsidR="001E6B90" w:rsidRPr="001E6B90" w14:paraId="31EF013C" w14:textId="77777777" w:rsidTr="001E6B90">
        <w:trPr>
          <w:divId w:val="252084210"/>
          <w:trHeight w:val="450"/>
        </w:trPr>
        <w:tc>
          <w:tcPr>
            <w:tcW w:w="2028" w:type="pct"/>
            <w:tcBorders>
              <w:top w:val="nil"/>
              <w:left w:val="nil"/>
              <w:bottom w:val="nil"/>
              <w:right w:val="nil"/>
            </w:tcBorders>
            <w:shd w:val="clear" w:color="auto" w:fill="auto"/>
            <w:vAlign w:val="center"/>
            <w:hideMark/>
          </w:tcPr>
          <w:p w14:paraId="4CAD4673" w14:textId="674B33DA" w:rsidR="001E6B90" w:rsidRPr="001E6B90" w:rsidRDefault="001E6B90" w:rsidP="001E6B90">
            <w:pPr>
              <w:spacing w:after="0" w:line="240" w:lineRule="auto"/>
              <w:ind w:firstLineChars="100" w:firstLine="160"/>
              <w:jc w:val="left"/>
              <w:rPr>
                <w:rFonts w:ascii="Arial" w:hAnsi="Arial" w:cs="Arial"/>
                <w:sz w:val="16"/>
                <w:szCs w:val="16"/>
              </w:rPr>
            </w:pPr>
            <w:r w:rsidRPr="001E6B90">
              <w:rPr>
                <w:rFonts w:ascii="Arial" w:hAnsi="Arial" w:cs="Arial"/>
                <w:sz w:val="16"/>
                <w:szCs w:val="16"/>
              </w:rPr>
              <w:t>Funded by capital appropriation -</w:t>
            </w:r>
            <w:r w:rsidRPr="001E6B90">
              <w:rPr>
                <w:rFonts w:ascii="Arial" w:hAnsi="Arial" w:cs="Arial"/>
                <w:sz w:val="16"/>
                <w:szCs w:val="16"/>
              </w:rPr>
              <w:br/>
              <w:t xml:space="preserve"> </w:t>
            </w:r>
            <w:r>
              <w:rPr>
                <w:rFonts w:ascii="Arial" w:hAnsi="Arial" w:cs="Arial"/>
                <w:sz w:val="16"/>
                <w:szCs w:val="16"/>
              </w:rPr>
              <w:t xml:space="preserve"> </w:t>
            </w:r>
            <w:r w:rsidRPr="001E6B90">
              <w:rPr>
                <w:rFonts w:ascii="Arial" w:hAnsi="Arial" w:cs="Arial"/>
                <w:sz w:val="16"/>
                <w:szCs w:val="16"/>
              </w:rPr>
              <w:t xml:space="preserve"> </w:t>
            </w:r>
            <w:r w:rsidR="00DD0170">
              <w:rPr>
                <w:rFonts w:ascii="Arial" w:hAnsi="Arial" w:cs="Arial"/>
                <w:sz w:val="16"/>
                <w:szCs w:val="16"/>
              </w:rPr>
              <w:t xml:space="preserve">  </w:t>
            </w:r>
            <w:r w:rsidRPr="001E6B90">
              <w:rPr>
                <w:rFonts w:ascii="Arial" w:hAnsi="Arial" w:cs="Arial"/>
                <w:sz w:val="16"/>
                <w:szCs w:val="16"/>
              </w:rPr>
              <w:t>DCB (a)</w:t>
            </w:r>
          </w:p>
        </w:tc>
        <w:tc>
          <w:tcPr>
            <w:tcW w:w="631" w:type="pct"/>
            <w:tcBorders>
              <w:top w:val="nil"/>
              <w:left w:val="nil"/>
              <w:bottom w:val="nil"/>
              <w:right w:val="nil"/>
            </w:tcBorders>
            <w:shd w:val="clear" w:color="auto" w:fill="auto"/>
            <w:noWrap/>
            <w:vAlign w:val="bottom"/>
            <w:hideMark/>
          </w:tcPr>
          <w:p w14:paraId="2E7496E0"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63 </w:t>
            </w:r>
          </w:p>
        </w:tc>
        <w:tc>
          <w:tcPr>
            <w:tcW w:w="585" w:type="pct"/>
            <w:tcBorders>
              <w:top w:val="nil"/>
              <w:left w:val="nil"/>
              <w:bottom w:val="nil"/>
              <w:right w:val="nil"/>
            </w:tcBorders>
            <w:shd w:val="clear" w:color="000000" w:fill="E6E6E6"/>
            <w:noWrap/>
            <w:vAlign w:val="bottom"/>
            <w:hideMark/>
          </w:tcPr>
          <w:p w14:paraId="49CCD4D5"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51 </w:t>
            </w:r>
          </w:p>
        </w:tc>
        <w:tc>
          <w:tcPr>
            <w:tcW w:w="585" w:type="pct"/>
            <w:tcBorders>
              <w:top w:val="nil"/>
              <w:left w:val="nil"/>
              <w:bottom w:val="nil"/>
              <w:right w:val="nil"/>
            </w:tcBorders>
            <w:shd w:val="clear" w:color="auto" w:fill="auto"/>
            <w:noWrap/>
            <w:vAlign w:val="bottom"/>
            <w:hideMark/>
          </w:tcPr>
          <w:p w14:paraId="520DD7D4"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51 </w:t>
            </w:r>
          </w:p>
        </w:tc>
        <w:tc>
          <w:tcPr>
            <w:tcW w:w="585" w:type="pct"/>
            <w:tcBorders>
              <w:top w:val="nil"/>
              <w:left w:val="nil"/>
              <w:bottom w:val="nil"/>
              <w:right w:val="nil"/>
            </w:tcBorders>
            <w:shd w:val="clear" w:color="auto" w:fill="auto"/>
            <w:noWrap/>
            <w:vAlign w:val="bottom"/>
            <w:hideMark/>
          </w:tcPr>
          <w:p w14:paraId="781DC1CB"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51 </w:t>
            </w:r>
          </w:p>
        </w:tc>
        <w:tc>
          <w:tcPr>
            <w:tcW w:w="586" w:type="pct"/>
            <w:tcBorders>
              <w:top w:val="nil"/>
              <w:left w:val="nil"/>
              <w:bottom w:val="nil"/>
              <w:right w:val="nil"/>
            </w:tcBorders>
            <w:shd w:val="clear" w:color="auto" w:fill="auto"/>
            <w:noWrap/>
            <w:vAlign w:val="bottom"/>
            <w:hideMark/>
          </w:tcPr>
          <w:p w14:paraId="28A08A86"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52 </w:t>
            </w:r>
          </w:p>
        </w:tc>
      </w:tr>
      <w:tr w:rsidR="001E6B90" w:rsidRPr="001E6B90" w14:paraId="77A7C713" w14:textId="77777777" w:rsidTr="001E6B90">
        <w:trPr>
          <w:divId w:val="252084210"/>
          <w:trHeight w:val="229"/>
        </w:trPr>
        <w:tc>
          <w:tcPr>
            <w:tcW w:w="2028" w:type="pct"/>
            <w:tcBorders>
              <w:top w:val="nil"/>
              <w:left w:val="nil"/>
              <w:bottom w:val="nil"/>
              <w:right w:val="nil"/>
            </w:tcBorders>
            <w:shd w:val="clear" w:color="auto" w:fill="auto"/>
            <w:noWrap/>
            <w:vAlign w:val="center"/>
            <w:hideMark/>
          </w:tcPr>
          <w:p w14:paraId="390F2A5F" w14:textId="77777777" w:rsidR="001E6B90" w:rsidRPr="001E6B90" w:rsidRDefault="001E6B90" w:rsidP="001E6B90">
            <w:pPr>
              <w:spacing w:after="0" w:line="240" w:lineRule="auto"/>
              <w:jc w:val="left"/>
              <w:rPr>
                <w:rFonts w:ascii="Arial" w:hAnsi="Arial" w:cs="Arial"/>
                <w:b/>
                <w:bCs/>
                <w:sz w:val="16"/>
                <w:szCs w:val="16"/>
              </w:rPr>
            </w:pPr>
            <w:r w:rsidRPr="001E6B90">
              <w:rPr>
                <w:rFonts w:ascii="Arial" w:hAnsi="Arial" w:cs="Arial"/>
                <w:b/>
                <w:bCs/>
                <w:sz w:val="16"/>
                <w:szCs w:val="16"/>
              </w:rPr>
              <w:t>TOTAL</w:t>
            </w:r>
          </w:p>
        </w:tc>
        <w:tc>
          <w:tcPr>
            <w:tcW w:w="631" w:type="pct"/>
            <w:tcBorders>
              <w:top w:val="single" w:sz="4" w:space="0" w:color="auto"/>
              <w:left w:val="nil"/>
              <w:bottom w:val="single" w:sz="4" w:space="0" w:color="auto"/>
              <w:right w:val="nil"/>
            </w:tcBorders>
            <w:shd w:val="clear" w:color="auto" w:fill="auto"/>
            <w:noWrap/>
            <w:vAlign w:val="center"/>
            <w:hideMark/>
          </w:tcPr>
          <w:p w14:paraId="15D9549B"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63 </w:t>
            </w:r>
          </w:p>
        </w:tc>
        <w:tc>
          <w:tcPr>
            <w:tcW w:w="585" w:type="pct"/>
            <w:tcBorders>
              <w:top w:val="single" w:sz="4" w:space="0" w:color="auto"/>
              <w:left w:val="nil"/>
              <w:bottom w:val="single" w:sz="4" w:space="0" w:color="auto"/>
              <w:right w:val="nil"/>
            </w:tcBorders>
            <w:shd w:val="clear" w:color="000000" w:fill="E6E6E6"/>
            <w:noWrap/>
            <w:vAlign w:val="center"/>
            <w:hideMark/>
          </w:tcPr>
          <w:p w14:paraId="4D8F8CD5"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51 </w:t>
            </w:r>
          </w:p>
        </w:tc>
        <w:tc>
          <w:tcPr>
            <w:tcW w:w="585" w:type="pct"/>
            <w:tcBorders>
              <w:top w:val="single" w:sz="4" w:space="0" w:color="auto"/>
              <w:left w:val="nil"/>
              <w:bottom w:val="single" w:sz="4" w:space="0" w:color="auto"/>
              <w:right w:val="nil"/>
            </w:tcBorders>
            <w:shd w:val="clear" w:color="auto" w:fill="auto"/>
            <w:noWrap/>
            <w:vAlign w:val="center"/>
            <w:hideMark/>
          </w:tcPr>
          <w:p w14:paraId="171AAF02"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51 </w:t>
            </w:r>
          </w:p>
        </w:tc>
        <w:tc>
          <w:tcPr>
            <w:tcW w:w="585" w:type="pct"/>
            <w:tcBorders>
              <w:top w:val="single" w:sz="4" w:space="0" w:color="auto"/>
              <w:left w:val="nil"/>
              <w:bottom w:val="single" w:sz="4" w:space="0" w:color="auto"/>
              <w:right w:val="nil"/>
            </w:tcBorders>
            <w:shd w:val="clear" w:color="auto" w:fill="auto"/>
            <w:noWrap/>
            <w:vAlign w:val="center"/>
            <w:hideMark/>
          </w:tcPr>
          <w:p w14:paraId="75B89B37"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51 </w:t>
            </w:r>
          </w:p>
        </w:tc>
        <w:tc>
          <w:tcPr>
            <w:tcW w:w="586" w:type="pct"/>
            <w:tcBorders>
              <w:top w:val="single" w:sz="4" w:space="0" w:color="auto"/>
              <w:left w:val="nil"/>
              <w:bottom w:val="single" w:sz="4" w:space="0" w:color="auto"/>
              <w:right w:val="nil"/>
            </w:tcBorders>
            <w:shd w:val="clear" w:color="auto" w:fill="auto"/>
            <w:noWrap/>
            <w:vAlign w:val="center"/>
            <w:hideMark/>
          </w:tcPr>
          <w:p w14:paraId="462795B9"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52 </w:t>
            </w:r>
          </w:p>
        </w:tc>
      </w:tr>
      <w:tr w:rsidR="001E6B90" w:rsidRPr="001E6B90" w14:paraId="39FCE429" w14:textId="77777777" w:rsidTr="001E6B90">
        <w:trPr>
          <w:divId w:val="252084210"/>
          <w:trHeight w:val="675"/>
        </w:trPr>
        <w:tc>
          <w:tcPr>
            <w:tcW w:w="2028" w:type="pct"/>
            <w:tcBorders>
              <w:top w:val="nil"/>
              <w:left w:val="nil"/>
              <w:bottom w:val="nil"/>
              <w:right w:val="nil"/>
            </w:tcBorders>
            <w:shd w:val="clear" w:color="auto" w:fill="auto"/>
            <w:vAlign w:val="center"/>
            <w:hideMark/>
          </w:tcPr>
          <w:p w14:paraId="7A8D212E" w14:textId="77777777" w:rsidR="001E6B90" w:rsidRPr="001E6B90" w:rsidRDefault="001E6B90" w:rsidP="001E6B90">
            <w:pPr>
              <w:spacing w:after="0" w:line="240" w:lineRule="auto"/>
              <w:jc w:val="left"/>
              <w:rPr>
                <w:rFonts w:ascii="Arial" w:hAnsi="Arial" w:cs="Arial"/>
                <w:b/>
                <w:bCs/>
                <w:sz w:val="16"/>
                <w:szCs w:val="16"/>
              </w:rPr>
            </w:pPr>
            <w:r w:rsidRPr="001E6B90">
              <w:rPr>
                <w:rFonts w:ascii="Arial" w:hAnsi="Arial" w:cs="Arial"/>
                <w:b/>
                <w:bCs/>
                <w:sz w:val="16"/>
                <w:szCs w:val="16"/>
              </w:rPr>
              <w:t>RECONCILIATION OF CASH USED</w:t>
            </w:r>
            <w:r w:rsidRPr="001E6B90">
              <w:rPr>
                <w:rFonts w:ascii="Arial" w:hAnsi="Arial" w:cs="Arial"/>
                <w:b/>
                <w:bCs/>
                <w:sz w:val="16"/>
                <w:szCs w:val="16"/>
              </w:rPr>
              <w:br/>
              <w:t xml:space="preserve">  TO ACQUIRE ASSETS TO ASSET</w:t>
            </w:r>
            <w:r w:rsidRPr="001E6B90">
              <w:rPr>
                <w:rFonts w:ascii="Arial" w:hAnsi="Arial" w:cs="Arial"/>
                <w:b/>
                <w:bCs/>
                <w:sz w:val="16"/>
                <w:szCs w:val="16"/>
              </w:rPr>
              <w:br/>
              <w:t xml:space="preserve">  MOVEMENT TABLE</w:t>
            </w:r>
          </w:p>
        </w:tc>
        <w:tc>
          <w:tcPr>
            <w:tcW w:w="631" w:type="pct"/>
            <w:tcBorders>
              <w:top w:val="nil"/>
              <w:left w:val="nil"/>
              <w:bottom w:val="nil"/>
              <w:right w:val="nil"/>
            </w:tcBorders>
            <w:shd w:val="clear" w:color="auto" w:fill="auto"/>
            <w:noWrap/>
            <w:vAlign w:val="center"/>
            <w:hideMark/>
          </w:tcPr>
          <w:p w14:paraId="133ED687" w14:textId="77777777" w:rsidR="001E6B90" w:rsidRPr="001E6B90" w:rsidRDefault="001E6B90" w:rsidP="001E6B90">
            <w:pPr>
              <w:spacing w:after="0" w:line="240" w:lineRule="auto"/>
              <w:jc w:val="left"/>
              <w:rPr>
                <w:rFonts w:ascii="Arial" w:hAnsi="Arial" w:cs="Arial"/>
                <w:b/>
                <w:bCs/>
                <w:sz w:val="16"/>
                <w:szCs w:val="16"/>
              </w:rPr>
            </w:pPr>
          </w:p>
        </w:tc>
        <w:tc>
          <w:tcPr>
            <w:tcW w:w="585" w:type="pct"/>
            <w:tcBorders>
              <w:top w:val="nil"/>
              <w:left w:val="nil"/>
              <w:bottom w:val="nil"/>
              <w:right w:val="nil"/>
            </w:tcBorders>
            <w:shd w:val="clear" w:color="000000" w:fill="E6E6E6"/>
            <w:noWrap/>
            <w:vAlign w:val="center"/>
            <w:hideMark/>
          </w:tcPr>
          <w:p w14:paraId="6CB8B369" w14:textId="77777777" w:rsidR="001E6B90" w:rsidRPr="001E6B90" w:rsidRDefault="001E6B90" w:rsidP="001E6B90">
            <w:pPr>
              <w:spacing w:after="0" w:line="240" w:lineRule="auto"/>
              <w:jc w:val="left"/>
              <w:rPr>
                <w:rFonts w:ascii="Arial" w:hAnsi="Arial" w:cs="Arial"/>
                <w:sz w:val="16"/>
                <w:szCs w:val="16"/>
              </w:rPr>
            </w:pPr>
            <w:r w:rsidRPr="001E6B90">
              <w:rPr>
                <w:rFonts w:ascii="Arial" w:hAnsi="Arial" w:cs="Arial"/>
                <w:sz w:val="16"/>
                <w:szCs w:val="16"/>
              </w:rPr>
              <w:t> </w:t>
            </w:r>
          </w:p>
        </w:tc>
        <w:tc>
          <w:tcPr>
            <w:tcW w:w="585" w:type="pct"/>
            <w:tcBorders>
              <w:top w:val="nil"/>
              <w:left w:val="nil"/>
              <w:bottom w:val="nil"/>
              <w:right w:val="nil"/>
            </w:tcBorders>
            <w:shd w:val="clear" w:color="auto" w:fill="auto"/>
            <w:noWrap/>
            <w:vAlign w:val="center"/>
            <w:hideMark/>
          </w:tcPr>
          <w:p w14:paraId="04C7B018" w14:textId="77777777" w:rsidR="001E6B90" w:rsidRPr="001E6B90" w:rsidRDefault="001E6B90" w:rsidP="001E6B90">
            <w:pPr>
              <w:spacing w:after="0" w:line="240" w:lineRule="auto"/>
              <w:jc w:val="left"/>
              <w:rPr>
                <w:rFonts w:ascii="Arial" w:hAnsi="Arial" w:cs="Arial"/>
                <w:sz w:val="16"/>
                <w:szCs w:val="16"/>
              </w:rPr>
            </w:pPr>
          </w:p>
        </w:tc>
        <w:tc>
          <w:tcPr>
            <w:tcW w:w="585" w:type="pct"/>
            <w:tcBorders>
              <w:top w:val="nil"/>
              <w:left w:val="nil"/>
              <w:bottom w:val="nil"/>
              <w:right w:val="nil"/>
            </w:tcBorders>
            <w:shd w:val="clear" w:color="auto" w:fill="auto"/>
            <w:noWrap/>
            <w:vAlign w:val="center"/>
            <w:hideMark/>
          </w:tcPr>
          <w:p w14:paraId="7BBB4063" w14:textId="77777777" w:rsidR="001E6B90" w:rsidRPr="001E6B90" w:rsidRDefault="001E6B90" w:rsidP="001E6B90">
            <w:pPr>
              <w:spacing w:after="0" w:line="240" w:lineRule="auto"/>
              <w:jc w:val="left"/>
              <w:rPr>
                <w:rFonts w:ascii="Times New Roman" w:hAnsi="Times New Roman"/>
              </w:rPr>
            </w:pPr>
          </w:p>
        </w:tc>
        <w:tc>
          <w:tcPr>
            <w:tcW w:w="586" w:type="pct"/>
            <w:tcBorders>
              <w:top w:val="nil"/>
              <w:left w:val="nil"/>
              <w:bottom w:val="nil"/>
              <w:right w:val="nil"/>
            </w:tcBorders>
            <w:shd w:val="clear" w:color="auto" w:fill="auto"/>
            <w:noWrap/>
            <w:vAlign w:val="center"/>
            <w:hideMark/>
          </w:tcPr>
          <w:p w14:paraId="59A21498" w14:textId="77777777" w:rsidR="001E6B90" w:rsidRPr="001E6B90" w:rsidRDefault="001E6B90" w:rsidP="001E6B90">
            <w:pPr>
              <w:spacing w:after="0" w:line="240" w:lineRule="auto"/>
              <w:jc w:val="left"/>
              <w:rPr>
                <w:rFonts w:ascii="Times New Roman" w:hAnsi="Times New Roman"/>
              </w:rPr>
            </w:pPr>
          </w:p>
        </w:tc>
      </w:tr>
      <w:tr w:rsidR="001E6B90" w:rsidRPr="001E6B90" w14:paraId="10283D4E" w14:textId="77777777" w:rsidTr="001E6B90">
        <w:trPr>
          <w:divId w:val="252084210"/>
          <w:trHeight w:val="229"/>
        </w:trPr>
        <w:tc>
          <w:tcPr>
            <w:tcW w:w="2028" w:type="pct"/>
            <w:tcBorders>
              <w:top w:val="nil"/>
              <w:left w:val="nil"/>
              <w:bottom w:val="nil"/>
              <w:right w:val="nil"/>
            </w:tcBorders>
            <w:shd w:val="clear" w:color="auto" w:fill="auto"/>
            <w:noWrap/>
            <w:vAlign w:val="center"/>
            <w:hideMark/>
          </w:tcPr>
          <w:p w14:paraId="35C9C3AD" w14:textId="77777777" w:rsidR="001E6B90" w:rsidRPr="001E6B90" w:rsidRDefault="001E6B90" w:rsidP="001E6B90">
            <w:pPr>
              <w:spacing w:after="0" w:line="240" w:lineRule="auto"/>
              <w:ind w:firstLineChars="100" w:firstLine="160"/>
              <w:jc w:val="left"/>
              <w:rPr>
                <w:rFonts w:ascii="Arial" w:hAnsi="Arial" w:cs="Arial"/>
                <w:sz w:val="16"/>
                <w:szCs w:val="16"/>
              </w:rPr>
            </w:pPr>
            <w:r w:rsidRPr="001E6B90">
              <w:rPr>
                <w:rFonts w:ascii="Arial" w:hAnsi="Arial" w:cs="Arial"/>
                <w:sz w:val="16"/>
                <w:szCs w:val="16"/>
              </w:rPr>
              <w:t>Total purchases</w:t>
            </w:r>
          </w:p>
        </w:tc>
        <w:tc>
          <w:tcPr>
            <w:tcW w:w="631" w:type="pct"/>
            <w:tcBorders>
              <w:top w:val="nil"/>
              <w:left w:val="nil"/>
              <w:bottom w:val="nil"/>
              <w:right w:val="nil"/>
            </w:tcBorders>
            <w:shd w:val="clear" w:color="auto" w:fill="auto"/>
            <w:noWrap/>
            <w:vAlign w:val="center"/>
            <w:hideMark/>
          </w:tcPr>
          <w:p w14:paraId="186481F7"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63 </w:t>
            </w:r>
          </w:p>
        </w:tc>
        <w:tc>
          <w:tcPr>
            <w:tcW w:w="585" w:type="pct"/>
            <w:tcBorders>
              <w:top w:val="nil"/>
              <w:left w:val="nil"/>
              <w:bottom w:val="nil"/>
              <w:right w:val="nil"/>
            </w:tcBorders>
            <w:shd w:val="clear" w:color="000000" w:fill="E6E6E6"/>
            <w:noWrap/>
            <w:vAlign w:val="center"/>
            <w:hideMark/>
          </w:tcPr>
          <w:p w14:paraId="62DAAA75"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51 </w:t>
            </w:r>
          </w:p>
        </w:tc>
        <w:tc>
          <w:tcPr>
            <w:tcW w:w="585" w:type="pct"/>
            <w:tcBorders>
              <w:top w:val="nil"/>
              <w:left w:val="nil"/>
              <w:bottom w:val="nil"/>
              <w:right w:val="nil"/>
            </w:tcBorders>
            <w:shd w:val="clear" w:color="auto" w:fill="auto"/>
            <w:noWrap/>
            <w:vAlign w:val="center"/>
            <w:hideMark/>
          </w:tcPr>
          <w:p w14:paraId="79CA4083"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51 </w:t>
            </w:r>
          </w:p>
        </w:tc>
        <w:tc>
          <w:tcPr>
            <w:tcW w:w="585" w:type="pct"/>
            <w:tcBorders>
              <w:top w:val="nil"/>
              <w:left w:val="nil"/>
              <w:bottom w:val="nil"/>
              <w:right w:val="nil"/>
            </w:tcBorders>
            <w:shd w:val="clear" w:color="auto" w:fill="auto"/>
            <w:noWrap/>
            <w:vAlign w:val="center"/>
            <w:hideMark/>
          </w:tcPr>
          <w:p w14:paraId="5F19E503"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51 </w:t>
            </w:r>
          </w:p>
        </w:tc>
        <w:tc>
          <w:tcPr>
            <w:tcW w:w="586" w:type="pct"/>
            <w:tcBorders>
              <w:top w:val="nil"/>
              <w:left w:val="nil"/>
              <w:bottom w:val="nil"/>
              <w:right w:val="nil"/>
            </w:tcBorders>
            <w:shd w:val="clear" w:color="auto" w:fill="auto"/>
            <w:noWrap/>
            <w:vAlign w:val="center"/>
            <w:hideMark/>
          </w:tcPr>
          <w:p w14:paraId="7F739501" w14:textId="77777777" w:rsidR="001E6B90" w:rsidRPr="001E6B90" w:rsidRDefault="001E6B90" w:rsidP="001E6B90">
            <w:pPr>
              <w:spacing w:after="0" w:line="240" w:lineRule="auto"/>
              <w:jc w:val="right"/>
              <w:rPr>
                <w:rFonts w:ascii="Arial" w:hAnsi="Arial" w:cs="Arial"/>
                <w:sz w:val="16"/>
                <w:szCs w:val="16"/>
              </w:rPr>
            </w:pPr>
            <w:r w:rsidRPr="001E6B90">
              <w:rPr>
                <w:rFonts w:ascii="Arial" w:hAnsi="Arial" w:cs="Arial"/>
                <w:sz w:val="16"/>
                <w:szCs w:val="16"/>
              </w:rPr>
              <w:t xml:space="preserve">52 </w:t>
            </w:r>
          </w:p>
        </w:tc>
      </w:tr>
      <w:tr w:rsidR="001E6B90" w:rsidRPr="001E6B90" w14:paraId="7A32E88B" w14:textId="77777777" w:rsidTr="001E6B90">
        <w:trPr>
          <w:divId w:val="252084210"/>
          <w:trHeight w:val="229"/>
        </w:trPr>
        <w:tc>
          <w:tcPr>
            <w:tcW w:w="2028" w:type="pct"/>
            <w:tcBorders>
              <w:top w:val="nil"/>
              <w:left w:val="nil"/>
              <w:bottom w:val="single" w:sz="4" w:space="0" w:color="auto"/>
              <w:right w:val="nil"/>
            </w:tcBorders>
            <w:shd w:val="clear" w:color="auto" w:fill="auto"/>
            <w:vAlign w:val="center"/>
            <w:hideMark/>
          </w:tcPr>
          <w:p w14:paraId="72C48936" w14:textId="77777777" w:rsidR="001E6B90" w:rsidRPr="001E6B90" w:rsidRDefault="001E6B90" w:rsidP="001E6B90">
            <w:pPr>
              <w:spacing w:after="0" w:line="240" w:lineRule="auto"/>
              <w:jc w:val="left"/>
              <w:rPr>
                <w:rFonts w:ascii="Arial" w:hAnsi="Arial" w:cs="Arial"/>
                <w:b/>
                <w:bCs/>
                <w:sz w:val="16"/>
                <w:szCs w:val="16"/>
              </w:rPr>
            </w:pPr>
            <w:r w:rsidRPr="001E6B90">
              <w:rPr>
                <w:rFonts w:ascii="Arial" w:hAnsi="Arial" w:cs="Arial"/>
                <w:b/>
                <w:bCs/>
                <w:sz w:val="16"/>
                <w:szCs w:val="16"/>
              </w:rPr>
              <w:t>Total cash used to acquire assets</w:t>
            </w:r>
          </w:p>
        </w:tc>
        <w:tc>
          <w:tcPr>
            <w:tcW w:w="631" w:type="pct"/>
            <w:tcBorders>
              <w:top w:val="single" w:sz="4" w:space="0" w:color="auto"/>
              <w:left w:val="nil"/>
              <w:bottom w:val="single" w:sz="4" w:space="0" w:color="auto"/>
              <w:right w:val="nil"/>
            </w:tcBorders>
            <w:shd w:val="clear" w:color="auto" w:fill="auto"/>
            <w:noWrap/>
            <w:vAlign w:val="center"/>
            <w:hideMark/>
          </w:tcPr>
          <w:p w14:paraId="78D0DF70"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63 </w:t>
            </w:r>
          </w:p>
        </w:tc>
        <w:tc>
          <w:tcPr>
            <w:tcW w:w="585" w:type="pct"/>
            <w:tcBorders>
              <w:top w:val="single" w:sz="4" w:space="0" w:color="auto"/>
              <w:left w:val="nil"/>
              <w:bottom w:val="single" w:sz="4" w:space="0" w:color="auto"/>
              <w:right w:val="nil"/>
            </w:tcBorders>
            <w:shd w:val="clear" w:color="000000" w:fill="E6E6E6"/>
            <w:noWrap/>
            <w:vAlign w:val="center"/>
            <w:hideMark/>
          </w:tcPr>
          <w:p w14:paraId="0018D197"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51 </w:t>
            </w:r>
          </w:p>
        </w:tc>
        <w:tc>
          <w:tcPr>
            <w:tcW w:w="585" w:type="pct"/>
            <w:tcBorders>
              <w:top w:val="single" w:sz="4" w:space="0" w:color="auto"/>
              <w:left w:val="nil"/>
              <w:bottom w:val="single" w:sz="4" w:space="0" w:color="auto"/>
              <w:right w:val="nil"/>
            </w:tcBorders>
            <w:shd w:val="clear" w:color="auto" w:fill="auto"/>
            <w:noWrap/>
            <w:vAlign w:val="center"/>
            <w:hideMark/>
          </w:tcPr>
          <w:p w14:paraId="532D31BF"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51 </w:t>
            </w:r>
          </w:p>
        </w:tc>
        <w:tc>
          <w:tcPr>
            <w:tcW w:w="585" w:type="pct"/>
            <w:tcBorders>
              <w:top w:val="single" w:sz="4" w:space="0" w:color="auto"/>
              <w:left w:val="nil"/>
              <w:bottom w:val="single" w:sz="4" w:space="0" w:color="auto"/>
              <w:right w:val="nil"/>
            </w:tcBorders>
            <w:shd w:val="clear" w:color="auto" w:fill="auto"/>
            <w:noWrap/>
            <w:vAlign w:val="center"/>
            <w:hideMark/>
          </w:tcPr>
          <w:p w14:paraId="07DA4675"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51 </w:t>
            </w:r>
          </w:p>
        </w:tc>
        <w:tc>
          <w:tcPr>
            <w:tcW w:w="586" w:type="pct"/>
            <w:tcBorders>
              <w:top w:val="single" w:sz="4" w:space="0" w:color="auto"/>
              <w:left w:val="nil"/>
              <w:bottom w:val="single" w:sz="4" w:space="0" w:color="auto"/>
              <w:right w:val="nil"/>
            </w:tcBorders>
            <w:shd w:val="clear" w:color="auto" w:fill="auto"/>
            <w:noWrap/>
            <w:vAlign w:val="center"/>
            <w:hideMark/>
          </w:tcPr>
          <w:p w14:paraId="5BCD9DFD" w14:textId="77777777" w:rsidR="001E6B90" w:rsidRPr="001E6B90" w:rsidRDefault="001E6B90" w:rsidP="001E6B90">
            <w:pPr>
              <w:spacing w:after="0" w:line="240" w:lineRule="auto"/>
              <w:jc w:val="right"/>
              <w:rPr>
                <w:rFonts w:ascii="Arial" w:hAnsi="Arial" w:cs="Arial"/>
                <w:b/>
                <w:bCs/>
                <w:sz w:val="16"/>
                <w:szCs w:val="16"/>
              </w:rPr>
            </w:pPr>
            <w:r w:rsidRPr="001E6B90">
              <w:rPr>
                <w:rFonts w:ascii="Arial" w:hAnsi="Arial" w:cs="Arial"/>
                <w:b/>
                <w:bCs/>
                <w:sz w:val="16"/>
                <w:szCs w:val="16"/>
              </w:rPr>
              <w:t xml:space="preserve">52 </w:t>
            </w:r>
          </w:p>
        </w:tc>
      </w:tr>
    </w:tbl>
    <w:p w14:paraId="5EF00D01" w14:textId="5F328C48" w:rsidR="00F10305" w:rsidRDefault="00E84826" w:rsidP="003B0AFB">
      <w:pPr>
        <w:pStyle w:val="TableGraphic"/>
        <w:spacing w:before="40"/>
        <w:rPr>
          <w:rFonts w:ascii="Arial" w:hAnsi="Arial" w:cs="Arial"/>
          <w:sz w:val="16"/>
          <w:szCs w:val="16"/>
        </w:rPr>
      </w:pPr>
      <w:r w:rsidRPr="00132F9E">
        <w:rPr>
          <w:rFonts w:ascii="Arial" w:hAnsi="Arial" w:cs="Arial"/>
          <w:sz w:val="16"/>
          <w:szCs w:val="16"/>
        </w:rPr>
        <w:t>Prepared on Australian Accounting Standards basis</w:t>
      </w:r>
    </w:p>
    <w:p w14:paraId="1E215164" w14:textId="77777777" w:rsidR="00F20FF5" w:rsidRPr="00132F9E" w:rsidRDefault="00F20FF5" w:rsidP="00910CE8">
      <w:pPr>
        <w:pStyle w:val="ChartandTableFootnoteAlpha"/>
        <w:numPr>
          <w:ilvl w:val="0"/>
          <w:numId w:val="8"/>
        </w:numPr>
        <w:rPr>
          <w:rFonts w:cs="Arial"/>
          <w:szCs w:val="16"/>
        </w:rPr>
      </w:pPr>
      <w:r w:rsidRPr="00132F9E">
        <w:rPr>
          <w:rFonts w:cs="Arial"/>
          <w:szCs w:val="16"/>
        </w:rPr>
        <w:t>Does not include annual finance lease costs. Includes purchases from current an</w:t>
      </w:r>
      <w:r w:rsidR="00EE2ED0" w:rsidRPr="00132F9E">
        <w:rPr>
          <w:rFonts w:cs="Arial"/>
          <w:szCs w:val="16"/>
        </w:rPr>
        <w:t>d previous years’ Departmental c</w:t>
      </w:r>
      <w:r w:rsidRPr="00132F9E">
        <w:rPr>
          <w:rFonts w:cs="Arial"/>
          <w:szCs w:val="16"/>
        </w:rPr>
        <w:t xml:space="preserve">apital </w:t>
      </w:r>
      <w:r w:rsidR="00EE2ED0" w:rsidRPr="00132F9E">
        <w:rPr>
          <w:rFonts w:cs="Arial"/>
          <w:szCs w:val="16"/>
        </w:rPr>
        <w:t>b</w:t>
      </w:r>
      <w:r w:rsidRPr="00132F9E">
        <w:rPr>
          <w:rFonts w:cs="Arial"/>
          <w:szCs w:val="16"/>
        </w:rPr>
        <w:t>udgets (DCBs).</w:t>
      </w:r>
    </w:p>
    <w:p w14:paraId="26F6B165" w14:textId="0F3FD792" w:rsidR="007A2EE4" w:rsidRPr="00132F9E" w:rsidRDefault="007A2EE4" w:rsidP="007A2EE4">
      <w:pPr>
        <w:pStyle w:val="TableGraphic"/>
        <w:rPr>
          <w:rFonts w:ascii="Arial" w:hAnsi="Arial" w:cs="Arial"/>
          <w:sz w:val="16"/>
          <w:szCs w:val="16"/>
        </w:rPr>
      </w:pPr>
      <w:r w:rsidRPr="00132F9E">
        <w:rPr>
          <w:rFonts w:ascii="Arial" w:hAnsi="Arial" w:cs="Arial"/>
          <w:sz w:val="16"/>
          <w:szCs w:val="16"/>
        </w:rPr>
        <w:t>.</w:t>
      </w:r>
    </w:p>
    <w:p w14:paraId="48B10C25" w14:textId="50631D7F" w:rsidR="008E2B30" w:rsidRDefault="008E2B30">
      <w:pPr>
        <w:spacing w:after="0" w:line="240" w:lineRule="auto"/>
        <w:jc w:val="left"/>
      </w:pPr>
      <w:r>
        <w:br w:type="page"/>
      </w:r>
    </w:p>
    <w:p w14:paraId="4D9D6A52" w14:textId="4BE3048E" w:rsidR="00761071" w:rsidRDefault="00CC4867" w:rsidP="008E2B30">
      <w:pPr>
        <w:pStyle w:val="TableHeading"/>
        <w:rPr>
          <w:rFonts w:ascii="Times New Roman" w:hAnsi="Times New Roman"/>
          <w:b w:val="0"/>
          <w:color w:val="auto"/>
          <w:lang w:val="en-AU" w:eastAsia="en-AU"/>
        </w:rPr>
      </w:pPr>
      <w:r w:rsidRPr="00D30CBA">
        <w:lastRenderedPageBreak/>
        <w:t>Table</w:t>
      </w:r>
      <w:r w:rsidR="00971CBF">
        <w:t xml:space="preserve"> 3.</w:t>
      </w:r>
      <w:r>
        <w:t>6</w:t>
      </w:r>
      <w:r w:rsidRPr="00D30CBA">
        <w:t xml:space="preserve">: </w:t>
      </w:r>
      <w:r>
        <w:t xml:space="preserve">Statement of </w:t>
      </w:r>
      <w:r w:rsidR="00F10305">
        <w:t xml:space="preserve">asset movements </w:t>
      </w:r>
      <w:r w:rsidR="008A1DDE">
        <w:t>(</w:t>
      </w:r>
      <w:r w:rsidR="00B70C9E">
        <w:t xml:space="preserve">Budget year </w:t>
      </w:r>
      <w:r w:rsidR="00D52088">
        <w:rPr>
          <w:lang w:val="en-AU"/>
        </w:rPr>
        <w:t>2020-21</w:t>
      </w:r>
      <w:r w:rsidR="00E855E0">
        <w:t>)</w:t>
      </w:r>
      <w:bookmarkStart w:id="37" w:name="_1663081493"/>
      <w:bookmarkEnd w:id="37"/>
    </w:p>
    <w:tbl>
      <w:tblPr>
        <w:tblW w:w="5000" w:type="pct"/>
        <w:tblLook w:val="04A0" w:firstRow="1" w:lastRow="0" w:firstColumn="1" w:lastColumn="0" w:noHBand="0" w:noVBand="1"/>
      </w:tblPr>
      <w:tblGrid>
        <w:gridCol w:w="3480"/>
        <w:gridCol w:w="1016"/>
        <w:gridCol w:w="1089"/>
        <w:gridCol w:w="1109"/>
        <w:gridCol w:w="1016"/>
      </w:tblGrid>
      <w:tr w:rsidR="00761071" w:rsidRPr="00761071" w14:paraId="1C738385" w14:textId="77777777" w:rsidTr="005D1868">
        <w:trPr>
          <w:divId w:val="1775174413"/>
          <w:trHeight w:hRule="exact" w:val="1125"/>
        </w:trPr>
        <w:tc>
          <w:tcPr>
            <w:tcW w:w="2257" w:type="pct"/>
            <w:tcBorders>
              <w:top w:val="single" w:sz="4" w:space="0" w:color="auto"/>
              <w:left w:val="nil"/>
              <w:bottom w:val="nil"/>
              <w:right w:val="nil"/>
            </w:tcBorders>
            <w:shd w:val="clear" w:color="auto" w:fill="auto"/>
            <w:noWrap/>
            <w:vAlign w:val="center"/>
            <w:hideMark/>
          </w:tcPr>
          <w:p w14:paraId="1015F260" w14:textId="65537431" w:rsidR="00761071" w:rsidRPr="00761071" w:rsidRDefault="00761071" w:rsidP="00761071">
            <w:pPr>
              <w:rPr>
                <w:rFonts w:ascii="Arial" w:hAnsi="Arial" w:cs="Arial"/>
                <w:sz w:val="16"/>
                <w:szCs w:val="16"/>
              </w:rPr>
            </w:pPr>
            <w:r w:rsidRPr="00761071">
              <w:rPr>
                <w:rFonts w:ascii="Arial" w:hAnsi="Arial" w:cs="Arial"/>
                <w:sz w:val="16"/>
                <w:szCs w:val="16"/>
              </w:rPr>
              <w:t> </w:t>
            </w:r>
          </w:p>
        </w:tc>
        <w:tc>
          <w:tcPr>
            <w:tcW w:w="659" w:type="pct"/>
            <w:tcBorders>
              <w:top w:val="single" w:sz="4" w:space="0" w:color="auto"/>
              <w:left w:val="nil"/>
              <w:bottom w:val="single" w:sz="4" w:space="0" w:color="auto"/>
              <w:right w:val="nil"/>
            </w:tcBorders>
            <w:shd w:val="clear" w:color="auto" w:fill="auto"/>
            <w:vAlign w:val="center"/>
            <w:hideMark/>
          </w:tcPr>
          <w:p w14:paraId="35001376" w14:textId="77777777" w:rsidR="00761071" w:rsidRPr="00761071" w:rsidRDefault="00761071" w:rsidP="005D1868">
            <w:pPr>
              <w:spacing w:after="0" w:line="240" w:lineRule="auto"/>
              <w:jc w:val="right"/>
              <w:rPr>
                <w:rFonts w:ascii="Arial" w:hAnsi="Arial" w:cs="Arial"/>
                <w:sz w:val="16"/>
                <w:szCs w:val="16"/>
              </w:rPr>
            </w:pPr>
            <w:r w:rsidRPr="00761071">
              <w:rPr>
                <w:rFonts w:ascii="Arial" w:hAnsi="Arial" w:cs="Arial"/>
                <w:sz w:val="16"/>
                <w:szCs w:val="16"/>
              </w:rPr>
              <w:t>Buildings</w:t>
            </w:r>
            <w:r w:rsidRPr="00761071">
              <w:rPr>
                <w:rFonts w:ascii="Arial" w:hAnsi="Arial" w:cs="Arial"/>
                <w:sz w:val="16"/>
                <w:szCs w:val="16"/>
              </w:rPr>
              <w:br/>
            </w:r>
            <w:r w:rsidRPr="00761071">
              <w:rPr>
                <w:rFonts w:ascii="Arial" w:hAnsi="Arial" w:cs="Arial"/>
                <w:sz w:val="16"/>
                <w:szCs w:val="16"/>
              </w:rPr>
              <w:br/>
            </w:r>
            <w:r w:rsidRPr="00761071">
              <w:rPr>
                <w:rFonts w:ascii="Arial" w:hAnsi="Arial" w:cs="Arial"/>
                <w:sz w:val="16"/>
                <w:szCs w:val="16"/>
              </w:rPr>
              <w:br/>
            </w:r>
            <w:r w:rsidRPr="00761071">
              <w:rPr>
                <w:rFonts w:ascii="Arial" w:hAnsi="Arial" w:cs="Arial"/>
                <w:sz w:val="16"/>
                <w:szCs w:val="16"/>
              </w:rPr>
              <w:br/>
              <w:t>$'000</w:t>
            </w:r>
          </w:p>
        </w:tc>
        <w:tc>
          <w:tcPr>
            <w:tcW w:w="706" w:type="pct"/>
            <w:tcBorders>
              <w:top w:val="single" w:sz="4" w:space="0" w:color="auto"/>
              <w:left w:val="nil"/>
              <w:bottom w:val="single" w:sz="4" w:space="0" w:color="auto"/>
              <w:right w:val="nil"/>
            </w:tcBorders>
            <w:shd w:val="clear" w:color="auto" w:fill="auto"/>
            <w:vAlign w:val="center"/>
            <w:hideMark/>
          </w:tcPr>
          <w:p w14:paraId="5EF76464" w14:textId="77777777" w:rsidR="00761071" w:rsidRPr="00761071" w:rsidRDefault="00761071" w:rsidP="005D1868">
            <w:pPr>
              <w:spacing w:after="0" w:line="240" w:lineRule="auto"/>
              <w:jc w:val="right"/>
              <w:rPr>
                <w:rFonts w:ascii="Arial" w:hAnsi="Arial" w:cs="Arial"/>
                <w:sz w:val="16"/>
                <w:szCs w:val="16"/>
              </w:rPr>
            </w:pPr>
            <w:r w:rsidRPr="00761071">
              <w:rPr>
                <w:rFonts w:ascii="Arial" w:hAnsi="Arial" w:cs="Arial"/>
                <w:sz w:val="16"/>
                <w:szCs w:val="16"/>
              </w:rPr>
              <w:t>Other</w:t>
            </w:r>
            <w:r w:rsidRPr="00761071">
              <w:rPr>
                <w:rFonts w:ascii="Arial" w:hAnsi="Arial" w:cs="Arial"/>
                <w:sz w:val="16"/>
                <w:szCs w:val="16"/>
              </w:rPr>
              <w:br/>
              <w:t>property,</w:t>
            </w:r>
            <w:r w:rsidRPr="00761071">
              <w:rPr>
                <w:rFonts w:ascii="Arial" w:hAnsi="Arial" w:cs="Arial"/>
                <w:sz w:val="16"/>
                <w:szCs w:val="16"/>
              </w:rPr>
              <w:br/>
              <w:t>plant and</w:t>
            </w:r>
            <w:r w:rsidRPr="00761071">
              <w:rPr>
                <w:rFonts w:ascii="Arial" w:hAnsi="Arial" w:cs="Arial"/>
                <w:sz w:val="16"/>
                <w:szCs w:val="16"/>
              </w:rPr>
              <w:br/>
              <w:t>equipment</w:t>
            </w:r>
            <w:r w:rsidRPr="00761071">
              <w:rPr>
                <w:rFonts w:ascii="Arial" w:hAnsi="Arial" w:cs="Arial"/>
                <w:sz w:val="16"/>
                <w:szCs w:val="16"/>
              </w:rPr>
              <w:br/>
              <w:t>$'000</w:t>
            </w:r>
          </w:p>
        </w:tc>
        <w:tc>
          <w:tcPr>
            <w:tcW w:w="719" w:type="pct"/>
            <w:tcBorders>
              <w:top w:val="single" w:sz="4" w:space="0" w:color="auto"/>
              <w:left w:val="nil"/>
              <w:bottom w:val="single" w:sz="4" w:space="0" w:color="auto"/>
              <w:right w:val="nil"/>
            </w:tcBorders>
            <w:shd w:val="clear" w:color="auto" w:fill="auto"/>
            <w:vAlign w:val="center"/>
            <w:hideMark/>
          </w:tcPr>
          <w:p w14:paraId="53D337F4" w14:textId="77777777" w:rsidR="00761071" w:rsidRPr="00761071" w:rsidRDefault="00761071" w:rsidP="005D1868">
            <w:pPr>
              <w:spacing w:after="0" w:line="240" w:lineRule="auto"/>
              <w:jc w:val="right"/>
              <w:rPr>
                <w:rFonts w:ascii="Arial" w:hAnsi="Arial" w:cs="Arial"/>
                <w:sz w:val="16"/>
                <w:szCs w:val="16"/>
              </w:rPr>
            </w:pPr>
            <w:r w:rsidRPr="00761071">
              <w:rPr>
                <w:rFonts w:ascii="Arial" w:hAnsi="Arial" w:cs="Arial"/>
                <w:sz w:val="16"/>
                <w:szCs w:val="16"/>
              </w:rPr>
              <w:t>Computer</w:t>
            </w:r>
            <w:r w:rsidRPr="00761071">
              <w:rPr>
                <w:rFonts w:ascii="Arial" w:hAnsi="Arial" w:cs="Arial"/>
                <w:sz w:val="16"/>
                <w:szCs w:val="16"/>
              </w:rPr>
              <w:br/>
              <w:t>software and</w:t>
            </w:r>
            <w:r w:rsidRPr="00761071">
              <w:rPr>
                <w:rFonts w:ascii="Arial" w:hAnsi="Arial" w:cs="Arial"/>
                <w:sz w:val="16"/>
                <w:szCs w:val="16"/>
              </w:rPr>
              <w:br/>
              <w:t>intangibles</w:t>
            </w:r>
            <w:r w:rsidRPr="00761071">
              <w:rPr>
                <w:rFonts w:ascii="Arial" w:hAnsi="Arial" w:cs="Arial"/>
                <w:sz w:val="16"/>
                <w:szCs w:val="16"/>
              </w:rPr>
              <w:br/>
              <w:t>$'000</w:t>
            </w:r>
          </w:p>
        </w:tc>
        <w:tc>
          <w:tcPr>
            <w:tcW w:w="659" w:type="pct"/>
            <w:tcBorders>
              <w:top w:val="single" w:sz="4" w:space="0" w:color="auto"/>
              <w:left w:val="nil"/>
              <w:bottom w:val="single" w:sz="4" w:space="0" w:color="auto"/>
              <w:right w:val="nil"/>
            </w:tcBorders>
            <w:shd w:val="clear" w:color="auto" w:fill="auto"/>
            <w:vAlign w:val="center"/>
            <w:hideMark/>
          </w:tcPr>
          <w:p w14:paraId="69166D7F" w14:textId="77777777" w:rsidR="00761071" w:rsidRPr="00761071" w:rsidRDefault="00761071" w:rsidP="005D1868">
            <w:pPr>
              <w:spacing w:after="0" w:line="240" w:lineRule="auto"/>
              <w:jc w:val="right"/>
              <w:rPr>
                <w:rFonts w:ascii="Arial" w:hAnsi="Arial" w:cs="Arial"/>
                <w:sz w:val="16"/>
                <w:szCs w:val="16"/>
              </w:rPr>
            </w:pPr>
            <w:r w:rsidRPr="00761071">
              <w:rPr>
                <w:rFonts w:ascii="Arial" w:hAnsi="Arial" w:cs="Arial"/>
                <w:sz w:val="16"/>
                <w:szCs w:val="16"/>
              </w:rPr>
              <w:t>Total</w:t>
            </w:r>
            <w:r w:rsidRPr="00761071">
              <w:rPr>
                <w:rFonts w:ascii="Arial" w:hAnsi="Arial" w:cs="Arial"/>
                <w:sz w:val="16"/>
                <w:szCs w:val="16"/>
              </w:rPr>
              <w:br/>
            </w:r>
            <w:r w:rsidRPr="00761071">
              <w:rPr>
                <w:rFonts w:ascii="Arial" w:hAnsi="Arial" w:cs="Arial"/>
                <w:sz w:val="16"/>
                <w:szCs w:val="16"/>
              </w:rPr>
              <w:br/>
            </w:r>
            <w:r w:rsidRPr="00761071">
              <w:rPr>
                <w:rFonts w:ascii="Arial" w:hAnsi="Arial" w:cs="Arial"/>
                <w:sz w:val="16"/>
                <w:szCs w:val="16"/>
              </w:rPr>
              <w:br/>
            </w:r>
            <w:r w:rsidRPr="00761071">
              <w:rPr>
                <w:rFonts w:ascii="Arial" w:hAnsi="Arial" w:cs="Arial"/>
                <w:sz w:val="16"/>
                <w:szCs w:val="16"/>
              </w:rPr>
              <w:br/>
              <w:t>$'000</w:t>
            </w:r>
          </w:p>
        </w:tc>
      </w:tr>
      <w:tr w:rsidR="00761071" w:rsidRPr="00761071" w14:paraId="3224BC45"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16894BC0" w14:textId="77777777" w:rsidR="00761071" w:rsidRPr="00761071" w:rsidRDefault="00761071" w:rsidP="00F737C7">
            <w:pPr>
              <w:spacing w:after="0" w:line="240" w:lineRule="auto"/>
              <w:jc w:val="left"/>
              <w:rPr>
                <w:rFonts w:ascii="Arial" w:hAnsi="Arial" w:cs="Arial"/>
                <w:b/>
                <w:bCs/>
                <w:sz w:val="16"/>
                <w:szCs w:val="16"/>
              </w:rPr>
            </w:pPr>
            <w:r w:rsidRPr="00761071">
              <w:rPr>
                <w:rFonts w:ascii="Arial" w:hAnsi="Arial" w:cs="Arial"/>
                <w:b/>
                <w:bCs/>
                <w:sz w:val="16"/>
                <w:szCs w:val="16"/>
              </w:rPr>
              <w:t>As at 1 July 2020</w:t>
            </w:r>
          </w:p>
        </w:tc>
        <w:tc>
          <w:tcPr>
            <w:tcW w:w="659" w:type="pct"/>
            <w:tcBorders>
              <w:top w:val="nil"/>
              <w:left w:val="nil"/>
              <w:bottom w:val="nil"/>
              <w:right w:val="nil"/>
            </w:tcBorders>
            <w:shd w:val="clear" w:color="auto" w:fill="auto"/>
            <w:noWrap/>
            <w:vAlign w:val="bottom"/>
            <w:hideMark/>
          </w:tcPr>
          <w:p w14:paraId="2C2BD4B3" w14:textId="77777777" w:rsidR="00761071" w:rsidRPr="00761071" w:rsidRDefault="00761071" w:rsidP="00761071">
            <w:pPr>
              <w:spacing w:after="0" w:line="240" w:lineRule="auto"/>
              <w:jc w:val="left"/>
              <w:rPr>
                <w:rFonts w:ascii="Arial" w:hAnsi="Arial" w:cs="Arial"/>
                <w:b/>
                <w:bCs/>
                <w:sz w:val="16"/>
                <w:szCs w:val="16"/>
              </w:rPr>
            </w:pPr>
          </w:p>
        </w:tc>
        <w:tc>
          <w:tcPr>
            <w:tcW w:w="706" w:type="pct"/>
            <w:tcBorders>
              <w:top w:val="nil"/>
              <w:left w:val="nil"/>
              <w:bottom w:val="nil"/>
              <w:right w:val="nil"/>
            </w:tcBorders>
            <w:shd w:val="clear" w:color="auto" w:fill="auto"/>
            <w:noWrap/>
            <w:vAlign w:val="bottom"/>
            <w:hideMark/>
          </w:tcPr>
          <w:p w14:paraId="288BA99A" w14:textId="77777777" w:rsidR="00761071" w:rsidRPr="00761071" w:rsidRDefault="00761071" w:rsidP="00761071">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bottom"/>
            <w:hideMark/>
          </w:tcPr>
          <w:p w14:paraId="10F632DE" w14:textId="77777777" w:rsidR="00761071" w:rsidRPr="00761071" w:rsidRDefault="00761071" w:rsidP="00761071">
            <w:pPr>
              <w:spacing w:after="0" w:line="240" w:lineRule="auto"/>
              <w:jc w:val="left"/>
              <w:rPr>
                <w:rFonts w:ascii="Times New Roman" w:hAnsi="Times New Roman"/>
              </w:rPr>
            </w:pPr>
          </w:p>
        </w:tc>
        <w:tc>
          <w:tcPr>
            <w:tcW w:w="659" w:type="pct"/>
            <w:tcBorders>
              <w:top w:val="nil"/>
              <w:left w:val="nil"/>
              <w:bottom w:val="nil"/>
              <w:right w:val="nil"/>
            </w:tcBorders>
            <w:shd w:val="clear" w:color="auto" w:fill="auto"/>
            <w:noWrap/>
            <w:vAlign w:val="bottom"/>
            <w:hideMark/>
          </w:tcPr>
          <w:p w14:paraId="500A31C9" w14:textId="77777777" w:rsidR="00761071" w:rsidRPr="00761071" w:rsidRDefault="00761071" w:rsidP="00761071">
            <w:pPr>
              <w:spacing w:after="0" w:line="240" w:lineRule="auto"/>
              <w:jc w:val="left"/>
              <w:rPr>
                <w:rFonts w:ascii="Times New Roman" w:hAnsi="Times New Roman"/>
              </w:rPr>
            </w:pPr>
          </w:p>
        </w:tc>
      </w:tr>
      <w:tr w:rsidR="00761071" w:rsidRPr="00761071" w14:paraId="031906F7"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46576B26" w14:textId="77777777" w:rsidR="00761071" w:rsidRPr="00761071"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 xml:space="preserve">Gross book value </w:t>
            </w:r>
          </w:p>
        </w:tc>
        <w:tc>
          <w:tcPr>
            <w:tcW w:w="659" w:type="pct"/>
            <w:tcBorders>
              <w:top w:val="nil"/>
              <w:left w:val="nil"/>
              <w:bottom w:val="nil"/>
              <w:right w:val="nil"/>
            </w:tcBorders>
            <w:shd w:val="clear" w:color="auto" w:fill="auto"/>
            <w:noWrap/>
            <w:vAlign w:val="center"/>
            <w:hideMark/>
          </w:tcPr>
          <w:p w14:paraId="22B6609B"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06" w:type="pct"/>
            <w:tcBorders>
              <w:top w:val="nil"/>
              <w:left w:val="nil"/>
              <w:bottom w:val="nil"/>
              <w:right w:val="nil"/>
            </w:tcBorders>
            <w:shd w:val="clear" w:color="auto" w:fill="auto"/>
            <w:noWrap/>
            <w:vAlign w:val="center"/>
            <w:hideMark/>
          </w:tcPr>
          <w:p w14:paraId="49A4DEF1"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208 </w:t>
            </w:r>
          </w:p>
        </w:tc>
        <w:tc>
          <w:tcPr>
            <w:tcW w:w="719" w:type="pct"/>
            <w:tcBorders>
              <w:top w:val="nil"/>
              <w:left w:val="nil"/>
              <w:bottom w:val="nil"/>
              <w:right w:val="nil"/>
            </w:tcBorders>
            <w:shd w:val="clear" w:color="auto" w:fill="auto"/>
            <w:noWrap/>
            <w:vAlign w:val="center"/>
            <w:hideMark/>
          </w:tcPr>
          <w:p w14:paraId="5509AC13"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10 </w:t>
            </w:r>
          </w:p>
        </w:tc>
        <w:tc>
          <w:tcPr>
            <w:tcW w:w="659" w:type="pct"/>
            <w:tcBorders>
              <w:top w:val="nil"/>
              <w:left w:val="nil"/>
              <w:bottom w:val="nil"/>
              <w:right w:val="nil"/>
            </w:tcBorders>
            <w:shd w:val="clear" w:color="auto" w:fill="auto"/>
            <w:noWrap/>
            <w:vAlign w:val="center"/>
            <w:hideMark/>
          </w:tcPr>
          <w:p w14:paraId="6F1B3DA6"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218 </w:t>
            </w:r>
          </w:p>
        </w:tc>
      </w:tr>
      <w:tr w:rsidR="00761071" w:rsidRPr="00761071" w14:paraId="40FDD20D" w14:textId="77777777" w:rsidTr="00F737C7">
        <w:trPr>
          <w:divId w:val="1775174413"/>
          <w:trHeight w:hRule="exact" w:val="225"/>
        </w:trPr>
        <w:tc>
          <w:tcPr>
            <w:tcW w:w="2257" w:type="pct"/>
            <w:tcBorders>
              <w:top w:val="nil"/>
              <w:left w:val="nil"/>
              <w:bottom w:val="nil"/>
              <w:right w:val="nil"/>
            </w:tcBorders>
            <w:shd w:val="clear" w:color="auto" w:fill="auto"/>
            <w:noWrap/>
            <w:vAlign w:val="bottom"/>
            <w:hideMark/>
          </w:tcPr>
          <w:p w14:paraId="722CD65E" w14:textId="77777777" w:rsidR="00761071" w:rsidRPr="00761071"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Gross book value - ROU assets</w:t>
            </w:r>
          </w:p>
        </w:tc>
        <w:tc>
          <w:tcPr>
            <w:tcW w:w="659" w:type="pct"/>
            <w:tcBorders>
              <w:top w:val="nil"/>
              <w:left w:val="nil"/>
              <w:bottom w:val="nil"/>
              <w:right w:val="nil"/>
            </w:tcBorders>
            <w:shd w:val="clear" w:color="auto" w:fill="auto"/>
            <w:noWrap/>
            <w:vAlign w:val="center"/>
            <w:hideMark/>
          </w:tcPr>
          <w:p w14:paraId="3D28CD89"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560 </w:t>
            </w:r>
          </w:p>
        </w:tc>
        <w:tc>
          <w:tcPr>
            <w:tcW w:w="706" w:type="pct"/>
            <w:tcBorders>
              <w:top w:val="nil"/>
              <w:left w:val="nil"/>
              <w:bottom w:val="nil"/>
              <w:right w:val="nil"/>
            </w:tcBorders>
            <w:shd w:val="clear" w:color="auto" w:fill="auto"/>
            <w:noWrap/>
            <w:vAlign w:val="center"/>
            <w:hideMark/>
          </w:tcPr>
          <w:p w14:paraId="6161D536"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19" w:type="pct"/>
            <w:tcBorders>
              <w:top w:val="nil"/>
              <w:left w:val="nil"/>
              <w:bottom w:val="nil"/>
              <w:right w:val="nil"/>
            </w:tcBorders>
            <w:shd w:val="clear" w:color="auto" w:fill="auto"/>
            <w:noWrap/>
            <w:vAlign w:val="center"/>
            <w:hideMark/>
          </w:tcPr>
          <w:p w14:paraId="013D6DA9"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659" w:type="pct"/>
            <w:tcBorders>
              <w:top w:val="nil"/>
              <w:left w:val="nil"/>
              <w:bottom w:val="nil"/>
              <w:right w:val="nil"/>
            </w:tcBorders>
            <w:shd w:val="clear" w:color="auto" w:fill="auto"/>
            <w:noWrap/>
            <w:vAlign w:val="center"/>
            <w:hideMark/>
          </w:tcPr>
          <w:p w14:paraId="2CA4953B"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560 </w:t>
            </w:r>
          </w:p>
        </w:tc>
      </w:tr>
      <w:tr w:rsidR="00761071" w:rsidRPr="00761071" w14:paraId="4136BA71" w14:textId="77777777" w:rsidTr="00F737C7">
        <w:trPr>
          <w:divId w:val="1775174413"/>
          <w:trHeight w:hRule="exact" w:val="425"/>
        </w:trPr>
        <w:tc>
          <w:tcPr>
            <w:tcW w:w="2257" w:type="pct"/>
            <w:tcBorders>
              <w:top w:val="nil"/>
              <w:left w:val="nil"/>
              <w:bottom w:val="nil"/>
              <w:right w:val="nil"/>
            </w:tcBorders>
            <w:shd w:val="clear" w:color="auto" w:fill="auto"/>
            <w:vAlign w:val="bottom"/>
            <w:hideMark/>
          </w:tcPr>
          <w:p w14:paraId="647004FD" w14:textId="32BBBFE9" w:rsidR="00761071" w:rsidRPr="00761071"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Accumulated depreciation/</w:t>
            </w:r>
            <w:r w:rsidRPr="00761071">
              <w:rPr>
                <w:rFonts w:ascii="Arial" w:hAnsi="Arial" w:cs="Arial"/>
                <w:sz w:val="16"/>
                <w:szCs w:val="16"/>
              </w:rPr>
              <w:br/>
            </w:r>
            <w:r w:rsidR="00DD0170">
              <w:rPr>
                <w:rFonts w:ascii="Arial" w:hAnsi="Arial" w:cs="Arial"/>
                <w:sz w:val="16"/>
                <w:szCs w:val="16"/>
              </w:rPr>
              <w:t xml:space="preserve">  </w:t>
            </w:r>
            <w:r w:rsidRPr="00761071">
              <w:rPr>
                <w:rFonts w:ascii="Arial" w:hAnsi="Arial" w:cs="Arial"/>
                <w:sz w:val="16"/>
                <w:szCs w:val="16"/>
              </w:rPr>
              <w:t>amortisation and impairment</w:t>
            </w:r>
          </w:p>
        </w:tc>
        <w:tc>
          <w:tcPr>
            <w:tcW w:w="659" w:type="pct"/>
            <w:tcBorders>
              <w:top w:val="nil"/>
              <w:left w:val="nil"/>
              <w:bottom w:val="nil"/>
              <w:right w:val="nil"/>
            </w:tcBorders>
            <w:shd w:val="clear" w:color="auto" w:fill="auto"/>
            <w:noWrap/>
            <w:vAlign w:val="bottom"/>
            <w:hideMark/>
          </w:tcPr>
          <w:p w14:paraId="387C5259"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06" w:type="pct"/>
            <w:tcBorders>
              <w:top w:val="nil"/>
              <w:left w:val="nil"/>
              <w:bottom w:val="nil"/>
              <w:right w:val="nil"/>
            </w:tcBorders>
            <w:shd w:val="clear" w:color="auto" w:fill="auto"/>
            <w:noWrap/>
            <w:vAlign w:val="bottom"/>
            <w:hideMark/>
          </w:tcPr>
          <w:p w14:paraId="14700484"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(59)</w:t>
            </w:r>
          </w:p>
        </w:tc>
        <w:tc>
          <w:tcPr>
            <w:tcW w:w="719" w:type="pct"/>
            <w:tcBorders>
              <w:top w:val="nil"/>
              <w:left w:val="nil"/>
              <w:bottom w:val="nil"/>
              <w:right w:val="nil"/>
            </w:tcBorders>
            <w:shd w:val="clear" w:color="auto" w:fill="auto"/>
            <w:noWrap/>
            <w:vAlign w:val="bottom"/>
            <w:hideMark/>
          </w:tcPr>
          <w:p w14:paraId="2869E9D0"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(6)</w:t>
            </w:r>
          </w:p>
        </w:tc>
        <w:tc>
          <w:tcPr>
            <w:tcW w:w="659" w:type="pct"/>
            <w:tcBorders>
              <w:top w:val="nil"/>
              <w:left w:val="nil"/>
              <w:bottom w:val="nil"/>
              <w:right w:val="nil"/>
            </w:tcBorders>
            <w:shd w:val="clear" w:color="auto" w:fill="auto"/>
            <w:noWrap/>
            <w:vAlign w:val="bottom"/>
            <w:hideMark/>
          </w:tcPr>
          <w:p w14:paraId="023B8A56"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(65)</w:t>
            </w:r>
          </w:p>
        </w:tc>
      </w:tr>
      <w:tr w:rsidR="00761071" w:rsidRPr="00761071" w14:paraId="1CE46C54" w14:textId="77777777" w:rsidTr="00F737C7">
        <w:trPr>
          <w:divId w:val="1775174413"/>
          <w:trHeight w:hRule="exact" w:val="425"/>
        </w:trPr>
        <w:tc>
          <w:tcPr>
            <w:tcW w:w="2257" w:type="pct"/>
            <w:tcBorders>
              <w:top w:val="nil"/>
              <w:left w:val="nil"/>
              <w:bottom w:val="nil"/>
              <w:right w:val="nil"/>
            </w:tcBorders>
            <w:shd w:val="clear" w:color="auto" w:fill="auto"/>
            <w:vAlign w:val="bottom"/>
            <w:hideMark/>
          </w:tcPr>
          <w:p w14:paraId="042BBB2A" w14:textId="77777777" w:rsidR="00DD0170"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 xml:space="preserve">Accumulated depreciation/amortisation </w:t>
            </w:r>
          </w:p>
          <w:p w14:paraId="6B9B598B" w14:textId="562E0238" w:rsidR="00761071" w:rsidRPr="00761071" w:rsidRDefault="00DD0170" w:rsidP="00F737C7">
            <w:pPr>
              <w:spacing w:after="0" w:line="240" w:lineRule="auto"/>
              <w:ind w:left="170"/>
              <w:jc w:val="left"/>
              <w:rPr>
                <w:rFonts w:ascii="Arial" w:hAnsi="Arial" w:cs="Arial"/>
                <w:sz w:val="16"/>
                <w:szCs w:val="16"/>
              </w:rPr>
            </w:pPr>
            <w:r>
              <w:rPr>
                <w:rFonts w:ascii="Arial" w:hAnsi="Arial" w:cs="Arial"/>
                <w:sz w:val="16"/>
                <w:szCs w:val="16"/>
              </w:rPr>
              <w:t xml:space="preserve">  </w:t>
            </w:r>
            <w:r w:rsidR="00761071" w:rsidRPr="00761071">
              <w:rPr>
                <w:rFonts w:ascii="Arial" w:hAnsi="Arial" w:cs="Arial"/>
                <w:sz w:val="16"/>
                <w:szCs w:val="16"/>
              </w:rPr>
              <w:t>and impairment - ROU assets</w:t>
            </w:r>
          </w:p>
        </w:tc>
        <w:tc>
          <w:tcPr>
            <w:tcW w:w="659" w:type="pct"/>
            <w:tcBorders>
              <w:top w:val="nil"/>
              <w:left w:val="nil"/>
              <w:bottom w:val="nil"/>
              <w:right w:val="nil"/>
            </w:tcBorders>
            <w:shd w:val="clear" w:color="auto" w:fill="auto"/>
            <w:noWrap/>
            <w:vAlign w:val="bottom"/>
            <w:hideMark/>
          </w:tcPr>
          <w:p w14:paraId="41C707D5"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(210)</w:t>
            </w:r>
          </w:p>
        </w:tc>
        <w:tc>
          <w:tcPr>
            <w:tcW w:w="706" w:type="pct"/>
            <w:tcBorders>
              <w:top w:val="nil"/>
              <w:left w:val="nil"/>
              <w:bottom w:val="nil"/>
              <w:right w:val="nil"/>
            </w:tcBorders>
            <w:shd w:val="clear" w:color="auto" w:fill="auto"/>
            <w:noWrap/>
            <w:vAlign w:val="bottom"/>
            <w:hideMark/>
          </w:tcPr>
          <w:p w14:paraId="0B84443C"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6C3A5AB5"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15B6B257"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(210)</w:t>
            </w:r>
          </w:p>
        </w:tc>
      </w:tr>
      <w:tr w:rsidR="00761071" w:rsidRPr="00761071" w14:paraId="41E8B08B"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021C9941" w14:textId="77777777" w:rsidR="00761071" w:rsidRPr="00761071" w:rsidRDefault="00761071" w:rsidP="00F737C7">
            <w:pPr>
              <w:spacing w:after="0" w:line="240" w:lineRule="auto"/>
              <w:jc w:val="left"/>
              <w:rPr>
                <w:rFonts w:ascii="Arial" w:hAnsi="Arial" w:cs="Arial"/>
                <w:b/>
                <w:bCs/>
                <w:sz w:val="16"/>
                <w:szCs w:val="16"/>
              </w:rPr>
            </w:pPr>
            <w:r w:rsidRPr="00761071">
              <w:rPr>
                <w:rFonts w:ascii="Arial" w:hAnsi="Arial" w:cs="Arial"/>
                <w:b/>
                <w:bCs/>
                <w:sz w:val="16"/>
                <w:szCs w:val="16"/>
              </w:rPr>
              <w:t>Opening net book balance</w:t>
            </w:r>
          </w:p>
        </w:tc>
        <w:tc>
          <w:tcPr>
            <w:tcW w:w="659" w:type="pct"/>
            <w:tcBorders>
              <w:top w:val="single" w:sz="4" w:space="0" w:color="auto"/>
              <w:left w:val="nil"/>
              <w:bottom w:val="single" w:sz="4" w:space="0" w:color="auto"/>
              <w:right w:val="nil"/>
            </w:tcBorders>
            <w:shd w:val="clear" w:color="auto" w:fill="auto"/>
            <w:noWrap/>
            <w:vAlign w:val="center"/>
            <w:hideMark/>
          </w:tcPr>
          <w:p w14:paraId="1E2FF1B6"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350 </w:t>
            </w:r>
          </w:p>
        </w:tc>
        <w:tc>
          <w:tcPr>
            <w:tcW w:w="706" w:type="pct"/>
            <w:tcBorders>
              <w:top w:val="single" w:sz="4" w:space="0" w:color="auto"/>
              <w:left w:val="nil"/>
              <w:bottom w:val="single" w:sz="4" w:space="0" w:color="auto"/>
              <w:right w:val="nil"/>
            </w:tcBorders>
            <w:shd w:val="clear" w:color="auto" w:fill="auto"/>
            <w:noWrap/>
            <w:vAlign w:val="center"/>
            <w:hideMark/>
          </w:tcPr>
          <w:p w14:paraId="30589535"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149 </w:t>
            </w:r>
          </w:p>
        </w:tc>
        <w:tc>
          <w:tcPr>
            <w:tcW w:w="719" w:type="pct"/>
            <w:tcBorders>
              <w:top w:val="single" w:sz="4" w:space="0" w:color="auto"/>
              <w:left w:val="nil"/>
              <w:bottom w:val="single" w:sz="4" w:space="0" w:color="auto"/>
              <w:right w:val="nil"/>
            </w:tcBorders>
            <w:shd w:val="clear" w:color="auto" w:fill="auto"/>
            <w:noWrap/>
            <w:vAlign w:val="center"/>
            <w:hideMark/>
          </w:tcPr>
          <w:p w14:paraId="5160E4AD"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4 </w:t>
            </w:r>
          </w:p>
        </w:tc>
        <w:tc>
          <w:tcPr>
            <w:tcW w:w="659" w:type="pct"/>
            <w:tcBorders>
              <w:top w:val="single" w:sz="4" w:space="0" w:color="auto"/>
              <w:left w:val="nil"/>
              <w:bottom w:val="single" w:sz="4" w:space="0" w:color="auto"/>
              <w:right w:val="nil"/>
            </w:tcBorders>
            <w:shd w:val="clear" w:color="auto" w:fill="auto"/>
            <w:noWrap/>
            <w:vAlign w:val="center"/>
            <w:hideMark/>
          </w:tcPr>
          <w:p w14:paraId="0D319333"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503 </w:t>
            </w:r>
          </w:p>
        </w:tc>
      </w:tr>
      <w:tr w:rsidR="00761071" w:rsidRPr="00761071" w14:paraId="73A46146"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16C993FF" w14:textId="77777777" w:rsidR="00761071" w:rsidRPr="00761071" w:rsidRDefault="00761071" w:rsidP="00F737C7">
            <w:pPr>
              <w:spacing w:after="0" w:line="240" w:lineRule="auto"/>
              <w:jc w:val="left"/>
              <w:rPr>
                <w:rFonts w:ascii="Arial" w:hAnsi="Arial" w:cs="Arial"/>
                <w:b/>
                <w:bCs/>
                <w:sz w:val="16"/>
                <w:szCs w:val="16"/>
              </w:rPr>
            </w:pPr>
            <w:r w:rsidRPr="00761071">
              <w:rPr>
                <w:rFonts w:ascii="Arial" w:hAnsi="Arial" w:cs="Arial"/>
                <w:b/>
                <w:bCs/>
                <w:sz w:val="16"/>
                <w:szCs w:val="16"/>
              </w:rPr>
              <w:t>Capital asset additions</w:t>
            </w:r>
          </w:p>
        </w:tc>
        <w:tc>
          <w:tcPr>
            <w:tcW w:w="659" w:type="pct"/>
            <w:tcBorders>
              <w:top w:val="nil"/>
              <w:left w:val="nil"/>
              <w:bottom w:val="nil"/>
              <w:right w:val="nil"/>
            </w:tcBorders>
            <w:shd w:val="clear" w:color="auto" w:fill="auto"/>
            <w:noWrap/>
            <w:vAlign w:val="center"/>
            <w:hideMark/>
          </w:tcPr>
          <w:p w14:paraId="4E3F6CC3" w14:textId="77777777" w:rsidR="00761071" w:rsidRPr="00761071" w:rsidRDefault="00761071" w:rsidP="00761071">
            <w:pPr>
              <w:spacing w:after="0" w:line="240" w:lineRule="auto"/>
              <w:jc w:val="left"/>
              <w:rPr>
                <w:rFonts w:ascii="Arial" w:hAnsi="Arial" w:cs="Arial"/>
                <w:b/>
                <w:bCs/>
                <w:sz w:val="16"/>
                <w:szCs w:val="16"/>
              </w:rPr>
            </w:pPr>
          </w:p>
        </w:tc>
        <w:tc>
          <w:tcPr>
            <w:tcW w:w="706" w:type="pct"/>
            <w:tcBorders>
              <w:top w:val="nil"/>
              <w:left w:val="nil"/>
              <w:bottom w:val="nil"/>
              <w:right w:val="nil"/>
            </w:tcBorders>
            <w:shd w:val="clear" w:color="auto" w:fill="auto"/>
            <w:noWrap/>
            <w:vAlign w:val="center"/>
            <w:hideMark/>
          </w:tcPr>
          <w:p w14:paraId="723C477C" w14:textId="77777777" w:rsidR="00761071" w:rsidRPr="00761071" w:rsidRDefault="00761071" w:rsidP="00761071">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center"/>
            <w:hideMark/>
          </w:tcPr>
          <w:p w14:paraId="0D8F474D" w14:textId="77777777" w:rsidR="00761071" w:rsidRPr="00761071" w:rsidRDefault="00761071" w:rsidP="00761071">
            <w:pPr>
              <w:spacing w:after="0" w:line="240" w:lineRule="auto"/>
              <w:jc w:val="left"/>
              <w:rPr>
                <w:rFonts w:ascii="Times New Roman" w:hAnsi="Times New Roman"/>
              </w:rPr>
            </w:pPr>
          </w:p>
        </w:tc>
        <w:tc>
          <w:tcPr>
            <w:tcW w:w="659" w:type="pct"/>
            <w:tcBorders>
              <w:top w:val="nil"/>
              <w:left w:val="nil"/>
              <w:bottom w:val="nil"/>
              <w:right w:val="nil"/>
            </w:tcBorders>
            <w:shd w:val="clear" w:color="auto" w:fill="auto"/>
            <w:noWrap/>
            <w:vAlign w:val="center"/>
            <w:hideMark/>
          </w:tcPr>
          <w:p w14:paraId="4CAF1423" w14:textId="77777777" w:rsidR="00761071" w:rsidRPr="00761071" w:rsidRDefault="00761071" w:rsidP="00761071">
            <w:pPr>
              <w:spacing w:after="0" w:line="240" w:lineRule="auto"/>
              <w:jc w:val="left"/>
              <w:rPr>
                <w:rFonts w:ascii="Times New Roman" w:hAnsi="Times New Roman"/>
              </w:rPr>
            </w:pPr>
          </w:p>
        </w:tc>
      </w:tr>
      <w:tr w:rsidR="00761071" w:rsidRPr="00761071" w14:paraId="10959337" w14:textId="77777777" w:rsidTr="00F737C7">
        <w:trPr>
          <w:divId w:val="1775174413"/>
          <w:trHeight w:hRule="exact" w:val="450"/>
        </w:trPr>
        <w:tc>
          <w:tcPr>
            <w:tcW w:w="2257" w:type="pct"/>
            <w:tcBorders>
              <w:top w:val="nil"/>
              <w:left w:val="nil"/>
              <w:bottom w:val="nil"/>
              <w:right w:val="nil"/>
            </w:tcBorders>
            <w:shd w:val="clear" w:color="auto" w:fill="auto"/>
            <w:vAlign w:val="bottom"/>
            <w:hideMark/>
          </w:tcPr>
          <w:p w14:paraId="04349D1D" w14:textId="39C8ED35" w:rsidR="00761071" w:rsidRPr="00761071" w:rsidRDefault="002B646A" w:rsidP="00F737C7">
            <w:pPr>
              <w:spacing w:after="0" w:line="240" w:lineRule="auto"/>
              <w:ind w:left="170"/>
              <w:jc w:val="left"/>
              <w:rPr>
                <w:rFonts w:ascii="Arial" w:hAnsi="Arial" w:cs="Arial"/>
                <w:b/>
                <w:bCs/>
                <w:sz w:val="16"/>
                <w:szCs w:val="16"/>
              </w:rPr>
            </w:pPr>
            <w:r>
              <w:rPr>
                <w:rFonts w:ascii="Arial" w:hAnsi="Arial" w:cs="Arial"/>
                <w:b/>
                <w:bCs/>
                <w:sz w:val="16"/>
                <w:szCs w:val="16"/>
              </w:rPr>
              <w:t>Estimated expenditure on new</w:t>
            </w:r>
            <w:r>
              <w:rPr>
                <w:rFonts w:ascii="Arial" w:hAnsi="Arial" w:cs="Arial"/>
                <w:b/>
                <w:bCs/>
                <w:sz w:val="16"/>
                <w:szCs w:val="16"/>
              </w:rPr>
              <w:br/>
            </w:r>
            <w:r w:rsidR="00F737C7">
              <w:rPr>
                <w:rFonts w:ascii="Arial" w:hAnsi="Arial" w:cs="Arial"/>
                <w:b/>
                <w:bCs/>
                <w:sz w:val="16"/>
                <w:szCs w:val="16"/>
              </w:rPr>
              <w:t xml:space="preserve">  </w:t>
            </w:r>
            <w:r w:rsidR="00761071" w:rsidRPr="00761071">
              <w:rPr>
                <w:rFonts w:ascii="Arial" w:hAnsi="Arial" w:cs="Arial"/>
                <w:b/>
                <w:bCs/>
                <w:sz w:val="16"/>
                <w:szCs w:val="16"/>
              </w:rPr>
              <w:t>or replacement assets</w:t>
            </w:r>
          </w:p>
        </w:tc>
        <w:tc>
          <w:tcPr>
            <w:tcW w:w="659" w:type="pct"/>
            <w:tcBorders>
              <w:top w:val="nil"/>
              <w:left w:val="nil"/>
              <w:bottom w:val="nil"/>
              <w:right w:val="nil"/>
            </w:tcBorders>
            <w:shd w:val="clear" w:color="auto" w:fill="auto"/>
            <w:noWrap/>
            <w:vAlign w:val="center"/>
            <w:hideMark/>
          </w:tcPr>
          <w:p w14:paraId="717C1D8D" w14:textId="77777777" w:rsidR="00761071" w:rsidRPr="00761071" w:rsidRDefault="00761071" w:rsidP="00761071">
            <w:pPr>
              <w:spacing w:after="0" w:line="240" w:lineRule="auto"/>
              <w:ind w:firstLineChars="100" w:firstLine="160"/>
              <w:jc w:val="left"/>
              <w:rPr>
                <w:rFonts w:ascii="Arial" w:hAnsi="Arial" w:cs="Arial"/>
                <w:b/>
                <w:bCs/>
                <w:sz w:val="16"/>
                <w:szCs w:val="16"/>
              </w:rPr>
            </w:pPr>
          </w:p>
        </w:tc>
        <w:tc>
          <w:tcPr>
            <w:tcW w:w="706" w:type="pct"/>
            <w:tcBorders>
              <w:top w:val="nil"/>
              <w:left w:val="nil"/>
              <w:bottom w:val="nil"/>
              <w:right w:val="nil"/>
            </w:tcBorders>
            <w:shd w:val="clear" w:color="auto" w:fill="auto"/>
            <w:noWrap/>
            <w:vAlign w:val="center"/>
            <w:hideMark/>
          </w:tcPr>
          <w:p w14:paraId="41869705" w14:textId="77777777" w:rsidR="00761071" w:rsidRPr="00761071" w:rsidRDefault="00761071" w:rsidP="00761071">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center"/>
            <w:hideMark/>
          </w:tcPr>
          <w:p w14:paraId="635C6AC3" w14:textId="77777777" w:rsidR="00761071" w:rsidRPr="00761071" w:rsidRDefault="00761071" w:rsidP="00761071">
            <w:pPr>
              <w:spacing w:after="0" w:line="240" w:lineRule="auto"/>
              <w:jc w:val="left"/>
              <w:rPr>
                <w:rFonts w:ascii="Times New Roman" w:hAnsi="Times New Roman"/>
              </w:rPr>
            </w:pPr>
          </w:p>
        </w:tc>
        <w:tc>
          <w:tcPr>
            <w:tcW w:w="659" w:type="pct"/>
            <w:tcBorders>
              <w:top w:val="nil"/>
              <w:left w:val="nil"/>
              <w:bottom w:val="nil"/>
              <w:right w:val="nil"/>
            </w:tcBorders>
            <w:shd w:val="clear" w:color="auto" w:fill="auto"/>
            <w:noWrap/>
            <w:vAlign w:val="center"/>
            <w:hideMark/>
          </w:tcPr>
          <w:p w14:paraId="6B78B3C6" w14:textId="77777777" w:rsidR="00761071" w:rsidRPr="00761071" w:rsidRDefault="00761071" w:rsidP="00761071">
            <w:pPr>
              <w:spacing w:after="0" w:line="240" w:lineRule="auto"/>
              <w:jc w:val="left"/>
              <w:rPr>
                <w:rFonts w:ascii="Times New Roman" w:hAnsi="Times New Roman"/>
              </w:rPr>
            </w:pPr>
          </w:p>
        </w:tc>
      </w:tr>
      <w:tr w:rsidR="00761071" w:rsidRPr="00761071" w14:paraId="0C85A7AD"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553D6831" w14:textId="77777777" w:rsidR="00761071" w:rsidRPr="00761071"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By purchase - appropriation equity (a)</w:t>
            </w:r>
          </w:p>
        </w:tc>
        <w:tc>
          <w:tcPr>
            <w:tcW w:w="659" w:type="pct"/>
            <w:tcBorders>
              <w:top w:val="nil"/>
              <w:left w:val="nil"/>
              <w:bottom w:val="nil"/>
              <w:right w:val="nil"/>
            </w:tcBorders>
            <w:shd w:val="clear" w:color="auto" w:fill="auto"/>
            <w:noWrap/>
            <w:vAlign w:val="center"/>
            <w:hideMark/>
          </w:tcPr>
          <w:p w14:paraId="2FD2F705"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06" w:type="pct"/>
            <w:tcBorders>
              <w:top w:val="nil"/>
              <w:left w:val="nil"/>
              <w:bottom w:val="nil"/>
              <w:right w:val="nil"/>
            </w:tcBorders>
            <w:shd w:val="clear" w:color="auto" w:fill="auto"/>
            <w:noWrap/>
            <w:vAlign w:val="center"/>
            <w:hideMark/>
          </w:tcPr>
          <w:p w14:paraId="4B5B3EC7"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51 </w:t>
            </w:r>
          </w:p>
        </w:tc>
        <w:tc>
          <w:tcPr>
            <w:tcW w:w="719" w:type="pct"/>
            <w:tcBorders>
              <w:top w:val="nil"/>
              <w:left w:val="nil"/>
              <w:bottom w:val="nil"/>
              <w:right w:val="nil"/>
            </w:tcBorders>
            <w:shd w:val="clear" w:color="auto" w:fill="auto"/>
            <w:noWrap/>
            <w:vAlign w:val="center"/>
            <w:hideMark/>
          </w:tcPr>
          <w:p w14:paraId="06842878"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659" w:type="pct"/>
            <w:tcBorders>
              <w:top w:val="nil"/>
              <w:left w:val="nil"/>
              <w:bottom w:val="nil"/>
              <w:right w:val="nil"/>
            </w:tcBorders>
            <w:shd w:val="clear" w:color="auto" w:fill="auto"/>
            <w:noWrap/>
            <w:vAlign w:val="center"/>
            <w:hideMark/>
          </w:tcPr>
          <w:p w14:paraId="171144B6"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51 </w:t>
            </w:r>
          </w:p>
        </w:tc>
      </w:tr>
      <w:tr w:rsidR="00761071" w:rsidRPr="00761071" w14:paraId="5D15D04B" w14:textId="77777777" w:rsidTr="00F737C7">
        <w:trPr>
          <w:divId w:val="1775174413"/>
          <w:trHeight w:hRule="exact" w:val="450"/>
        </w:trPr>
        <w:tc>
          <w:tcPr>
            <w:tcW w:w="2257" w:type="pct"/>
            <w:tcBorders>
              <w:top w:val="nil"/>
              <w:left w:val="nil"/>
              <w:bottom w:val="nil"/>
              <w:right w:val="nil"/>
            </w:tcBorders>
            <w:shd w:val="clear" w:color="auto" w:fill="auto"/>
            <w:vAlign w:val="bottom"/>
            <w:hideMark/>
          </w:tcPr>
          <w:p w14:paraId="3A847EA2" w14:textId="77777777" w:rsidR="00DD0170"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 xml:space="preserve">By purchase - appropriation equity - </w:t>
            </w:r>
          </w:p>
          <w:p w14:paraId="7E7E5C1B" w14:textId="3D405F31" w:rsidR="00761071" w:rsidRPr="00761071" w:rsidRDefault="00DD0170" w:rsidP="00F737C7">
            <w:pPr>
              <w:spacing w:after="0" w:line="240" w:lineRule="auto"/>
              <w:ind w:left="170"/>
              <w:jc w:val="left"/>
              <w:rPr>
                <w:rFonts w:ascii="Arial" w:hAnsi="Arial" w:cs="Arial"/>
                <w:sz w:val="16"/>
                <w:szCs w:val="16"/>
              </w:rPr>
            </w:pPr>
            <w:r>
              <w:rPr>
                <w:rFonts w:ascii="Arial" w:hAnsi="Arial" w:cs="Arial"/>
                <w:sz w:val="16"/>
                <w:szCs w:val="16"/>
              </w:rPr>
              <w:t xml:space="preserve">  </w:t>
            </w:r>
            <w:r w:rsidR="00761071" w:rsidRPr="00761071">
              <w:rPr>
                <w:rFonts w:ascii="Arial" w:hAnsi="Arial" w:cs="Arial"/>
                <w:sz w:val="16"/>
                <w:szCs w:val="16"/>
              </w:rPr>
              <w:t>ROU assets</w:t>
            </w:r>
          </w:p>
        </w:tc>
        <w:tc>
          <w:tcPr>
            <w:tcW w:w="659" w:type="pct"/>
            <w:tcBorders>
              <w:top w:val="nil"/>
              <w:left w:val="nil"/>
              <w:bottom w:val="nil"/>
              <w:right w:val="nil"/>
            </w:tcBorders>
            <w:shd w:val="clear" w:color="auto" w:fill="auto"/>
            <w:noWrap/>
            <w:vAlign w:val="bottom"/>
            <w:hideMark/>
          </w:tcPr>
          <w:p w14:paraId="50A063DB"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06" w:type="pct"/>
            <w:tcBorders>
              <w:top w:val="nil"/>
              <w:left w:val="nil"/>
              <w:bottom w:val="nil"/>
              <w:right w:val="nil"/>
            </w:tcBorders>
            <w:shd w:val="clear" w:color="auto" w:fill="auto"/>
            <w:noWrap/>
            <w:vAlign w:val="bottom"/>
            <w:hideMark/>
          </w:tcPr>
          <w:p w14:paraId="34239FB4"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55B27962"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3AE778E6"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r>
      <w:tr w:rsidR="00761071" w:rsidRPr="00761071" w14:paraId="3DEA6F5E"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28E4A4B0" w14:textId="77777777" w:rsidR="00761071" w:rsidRPr="00761071" w:rsidRDefault="00761071" w:rsidP="00F737C7">
            <w:pPr>
              <w:spacing w:after="0" w:line="240" w:lineRule="auto"/>
              <w:ind w:left="170"/>
              <w:jc w:val="left"/>
              <w:rPr>
                <w:rFonts w:ascii="Arial" w:hAnsi="Arial" w:cs="Arial"/>
                <w:b/>
                <w:bCs/>
                <w:sz w:val="16"/>
                <w:szCs w:val="16"/>
              </w:rPr>
            </w:pPr>
            <w:r w:rsidRPr="00761071">
              <w:rPr>
                <w:rFonts w:ascii="Arial" w:hAnsi="Arial" w:cs="Arial"/>
                <w:b/>
                <w:bCs/>
                <w:sz w:val="16"/>
                <w:szCs w:val="16"/>
              </w:rPr>
              <w:t>Total additions</w:t>
            </w:r>
          </w:p>
        </w:tc>
        <w:tc>
          <w:tcPr>
            <w:tcW w:w="659" w:type="pct"/>
            <w:tcBorders>
              <w:top w:val="single" w:sz="4" w:space="0" w:color="auto"/>
              <w:left w:val="nil"/>
              <w:bottom w:val="nil"/>
              <w:right w:val="nil"/>
            </w:tcBorders>
            <w:shd w:val="clear" w:color="auto" w:fill="auto"/>
            <w:noWrap/>
            <w:vAlign w:val="center"/>
            <w:hideMark/>
          </w:tcPr>
          <w:p w14:paraId="668ECCCD"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 </w:t>
            </w:r>
          </w:p>
        </w:tc>
        <w:tc>
          <w:tcPr>
            <w:tcW w:w="706" w:type="pct"/>
            <w:tcBorders>
              <w:top w:val="single" w:sz="4" w:space="0" w:color="auto"/>
              <w:left w:val="nil"/>
              <w:bottom w:val="nil"/>
              <w:right w:val="nil"/>
            </w:tcBorders>
            <w:shd w:val="clear" w:color="auto" w:fill="auto"/>
            <w:noWrap/>
            <w:vAlign w:val="center"/>
            <w:hideMark/>
          </w:tcPr>
          <w:p w14:paraId="0F53BEA6"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51 </w:t>
            </w:r>
          </w:p>
        </w:tc>
        <w:tc>
          <w:tcPr>
            <w:tcW w:w="719" w:type="pct"/>
            <w:tcBorders>
              <w:top w:val="single" w:sz="4" w:space="0" w:color="auto"/>
              <w:left w:val="nil"/>
              <w:bottom w:val="nil"/>
              <w:right w:val="nil"/>
            </w:tcBorders>
            <w:shd w:val="clear" w:color="auto" w:fill="auto"/>
            <w:noWrap/>
            <w:vAlign w:val="center"/>
            <w:hideMark/>
          </w:tcPr>
          <w:p w14:paraId="1AC5A88B"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 </w:t>
            </w:r>
          </w:p>
        </w:tc>
        <w:tc>
          <w:tcPr>
            <w:tcW w:w="659" w:type="pct"/>
            <w:tcBorders>
              <w:top w:val="single" w:sz="4" w:space="0" w:color="auto"/>
              <w:left w:val="nil"/>
              <w:bottom w:val="nil"/>
              <w:right w:val="nil"/>
            </w:tcBorders>
            <w:shd w:val="clear" w:color="auto" w:fill="auto"/>
            <w:noWrap/>
            <w:vAlign w:val="center"/>
            <w:hideMark/>
          </w:tcPr>
          <w:p w14:paraId="2BDFA5DA"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51 </w:t>
            </w:r>
          </w:p>
        </w:tc>
      </w:tr>
      <w:tr w:rsidR="00761071" w:rsidRPr="00761071" w14:paraId="5A5C7B44"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65BF3473" w14:textId="77777777" w:rsidR="00761071" w:rsidRPr="00761071" w:rsidRDefault="00761071" w:rsidP="00F737C7">
            <w:pPr>
              <w:spacing w:after="0" w:line="240" w:lineRule="auto"/>
              <w:ind w:left="170"/>
              <w:jc w:val="left"/>
              <w:rPr>
                <w:rFonts w:ascii="Arial" w:hAnsi="Arial" w:cs="Arial"/>
                <w:b/>
                <w:bCs/>
                <w:sz w:val="16"/>
                <w:szCs w:val="16"/>
              </w:rPr>
            </w:pPr>
            <w:r w:rsidRPr="00761071">
              <w:rPr>
                <w:rFonts w:ascii="Arial" w:hAnsi="Arial" w:cs="Arial"/>
                <w:b/>
                <w:bCs/>
                <w:sz w:val="16"/>
                <w:szCs w:val="16"/>
              </w:rPr>
              <w:t>Other movements</w:t>
            </w:r>
          </w:p>
        </w:tc>
        <w:tc>
          <w:tcPr>
            <w:tcW w:w="659" w:type="pct"/>
            <w:tcBorders>
              <w:top w:val="single" w:sz="4" w:space="0" w:color="auto"/>
              <w:left w:val="nil"/>
              <w:bottom w:val="nil"/>
              <w:right w:val="nil"/>
            </w:tcBorders>
            <w:shd w:val="clear" w:color="auto" w:fill="auto"/>
            <w:noWrap/>
            <w:vAlign w:val="center"/>
            <w:hideMark/>
          </w:tcPr>
          <w:p w14:paraId="734C0EAB" w14:textId="77777777" w:rsidR="00761071" w:rsidRPr="00761071" w:rsidRDefault="00761071" w:rsidP="00761071">
            <w:pPr>
              <w:spacing w:after="0" w:line="240" w:lineRule="auto"/>
              <w:jc w:val="left"/>
              <w:rPr>
                <w:rFonts w:ascii="Arial" w:hAnsi="Arial" w:cs="Arial"/>
                <w:b/>
                <w:bCs/>
                <w:sz w:val="16"/>
                <w:szCs w:val="16"/>
              </w:rPr>
            </w:pPr>
            <w:r w:rsidRPr="00761071">
              <w:rPr>
                <w:rFonts w:ascii="Arial" w:hAnsi="Arial" w:cs="Arial"/>
                <w:b/>
                <w:bCs/>
                <w:sz w:val="16"/>
                <w:szCs w:val="16"/>
              </w:rPr>
              <w:t> </w:t>
            </w:r>
          </w:p>
        </w:tc>
        <w:tc>
          <w:tcPr>
            <w:tcW w:w="706" w:type="pct"/>
            <w:tcBorders>
              <w:top w:val="single" w:sz="4" w:space="0" w:color="auto"/>
              <w:left w:val="nil"/>
              <w:bottom w:val="nil"/>
              <w:right w:val="nil"/>
            </w:tcBorders>
            <w:shd w:val="clear" w:color="auto" w:fill="auto"/>
            <w:noWrap/>
            <w:vAlign w:val="center"/>
            <w:hideMark/>
          </w:tcPr>
          <w:p w14:paraId="47DBAFBB" w14:textId="77777777" w:rsidR="00761071" w:rsidRPr="00761071" w:rsidRDefault="00761071" w:rsidP="00761071">
            <w:pPr>
              <w:spacing w:after="0" w:line="240" w:lineRule="auto"/>
              <w:jc w:val="left"/>
              <w:rPr>
                <w:rFonts w:ascii="Arial" w:hAnsi="Arial" w:cs="Arial"/>
                <w:b/>
                <w:bCs/>
                <w:sz w:val="16"/>
                <w:szCs w:val="16"/>
              </w:rPr>
            </w:pPr>
            <w:r w:rsidRPr="00761071">
              <w:rPr>
                <w:rFonts w:ascii="Arial" w:hAnsi="Arial" w:cs="Arial"/>
                <w:b/>
                <w:bCs/>
                <w:sz w:val="16"/>
                <w:szCs w:val="16"/>
              </w:rPr>
              <w:t> </w:t>
            </w:r>
          </w:p>
        </w:tc>
        <w:tc>
          <w:tcPr>
            <w:tcW w:w="719" w:type="pct"/>
            <w:tcBorders>
              <w:top w:val="single" w:sz="4" w:space="0" w:color="auto"/>
              <w:left w:val="nil"/>
              <w:bottom w:val="nil"/>
              <w:right w:val="nil"/>
            </w:tcBorders>
            <w:shd w:val="clear" w:color="auto" w:fill="auto"/>
            <w:noWrap/>
            <w:vAlign w:val="center"/>
            <w:hideMark/>
          </w:tcPr>
          <w:p w14:paraId="51F16B47" w14:textId="77777777" w:rsidR="00761071" w:rsidRPr="00761071" w:rsidRDefault="00761071" w:rsidP="00761071">
            <w:pPr>
              <w:spacing w:after="0" w:line="240" w:lineRule="auto"/>
              <w:jc w:val="left"/>
              <w:rPr>
                <w:rFonts w:ascii="Arial" w:hAnsi="Arial" w:cs="Arial"/>
                <w:b/>
                <w:bCs/>
                <w:sz w:val="16"/>
                <w:szCs w:val="16"/>
              </w:rPr>
            </w:pPr>
            <w:r w:rsidRPr="00761071">
              <w:rPr>
                <w:rFonts w:ascii="Arial" w:hAnsi="Arial" w:cs="Arial"/>
                <w:b/>
                <w:bCs/>
                <w:sz w:val="16"/>
                <w:szCs w:val="16"/>
              </w:rPr>
              <w:t> </w:t>
            </w:r>
          </w:p>
        </w:tc>
        <w:tc>
          <w:tcPr>
            <w:tcW w:w="659" w:type="pct"/>
            <w:tcBorders>
              <w:top w:val="single" w:sz="4" w:space="0" w:color="auto"/>
              <w:left w:val="nil"/>
              <w:bottom w:val="nil"/>
              <w:right w:val="nil"/>
            </w:tcBorders>
            <w:shd w:val="clear" w:color="auto" w:fill="auto"/>
            <w:noWrap/>
            <w:vAlign w:val="center"/>
            <w:hideMark/>
          </w:tcPr>
          <w:p w14:paraId="35AD7489" w14:textId="77777777" w:rsidR="00761071" w:rsidRPr="00761071" w:rsidRDefault="00761071" w:rsidP="00761071">
            <w:pPr>
              <w:spacing w:after="0" w:line="240" w:lineRule="auto"/>
              <w:jc w:val="left"/>
              <w:rPr>
                <w:rFonts w:ascii="Arial" w:hAnsi="Arial" w:cs="Arial"/>
                <w:b/>
                <w:bCs/>
                <w:sz w:val="16"/>
                <w:szCs w:val="16"/>
              </w:rPr>
            </w:pPr>
            <w:r w:rsidRPr="00761071">
              <w:rPr>
                <w:rFonts w:ascii="Arial" w:hAnsi="Arial" w:cs="Arial"/>
                <w:b/>
                <w:bCs/>
                <w:sz w:val="16"/>
                <w:szCs w:val="16"/>
              </w:rPr>
              <w:t> </w:t>
            </w:r>
          </w:p>
        </w:tc>
      </w:tr>
      <w:tr w:rsidR="00761071" w:rsidRPr="00761071" w14:paraId="0C473F2B" w14:textId="77777777" w:rsidTr="00F737C7">
        <w:trPr>
          <w:divId w:val="1775174413"/>
          <w:trHeight w:hRule="exact" w:val="450"/>
        </w:trPr>
        <w:tc>
          <w:tcPr>
            <w:tcW w:w="2257" w:type="pct"/>
            <w:tcBorders>
              <w:top w:val="nil"/>
              <w:left w:val="nil"/>
              <w:bottom w:val="nil"/>
              <w:right w:val="nil"/>
            </w:tcBorders>
            <w:shd w:val="clear" w:color="auto" w:fill="auto"/>
            <w:vAlign w:val="bottom"/>
            <w:hideMark/>
          </w:tcPr>
          <w:p w14:paraId="28F1D531" w14:textId="148E0499" w:rsidR="00761071" w:rsidRPr="00761071"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ROU</w:t>
            </w:r>
            <w:r w:rsidR="002B646A">
              <w:rPr>
                <w:rFonts w:ascii="Arial" w:hAnsi="Arial" w:cs="Arial"/>
                <w:sz w:val="16"/>
                <w:szCs w:val="16"/>
              </w:rPr>
              <w:t xml:space="preserve"> assets held for sale or in a </w:t>
            </w:r>
            <w:r w:rsidR="002B646A">
              <w:rPr>
                <w:rFonts w:ascii="Arial" w:hAnsi="Arial" w:cs="Arial"/>
                <w:sz w:val="16"/>
                <w:szCs w:val="16"/>
              </w:rPr>
              <w:br/>
            </w:r>
            <w:r w:rsidR="00F737C7">
              <w:rPr>
                <w:rFonts w:ascii="Arial" w:hAnsi="Arial" w:cs="Arial"/>
                <w:sz w:val="16"/>
                <w:szCs w:val="16"/>
              </w:rPr>
              <w:t xml:space="preserve">  </w:t>
            </w:r>
            <w:r w:rsidRPr="00761071">
              <w:rPr>
                <w:rFonts w:ascii="Arial" w:hAnsi="Arial" w:cs="Arial"/>
                <w:sz w:val="16"/>
                <w:szCs w:val="16"/>
              </w:rPr>
              <w:t>disposal group held for sale</w:t>
            </w:r>
          </w:p>
        </w:tc>
        <w:tc>
          <w:tcPr>
            <w:tcW w:w="659" w:type="pct"/>
            <w:tcBorders>
              <w:top w:val="nil"/>
              <w:left w:val="nil"/>
              <w:bottom w:val="nil"/>
              <w:right w:val="nil"/>
            </w:tcBorders>
            <w:shd w:val="clear" w:color="auto" w:fill="auto"/>
            <w:noWrap/>
            <w:vAlign w:val="center"/>
            <w:hideMark/>
          </w:tcPr>
          <w:p w14:paraId="608C8B72"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06" w:type="pct"/>
            <w:tcBorders>
              <w:top w:val="nil"/>
              <w:left w:val="nil"/>
              <w:bottom w:val="nil"/>
              <w:right w:val="nil"/>
            </w:tcBorders>
            <w:shd w:val="clear" w:color="auto" w:fill="auto"/>
            <w:noWrap/>
            <w:vAlign w:val="center"/>
            <w:hideMark/>
          </w:tcPr>
          <w:p w14:paraId="0ACE7BAB"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19" w:type="pct"/>
            <w:tcBorders>
              <w:top w:val="nil"/>
              <w:left w:val="nil"/>
              <w:bottom w:val="nil"/>
              <w:right w:val="nil"/>
            </w:tcBorders>
            <w:shd w:val="clear" w:color="auto" w:fill="auto"/>
            <w:noWrap/>
            <w:vAlign w:val="center"/>
            <w:hideMark/>
          </w:tcPr>
          <w:p w14:paraId="2E6B0E23"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659" w:type="pct"/>
            <w:tcBorders>
              <w:top w:val="nil"/>
              <w:left w:val="nil"/>
              <w:bottom w:val="nil"/>
              <w:right w:val="nil"/>
            </w:tcBorders>
            <w:shd w:val="clear" w:color="auto" w:fill="auto"/>
            <w:noWrap/>
            <w:vAlign w:val="center"/>
            <w:hideMark/>
          </w:tcPr>
          <w:p w14:paraId="5C0A2556"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r>
      <w:tr w:rsidR="00761071" w:rsidRPr="00761071" w14:paraId="7F9BBBA9"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244F0FD1" w14:textId="77777777" w:rsidR="00761071" w:rsidRPr="00761071"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Depreciation/amortisation expense</w:t>
            </w:r>
          </w:p>
        </w:tc>
        <w:tc>
          <w:tcPr>
            <w:tcW w:w="659" w:type="pct"/>
            <w:tcBorders>
              <w:top w:val="nil"/>
              <w:left w:val="nil"/>
              <w:bottom w:val="nil"/>
              <w:right w:val="nil"/>
            </w:tcBorders>
            <w:shd w:val="clear" w:color="auto" w:fill="auto"/>
            <w:noWrap/>
            <w:vAlign w:val="center"/>
            <w:hideMark/>
          </w:tcPr>
          <w:p w14:paraId="081E8B70"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06" w:type="pct"/>
            <w:tcBorders>
              <w:top w:val="nil"/>
              <w:left w:val="nil"/>
              <w:bottom w:val="nil"/>
              <w:right w:val="nil"/>
            </w:tcBorders>
            <w:shd w:val="clear" w:color="auto" w:fill="auto"/>
            <w:noWrap/>
            <w:vAlign w:val="center"/>
            <w:hideMark/>
          </w:tcPr>
          <w:p w14:paraId="16D7F83E"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(47)</w:t>
            </w:r>
          </w:p>
        </w:tc>
        <w:tc>
          <w:tcPr>
            <w:tcW w:w="719" w:type="pct"/>
            <w:tcBorders>
              <w:top w:val="nil"/>
              <w:left w:val="nil"/>
              <w:bottom w:val="nil"/>
              <w:right w:val="nil"/>
            </w:tcBorders>
            <w:shd w:val="clear" w:color="auto" w:fill="auto"/>
            <w:noWrap/>
            <w:vAlign w:val="center"/>
            <w:hideMark/>
          </w:tcPr>
          <w:p w14:paraId="765B30F8"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(4)</w:t>
            </w:r>
          </w:p>
        </w:tc>
        <w:tc>
          <w:tcPr>
            <w:tcW w:w="659" w:type="pct"/>
            <w:tcBorders>
              <w:top w:val="nil"/>
              <w:left w:val="nil"/>
              <w:bottom w:val="nil"/>
              <w:right w:val="nil"/>
            </w:tcBorders>
            <w:shd w:val="clear" w:color="auto" w:fill="auto"/>
            <w:noWrap/>
            <w:vAlign w:val="center"/>
            <w:hideMark/>
          </w:tcPr>
          <w:p w14:paraId="2372A11E"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(51)</w:t>
            </w:r>
          </w:p>
        </w:tc>
      </w:tr>
      <w:tr w:rsidR="00761071" w:rsidRPr="00761071" w14:paraId="23F1F0B1" w14:textId="77777777" w:rsidTr="00F737C7">
        <w:trPr>
          <w:divId w:val="1775174413"/>
          <w:trHeight w:hRule="exact" w:val="450"/>
        </w:trPr>
        <w:tc>
          <w:tcPr>
            <w:tcW w:w="2257" w:type="pct"/>
            <w:tcBorders>
              <w:top w:val="nil"/>
              <w:left w:val="nil"/>
              <w:bottom w:val="nil"/>
              <w:right w:val="nil"/>
            </w:tcBorders>
            <w:shd w:val="clear" w:color="auto" w:fill="auto"/>
            <w:vAlign w:val="bottom"/>
            <w:hideMark/>
          </w:tcPr>
          <w:p w14:paraId="147B3257" w14:textId="3B03D5D1" w:rsidR="00761071" w:rsidRPr="00761071"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 xml:space="preserve">Depreciation/amortisation on </w:t>
            </w:r>
            <w:r w:rsidRPr="00761071">
              <w:rPr>
                <w:rFonts w:ascii="Arial" w:hAnsi="Arial" w:cs="Arial"/>
                <w:sz w:val="16"/>
                <w:szCs w:val="16"/>
              </w:rPr>
              <w:br/>
              <w:t xml:space="preserve"> </w:t>
            </w:r>
            <w:r w:rsidR="00DD0170">
              <w:rPr>
                <w:rFonts w:ascii="Arial" w:hAnsi="Arial" w:cs="Arial"/>
                <w:sz w:val="16"/>
                <w:szCs w:val="16"/>
              </w:rPr>
              <w:t xml:space="preserve"> </w:t>
            </w:r>
            <w:r w:rsidRPr="00761071">
              <w:rPr>
                <w:rFonts w:ascii="Arial" w:hAnsi="Arial" w:cs="Arial"/>
                <w:sz w:val="16"/>
                <w:szCs w:val="16"/>
              </w:rPr>
              <w:t>ROU assets</w:t>
            </w:r>
          </w:p>
        </w:tc>
        <w:tc>
          <w:tcPr>
            <w:tcW w:w="659" w:type="pct"/>
            <w:tcBorders>
              <w:top w:val="nil"/>
              <w:left w:val="nil"/>
              <w:bottom w:val="nil"/>
              <w:right w:val="nil"/>
            </w:tcBorders>
            <w:shd w:val="clear" w:color="auto" w:fill="auto"/>
            <w:noWrap/>
            <w:vAlign w:val="bottom"/>
            <w:hideMark/>
          </w:tcPr>
          <w:p w14:paraId="5546F577"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(199)</w:t>
            </w:r>
          </w:p>
        </w:tc>
        <w:tc>
          <w:tcPr>
            <w:tcW w:w="706" w:type="pct"/>
            <w:tcBorders>
              <w:top w:val="nil"/>
              <w:left w:val="nil"/>
              <w:bottom w:val="nil"/>
              <w:right w:val="nil"/>
            </w:tcBorders>
            <w:shd w:val="clear" w:color="auto" w:fill="auto"/>
            <w:noWrap/>
            <w:vAlign w:val="bottom"/>
            <w:hideMark/>
          </w:tcPr>
          <w:p w14:paraId="1E43C979"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2994E85F"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50A34DF1"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(199)</w:t>
            </w:r>
          </w:p>
        </w:tc>
      </w:tr>
      <w:tr w:rsidR="00761071" w:rsidRPr="00761071" w14:paraId="420EA280"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13AB7D7C" w14:textId="77777777" w:rsidR="00761071" w:rsidRPr="00761071" w:rsidRDefault="00761071" w:rsidP="00F737C7">
            <w:pPr>
              <w:spacing w:after="0" w:line="240" w:lineRule="auto"/>
              <w:ind w:left="170"/>
              <w:jc w:val="left"/>
              <w:rPr>
                <w:rFonts w:ascii="Arial" w:hAnsi="Arial" w:cs="Arial"/>
                <w:b/>
                <w:bCs/>
                <w:sz w:val="16"/>
                <w:szCs w:val="16"/>
              </w:rPr>
            </w:pPr>
            <w:r w:rsidRPr="00761071">
              <w:rPr>
                <w:rFonts w:ascii="Arial" w:hAnsi="Arial" w:cs="Arial"/>
                <w:b/>
                <w:bCs/>
                <w:sz w:val="16"/>
                <w:szCs w:val="16"/>
              </w:rPr>
              <w:t>Total other movements</w:t>
            </w:r>
          </w:p>
        </w:tc>
        <w:tc>
          <w:tcPr>
            <w:tcW w:w="659" w:type="pct"/>
            <w:tcBorders>
              <w:top w:val="single" w:sz="4" w:space="0" w:color="auto"/>
              <w:left w:val="nil"/>
              <w:bottom w:val="single" w:sz="4" w:space="0" w:color="auto"/>
              <w:right w:val="nil"/>
            </w:tcBorders>
            <w:shd w:val="clear" w:color="auto" w:fill="auto"/>
            <w:noWrap/>
            <w:vAlign w:val="center"/>
            <w:hideMark/>
          </w:tcPr>
          <w:p w14:paraId="34F9C6F4"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(199)</w:t>
            </w:r>
          </w:p>
        </w:tc>
        <w:tc>
          <w:tcPr>
            <w:tcW w:w="706" w:type="pct"/>
            <w:tcBorders>
              <w:top w:val="single" w:sz="4" w:space="0" w:color="auto"/>
              <w:left w:val="nil"/>
              <w:bottom w:val="single" w:sz="4" w:space="0" w:color="auto"/>
              <w:right w:val="nil"/>
            </w:tcBorders>
            <w:shd w:val="clear" w:color="auto" w:fill="auto"/>
            <w:noWrap/>
            <w:vAlign w:val="center"/>
            <w:hideMark/>
          </w:tcPr>
          <w:p w14:paraId="6D524E5D"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(47)</w:t>
            </w:r>
          </w:p>
        </w:tc>
        <w:tc>
          <w:tcPr>
            <w:tcW w:w="719" w:type="pct"/>
            <w:tcBorders>
              <w:top w:val="single" w:sz="4" w:space="0" w:color="auto"/>
              <w:left w:val="nil"/>
              <w:bottom w:val="single" w:sz="4" w:space="0" w:color="auto"/>
              <w:right w:val="nil"/>
            </w:tcBorders>
            <w:shd w:val="clear" w:color="auto" w:fill="auto"/>
            <w:noWrap/>
            <w:vAlign w:val="center"/>
            <w:hideMark/>
          </w:tcPr>
          <w:p w14:paraId="099529D1" w14:textId="7584CB50"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(4)</w:t>
            </w:r>
          </w:p>
        </w:tc>
        <w:tc>
          <w:tcPr>
            <w:tcW w:w="659" w:type="pct"/>
            <w:tcBorders>
              <w:top w:val="single" w:sz="4" w:space="0" w:color="auto"/>
              <w:left w:val="nil"/>
              <w:bottom w:val="single" w:sz="4" w:space="0" w:color="auto"/>
              <w:right w:val="nil"/>
            </w:tcBorders>
            <w:shd w:val="clear" w:color="auto" w:fill="auto"/>
            <w:noWrap/>
            <w:vAlign w:val="center"/>
            <w:hideMark/>
          </w:tcPr>
          <w:p w14:paraId="3A71FD49"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(250)</w:t>
            </w:r>
          </w:p>
        </w:tc>
      </w:tr>
      <w:tr w:rsidR="00761071" w:rsidRPr="00761071" w14:paraId="628C697A"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467CDF31" w14:textId="77777777" w:rsidR="00761071" w:rsidRPr="00761071" w:rsidRDefault="00761071" w:rsidP="00F737C7">
            <w:pPr>
              <w:spacing w:after="0" w:line="240" w:lineRule="auto"/>
              <w:jc w:val="left"/>
              <w:rPr>
                <w:rFonts w:ascii="Arial" w:hAnsi="Arial" w:cs="Arial"/>
                <w:b/>
                <w:bCs/>
                <w:sz w:val="16"/>
                <w:szCs w:val="16"/>
              </w:rPr>
            </w:pPr>
            <w:r w:rsidRPr="00761071">
              <w:rPr>
                <w:rFonts w:ascii="Arial" w:hAnsi="Arial" w:cs="Arial"/>
                <w:b/>
                <w:bCs/>
                <w:sz w:val="16"/>
                <w:szCs w:val="16"/>
              </w:rPr>
              <w:t>As at 30 June 2021</w:t>
            </w:r>
          </w:p>
        </w:tc>
        <w:tc>
          <w:tcPr>
            <w:tcW w:w="659" w:type="pct"/>
            <w:tcBorders>
              <w:top w:val="nil"/>
              <w:left w:val="nil"/>
              <w:bottom w:val="nil"/>
              <w:right w:val="nil"/>
            </w:tcBorders>
            <w:shd w:val="clear" w:color="auto" w:fill="auto"/>
            <w:noWrap/>
            <w:vAlign w:val="center"/>
            <w:hideMark/>
          </w:tcPr>
          <w:p w14:paraId="3F8B3AB6" w14:textId="77777777" w:rsidR="00761071" w:rsidRPr="00761071" w:rsidRDefault="00761071" w:rsidP="00761071">
            <w:pPr>
              <w:spacing w:after="0" w:line="240" w:lineRule="auto"/>
              <w:jc w:val="left"/>
              <w:rPr>
                <w:rFonts w:ascii="Arial" w:hAnsi="Arial" w:cs="Arial"/>
                <w:b/>
                <w:bCs/>
                <w:sz w:val="16"/>
                <w:szCs w:val="16"/>
              </w:rPr>
            </w:pPr>
          </w:p>
        </w:tc>
        <w:tc>
          <w:tcPr>
            <w:tcW w:w="706" w:type="pct"/>
            <w:tcBorders>
              <w:top w:val="nil"/>
              <w:left w:val="nil"/>
              <w:bottom w:val="nil"/>
              <w:right w:val="nil"/>
            </w:tcBorders>
            <w:shd w:val="clear" w:color="auto" w:fill="auto"/>
            <w:noWrap/>
            <w:vAlign w:val="center"/>
            <w:hideMark/>
          </w:tcPr>
          <w:p w14:paraId="5B581EC6" w14:textId="77777777" w:rsidR="00761071" w:rsidRPr="00761071" w:rsidRDefault="00761071" w:rsidP="00761071">
            <w:pPr>
              <w:spacing w:after="0" w:line="240" w:lineRule="auto"/>
              <w:jc w:val="left"/>
              <w:rPr>
                <w:rFonts w:ascii="Times New Roman" w:hAnsi="Times New Roman"/>
              </w:rPr>
            </w:pPr>
          </w:p>
        </w:tc>
        <w:tc>
          <w:tcPr>
            <w:tcW w:w="719" w:type="pct"/>
            <w:tcBorders>
              <w:top w:val="nil"/>
              <w:left w:val="nil"/>
              <w:bottom w:val="nil"/>
              <w:right w:val="nil"/>
            </w:tcBorders>
            <w:shd w:val="clear" w:color="auto" w:fill="auto"/>
            <w:noWrap/>
            <w:vAlign w:val="center"/>
            <w:hideMark/>
          </w:tcPr>
          <w:p w14:paraId="5EA176C8" w14:textId="77777777" w:rsidR="00761071" w:rsidRPr="00761071" w:rsidRDefault="00761071" w:rsidP="00761071">
            <w:pPr>
              <w:spacing w:after="0" w:line="240" w:lineRule="auto"/>
              <w:jc w:val="left"/>
              <w:rPr>
                <w:rFonts w:ascii="Times New Roman" w:hAnsi="Times New Roman"/>
              </w:rPr>
            </w:pPr>
          </w:p>
        </w:tc>
        <w:tc>
          <w:tcPr>
            <w:tcW w:w="659" w:type="pct"/>
            <w:tcBorders>
              <w:top w:val="nil"/>
              <w:left w:val="nil"/>
              <w:bottom w:val="nil"/>
              <w:right w:val="nil"/>
            </w:tcBorders>
            <w:shd w:val="clear" w:color="auto" w:fill="auto"/>
            <w:noWrap/>
            <w:vAlign w:val="center"/>
            <w:hideMark/>
          </w:tcPr>
          <w:p w14:paraId="7356C339" w14:textId="77777777" w:rsidR="00761071" w:rsidRPr="00761071" w:rsidRDefault="00761071" w:rsidP="00761071">
            <w:pPr>
              <w:spacing w:after="0" w:line="240" w:lineRule="auto"/>
              <w:jc w:val="left"/>
              <w:rPr>
                <w:rFonts w:ascii="Times New Roman" w:hAnsi="Times New Roman"/>
              </w:rPr>
            </w:pPr>
          </w:p>
        </w:tc>
      </w:tr>
      <w:tr w:rsidR="00761071" w:rsidRPr="00761071" w14:paraId="6299217D"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3FB74C41" w14:textId="77777777" w:rsidR="00761071" w:rsidRPr="00761071"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Gross book value</w:t>
            </w:r>
          </w:p>
        </w:tc>
        <w:tc>
          <w:tcPr>
            <w:tcW w:w="659" w:type="pct"/>
            <w:tcBorders>
              <w:top w:val="nil"/>
              <w:left w:val="nil"/>
              <w:bottom w:val="nil"/>
              <w:right w:val="nil"/>
            </w:tcBorders>
            <w:shd w:val="clear" w:color="auto" w:fill="auto"/>
            <w:noWrap/>
            <w:vAlign w:val="center"/>
            <w:hideMark/>
          </w:tcPr>
          <w:p w14:paraId="75F538C5"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06" w:type="pct"/>
            <w:tcBorders>
              <w:top w:val="nil"/>
              <w:left w:val="nil"/>
              <w:bottom w:val="nil"/>
              <w:right w:val="nil"/>
            </w:tcBorders>
            <w:shd w:val="clear" w:color="auto" w:fill="auto"/>
            <w:noWrap/>
            <w:vAlign w:val="center"/>
            <w:hideMark/>
          </w:tcPr>
          <w:p w14:paraId="5B8FD1A1"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259 </w:t>
            </w:r>
          </w:p>
        </w:tc>
        <w:tc>
          <w:tcPr>
            <w:tcW w:w="719" w:type="pct"/>
            <w:tcBorders>
              <w:top w:val="nil"/>
              <w:left w:val="nil"/>
              <w:bottom w:val="nil"/>
              <w:right w:val="nil"/>
            </w:tcBorders>
            <w:shd w:val="clear" w:color="auto" w:fill="auto"/>
            <w:noWrap/>
            <w:vAlign w:val="center"/>
            <w:hideMark/>
          </w:tcPr>
          <w:p w14:paraId="3769F544"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10 </w:t>
            </w:r>
          </w:p>
        </w:tc>
        <w:tc>
          <w:tcPr>
            <w:tcW w:w="659" w:type="pct"/>
            <w:tcBorders>
              <w:top w:val="nil"/>
              <w:left w:val="nil"/>
              <w:bottom w:val="nil"/>
              <w:right w:val="nil"/>
            </w:tcBorders>
            <w:shd w:val="clear" w:color="auto" w:fill="auto"/>
            <w:noWrap/>
            <w:vAlign w:val="center"/>
            <w:hideMark/>
          </w:tcPr>
          <w:p w14:paraId="76F2FB21"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269 </w:t>
            </w:r>
          </w:p>
        </w:tc>
      </w:tr>
      <w:tr w:rsidR="00761071" w:rsidRPr="00761071" w14:paraId="36ED598E" w14:textId="77777777" w:rsidTr="00F737C7">
        <w:trPr>
          <w:divId w:val="1775174413"/>
          <w:trHeight w:hRule="exact" w:val="225"/>
        </w:trPr>
        <w:tc>
          <w:tcPr>
            <w:tcW w:w="2257" w:type="pct"/>
            <w:tcBorders>
              <w:top w:val="nil"/>
              <w:left w:val="nil"/>
              <w:bottom w:val="nil"/>
              <w:right w:val="nil"/>
            </w:tcBorders>
            <w:shd w:val="clear" w:color="auto" w:fill="auto"/>
            <w:vAlign w:val="bottom"/>
            <w:hideMark/>
          </w:tcPr>
          <w:p w14:paraId="27A6A608" w14:textId="77777777" w:rsidR="00761071" w:rsidRPr="00761071"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Gross book value - ROU assets</w:t>
            </w:r>
          </w:p>
        </w:tc>
        <w:tc>
          <w:tcPr>
            <w:tcW w:w="659" w:type="pct"/>
            <w:tcBorders>
              <w:top w:val="nil"/>
              <w:left w:val="nil"/>
              <w:bottom w:val="nil"/>
              <w:right w:val="nil"/>
            </w:tcBorders>
            <w:shd w:val="clear" w:color="auto" w:fill="auto"/>
            <w:noWrap/>
            <w:vAlign w:val="center"/>
            <w:hideMark/>
          </w:tcPr>
          <w:p w14:paraId="3F3C50C8"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560 </w:t>
            </w:r>
          </w:p>
        </w:tc>
        <w:tc>
          <w:tcPr>
            <w:tcW w:w="706" w:type="pct"/>
            <w:tcBorders>
              <w:top w:val="nil"/>
              <w:left w:val="nil"/>
              <w:bottom w:val="nil"/>
              <w:right w:val="nil"/>
            </w:tcBorders>
            <w:shd w:val="clear" w:color="auto" w:fill="auto"/>
            <w:noWrap/>
            <w:vAlign w:val="center"/>
            <w:hideMark/>
          </w:tcPr>
          <w:p w14:paraId="07F3D443"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19" w:type="pct"/>
            <w:tcBorders>
              <w:top w:val="nil"/>
              <w:left w:val="nil"/>
              <w:bottom w:val="nil"/>
              <w:right w:val="nil"/>
            </w:tcBorders>
            <w:shd w:val="clear" w:color="auto" w:fill="auto"/>
            <w:noWrap/>
            <w:vAlign w:val="center"/>
            <w:hideMark/>
          </w:tcPr>
          <w:p w14:paraId="3022CC62" w14:textId="77777777" w:rsidR="00761071" w:rsidRPr="00761071" w:rsidRDefault="00761071" w:rsidP="00761071">
            <w:pPr>
              <w:spacing w:after="0" w:line="240" w:lineRule="auto"/>
              <w:jc w:val="left"/>
              <w:rPr>
                <w:rFonts w:ascii="Arial" w:hAnsi="Arial" w:cs="Arial"/>
                <w:sz w:val="16"/>
                <w:szCs w:val="16"/>
              </w:rPr>
            </w:pPr>
            <w:r w:rsidRPr="00761071">
              <w:rPr>
                <w:rFonts w:ascii="Arial" w:hAnsi="Arial" w:cs="Arial"/>
                <w:sz w:val="16"/>
                <w:szCs w:val="16"/>
              </w:rPr>
              <w:t>`</w:t>
            </w:r>
          </w:p>
        </w:tc>
        <w:tc>
          <w:tcPr>
            <w:tcW w:w="659" w:type="pct"/>
            <w:tcBorders>
              <w:top w:val="nil"/>
              <w:left w:val="nil"/>
              <w:bottom w:val="nil"/>
              <w:right w:val="nil"/>
            </w:tcBorders>
            <w:shd w:val="clear" w:color="auto" w:fill="auto"/>
            <w:noWrap/>
            <w:vAlign w:val="center"/>
            <w:hideMark/>
          </w:tcPr>
          <w:p w14:paraId="42078E5D"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560 </w:t>
            </w:r>
          </w:p>
        </w:tc>
      </w:tr>
      <w:tr w:rsidR="00761071" w:rsidRPr="00761071" w14:paraId="2342925D" w14:textId="77777777" w:rsidTr="00F737C7">
        <w:trPr>
          <w:divId w:val="1775174413"/>
          <w:trHeight w:hRule="exact" w:val="450"/>
        </w:trPr>
        <w:tc>
          <w:tcPr>
            <w:tcW w:w="2257" w:type="pct"/>
            <w:tcBorders>
              <w:top w:val="nil"/>
              <w:left w:val="nil"/>
              <w:bottom w:val="nil"/>
              <w:right w:val="nil"/>
            </w:tcBorders>
            <w:shd w:val="clear" w:color="auto" w:fill="auto"/>
            <w:vAlign w:val="bottom"/>
            <w:hideMark/>
          </w:tcPr>
          <w:p w14:paraId="4A917946" w14:textId="3C0239DC" w:rsidR="00761071" w:rsidRPr="00761071" w:rsidRDefault="00761071" w:rsidP="00F737C7">
            <w:pPr>
              <w:spacing w:after="0" w:line="240" w:lineRule="auto"/>
              <w:ind w:left="170"/>
              <w:jc w:val="left"/>
              <w:rPr>
                <w:rFonts w:ascii="Arial" w:hAnsi="Arial" w:cs="Arial"/>
                <w:sz w:val="16"/>
                <w:szCs w:val="16"/>
              </w:rPr>
            </w:pPr>
            <w:r w:rsidRPr="00761071">
              <w:rPr>
                <w:rFonts w:ascii="Arial" w:hAnsi="Arial" w:cs="Arial"/>
                <w:sz w:val="16"/>
                <w:szCs w:val="16"/>
              </w:rPr>
              <w:t>Accumulated depreciation/</w:t>
            </w:r>
            <w:r w:rsidRPr="00761071">
              <w:rPr>
                <w:rFonts w:ascii="Arial" w:hAnsi="Arial" w:cs="Arial"/>
                <w:sz w:val="16"/>
                <w:szCs w:val="16"/>
              </w:rPr>
              <w:br/>
            </w:r>
            <w:r w:rsidR="00DD0170">
              <w:rPr>
                <w:rFonts w:ascii="Arial" w:hAnsi="Arial" w:cs="Arial"/>
                <w:sz w:val="16"/>
                <w:szCs w:val="16"/>
              </w:rPr>
              <w:t xml:space="preserve">  </w:t>
            </w:r>
            <w:r w:rsidRPr="00761071">
              <w:rPr>
                <w:rFonts w:ascii="Arial" w:hAnsi="Arial" w:cs="Arial"/>
                <w:sz w:val="16"/>
                <w:szCs w:val="16"/>
              </w:rPr>
              <w:t>amortisation and impairment</w:t>
            </w:r>
          </w:p>
        </w:tc>
        <w:tc>
          <w:tcPr>
            <w:tcW w:w="659" w:type="pct"/>
            <w:tcBorders>
              <w:top w:val="nil"/>
              <w:left w:val="nil"/>
              <w:bottom w:val="nil"/>
              <w:right w:val="nil"/>
            </w:tcBorders>
            <w:shd w:val="clear" w:color="auto" w:fill="auto"/>
            <w:noWrap/>
            <w:vAlign w:val="bottom"/>
            <w:hideMark/>
          </w:tcPr>
          <w:p w14:paraId="49E6405B"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06" w:type="pct"/>
            <w:tcBorders>
              <w:top w:val="nil"/>
              <w:left w:val="nil"/>
              <w:bottom w:val="nil"/>
              <w:right w:val="nil"/>
            </w:tcBorders>
            <w:shd w:val="clear" w:color="auto" w:fill="auto"/>
            <w:noWrap/>
            <w:vAlign w:val="bottom"/>
            <w:hideMark/>
          </w:tcPr>
          <w:p w14:paraId="213FB94E"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(106)</w:t>
            </w:r>
          </w:p>
        </w:tc>
        <w:tc>
          <w:tcPr>
            <w:tcW w:w="719" w:type="pct"/>
            <w:tcBorders>
              <w:top w:val="nil"/>
              <w:left w:val="nil"/>
              <w:bottom w:val="nil"/>
              <w:right w:val="nil"/>
            </w:tcBorders>
            <w:shd w:val="clear" w:color="auto" w:fill="auto"/>
            <w:noWrap/>
            <w:vAlign w:val="bottom"/>
            <w:hideMark/>
          </w:tcPr>
          <w:p w14:paraId="24B49B70"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(10)</w:t>
            </w:r>
          </w:p>
        </w:tc>
        <w:tc>
          <w:tcPr>
            <w:tcW w:w="659" w:type="pct"/>
            <w:tcBorders>
              <w:top w:val="nil"/>
              <w:left w:val="nil"/>
              <w:bottom w:val="nil"/>
              <w:right w:val="nil"/>
            </w:tcBorders>
            <w:shd w:val="clear" w:color="auto" w:fill="auto"/>
            <w:noWrap/>
            <w:vAlign w:val="bottom"/>
            <w:hideMark/>
          </w:tcPr>
          <w:p w14:paraId="3FBBD0B5"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(116)</w:t>
            </w:r>
          </w:p>
        </w:tc>
      </w:tr>
      <w:tr w:rsidR="00761071" w:rsidRPr="00761071" w14:paraId="0991CA3D" w14:textId="77777777" w:rsidTr="00F737C7">
        <w:trPr>
          <w:divId w:val="1775174413"/>
          <w:trHeight w:hRule="exact" w:val="435"/>
        </w:trPr>
        <w:tc>
          <w:tcPr>
            <w:tcW w:w="2257" w:type="pct"/>
            <w:tcBorders>
              <w:top w:val="nil"/>
              <w:left w:val="nil"/>
              <w:bottom w:val="nil"/>
              <w:right w:val="nil"/>
            </w:tcBorders>
            <w:shd w:val="clear" w:color="auto" w:fill="auto"/>
            <w:vAlign w:val="bottom"/>
            <w:hideMark/>
          </w:tcPr>
          <w:p w14:paraId="6F0FED84" w14:textId="77777777" w:rsidR="00DD0170" w:rsidRDefault="002B646A" w:rsidP="00F737C7">
            <w:pPr>
              <w:spacing w:after="0" w:line="240" w:lineRule="auto"/>
              <w:ind w:left="170"/>
              <w:jc w:val="left"/>
              <w:rPr>
                <w:rFonts w:ascii="Arial" w:hAnsi="Arial" w:cs="Arial"/>
                <w:sz w:val="16"/>
                <w:szCs w:val="16"/>
              </w:rPr>
            </w:pPr>
            <w:r w:rsidRPr="00761071">
              <w:rPr>
                <w:rFonts w:ascii="Arial" w:hAnsi="Arial" w:cs="Arial"/>
                <w:sz w:val="16"/>
                <w:szCs w:val="16"/>
              </w:rPr>
              <w:t>Accumulate</w:t>
            </w:r>
            <w:r>
              <w:rPr>
                <w:rFonts w:ascii="Arial" w:hAnsi="Arial" w:cs="Arial"/>
                <w:sz w:val="16"/>
                <w:szCs w:val="16"/>
              </w:rPr>
              <w:t xml:space="preserve">d depreciation/amortisation </w:t>
            </w:r>
          </w:p>
          <w:p w14:paraId="4BF5AEC2" w14:textId="734500EB" w:rsidR="00761071" w:rsidRPr="00761071" w:rsidRDefault="00DD0170" w:rsidP="00F737C7">
            <w:pPr>
              <w:spacing w:after="0" w:line="240" w:lineRule="auto"/>
              <w:ind w:left="170"/>
              <w:jc w:val="left"/>
              <w:rPr>
                <w:rFonts w:ascii="Arial" w:hAnsi="Arial" w:cs="Arial"/>
                <w:sz w:val="16"/>
                <w:szCs w:val="16"/>
              </w:rPr>
            </w:pPr>
            <w:r>
              <w:rPr>
                <w:rFonts w:ascii="Arial" w:hAnsi="Arial" w:cs="Arial"/>
                <w:sz w:val="16"/>
                <w:szCs w:val="16"/>
              </w:rPr>
              <w:t xml:space="preserve">  </w:t>
            </w:r>
            <w:r w:rsidR="002B646A">
              <w:rPr>
                <w:rFonts w:ascii="Arial" w:hAnsi="Arial" w:cs="Arial"/>
                <w:sz w:val="16"/>
                <w:szCs w:val="16"/>
              </w:rPr>
              <w:t>and</w:t>
            </w:r>
            <w:r>
              <w:rPr>
                <w:rFonts w:ascii="Arial" w:hAnsi="Arial" w:cs="Arial"/>
                <w:sz w:val="16"/>
                <w:szCs w:val="16"/>
              </w:rPr>
              <w:t xml:space="preserve"> </w:t>
            </w:r>
            <w:r w:rsidR="002B646A" w:rsidRPr="00761071">
              <w:rPr>
                <w:rFonts w:ascii="Arial" w:hAnsi="Arial" w:cs="Arial"/>
                <w:sz w:val="16"/>
                <w:szCs w:val="16"/>
              </w:rPr>
              <w:t>impairment - ROU assets</w:t>
            </w:r>
          </w:p>
        </w:tc>
        <w:tc>
          <w:tcPr>
            <w:tcW w:w="659" w:type="pct"/>
            <w:tcBorders>
              <w:top w:val="nil"/>
              <w:left w:val="nil"/>
              <w:bottom w:val="nil"/>
              <w:right w:val="nil"/>
            </w:tcBorders>
            <w:shd w:val="clear" w:color="auto" w:fill="auto"/>
            <w:noWrap/>
            <w:vAlign w:val="bottom"/>
            <w:hideMark/>
          </w:tcPr>
          <w:p w14:paraId="2B3E326D"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(409)</w:t>
            </w:r>
          </w:p>
        </w:tc>
        <w:tc>
          <w:tcPr>
            <w:tcW w:w="706" w:type="pct"/>
            <w:tcBorders>
              <w:top w:val="nil"/>
              <w:left w:val="nil"/>
              <w:bottom w:val="nil"/>
              <w:right w:val="nil"/>
            </w:tcBorders>
            <w:shd w:val="clear" w:color="auto" w:fill="auto"/>
            <w:noWrap/>
            <w:vAlign w:val="bottom"/>
            <w:hideMark/>
          </w:tcPr>
          <w:p w14:paraId="0C21534C"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719" w:type="pct"/>
            <w:tcBorders>
              <w:top w:val="nil"/>
              <w:left w:val="nil"/>
              <w:bottom w:val="nil"/>
              <w:right w:val="nil"/>
            </w:tcBorders>
            <w:shd w:val="clear" w:color="auto" w:fill="auto"/>
            <w:noWrap/>
            <w:vAlign w:val="bottom"/>
            <w:hideMark/>
          </w:tcPr>
          <w:p w14:paraId="758539F6"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 xml:space="preserve">- </w:t>
            </w:r>
          </w:p>
        </w:tc>
        <w:tc>
          <w:tcPr>
            <w:tcW w:w="659" w:type="pct"/>
            <w:tcBorders>
              <w:top w:val="nil"/>
              <w:left w:val="nil"/>
              <w:bottom w:val="nil"/>
              <w:right w:val="nil"/>
            </w:tcBorders>
            <w:shd w:val="clear" w:color="auto" w:fill="auto"/>
            <w:noWrap/>
            <w:vAlign w:val="bottom"/>
            <w:hideMark/>
          </w:tcPr>
          <w:p w14:paraId="130D8AC8" w14:textId="77777777" w:rsidR="00761071" w:rsidRPr="00761071" w:rsidRDefault="00761071" w:rsidP="00761071">
            <w:pPr>
              <w:spacing w:after="0" w:line="240" w:lineRule="auto"/>
              <w:jc w:val="right"/>
              <w:rPr>
                <w:rFonts w:ascii="Arial" w:hAnsi="Arial" w:cs="Arial"/>
                <w:sz w:val="16"/>
                <w:szCs w:val="16"/>
              </w:rPr>
            </w:pPr>
            <w:r w:rsidRPr="00761071">
              <w:rPr>
                <w:rFonts w:ascii="Arial" w:hAnsi="Arial" w:cs="Arial"/>
                <w:sz w:val="16"/>
                <w:szCs w:val="16"/>
              </w:rPr>
              <w:t>(409)</w:t>
            </w:r>
          </w:p>
        </w:tc>
      </w:tr>
      <w:tr w:rsidR="00761071" w:rsidRPr="00761071" w14:paraId="41FEC189" w14:textId="77777777" w:rsidTr="00F737C7">
        <w:trPr>
          <w:divId w:val="1775174413"/>
          <w:trHeight w:hRule="exact" w:val="225"/>
        </w:trPr>
        <w:tc>
          <w:tcPr>
            <w:tcW w:w="2257" w:type="pct"/>
            <w:tcBorders>
              <w:top w:val="nil"/>
              <w:left w:val="nil"/>
              <w:bottom w:val="single" w:sz="4" w:space="0" w:color="auto"/>
              <w:right w:val="nil"/>
            </w:tcBorders>
            <w:shd w:val="clear" w:color="auto" w:fill="auto"/>
            <w:noWrap/>
            <w:vAlign w:val="bottom"/>
            <w:hideMark/>
          </w:tcPr>
          <w:p w14:paraId="390846C0" w14:textId="77777777" w:rsidR="00761071" w:rsidRPr="00761071" w:rsidRDefault="00761071" w:rsidP="00F737C7">
            <w:pPr>
              <w:spacing w:after="0" w:line="240" w:lineRule="auto"/>
              <w:jc w:val="left"/>
              <w:rPr>
                <w:rFonts w:ascii="Arial" w:hAnsi="Arial" w:cs="Arial"/>
                <w:b/>
                <w:bCs/>
                <w:sz w:val="16"/>
                <w:szCs w:val="16"/>
              </w:rPr>
            </w:pPr>
            <w:r w:rsidRPr="00761071">
              <w:rPr>
                <w:rFonts w:ascii="Arial" w:hAnsi="Arial" w:cs="Arial"/>
                <w:b/>
                <w:bCs/>
                <w:sz w:val="16"/>
                <w:szCs w:val="16"/>
              </w:rPr>
              <w:t>Closing net book balance</w:t>
            </w:r>
          </w:p>
        </w:tc>
        <w:tc>
          <w:tcPr>
            <w:tcW w:w="659" w:type="pct"/>
            <w:tcBorders>
              <w:top w:val="single" w:sz="4" w:space="0" w:color="auto"/>
              <w:left w:val="nil"/>
              <w:bottom w:val="single" w:sz="4" w:space="0" w:color="auto"/>
              <w:right w:val="nil"/>
            </w:tcBorders>
            <w:shd w:val="clear" w:color="auto" w:fill="auto"/>
            <w:noWrap/>
            <w:vAlign w:val="center"/>
            <w:hideMark/>
          </w:tcPr>
          <w:p w14:paraId="0D8EFD42"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151 </w:t>
            </w:r>
          </w:p>
        </w:tc>
        <w:tc>
          <w:tcPr>
            <w:tcW w:w="706" w:type="pct"/>
            <w:tcBorders>
              <w:top w:val="single" w:sz="4" w:space="0" w:color="auto"/>
              <w:left w:val="nil"/>
              <w:bottom w:val="single" w:sz="4" w:space="0" w:color="auto"/>
              <w:right w:val="nil"/>
            </w:tcBorders>
            <w:shd w:val="clear" w:color="auto" w:fill="auto"/>
            <w:noWrap/>
            <w:vAlign w:val="center"/>
            <w:hideMark/>
          </w:tcPr>
          <w:p w14:paraId="419687B8"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153 </w:t>
            </w:r>
          </w:p>
        </w:tc>
        <w:tc>
          <w:tcPr>
            <w:tcW w:w="719" w:type="pct"/>
            <w:tcBorders>
              <w:top w:val="single" w:sz="4" w:space="0" w:color="auto"/>
              <w:left w:val="nil"/>
              <w:bottom w:val="single" w:sz="4" w:space="0" w:color="auto"/>
              <w:right w:val="nil"/>
            </w:tcBorders>
            <w:shd w:val="clear" w:color="auto" w:fill="auto"/>
            <w:noWrap/>
            <w:vAlign w:val="center"/>
            <w:hideMark/>
          </w:tcPr>
          <w:p w14:paraId="46E18745"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 </w:t>
            </w:r>
          </w:p>
        </w:tc>
        <w:tc>
          <w:tcPr>
            <w:tcW w:w="659" w:type="pct"/>
            <w:tcBorders>
              <w:top w:val="single" w:sz="4" w:space="0" w:color="auto"/>
              <w:left w:val="nil"/>
              <w:bottom w:val="single" w:sz="4" w:space="0" w:color="auto"/>
              <w:right w:val="nil"/>
            </w:tcBorders>
            <w:shd w:val="clear" w:color="auto" w:fill="auto"/>
            <w:noWrap/>
            <w:vAlign w:val="center"/>
            <w:hideMark/>
          </w:tcPr>
          <w:p w14:paraId="550F2B58" w14:textId="77777777" w:rsidR="00761071" w:rsidRPr="00761071" w:rsidRDefault="00761071" w:rsidP="00761071">
            <w:pPr>
              <w:spacing w:after="0" w:line="240" w:lineRule="auto"/>
              <w:jc w:val="right"/>
              <w:rPr>
                <w:rFonts w:ascii="Arial" w:hAnsi="Arial" w:cs="Arial"/>
                <w:b/>
                <w:bCs/>
                <w:sz w:val="16"/>
                <w:szCs w:val="16"/>
              </w:rPr>
            </w:pPr>
            <w:r w:rsidRPr="00761071">
              <w:rPr>
                <w:rFonts w:ascii="Arial" w:hAnsi="Arial" w:cs="Arial"/>
                <w:b/>
                <w:bCs/>
                <w:sz w:val="16"/>
                <w:szCs w:val="16"/>
              </w:rPr>
              <w:t xml:space="preserve">304 </w:t>
            </w:r>
          </w:p>
        </w:tc>
      </w:tr>
    </w:tbl>
    <w:p w14:paraId="1B82E8E7" w14:textId="368CA001" w:rsidR="005C348A" w:rsidRPr="002B646A" w:rsidRDefault="002B646A" w:rsidP="003B0AFB">
      <w:pPr>
        <w:pStyle w:val="TableHeading"/>
        <w:spacing w:before="40" w:after="0"/>
        <w:rPr>
          <w:rFonts w:cs="Arial"/>
          <w:b w:val="0"/>
          <w:sz w:val="16"/>
          <w:szCs w:val="16"/>
        </w:rPr>
      </w:pPr>
      <w:r w:rsidRPr="002B646A">
        <w:rPr>
          <w:b w:val="0"/>
          <w:sz w:val="16"/>
          <w:szCs w:val="16"/>
          <w:lang w:val="en-AU"/>
        </w:rPr>
        <w:t>P</w:t>
      </w:r>
      <w:r>
        <w:rPr>
          <w:b w:val="0"/>
          <w:sz w:val="16"/>
          <w:szCs w:val="16"/>
          <w:lang w:val="en-AU"/>
        </w:rPr>
        <w:t>repared</w:t>
      </w:r>
      <w:r w:rsidR="008E2B30" w:rsidRPr="002B646A">
        <w:rPr>
          <w:rFonts w:cs="Arial"/>
          <w:b w:val="0"/>
          <w:sz w:val="16"/>
          <w:szCs w:val="16"/>
        </w:rPr>
        <w:t xml:space="preserve"> on Australian Accounting Standards basis.</w:t>
      </w:r>
    </w:p>
    <w:p w14:paraId="0A418A9B" w14:textId="1AB07159" w:rsidR="00DD3DEA" w:rsidRDefault="00F10305" w:rsidP="00910CE8">
      <w:pPr>
        <w:pStyle w:val="ChartandTableFootnoteAlpha"/>
        <w:numPr>
          <w:ilvl w:val="0"/>
          <w:numId w:val="9"/>
        </w:numPr>
        <w:rPr>
          <w:rFonts w:cs="Arial"/>
          <w:szCs w:val="16"/>
        </w:rPr>
      </w:pPr>
      <w:r w:rsidRPr="00132F9E">
        <w:rPr>
          <w:rFonts w:cs="Arial"/>
          <w:szCs w:val="16"/>
        </w:rPr>
        <w:t>‘Appropriation equity’</w:t>
      </w:r>
      <w:r w:rsidR="00F20FF5" w:rsidRPr="00132F9E">
        <w:rPr>
          <w:rFonts w:cs="Arial"/>
          <w:szCs w:val="16"/>
        </w:rPr>
        <w:t xml:space="preserve"> refers to equity injections appropriations provided through Appropriation </w:t>
      </w:r>
    </w:p>
    <w:p w14:paraId="7D5422CE" w14:textId="6E95F76A" w:rsidR="00F20FF5" w:rsidRPr="00132F9E" w:rsidRDefault="00F20FF5" w:rsidP="00DD3DEA">
      <w:pPr>
        <w:pStyle w:val="ChartandTableFootnoteAlpha"/>
        <w:numPr>
          <w:ilvl w:val="0"/>
          <w:numId w:val="0"/>
        </w:numPr>
        <w:ind w:left="284"/>
        <w:rPr>
          <w:rFonts w:cs="Arial"/>
          <w:szCs w:val="16"/>
        </w:rPr>
      </w:pPr>
      <w:r w:rsidRPr="00132F9E">
        <w:rPr>
          <w:rFonts w:cs="Arial"/>
          <w:szCs w:val="16"/>
        </w:rPr>
        <w:t xml:space="preserve">Bill (No. 2) </w:t>
      </w:r>
      <w:r w:rsidR="001B2010">
        <w:rPr>
          <w:rFonts w:cs="Arial"/>
          <w:szCs w:val="16"/>
        </w:rPr>
        <w:t>2020-21</w:t>
      </w:r>
      <w:r w:rsidRPr="00132F9E">
        <w:rPr>
          <w:rFonts w:cs="Arial"/>
          <w:szCs w:val="16"/>
        </w:rPr>
        <w:t>, including CDABs.</w:t>
      </w:r>
    </w:p>
    <w:p w14:paraId="54AEEB93" w14:textId="77777777" w:rsidR="00286519" w:rsidRDefault="00286519" w:rsidP="000637D1">
      <w:pPr>
        <w:pStyle w:val="Source"/>
        <w:sectPr w:rsidR="00286519" w:rsidSect="0050346A">
          <w:headerReference w:type="first" r:id="rId22"/>
          <w:type w:val="oddPage"/>
          <w:pgSz w:w="11906" w:h="16838" w:code="9"/>
          <w:pgMar w:top="2466" w:right="2098" w:bottom="2466" w:left="2098" w:header="1899" w:footer="1899" w:gutter="0"/>
          <w:cols w:space="708"/>
          <w:titlePg/>
          <w:docGrid w:linePitch="360"/>
        </w:sectPr>
      </w:pPr>
    </w:p>
    <w:p w14:paraId="4D70034D" w14:textId="1DFED7F1" w:rsidR="000637D1" w:rsidRPr="002E5D24" w:rsidRDefault="000637D1" w:rsidP="000637D1">
      <w:pPr>
        <w:pStyle w:val="Source"/>
      </w:pPr>
    </w:p>
    <w:sectPr w:rsidR="000637D1" w:rsidRPr="002E5D24" w:rsidSect="0050346A">
      <w:headerReference w:type="first" r:id="rId23"/>
      <w:footerReference w:type="first" r:id="rId24"/>
      <w:type w:val="oddPage"/>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F6B59" w14:textId="77777777" w:rsidR="001722E4" w:rsidRDefault="001722E4" w:rsidP="00C07DEC">
      <w:r>
        <w:separator/>
      </w:r>
    </w:p>
  </w:endnote>
  <w:endnote w:type="continuationSeparator" w:id="0">
    <w:p w14:paraId="60843F0E" w14:textId="77777777" w:rsidR="001722E4" w:rsidRDefault="001722E4" w:rsidP="00C07DEC">
      <w:r>
        <w:continuationSeparator/>
      </w:r>
    </w:p>
  </w:endnote>
  <w:endnote w:type="continuationNotice" w:id="1">
    <w:p w14:paraId="161E9187" w14:textId="77777777" w:rsidR="001722E4" w:rsidRDefault="001722E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08097"/>
      <w:docPartObj>
        <w:docPartGallery w:val="Page Numbers (Bottom of Page)"/>
        <w:docPartUnique/>
      </w:docPartObj>
    </w:sdtPr>
    <w:sdtEndPr>
      <w:rPr>
        <w:noProof/>
      </w:rPr>
    </w:sdtEndPr>
    <w:sdtContent>
      <w:p w14:paraId="767FEFAC" w14:textId="7E56A317" w:rsidR="001722E4" w:rsidRDefault="001722E4">
        <w:pPr>
          <w:pStyle w:val="Footer"/>
        </w:pPr>
        <w:r>
          <w:fldChar w:fldCharType="begin"/>
        </w:r>
        <w:r>
          <w:instrText xml:space="preserve"> PAGE   \* MERGEFORMAT </w:instrText>
        </w:r>
        <w:r>
          <w:fldChar w:fldCharType="separate"/>
        </w:r>
        <w:r w:rsidR="00C82838">
          <w:rPr>
            <w:noProof/>
          </w:rPr>
          <w:t>334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6567715"/>
      <w:docPartObj>
        <w:docPartGallery w:val="Page Numbers (Bottom of Page)"/>
        <w:docPartUnique/>
      </w:docPartObj>
    </w:sdtPr>
    <w:sdtEndPr>
      <w:rPr>
        <w:noProof/>
      </w:rPr>
    </w:sdtEndPr>
    <w:sdtContent>
      <w:p w14:paraId="37FCF22E" w14:textId="279836EF" w:rsidR="001722E4" w:rsidRDefault="001722E4">
        <w:pPr>
          <w:pStyle w:val="Footer"/>
        </w:pPr>
        <w:r>
          <w:fldChar w:fldCharType="begin"/>
        </w:r>
        <w:r>
          <w:instrText xml:space="preserve"> PAGE   \* MERGEFORMAT </w:instrText>
        </w:r>
        <w:r>
          <w:fldChar w:fldCharType="separate"/>
        </w:r>
        <w:r w:rsidR="00C82838">
          <w:rPr>
            <w:noProof/>
          </w:rPr>
          <w:t>335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961255"/>
      <w:docPartObj>
        <w:docPartGallery w:val="Page Numbers (Bottom of Page)"/>
        <w:docPartUnique/>
      </w:docPartObj>
    </w:sdtPr>
    <w:sdtEndPr>
      <w:rPr>
        <w:noProof/>
      </w:rPr>
    </w:sdtEndPr>
    <w:sdtContent>
      <w:p w14:paraId="335CB9D4" w14:textId="57F97FEA" w:rsidR="001722E4" w:rsidRDefault="001722E4">
        <w:pPr>
          <w:pStyle w:val="Footer"/>
        </w:pPr>
        <w:r>
          <w:fldChar w:fldCharType="begin"/>
        </w:r>
        <w:r>
          <w:instrText xml:space="preserve"> PAGE   \* MERGEFORMAT </w:instrText>
        </w:r>
        <w:r>
          <w:fldChar w:fldCharType="separate"/>
        </w:r>
        <w:r w:rsidR="00C82838">
          <w:rPr>
            <w:noProof/>
          </w:rPr>
          <w:t>317</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1D2A3" w14:textId="359EE997" w:rsidR="001722E4" w:rsidRDefault="001722E4" w:rsidP="001808A4">
    <w:pPr>
      <w:pStyle w:val="Footer"/>
      <w:rPr>
        <w:noProof/>
      </w:rPr>
    </w:pPr>
    <w:r>
      <w:fldChar w:fldCharType="begin"/>
    </w:r>
    <w:r>
      <w:instrText xml:space="preserve"> PAGE   \* MERGEFORMAT </w:instrText>
    </w:r>
    <w:r>
      <w:fldChar w:fldCharType="separate"/>
    </w:r>
    <w:r w:rsidR="00C82838">
      <w:rPr>
        <w:noProof/>
      </w:rPr>
      <w:t>323</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07F927" w14:textId="5D3C9AA7" w:rsidR="00286519" w:rsidRDefault="00286519" w:rsidP="001808A4">
    <w:pPr>
      <w:pStyle w:val="Footer"/>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214BC8" w14:textId="77777777" w:rsidR="001722E4" w:rsidRDefault="001722E4" w:rsidP="00C07DEC">
      <w:r>
        <w:separator/>
      </w:r>
    </w:p>
  </w:footnote>
  <w:footnote w:type="continuationSeparator" w:id="0">
    <w:p w14:paraId="3B59FB6E" w14:textId="77777777" w:rsidR="001722E4" w:rsidRDefault="001722E4" w:rsidP="00C07DEC">
      <w:r>
        <w:continuationSeparator/>
      </w:r>
    </w:p>
  </w:footnote>
  <w:footnote w:type="continuationNotice" w:id="1">
    <w:p w14:paraId="19BA5CED" w14:textId="77777777" w:rsidR="001722E4" w:rsidRDefault="001722E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FC4E8" w14:textId="4954B354" w:rsidR="0023409E" w:rsidRPr="0023409E" w:rsidRDefault="0023409E">
    <w:pPr>
      <w:pStyle w:val="Header"/>
      <w:rPr>
        <w:lang w:val="en-AU"/>
      </w:rPr>
    </w:pPr>
    <w:r>
      <w:rPr>
        <w:lang w:val="en-AU"/>
      </w:rPr>
      <w:t>Office of the Australian Accounting Standards Board Budget Statements</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5DE34" w14:textId="327C43F5" w:rsidR="0023409E" w:rsidRPr="00F00984" w:rsidRDefault="0023409E" w:rsidP="0023409E">
    <w:pPr>
      <w:pStyle w:val="HeaderEven"/>
      <w:jc w:val="right"/>
    </w:pPr>
    <w:r>
      <w:rPr>
        <w:noProof/>
      </w:rPr>
      <mc:AlternateContent>
        <mc:Choice Requires="wps">
          <w:drawing>
            <wp:anchor distT="0" distB="0" distL="0" distR="0" simplePos="0" relativeHeight="251660294" behindDoc="0" locked="1" layoutInCell="0" allowOverlap="1" wp14:anchorId="44DA14DB" wp14:editId="7D5EF697">
              <wp:simplePos x="0" y="0"/>
              <wp:positionH relativeFrom="margin">
                <wp:align>center</wp:align>
              </wp:positionH>
              <wp:positionV relativeFrom="page">
                <wp:posOffset>512445</wp:posOffset>
              </wp:positionV>
              <wp:extent cx="4910455" cy="615315"/>
              <wp:effectExtent l="0" t="0" r="4445" b="0"/>
              <wp:wrapSquare wrapText="bothSides"/>
              <wp:docPr id="4"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D3837" w14:textId="77777777" w:rsidR="0023409E" w:rsidRDefault="0023409E" w:rsidP="0023409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DA14DB" id="_x0000_t202" coordsize="21600,21600" o:spt="202" path="m,l,21600r21600,l21600,xe">
              <v:stroke joinstyle="miter"/>
              <v:path gradientshapeok="t" o:connecttype="rect"/>
            </v:shapetype>
            <v:shape id="Text Box 19" o:spid="_x0000_s1026" type="#_x0000_t202" alt="Portrait Classification Header" style="position:absolute;left:0;text-align:left;margin-left:0;margin-top:40.35pt;width:386.65pt;height:48.45pt;z-index:25166029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DB+xwIAANEFAAAOAAAAZHJzL2Uyb0RvYy54bWysVFFvmzAQfp+0/2D5nQIppAGVVC2EbVK3&#10;VWr3AxwwwZqxme2EdNP++84mpGmrSdM2HqzD9n13393nu7zadxztqNJMigyHZwFGVFSyZmKT4S8P&#10;pbfASBsiasKloBl+pBpfLd++uRz6lM5kK3lNFQIQodOhz3BrTJ/6vq5a2hF9Jnsq4LCRqiMGftXG&#10;rxUZAL3j/iwI5v4gVd0rWVGtYbcYD/HS4TcNrcznptHUIJ5hyM24Vbl1bVd/eUnSjSJ9y6pDGuQv&#10;sugIExD0CFUQQ9BWsVdQHauU1LIxZ5XsfNk0rKKOA7AJgxds7lvSU8cFiqP7Y5n0/4OtPu3uFGJ1&#10;hiOMBOmgRQ90b9CN3KMwwaimuoJy3UllFGEG5ZxAoSFrYqDj6D0l0D9bxaHXKYDd9wBn9uAOanAV&#10;0f2trL5qJGTeErGh10rJoQU/YBFaT//EdcTRFmQ9fJQ1pEO2RjqgfaM6W2IoGgJ06ObjsYM25Qo2&#10;oyQMojjGqIKzeRifh7ELQdLJu1favKOyQ9bIsAKFOHSyu9XGZkPS6YoNJmTJOHcq4eLZBlwcdyA2&#10;uNozm4Vr+o8kSFaL1SLyotl85UVBUXjXZR558zK8iIvzIs+L8KeNG0Zpy+qaChtmEmAY/VmDD09h&#10;lM5RglpyVls4m5JWm3XOFdoReACl+w4FObnmP0/DFQG4vKAUzqLgZpZ45Xxx4UVlFHvJRbDwgjC5&#10;SeZBlERF+ZzSLRP03ymhIcNJPItHMf2WW+C+19xI2jEDI4azLsOL4yWSWgmuRO1aawjjo31SCpv+&#10;Uymg3VOjnWCtRke1mv16DyhWxWtZP4J0lQRlgT5hLoLRSvUdowFmTIb1ty1RFCP+QYD87UCaDDUZ&#10;68kgogLXDBuMRjM34+Da9optWkAeH5iQ1/BEGubU+5TF4WHB3HAkDjPODqbTf3fraRIvfwEAAP//&#10;AwBQSwMEFAAGAAgAAAAhAI9b/FvdAAAABwEAAA8AAABkcnMvZG93bnJldi54bWxMjzFPwzAUhHck&#10;/oP1kNioDZXiEuJUFYIJCTUNA6MTvyZW4+cQu2349zUTHU93uvuuWM9uYCecgvWk4HEhgCG13ljq&#10;FHzV7w8rYCFqMnrwhAp+McC6vL0pdG78mSo87WLHUgmFXCvoYxxzzkPbo9Nh4Uek5O395HRMcuq4&#10;mfQ5lbuBPwmRcactpYVej/jaY3vYHZ2CzTdVb/bns9lW+8rW9bOgj+yg1P3dvHkBFnGO/2H4w0/o&#10;UCamxh/JBDYoSEeigpWQwJIr5XIJrEkxKTPgZcGv+csLAAAA//8DAFBLAQItABQABgAIAAAAIQC2&#10;gziS/gAAAOEBAAATAAAAAAAAAAAAAAAAAAAAAABbQ29udGVudF9UeXBlc10ueG1sUEsBAi0AFAAG&#10;AAgAAAAhADj9If/WAAAAlAEAAAsAAAAAAAAAAAAAAAAALwEAAF9yZWxzLy5yZWxzUEsBAi0AFAAG&#10;AAgAAAAhABWUMH7HAgAA0QUAAA4AAAAAAAAAAAAAAAAALgIAAGRycy9lMm9Eb2MueG1sUEsBAi0A&#10;FAAGAAgAAAAhAI9b/FvdAAAABwEAAA8AAAAAAAAAAAAAAAAAIQUAAGRycy9kb3ducmV2LnhtbFBL&#10;BQYAAAAABAAEAPMAAAArBgAAAAA=&#10;" o:allowincell="f" filled="f" stroked="f">
              <v:textbox inset="0,0,0,0">
                <w:txbxContent>
                  <w:p w14:paraId="306D3837" w14:textId="77777777" w:rsidR="0023409E" w:rsidRDefault="0023409E" w:rsidP="0023409E">
                    <w:pPr>
                      <w:pStyle w:val="Classification"/>
                    </w:pPr>
                  </w:p>
                </w:txbxContent>
              </v:textbox>
              <w10:wrap type="square" anchorx="margin" anchory="page"/>
              <w10:anchorlock/>
            </v:shape>
          </w:pict>
        </mc:Fallback>
      </mc:AlternateContent>
    </w:r>
    <w:r>
      <w:t>Office of the Australian Accounting Standards Board Budget Statements</w:t>
    </w:r>
    <w:r>
      <w:fldChar w:fldCharType="begin"/>
    </w:r>
    <w:r>
      <w:instrText>TITLE   \* MERGEFORMAT</w:instrText>
    </w:r>
    <w:r>
      <w:fldChar w:fldCharType="end"/>
    </w:r>
  </w:p>
  <w:p w14:paraId="51CC8F65" w14:textId="4108ACE4" w:rsidR="001722E4" w:rsidRDefault="001722E4" w:rsidP="00F00984">
    <w:pPr>
      <w:pStyle w:val="HeaderOdd"/>
    </w:pPr>
    <w:r>
      <w:rPr>
        <w:noProof/>
      </w:rPr>
      <mc:AlternateContent>
        <mc:Choice Requires="wps">
          <w:drawing>
            <wp:anchor distT="0" distB="0" distL="0" distR="0" simplePos="0" relativeHeight="251658242" behindDoc="0" locked="1" layoutInCell="0" allowOverlap="1" wp14:anchorId="1AD104C2" wp14:editId="5FB0469D">
              <wp:simplePos x="0" y="0"/>
              <wp:positionH relativeFrom="margin">
                <wp:align>center</wp:align>
              </wp:positionH>
              <wp:positionV relativeFrom="page">
                <wp:posOffset>512445</wp:posOffset>
              </wp:positionV>
              <wp:extent cx="4910455" cy="615315"/>
              <wp:effectExtent l="0" t="0" r="4445" b="0"/>
              <wp:wrapSquare wrapText="bothSides"/>
              <wp:docPr id="28" name="Text Box 20"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AB119" w14:textId="77777777" w:rsidR="001722E4" w:rsidRDefault="001722E4"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104C2" id="Text Box 20" o:spid="_x0000_s1027" type="#_x0000_t202" alt="Portrait Classification Header" style="position:absolute;left:0;text-align:left;margin-left:0;margin-top:40.35pt;width:386.65pt;height:48.45pt;z-index:25165824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SWywIAANkFAAAOAAAAZHJzL2Uyb0RvYy54bWysVG1vmzAQ/j5p/8Hyd8pLIQ2opGohbJO6&#10;rVK7H+CACdbAZrYT6Kb9951NSNNWk6ZtfLAO2/f47rnn7vJq7Fq0p1IxwVPsn3kYUV6KivFtir88&#10;FM4SI6UJr0grOE3xI1X4avX2zeXQJzQQjWgrKhGAcJUMfYobrfvEdVXZ0I6oM9FTDoe1kB3R8Cu3&#10;biXJAOhd6waet3AHIateipIqBbv5dIhXFr+uaak/17WiGrUphti0XaVdN2Z1V5ck2UrSN6w8hEH+&#10;IoqOMA6PHqFyognaSfYKqmOlFErU+qwUnSvqmpXU5gDZ+N6LbO4b0lObC5Cj+iNN6v/Blp/2dxKx&#10;KsUBVIqTDmr0QEeNbsSIAmCsoqoEvu6E1JIwjbKWANMQNtFQcvSeEiigoXHoVQJo9z3g6RHcQQ6W&#10;EtXfivKrQlxkDeFbei2lGBrwgzR84+meuE44yoBsho+ignDITgsLNNayMxwDawjQIbjHYwlNyCVs&#10;hrHvhVGEUQlnCz869yP7BElm714q/Y6KDhkjxRIkYtHJ/lZpEw1J5ivmMS4K1rZWJi1/tgEXpx14&#10;G1zNmYnCVv1H7MXr5XoZOmGwWDuhl+fOdZGFzqLwL6L8PM+y3P9p3vXDpGFVRbl5ZlagH/5ZhQ+9&#10;MGnnqEElWlYZOBOSkttN1kq0J9ABhf0OhJxcc5+HYUmAXF6k5AehdxPETrFYXjhhEUZOfOEtHc+P&#10;b+KFF8ZhXjxP6ZZx+u8poSHFcRREk5h+m5tnv9e5kaRjGmZMy7oUL4+XSGIkuOaVLa0mrJ3sEypM&#10;+E9UQLnnQlvBGo1OatXjZrQtZNVsxLwR1SMoWAoQGMgU5iMYjZDfMRpg1qRYfdsRSTFqP3DoAjOY&#10;ZkPOxmY2CC/BNcUao8nM9DTAdr1k2waQpz7j4ho6pWZWxE9RHPoL5ofN5TDrzIA6/be3niby6hcA&#10;AAD//wMAUEsDBBQABgAIAAAAIQCPW/xb3QAAAAcBAAAPAAAAZHJzL2Rvd25yZXYueG1sTI8xT8Mw&#10;FIR3JP6D9ZDYqA2V4hLiVBWCCQk1DQOjE78mVuPnELtt+Pc1Ex1Pd7r7rljPbmAnnIL1pOBxIYAh&#10;td5Y6hR81e8PK2AhajJ68IQKfjHAury9KXRu/JkqPO1ix1IJhVwr6GMcc85D26PTYeFHpOTt/eR0&#10;THLquJn0OZW7gT8JkXGnLaWFXo/42mN72B2dgs03VW/257PZVvvK1vWzoI/soNT93bx5ARZxjv9h&#10;+MNP6FAmpsYfyQQ2KEhHooKVkMCSK+VyCaxJMSkz4GXBr/nLCwAAAP//AwBQSwECLQAUAAYACAAA&#10;ACEAtoM4kv4AAADhAQAAEwAAAAAAAAAAAAAAAAAAAAAAW0NvbnRlbnRfVHlwZXNdLnhtbFBLAQIt&#10;ABQABgAIAAAAIQA4/SH/1gAAAJQBAAALAAAAAAAAAAAAAAAAAC8BAABfcmVscy8ucmVsc1BLAQIt&#10;ABQABgAIAAAAIQB/6USWywIAANkFAAAOAAAAAAAAAAAAAAAAAC4CAABkcnMvZTJvRG9jLnhtbFBL&#10;AQItABQABgAIAAAAIQCPW/xb3QAAAAcBAAAPAAAAAAAAAAAAAAAAACUFAABkcnMvZG93bnJldi54&#10;bWxQSwUGAAAAAAQABADzAAAALwYAAAAA&#10;" o:allowincell="f" filled="f" stroked="f">
              <v:textbox inset="0,0,0,0">
                <w:txbxContent>
                  <w:p w14:paraId="3C5AB119" w14:textId="77777777" w:rsidR="001722E4" w:rsidRDefault="001722E4" w:rsidP="0049200C">
                    <w:pPr>
                      <w:pStyle w:val="Classification"/>
                    </w:pPr>
                  </w:p>
                </w:txbxContent>
              </v:textbox>
              <w10:wrap type="square" anchorx="margin" anchory="page"/>
              <w10:anchorlock/>
            </v:shape>
          </w:pict>
        </mc:Fallback>
      </mc:AlternateContent>
    </w:r>
    <w:r>
      <w:fldChar w:fldCharType="begin"/>
    </w:r>
    <w:r>
      <w:instrText>TITLE   \* MERGEFORMAT</w:instrTex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0817B" w14:textId="77777777" w:rsidR="001722E4" w:rsidRPr="00B4084B" w:rsidRDefault="001722E4" w:rsidP="0049200C">
    <w:pPr>
      <w:pStyle w:val="HeaderOdd"/>
    </w:pPr>
    <w:r>
      <w:rPr>
        <w:noProof/>
      </w:rPr>
      <mc:AlternateContent>
        <mc:Choice Requires="wps">
          <w:drawing>
            <wp:anchor distT="0" distB="0" distL="0" distR="0" simplePos="0" relativeHeight="251658240" behindDoc="0" locked="1" layoutInCell="0" allowOverlap="1" wp14:anchorId="0891E176" wp14:editId="5F8318F9">
              <wp:simplePos x="0" y="0"/>
              <wp:positionH relativeFrom="margin">
                <wp:align>center</wp:align>
              </wp:positionH>
              <wp:positionV relativeFrom="page">
                <wp:posOffset>512445</wp:posOffset>
              </wp:positionV>
              <wp:extent cx="4910455" cy="615315"/>
              <wp:effectExtent l="0" t="0" r="4445" b="0"/>
              <wp:wrapSquare wrapText="bothSides"/>
              <wp:docPr id="27" name="Text Box 1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C5F39A" w14:textId="77777777" w:rsidR="001722E4" w:rsidRDefault="001722E4" w:rsidP="0049200C">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1E176" id="_x0000_t202" coordsize="21600,21600" o:spt="202" path="m,l,21600r21600,l21600,xe">
              <v:stroke joinstyle="miter"/>
              <v:path gradientshapeok="t" o:connecttype="rect"/>
            </v:shapetype>
            <v:shape id="Text Box 18" o:spid="_x0000_s1028" type="#_x0000_t202" alt="Portrait Classification Header" style="position:absolute;left:0;text-align:left;margin-left:0;margin-top:40.35pt;width:386.65pt;height:48.4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LkwygIAANkFAAAOAAAAZHJzL2Uyb0RvYy54bWysVG1vmzAQ/j5p/8Hyd8pLIQmopGohbJO6&#10;rVK7H+CACdbAZrYT0k377zubkCatJk3b+GAd9t1zb8/d1fW+a9GOSsUET7F/4WFEeSkqxjcp/vJY&#10;OAuMlCa8Iq3gNMVPVOHr5ds3V0Of0EA0oq2oRADCVTL0KW607hPXVWVDO6IuRE85PNZCdkTDr9y4&#10;lSQDoHetG3jezB2ErHopSqoU3ObjI15a/Lqmpf5c14pq1KYYYtP2lPZcm9NdXpFkI0nfsPIQBvmL&#10;KDrCODg9QuVEE7SV7BVUx0oplKj1RSk6V9Q1K6nNAbLxvRfZPDSkpzYXKI7qj2VS/w+2/LS7l4hV&#10;KQ7mGHHSQY8e6V6jW7FHPjSvoqqEet0LqSVhGmUtgUpD2ERDy9F7SqCBpoxDrxJAe+gBT+/BHOhg&#10;S6L6O1F+VYiLrCF8Q2+kFEMDdpCGbyzdE9MRRxmQ9fBRVBAO2Wphgfa17EyNoWoI0KGdT8cWmpBL&#10;uAxj3wujCKMS3mZ+dOlH1gVJJuteKv2Oig4ZIcUSKGLRye5OaRMNSSYV44yLgrWtpUnLzy5AcbwB&#10;32Bq3kwUtus/Yi9eLVaL0AmD2coJvTx3boosdGaFP4/yyzzLcv+n8euHScOqinLjZmKgH/5Zhw+z&#10;MHLnyEElWlYZOBOSkpt11kq0IzABhf0OBTlRc8/DsEWAXF6k5AehdxvETjFbzJ2wCCMnnnsLx/Pj&#10;23jmhXGYF+cp3TFO/z0lNKQ4joJoJNNvc/Ps9zo3knRMw45pWZfixVGJJIaCK17Z1mrC2lE+KYUJ&#10;/7kU0O6p0ZawhqMjW/V+vR9HyHg3ZF6L6gkYLAUQDGgK+xGERsjvGA2wa1Ksvm2JpBi1HzhMgVlM&#10;kyAnYT0JhJdgmmKN0Shmelxg216yTQPI45xxcQOTUjNL4ucoDvMF+8Pmcth1ZkGd/lut5428/A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Du4uTDKAgAA2QUAAA4AAAAAAAAAAAAAAAAALgIAAGRycy9lMm9Eb2MueG1sUEsB&#10;Ai0AFAAGAAgAAAAhAI9b/FvdAAAABwEAAA8AAAAAAAAAAAAAAAAAJAUAAGRycy9kb3ducmV2Lnht&#10;bFBLBQYAAAAABAAEAPMAAAAuBgAAAAA=&#10;" o:allowincell="f" filled="f" stroked="f">
              <v:textbox inset="0,0,0,0">
                <w:txbxContent>
                  <w:p w14:paraId="4EC5F39A" w14:textId="77777777" w:rsidR="001722E4" w:rsidRDefault="001722E4" w:rsidP="0049200C">
                    <w:pPr>
                      <w:pStyle w:val="Classification"/>
                    </w:pPr>
                  </w:p>
                </w:txbxContent>
              </v:textbox>
              <w10:wrap type="square" anchorx="margin" anchory="page"/>
              <w10:anchorlock/>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ED92F" w14:textId="3E258E3F" w:rsidR="0023409E" w:rsidRPr="00F00984" w:rsidRDefault="0023409E" w:rsidP="0023409E">
    <w:pPr>
      <w:pStyle w:val="HeaderEven"/>
      <w:jc w:val="right"/>
    </w:pPr>
    <w:r>
      <w:rPr>
        <w:noProof/>
      </w:rPr>
      <mc:AlternateContent>
        <mc:Choice Requires="wps">
          <w:drawing>
            <wp:anchor distT="0" distB="0" distL="0" distR="0" simplePos="0" relativeHeight="251662342" behindDoc="0" locked="1" layoutInCell="0" allowOverlap="1" wp14:anchorId="747EA023" wp14:editId="38D2442C">
              <wp:simplePos x="0" y="0"/>
              <wp:positionH relativeFrom="margin">
                <wp:align>center</wp:align>
              </wp:positionH>
              <wp:positionV relativeFrom="page">
                <wp:posOffset>512445</wp:posOffset>
              </wp:positionV>
              <wp:extent cx="4910455" cy="615315"/>
              <wp:effectExtent l="0" t="0" r="4445" b="0"/>
              <wp:wrapSquare wrapText="bothSides"/>
              <wp:docPr id="5"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7DE963" w14:textId="77777777" w:rsidR="0023409E" w:rsidRDefault="0023409E" w:rsidP="0023409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7EA023" id="_x0000_t202" coordsize="21600,21600" o:spt="202" path="m,l,21600r21600,l21600,xe">
              <v:stroke joinstyle="miter"/>
              <v:path gradientshapeok="t" o:connecttype="rect"/>
            </v:shapetype>
            <v:shape id="_x0000_s1029" type="#_x0000_t202" alt="Portrait Classification Header" style="position:absolute;left:0;text-align:left;margin-left:0;margin-top:40.35pt;width:386.65pt;height:48.45pt;z-index:251662342;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9dDygIAANgFAAAOAAAAZHJzL2Uyb0RvYy54bWysVFFvmzAQfp+0/2D5nQIppAGVVC2EbVK3&#10;VWr3AxwwwZqxme2EdNP++84mpGmrSdM2Hixj+7677+67u7zadxztqNJMigyHZwFGVFSyZmKT4S8P&#10;pbfASBsiasKloBl+pBpfLd++uRz6lM5kK3lNFQIQodOhz3BrTJ/6vq5a2hF9Jnsq4LKRqiMGftXG&#10;rxUZAL3j/iwI5v4gVd0rWVGt4bQYL/HS4TcNrcznptHUIJ5hiM24Vbl1bVd/eUnSjSJ9y6pDGOQv&#10;ougIE+D0CFUQQ9BWsVdQHauU1LIxZ5XsfNk0rKKOA7AJgxds7lvSU8cFkqP7Y5r0/4OtPu3uFGJ1&#10;hmOMBOmgRA90b9CN3KMwwaimuoJ03UllFGEG5ZxAoiFqYqDi6D0lUD+bxaHXKYDd9wBn9mAOanAZ&#10;0f2trL5qJGTeErGh10rJoQU7YBFaS//EdMTRFmQ9fJQ1hEO2RjqgfaM6m2JIGgJ0qObjsYI25AoO&#10;oyQMohioVHA3D+PzMHYuSDpZ90qbd1R2yG4yrEAhDp3sbrWx0ZB0emKdCVkyzp1KuHh2AA/HE/AN&#10;pvbORuGK/iMJktVitYi8aDZfeVFQFN51mUfevAwv4uK8yPMi/Gn9hlHasrqmwrqZBBhGf1bgQyuM&#10;0jlKUEvOagtnQ9Jqs865QjsCDVC675CQk2f+8zBcEoDLC0rhLApuZolXzhcXXlRGsZdcBAsvCJOb&#10;ZB5ESVSUzyndMkH/nRIaMpzEs3gU02+5Be57zY2kHTMwYjjrMrw4PiKpleBK1K60hjA+7k9SYcN/&#10;SgWUeyq0E6zV6KhWs1/vXQedW+9WzGtZP4KClQSBgUxhPMKmleo7RgOMmgzrb1uiKEb8g4AusHNp&#10;2qhps542RFRgmmGD0bjNzTi/tr1imxaQxz4T8ho6pWFOxE9RHPoLxofjchh1dj6d/rtXTwN5+Qs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Dc310PKAgAA2AUAAA4AAAAAAAAAAAAAAAAALgIAAGRycy9lMm9Eb2MueG1sUEsB&#10;Ai0AFAAGAAgAAAAhAI9b/FvdAAAABwEAAA8AAAAAAAAAAAAAAAAAJAUAAGRycy9kb3ducmV2Lnht&#10;bFBLBQYAAAAABAAEAPMAAAAuBgAAAAA=&#10;" o:allowincell="f" filled="f" stroked="f">
              <v:textbox inset="0,0,0,0">
                <w:txbxContent>
                  <w:p w14:paraId="017DE963" w14:textId="77777777" w:rsidR="0023409E" w:rsidRDefault="0023409E" w:rsidP="0023409E">
                    <w:pPr>
                      <w:pStyle w:val="Classification"/>
                    </w:pPr>
                  </w:p>
                </w:txbxContent>
              </v:textbox>
              <w10:wrap type="square" anchorx="margin" anchory="page"/>
              <w10:anchorlock/>
            </v:shape>
          </w:pict>
        </mc:Fallback>
      </mc:AlternateContent>
    </w:r>
    <w:r>
      <w:t>Office of the Australian Accounting Standards Board Budget Statements</w:t>
    </w:r>
    <w:r>
      <w:fldChar w:fldCharType="begin"/>
    </w:r>
    <w:r>
      <w:instrText>TITLE   \* MERGEFORMAT</w:instrText>
    </w:r>
    <w:r>
      <w:fldChar w:fldCharType="end"/>
    </w:r>
  </w:p>
  <w:p w14:paraId="4C5AFA49" w14:textId="36626A55" w:rsidR="001722E4" w:rsidRPr="00970E65" w:rsidRDefault="001722E4" w:rsidP="0023409E">
    <w:pPr>
      <w:pStyle w:val="HeaderEven"/>
      <w:jc w:val="right"/>
    </w:pPr>
    <w:r>
      <w:rPr>
        <w:noProof/>
      </w:rPr>
      <mc:AlternateContent>
        <mc:Choice Requires="wps">
          <w:drawing>
            <wp:anchor distT="0" distB="0" distL="0" distR="0" simplePos="0" relativeHeight="251658246" behindDoc="0" locked="1" layoutInCell="0" allowOverlap="1" wp14:anchorId="07BC614E" wp14:editId="60ED9AD1">
              <wp:simplePos x="0" y="0"/>
              <wp:positionH relativeFrom="margin">
                <wp:align>center</wp:align>
              </wp:positionH>
              <wp:positionV relativeFrom="page">
                <wp:posOffset>512445</wp:posOffset>
              </wp:positionV>
              <wp:extent cx="4910455" cy="615315"/>
              <wp:effectExtent l="0" t="0" r="4445" b="0"/>
              <wp:wrapSquare wrapText="bothSides"/>
              <wp:docPr id="13"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71BDA" w14:textId="77777777" w:rsidR="001722E4" w:rsidRDefault="001722E4" w:rsidP="00A05ED3">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C614E" id="_x0000_s1030" type="#_x0000_t202" alt="Portrait Classification Header" style="position:absolute;left:0;text-align:left;margin-left:0;margin-top:40.35pt;width:386.65pt;height:48.45pt;z-index:251658246;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vAlygIAANkFAAAOAAAAZHJzL2Uyb0RvYy54bWysVG1vmzAQ/j5p/8HydwqkkAZUUrUQtknd&#10;VqndD3DABGvGZrYT0k377zubkKatJk3b+GAd9t1zb8/d5dW+42hHlWZSZDg8CzCiopI1E5sMf3ko&#10;vQVG2hBREy4FzfAj1fhq+fbN5dCndCZbyWuqEIAInQ59hltj+tT3ddXSjugz2VMBj41UHTHwqzZ+&#10;rcgA6B33Z0Ew9wep6l7JimoNt8X4iJcOv2loZT43jaYG8QxDbMadyp1re/rLS5JuFOlbVh3CIH8R&#10;RUeYAKdHqIIYgraKvYLqWKWklo05q2Tny6ZhFXU5QDZh8CKb+5b01OUCxdH9sUz6/8FWn3Z3CrEa&#10;eneOkSAd9OiB7g26kXsUJhjVVFdQrzupjCLMoJwTqDSETQy0HL2nBBpoyzj0OgW0+x7wzB7MAdKV&#10;RPe3svqqkZB5S8SGXislhxbsII3QWvonpiOOtiDr4aOsIRyyNdIB7RvV2RpD1RCgQzsfjy20IVdw&#10;GSVhEMUxRhW8zcP4PIydC5JO1r3S5h2VHbJChhVQxKGT3a02NhqSTirWmZAl49zRhItnF6A43oBv&#10;MLVvNgrX9R9JkKwWq0XkRbP5youCovCuyzzy5mV4ERfnRZ4X4U/rN4zSltU1FdbNxMAw+rMOH2Zh&#10;5M6Rg1pyVls4G5JWm3XOFdoRmIDSfYeCnKj5z8NwRYBcXqQUzqLgZpZ45Xxx4UVlFHvJRbDwgjC5&#10;SeZBlERF+TylWybov6eEhgwn8SweyfTb3AL3vc6NpB0zsGM46zK8OCqR1FJwJWrXWkMYH+WTUtjw&#10;n0oB7Z4a7QhrOTqy1ezXezdCkfVuybyW9SMwWEkgGNAU9iMIrVTfMRpg12RYf9sSRTHiHwRMgV1M&#10;k6AmYT0JRFRgmmGD0SjmZlxg216xTQvI45wJeQ2T0jBH4qcoDvMF+8Plcth1dkGd/jutp428/AU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EA+8CXKAgAA2QUAAA4AAAAAAAAAAAAAAAAALgIAAGRycy9lMm9Eb2MueG1sUEsB&#10;Ai0AFAAGAAgAAAAhAI9b/FvdAAAABwEAAA8AAAAAAAAAAAAAAAAAJAUAAGRycy9kb3ducmV2Lnht&#10;bFBLBQYAAAAABAAEAPMAAAAuBgAAAAA=&#10;" o:allowincell="f" filled="f" stroked="f">
              <v:textbox inset="0,0,0,0">
                <w:txbxContent>
                  <w:p w14:paraId="4F671BDA" w14:textId="77777777" w:rsidR="001722E4" w:rsidRDefault="001722E4" w:rsidP="00A05ED3">
                    <w:pPr>
                      <w:pStyle w:val="Classification"/>
                    </w:pPr>
                  </w:p>
                </w:txbxContent>
              </v:textbox>
              <w10:wrap type="square" anchorx="margin" anchory="page"/>
              <w10:anchorlock/>
            </v:shape>
          </w:pict>
        </mc:Fallback>
      </mc:AlternateContent>
    </w:r>
    <w:r>
      <w:fldChar w:fldCharType="begin"/>
    </w:r>
    <w:r>
      <w:instrText>TITLE   \* MERGEFORMAT</w:instrText>
    </w:r>
    <w:r>
      <w:fldChar w:fldCharType="end"/>
    </w:r>
    <w:r>
      <w:rPr>
        <w:noProof/>
      </w:rPr>
      <mc:AlternateContent>
        <mc:Choice Requires="wps">
          <w:drawing>
            <wp:anchor distT="0" distB="0" distL="0" distR="0" simplePos="0" relativeHeight="251658243" behindDoc="0" locked="1" layoutInCell="0" allowOverlap="1" wp14:anchorId="07E6E06B" wp14:editId="3F3C1F45">
              <wp:simplePos x="0" y="0"/>
              <wp:positionH relativeFrom="margin">
                <wp:align>center</wp:align>
              </wp:positionH>
              <wp:positionV relativeFrom="page">
                <wp:posOffset>512445</wp:posOffset>
              </wp:positionV>
              <wp:extent cx="4910455" cy="615315"/>
              <wp:effectExtent l="0" t="0" r="4445" b="0"/>
              <wp:wrapSquare wrapText="bothSides"/>
              <wp:docPr id="1"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EC8EC" w14:textId="77777777" w:rsidR="001722E4" w:rsidRDefault="001722E4"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6E06B" id="Text Box 28" o:spid="_x0000_s1031" type="#_x0000_t202" alt="Portrait Classification Header" style="position:absolute;left:0;text-align:left;margin-left:0;margin-top:40.35pt;width:386.65pt;height:48.45pt;z-index:251658243;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SCVyQIAANgFAAAOAAAAZHJzL2Uyb0RvYy54bWysVG1vmzAQ/j5p/8Hyd8pLIQ2opGohbJO6&#10;rVK7H+CACdbAZrYT6Kb9951NSNNWk6ZtfLAO2/f47p7n7vJq7Fq0p1IxwVPsn3kYUV6KivFtir88&#10;FM4SI6UJr0grOE3xI1X4avX2zeXQJzQQjWgrKhGAcJUMfYobrfvEdVXZ0I6oM9FTDoe1kB3R8Cu3&#10;biXJAOhd6waet3AHIateipIqBbv5dIhXFr+uaak/17WiGrUphti0XaVdN2Z1V5ck2UrSN6w8hEH+&#10;IoqOMA6PHqFyognaSfYKqmOlFErU+qwUnSvqmpXU5gDZ+N6LbO4b0lObCxRH9ccyqf8HW37a30nE&#10;KuAOI046oOiBjhrdiBEFwF1FVQnluhNSS8I0yloChYaoiQbG0XtKgD9TxaFXCYDd9wCnR3A3iKYi&#10;qr8V5VeFuMgawrf0WkoxNOAHWfjG0z1xnXCUAdkMH0UF4ZCdFhZorGVnAKFoCNCBzccjgybkEjbD&#10;2PfCKMKohLOFH537kX2CJLN3L5V+R0WHjJFiCQqx6GR/q7SJhiTzFfMYFwVrW6uSlj/bgIvTDrwN&#10;rubMRGFJ/xF78Xq5XoZOGCzWTujluXNdZKGzKPyLKD/Psyz3f5p3/TBpWFVRbp6ZBeiHf0bwoRUm&#10;6RwlqETLKgNnQlJyu8laifYEGqCw36EgJ9fc52HYIkAuL1Lyg9C7CWKnWCwvnLAIIye+8JaO58c3&#10;8cIL4zAvnqd0yzj995TQkOI4CqJJTL/NzbPf69xI0jENI6ZlXYqXx0skMRJc88pSqwlrJ/ukFCb8&#10;p1IA3TPRVrBGo5Na9bgZbQdZqRkxb0T1CAqWAgQGMoXxCEYj5HeMBhg1KVbfdkRSjNoPHLrAzKXZ&#10;kLOxmQ3CS3BNscZoMjM9za9dL9m2AeSpz7i4hk6pmRXxUxSH/oLxYXM5jDozn07/7a2ngbz6BQAA&#10;//8DAFBLAwQUAAYACAAAACEAj1v8W90AAAAHAQAADwAAAGRycy9kb3ducmV2LnhtbEyPMU/DMBSE&#10;dyT+g/WQ2KgNleIS4lQVggkJNQ0DoxO/Jlbj5xC7bfj3NRMdT3e6+65Yz25gJ5yC9aTgcSGAIbXe&#10;WOoUfNXvDytgIWoyevCECn4xwLq8vSl0bvyZKjztYsdSCYVcK+hjHHPOQ9uj02HhR6Tk7f3kdExy&#10;6riZ9DmVu4E/CZFxpy2lhV6P+Npje9gdnYLNN1Vv9uez2Vb7ytb1s6CP7KDU/d28eQEWcY7/YfjD&#10;T+hQJqbGH8kENihIR6KClZDAkivlcgmsSTEpM+Blwa/5ywsAAAD//wMAUEsBAi0AFAAGAAgAAAAh&#10;ALaDOJL+AAAA4QEAABMAAAAAAAAAAAAAAAAAAAAAAFtDb250ZW50X1R5cGVzXS54bWxQSwECLQAU&#10;AAYACAAAACEAOP0h/9YAAACUAQAACwAAAAAAAAAAAAAAAAAvAQAAX3JlbHMvLnJlbHNQSwECLQAU&#10;AAYACAAAACEArwEglckCAADYBQAADgAAAAAAAAAAAAAAAAAuAgAAZHJzL2Uyb0RvYy54bWxQSwEC&#10;LQAUAAYACAAAACEAj1v8W90AAAAHAQAADwAAAAAAAAAAAAAAAAAjBQAAZHJzL2Rvd25yZXYueG1s&#10;UEsFBgAAAAAEAAQA8wAAAC0GAAAAAA==&#10;" o:allowincell="f" filled="f" stroked="f">
              <v:textbox inset="0,0,0,0">
                <w:txbxContent>
                  <w:p w14:paraId="41AEC8EC" w14:textId="77777777" w:rsidR="001722E4" w:rsidRDefault="001722E4" w:rsidP="004461A4">
                    <w:pPr>
                      <w:pStyle w:val="Classification"/>
                    </w:pPr>
                  </w:p>
                </w:txbxContent>
              </v:textbox>
              <w10:wrap type="square" anchorx="margin"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A5DB2" w14:textId="76E3EFAE" w:rsidR="00286519" w:rsidRPr="00F00984" w:rsidRDefault="00286519" w:rsidP="0023409E">
    <w:pPr>
      <w:pStyle w:val="HeaderEven"/>
      <w:jc w:val="right"/>
    </w:pPr>
    <w:r>
      <w:rPr>
        <w:noProof/>
      </w:rPr>
      <mc:AlternateContent>
        <mc:Choice Requires="wps">
          <w:drawing>
            <wp:anchor distT="0" distB="0" distL="0" distR="0" simplePos="0" relativeHeight="251666438" behindDoc="0" locked="1" layoutInCell="0" allowOverlap="1" wp14:anchorId="5A45DFA1" wp14:editId="45A1056B">
              <wp:simplePos x="0" y="0"/>
              <wp:positionH relativeFrom="margin">
                <wp:align>center</wp:align>
              </wp:positionH>
              <wp:positionV relativeFrom="page">
                <wp:posOffset>512445</wp:posOffset>
              </wp:positionV>
              <wp:extent cx="4910455" cy="615315"/>
              <wp:effectExtent l="0" t="0" r="4445" b="0"/>
              <wp:wrapSquare wrapText="bothSides"/>
              <wp:docPr id="2"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2947B" w14:textId="77777777" w:rsidR="00286519" w:rsidRDefault="00286519" w:rsidP="0023409E">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45DFA1" id="_x0000_t202" coordsize="21600,21600" o:spt="202" path="m,l,21600r21600,l21600,xe">
              <v:stroke joinstyle="miter"/>
              <v:path gradientshapeok="t" o:connecttype="rect"/>
            </v:shapetype>
            <v:shape id="_x0000_s1032" type="#_x0000_t202" alt="Portrait Classification Header" style="position:absolute;left:0;text-align:left;margin-left:0;margin-top:40.35pt;width:386.65pt;height:48.45pt;z-index:251666438;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p2ygIAANgFAAAOAAAAZHJzL2Uyb0RvYy54bWysVG1vmzAQ/j5p/8Hyd8pLgQZUUrUQtknd&#10;VqndD3DABGtgM9sJ6ab9951NSNNWk6ZtfLAO++65t+fu8mrfd2hHpWKCZ9g/8zCivBI145sMf3ko&#10;nQVGShNek05wmuFHqvDV8u2by3FIaSBa0dVUIgDhKh2HDLdaD6nrqqqlPVFnYqAcHhshe6LhV27c&#10;WpIR0PvODTwvdkch60GKiioFt8X0iJcWv2lopT83jaIadRmG2LQ9pT3X5nSXlyTdSDK0rDqEQf4i&#10;ip4wDk6PUAXRBG0lewXVs0oKJRp9VoneFU3DKmpzgGx870U29y0ZqM0FiqOGY5nU/4OtPu3uJGJ1&#10;hgOMOOmhRQ90r9GN2CM/waimqoJy3QmpJWEa5R2BQkPUREPH0XtKoH+miuOgUgC7HwBO78Ec2GAr&#10;ooZbUX1ViIu8JXxDr6UUYwt2kIVvLN0T0wlHGZD1+FHUEA7ZamGB9o3sTYmhaAjQoZuPxw6akCu4&#10;DBPfC6MIowreYj869yPrgqSz9SCVfkdFj4yQYQkMsehkd6u0iYaks4pxxkXJus6ypOPPLkBxugHf&#10;YGreTBS26T8SL1ktVovQCYN45YReUTjXZR46celfRMV5keeF/9P49cO0ZXVNuXEzE9AP/6zBh1GY&#10;qHOkoBIdqw2cCUnJzTrvJNoRGIDSfoeCnKi5z8OwRYBcXqTkB6F3EyROGS8unLAMIye58BaO5yc3&#10;SeyFSViUz1O6ZZz+e0pozHASBdFEpt/m5tnvdW4k7ZmGFdOxPsOLoxJJDQVXvLat1YR1k3xSChP+&#10;Uymg3XOjLWENRye26v16bycoNt4NmdeifgQGSwEEA5rCegShFfI7RiOsmgyrb1siKUbdBw5TYPbS&#10;LMhZWM8C4RWYZlhjNIm5nvbXdpBs0wLyNGdcXMOkNMyS+CmKw3zB+rC5HFad2U+n/1braSEvfwE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FXsanbKAgAA2AUAAA4AAAAAAAAAAAAAAAAALgIAAGRycy9lMm9Eb2MueG1sUEsB&#10;Ai0AFAAGAAgAAAAhAI9b/FvdAAAABwEAAA8AAAAAAAAAAAAAAAAAJAUAAGRycy9kb3ducmV2Lnht&#10;bFBLBQYAAAAABAAEAPMAAAAuBgAAAAA=&#10;" o:allowincell="f" filled="f" stroked="f">
              <v:textbox inset="0,0,0,0">
                <w:txbxContent>
                  <w:p w14:paraId="67B2947B" w14:textId="77777777" w:rsidR="00286519" w:rsidRDefault="00286519" w:rsidP="0023409E">
                    <w:pPr>
                      <w:pStyle w:val="Classification"/>
                    </w:pPr>
                  </w:p>
                </w:txbxContent>
              </v:textbox>
              <w10:wrap type="square" anchorx="margin" anchory="page"/>
              <w10:anchorlock/>
            </v:shape>
          </w:pict>
        </mc:Fallback>
      </mc:AlternateContent>
    </w:r>
    <w:r>
      <w:t xml:space="preserve"> </w:t>
    </w:r>
    <w:r>
      <w:fldChar w:fldCharType="begin"/>
    </w:r>
    <w:r>
      <w:instrText>TITLE   \* MERGEFORMAT</w:instrText>
    </w:r>
    <w:r>
      <w:fldChar w:fldCharType="end"/>
    </w:r>
  </w:p>
  <w:p w14:paraId="1EA926E5" w14:textId="77777777" w:rsidR="00286519" w:rsidRPr="00970E65" w:rsidRDefault="00286519" w:rsidP="0023409E">
    <w:pPr>
      <w:pStyle w:val="HeaderEven"/>
      <w:jc w:val="right"/>
    </w:pPr>
    <w:r>
      <w:rPr>
        <w:noProof/>
      </w:rPr>
      <mc:AlternateContent>
        <mc:Choice Requires="wps">
          <w:drawing>
            <wp:anchor distT="0" distB="0" distL="0" distR="0" simplePos="0" relativeHeight="251665414" behindDoc="0" locked="1" layoutInCell="0" allowOverlap="1" wp14:anchorId="4D59C338" wp14:editId="07A32406">
              <wp:simplePos x="0" y="0"/>
              <wp:positionH relativeFrom="margin">
                <wp:align>center</wp:align>
              </wp:positionH>
              <wp:positionV relativeFrom="page">
                <wp:posOffset>512445</wp:posOffset>
              </wp:positionV>
              <wp:extent cx="4910455" cy="615315"/>
              <wp:effectExtent l="0" t="0" r="4445" b="0"/>
              <wp:wrapSquare wrapText="bothSides"/>
              <wp:docPr id="3" name="Text Box 19"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FBDB2" w14:textId="77777777" w:rsidR="00286519" w:rsidRDefault="00286519" w:rsidP="00A05ED3">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59C338" id="_x0000_s1033" type="#_x0000_t202" alt="Portrait Classification Header" style="position:absolute;left:0;text-align:left;margin-left:0;margin-top:40.35pt;width:386.65pt;height:48.45pt;z-index:251665414;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WnOygIAANgFAAAOAAAAZHJzL2Uyb0RvYy54bWysVG1vmzAQ/j5p/8HydwqkkARUUrUQtknd&#10;VqndD3DABGtgM9sJdNP++84mpEmrSdM2PliHfffc23N3dT20DdpTqZjgCfYvPIwoL0TJ+DbBXx5z&#10;Z4mR0oSXpBGcJviJKny9evvmqu9iOhO1aEoqEYBwFfddgmutu9h1VVHTlqgL0VEOj5WQLdHwK7du&#10;KUkP6G3jzjxv7vZClp0UBVUKbrPxEa8sflXRQn+uKkU1ahIMsWl7SntuzOmurki8laSrWXEIg/xF&#10;FC1hHJweoTKiCdpJ9gqqZYUUSlT6ohCtK6qKFdTmANn43otsHmrSUZsLFEd1xzKp/wdbfNrfS8TK&#10;BF9ixEkLLXqkg0a3YkB+hFFJVQHluhdSS8I0ShsChYaoiYaOo/eUQP9MFftOxQD20AGcHsAc2GAr&#10;oro7UXxViIu0JnxLb6QUfQ12kIVvLN0T0xFHGZBN/1GUEA7ZaWGBhkq2psRQNATo0M2nYwdNyAVc&#10;BpHvBWGIUQFvcz+89EPrgsSTdSeVfkdFi4yQYAkMsehkf6e0iYbEk4pxxkXOmsaypOFnF6A43oBv&#10;MDVvJgrb9B+RF62X62XgBLP52gm8LHNu8jRw5rm/CLPLLE0z/6fx6wdxzcqScuNmIqAf/FmDD6Mw&#10;UudIQSUaVho4E5KS203aSLQnMAC5/Q4FOVFzz8OwRYBcXqTkzwLvdhY5+Xy5cII8CJ1o4S0dz49u&#10;o7kXREGWn6d0xzj995RQn+AonIUjmX6bm2e/17mRuGUaVkzD2gQvj0okNhRc89K2VhPWjPJJKUz4&#10;z6WAdk+NtoQ1HB3ZqofNYCdoYbwbMm9E+QQMlgIIBjSF9QhCLeR3jHpYNQlW33ZEUoyaDxymwOyl&#10;SZCTsJkEwgswTbDGaBRTPe6vXSfZtgbkcc64uIFJqZgl8XMUh/mC9WFzOaw6s59O/63W80Je/QI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A9Rac7KAgAA2AUAAA4AAAAAAAAAAAAAAAAALgIAAGRycy9lMm9Eb2MueG1sUEsB&#10;Ai0AFAAGAAgAAAAhAI9b/FvdAAAABwEAAA8AAAAAAAAAAAAAAAAAJAUAAGRycy9kb3ducmV2Lnht&#10;bFBLBQYAAAAABAAEAPMAAAAuBgAAAAA=&#10;" o:allowincell="f" filled="f" stroked="f">
              <v:textbox inset="0,0,0,0">
                <w:txbxContent>
                  <w:p w14:paraId="490FBDB2" w14:textId="77777777" w:rsidR="00286519" w:rsidRDefault="00286519" w:rsidP="00A05ED3">
                    <w:pPr>
                      <w:pStyle w:val="Classification"/>
                    </w:pPr>
                  </w:p>
                </w:txbxContent>
              </v:textbox>
              <w10:wrap type="square" anchorx="margin" anchory="page"/>
              <w10:anchorlock/>
            </v:shape>
          </w:pict>
        </mc:Fallback>
      </mc:AlternateContent>
    </w:r>
    <w:r>
      <w:fldChar w:fldCharType="begin"/>
    </w:r>
    <w:r>
      <w:instrText>TITLE   \* MERGEFORMAT</w:instrText>
    </w:r>
    <w:r>
      <w:fldChar w:fldCharType="end"/>
    </w:r>
    <w:r>
      <w:rPr>
        <w:noProof/>
      </w:rPr>
      <mc:AlternateContent>
        <mc:Choice Requires="wps">
          <w:drawing>
            <wp:anchor distT="0" distB="0" distL="0" distR="0" simplePos="0" relativeHeight="251664390" behindDoc="0" locked="1" layoutInCell="0" allowOverlap="1" wp14:anchorId="18A9A424" wp14:editId="3F0AC821">
              <wp:simplePos x="0" y="0"/>
              <wp:positionH relativeFrom="margin">
                <wp:align>center</wp:align>
              </wp:positionH>
              <wp:positionV relativeFrom="page">
                <wp:posOffset>512445</wp:posOffset>
              </wp:positionV>
              <wp:extent cx="4910455" cy="615315"/>
              <wp:effectExtent l="0" t="0" r="4445" b="0"/>
              <wp:wrapSquare wrapText="bothSides"/>
              <wp:docPr id="6" name="Text Box 28" descr="Portrait Classification Heade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0455" cy="61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F67184" w14:textId="77777777" w:rsidR="00286519" w:rsidRDefault="00286519" w:rsidP="004461A4">
                          <w:pPr>
                            <w:pStyle w:val="Classification"/>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9A424" id="_x0000_s1034" type="#_x0000_t202" alt="Portrait Classification Header" style="position:absolute;left:0;text-align:left;margin-left:0;margin-top:40.35pt;width:386.65pt;height:48.45pt;z-index:251664390;visibility:visible;mso-wrap-style:square;mso-width-percent:0;mso-height-percent:0;mso-wrap-distance-left:0;mso-wrap-distance-top:0;mso-wrap-distance-right:0;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VlgygIAANgFAAAOAAAAZHJzL2Uyb0RvYy54bWysVG1vmzAQ/j5p/8HydwqkQAMqqdoQtknd&#10;VqndD3CMCdbAZrYT6Kb9951NkqatJk3b+GAd9t1zb8/d5dXYtWjHlOZS5Dg8CzBigsqKi02OvzyU&#10;3hwjbYioSCsFy/Ej0/hq8fbN5dBnbCYb2VZMIQAROhv6HDfG9Jnva9qwjugz2TMBj7VUHTHwqzZ+&#10;pcgA6F3rz4Ig8Qepql5JyrSG22J6xAuHX9eMms91rZlBbY4hNuNO5c61Pf3FJck2ivQNp/swyF9E&#10;0REuwOkRqiCGoK3ir6A6TpXUsjZnVHa+rGtOmcsBsgmDF9ncN6RnLhcoju6PZdL/D5Z+2t0pxKsc&#10;JxgJ0kGLHtho0I0c0Qx6VzFNoVx3UhlFuEHLlkChIWpioOPoPSPQP1vFodcZgN33AGdGMAc2uIro&#10;/lbSrxoJuWyI2LBrpeTQgB1kEVpL/8R0wtEWZD18lBWEQ7ZGOqCxVp0tMRQNATp08/HYQRsyhcso&#10;DYMojjGi8JaE8XkYOxckO1j3Spt3THbICjlWwBCHTna32thoSHZQsc6ELHnbOpa04tkFKE434BtM&#10;7ZuNwjX9Rxqkq/lqHnnRLFl5UVAU3nW5jLykDC/i4rxYLovwp/UbRlnDq4oJ6+ZAwDD6swbvR2Gi&#10;zpGCWra8snA2JK0262Wr0I7AAJTu2xfkRM1/HoYrAuTyIqVwFgU3s9Qrk/mFF5VR7KUXwdwLwvQm&#10;TYIojYryeUq3XLB/TwkNOU7jWTyR6be5Be57nRvJOm5gxbS8y/H8qEQyS8GVqFxrDeHtJJ+Uwob/&#10;VApo96HRjrCWoxNbzbge3QTNrXdL5rWsHoHBSgLBgKawHkFopPqO0QCrJsf625YohlH7QcAU2L10&#10;ENRBWB8EIiiY5thgNIlLM+2vba/4pgHkac6EvIZJqbkj8VMU+/mC9eFy2a86u59O/53W00Je/AIA&#10;AP//AwBQSwMEFAAGAAgAAAAhAI9b/FvdAAAABwEAAA8AAABkcnMvZG93bnJldi54bWxMjzFPwzAU&#10;hHck/oP1kNioDZXiEuJUFYIJCTUNA6MTvyZW4+cQu2349zUTHU93uvuuWM9uYCecgvWk4HEhgCG1&#10;3ljqFHzV7w8rYCFqMnrwhAp+McC6vL0pdG78mSo87WLHUgmFXCvoYxxzzkPbo9Nh4Uek5O395HRM&#10;cuq4mfQ5lbuBPwmRcactpYVej/jaY3vYHZ2CzTdVb/bns9lW+8rW9bOgj+yg1P3dvHkBFnGO/2H4&#10;w0/oUCamxh/JBDYoSEeigpWQwJIr5XIJrEkxKTPgZcGv+csLAAAA//8DAFBLAQItABQABgAIAAAA&#10;IQC2gziS/gAAAOEBAAATAAAAAAAAAAAAAAAAAAAAAABbQ29udGVudF9UeXBlc10ueG1sUEsBAi0A&#10;FAAGAAgAAAAhADj9If/WAAAAlAEAAAsAAAAAAAAAAAAAAAAALwEAAF9yZWxzLy5yZWxzUEsBAi0A&#10;FAAGAAgAAAAhAJZFWWDKAgAA2AUAAA4AAAAAAAAAAAAAAAAALgIAAGRycy9lMm9Eb2MueG1sUEsB&#10;Ai0AFAAGAAgAAAAhAI9b/FvdAAAABwEAAA8AAAAAAAAAAAAAAAAAJAUAAGRycy9kb3ducmV2Lnht&#10;bFBLBQYAAAAABAAEAPMAAAAuBgAAAAA=&#10;" o:allowincell="f" filled="f" stroked="f">
              <v:textbox inset="0,0,0,0">
                <w:txbxContent>
                  <w:p w14:paraId="55F67184" w14:textId="77777777" w:rsidR="00286519" w:rsidRDefault="00286519" w:rsidP="004461A4">
                    <w:pPr>
                      <w:pStyle w:val="Classification"/>
                    </w:pPr>
                  </w:p>
                </w:txbxContent>
              </v:textbox>
              <w10:wrap type="square" anchorx="margin"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D7578A"/>
    <w:multiLevelType w:val="hybridMultilevel"/>
    <w:tmpl w:val="A5EA98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 w15:restartNumberingAfterBreak="0">
    <w:nsid w:val="0F1308D5"/>
    <w:multiLevelType w:val="hybridMultilevel"/>
    <w:tmpl w:val="202A747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6" w15:restartNumberingAfterBreak="0">
    <w:nsid w:val="14522F1E"/>
    <w:multiLevelType w:val="hybridMultilevel"/>
    <w:tmpl w:val="668C85C8"/>
    <w:lvl w:ilvl="0" w:tplc="0C090001">
      <w:start w:val="1"/>
      <w:numFmt w:val="bullet"/>
      <w:lvlText w:val=""/>
      <w:lvlJc w:val="left"/>
      <w:pPr>
        <w:ind w:left="2520" w:hanging="360"/>
      </w:pPr>
      <w:rPr>
        <w:rFonts w:ascii="Symbol" w:hAnsi="Symbol" w:hint="default"/>
      </w:rPr>
    </w:lvl>
    <w:lvl w:ilvl="1" w:tplc="0C090001">
      <w:start w:val="1"/>
      <w:numFmt w:val="bullet"/>
      <w:lvlText w:val=""/>
      <w:lvlJc w:val="left"/>
      <w:pPr>
        <w:ind w:left="3240" w:hanging="360"/>
      </w:pPr>
      <w:rPr>
        <w:rFonts w:ascii="Symbol" w:hAnsi="Symbol" w:hint="default"/>
      </w:rPr>
    </w:lvl>
    <w:lvl w:ilvl="2" w:tplc="0C090005" w:tentative="1">
      <w:start w:val="1"/>
      <w:numFmt w:val="bullet"/>
      <w:lvlText w:val=""/>
      <w:lvlJc w:val="left"/>
      <w:pPr>
        <w:ind w:left="3960" w:hanging="360"/>
      </w:pPr>
      <w:rPr>
        <w:rFonts w:ascii="Wingdings" w:hAnsi="Wingdings" w:hint="default"/>
      </w:rPr>
    </w:lvl>
    <w:lvl w:ilvl="3" w:tplc="0C090001" w:tentative="1">
      <w:start w:val="1"/>
      <w:numFmt w:val="bullet"/>
      <w:lvlText w:val=""/>
      <w:lvlJc w:val="left"/>
      <w:pPr>
        <w:ind w:left="4680" w:hanging="360"/>
      </w:pPr>
      <w:rPr>
        <w:rFonts w:ascii="Symbol" w:hAnsi="Symbol" w:hint="default"/>
      </w:rPr>
    </w:lvl>
    <w:lvl w:ilvl="4" w:tplc="0C090003" w:tentative="1">
      <w:start w:val="1"/>
      <w:numFmt w:val="bullet"/>
      <w:lvlText w:val="o"/>
      <w:lvlJc w:val="left"/>
      <w:pPr>
        <w:ind w:left="5400" w:hanging="360"/>
      </w:pPr>
      <w:rPr>
        <w:rFonts w:ascii="Courier New" w:hAnsi="Courier New" w:cs="Courier New" w:hint="default"/>
      </w:rPr>
    </w:lvl>
    <w:lvl w:ilvl="5" w:tplc="0C090005" w:tentative="1">
      <w:start w:val="1"/>
      <w:numFmt w:val="bullet"/>
      <w:lvlText w:val=""/>
      <w:lvlJc w:val="left"/>
      <w:pPr>
        <w:ind w:left="6120" w:hanging="360"/>
      </w:pPr>
      <w:rPr>
        <w:rFonts w:ascii="Wingdings" w:hAnsi="Wingdings" w:hint="default"/>
      </w:rPr>
    </w:lvl>
    <w:lvl w:ilvl="6" w:tplc="0C090001" w:tentative="1">
      <w:start w:val="1"/>
      <w:numFmt w:val="bullet"/>
      <w:lvlText w:val=""/>
      <w:lvlJc w:val="left"/>
      <w:pPr>
        <w:ind w:left="6840" w:hanging="360"/>
      </w:pPr>
      <w:rPr>
        <w:rFonts w:ascii="Symbol" w:hAnsi="Symbol" w:hint="default"/>
      </w:rPr>
    </w:lvl>
    <w:lvl w:ilvl="7" w:tplc="0C090003" w:tentative="1">
      <w:start w:val="1"/>
      <w:numFmt w:val="bullet"/>
      <w:lvlText w:val="o"/>
      <w:lvlJc w:val="left"/>
      <w:pPr>
        <w:ind w:left="7560" w:hanging="360"/>
      </w:pPr>
      <w:rPr>
        <w:rFonts w:ascii="Courier New" w:hAnsi="Courier New" w:cs="Courier New" w:hint="default"/>
      </w:rPr>
    </w:lvl>
    <w:lvl w:ilvl="8" w:tplc="0C090005" w:tentative="1">
      <w:start w:val="1"/>
      <w:numFmt w:val="bullet"/>
      <w:lvlText w:val=""/>
      <w:lvlJc w:val="left"/>
      <w:pPr>
        <w:ind w:left="8280" w:hanging="360"/>
      </w:pPr>
      <w:rPr>
        <w:rFonts w:ascii="Wingdings" w:hAnsi="Wingdings" w:hint="default"/>
      </w:rPr>
    </w:lvl>
  </w:abstractNum>
  <w:abstractNum w:abstractNumId="7" w15:restartNumberingAfterBreak="0">
    <w:nsid w:val="169626C5"/>
    <w:multiLevelType w:val="hybridMultilevel"/>
    <w:tmpl w:val="38660DDC"/>
    <w:lvl w:ilvl="0" w:tplc="B220E552">
      <w:start w:val="1"/>
      <w:numFmt w:val="lowerLetter"/>
      <w:lvlText w:val="(%1)"/>
      <w:lvlJc w:val="left"/>
      <w:pPr>
        <w:ind w:left="360" w:hanging="360"/>
      </w:pPr>
      <w:rPr>
        <w:rFonts w:hint="default"/>
        <w:b w:val="0"/>
        <w:i w:val="0"/>
        <w:color w:val="000000"/>
        <w:sz w:val="16"/>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147698A"/>
    <w:multiLevelType w:val="hybridMultilevel"/>
    <w:tmpl w:val="62FCE19C"/>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14" w15:restartNumberingAfterBreak="0">
    <w:nsid w:val="41470B80"/>
    <w:multiLevelType w:val="multilevel"/>
    <w:tmpl w:val="CAB4F526"/>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1870C1E"/>
    <w:multiLevelType w:val="hybridMultilevel"/>
    <w:tmpl w:val="2F0ADC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6"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17" w15:restartNumberingAfterBreak="0">
    <w:nsid w:val="45B60EB5"/>
    <w:multiLevelType w:val="hybridMultilevel"/>
    <w:tmpl w:val="11A65A0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B262C8C"/>
    <w:multiLevelType w:val="hybridMultilevel"/>
    <w:tmpl w:val="3F3E9E66"/>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BB8157D"/>
    <w:multiLevelType w:val="multilevel"/>
    <w:tmpl w:val="A1A00FEA"/>
    <w:name w:val="StandardNumberedList"/>
    <w:lvl w:ilvl="0">
      <w:start w:val="1"/>
      <w:numFmt w:val="decimal"/>
      <w:pStyle w:val="OutlineNumbered1"/>
      <w:lvlText w:val="%1."/>
      <w:lvlJc w:val="left"/>
      <w:pPr>
        <w:tabs>
          <w:tab w:val="num" w:pos="472"/>
        </w:tabs>
        <w:ind w:left="472" w:hanging="472"/>
      </w:pPr>
    </w:lvl>
    <w:lvl w:ilvl="1">
      <w:start w:val="1"/>
      <w:numFmt w:val="decimal"/>
      <w:pStyle w:val="OutlineNumbered2"/>
      <w:lvlText w:val="%1.%2."/>
      <w:lvlJc w:val="left"/>
      <w:pPr>
        <w:tabs>
          <w:tab w:val="num" w:pos="944"/>
        </w:tabs>
        <w:ind w:left="944" w:hanging="472"/>
      </w:pPr>
    </w:lvl>
    <w:lvl w:ilvl="2">
      <w:start w:val="1"/>
      <w:numFmt w:val="decimal"/>
      <w:pStyle w:val="OutlineNumbered3"/>
      <w:lvlText w:val="%1.%2.%3."/>
      <w:lvlJc w:val="left"/>
      <w:pPr>
        <w:tabs>
          <w:tab w:val="num" w:pos="1416"/>
        </w:tabs>
        <w:ind w:left="1416" w:hanging="472"/>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1" w15:restartNumberingAfterBreak="0">
    <w:nsid w:val="62CB3F54"/>
    <w:multiLevelType w:val="hybridMultilevel"/>
    <w:tmpl w:val="D5884B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4" w15:restartNumberingAfterBreak="0">
    <w:nsid w:val="7A3B69E4"/>
    <w:multiLevelType w:val="hybridMultilevel"/>
    <w:tmpl w:val="39F82CB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6"/>
  </w:num>
  <w:num w:numId="2">
    <w:abstractNumId w:val="3"/>
  </w:num>
  <w:num w:numId="3">
    <w:abstractNumId w:val="22"/>
  </w:num>
  <w:num w:numId="4">
    <w:abstractNumId w:val="13"/>
  </w:num>
  <w:num w:numId="5">
    <w:abstractNumId w:val="23"/>
  </w:num>
  <w:num w:numId="6">
    <w:abstractNumId w:val="11"/>
  </w:num>
  <w:num w:numId="7">
    <w:abstractNumId w:val="20"/>
  </w:num>
  <w:num w:numId="8">
    <w:abstractNumId w:val="13"/>
    <w:lvlOverride w:ilvl="0">
      <w:startOverride w:val="1"/>
    </w:lvlOverride>
  </w:num>
  <w:num w:numId="9">
    <w:abstractNumId w:val="13"/>
    <w:lvlOverride w:ilvl="0">
      <w:startOverride w:val="1"/>
    </w:lvlOverride>
  </w:num>
  <w:num w:numId="10">
    <w:abstractNumId w:val="25"/>
  </w:num>
  <w:num w:numId="11">
    <w:abstractNumId w:val="10"/>
  </w:num>
  <w:num w:numId="12">
    <w:abstractNumId w:val="0"/>
  </w:num>
  <w:num w:numId="13">
    <w:abstractNumId w:val="13"/>
    <w:lvlOverride w:ilvl="0">
      <w:startOverride w:val="1"/>
    </w:lvlOverride>
  </w:num>
  <w:num w:numId="14">
    <w:abstractNumId w:val="9"/>
  </w:num>
  <w:num w:numId="15">
    <w:abstractNumId w:val="1"/>
  </w:num>
  <w:num w:numId="16">
    <w:abstractNumId w:val="14"/>
  </w:num>
  <w:num w:numId="17">
    <w:abstractNumId w:val="4"/>
  </w:num>
  <w:num w:numId="18">
    <w:abstractNumId w:val="24"/>
  </w:num>
  <w:num w:numId="19">
    <w:abstractNumId w:val="2"/>
  </w:num>
  <w:num w:numId="20">
    <w:abstractNumId w:val="17"/>
  </w:num>
  <w:num w:numId="21">
    <w:abstractNumId w:val="21"/>
  </w:num>
  <w:num w:numId="22">
    <w:abstractNumId w:val="15"/>
  </w:num>
  <w:num w:numId="23">
    <w:abstractNumId w:val="6"/>
  </w:num>
  <w:num w:numId="24">
    <w:abstractNumId w:val="8"/>
  </w:num>
  <w:num w:numId="25">
    <w:abstractNumId w:val="19"/>
  </w:num>
  <w:num w:numId="26">
    <w:abstractNumId w:val="7"/>
  </w:num>
  <w:num w:numId="2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yMTM2NrewMDIzN7ZQ0lEKTi0uzszPAykwqgUA4I6SbywAAAA="/>
    <w:docVar w:name="SecurityClassificationInHeader" w:val="True"/>
  </w:docVars>
  <w:rsids>
    <w:rsidRoot w:val="0010657F"/>
    <w:rsid w:val="000000C3"/>
    <w:rsid w:val="0000358C"/>
    <w:rsid w:val="00003AC4"/>
    <w:rsid w:val="00006AE4"/>
    <w:rsid w:val="0000711B"/>
    <w:rsid w:val="0001294C"/>
    <w:rsid w:val="00012BB0"/>
    <w:rsid w:val="00013D25"/>
    <w:rsid w:val="0001438C"/>
    <w:rsid w:val="0001615A"/>
    <w:rsid w:val="00016D95"/>
    <w:rsid w:val="00017619"/>
    <w:rsid w:val="00017840"/>
    <w:rsid w:val="000179D5"/>
    <w:rsid w:val="00020573"/>
    <w:rsid w:val="000216BF"/>
    <w:rsid w:val="00021DA6"/>
    <w:rsid w:val="000220B0"/>
    <w:rsid w:val="000220B2"/>
    <w:rsid w:val="00023CED"/>
    <w:rsid w:val="000300D7"/>
    <w:rsid w:val="000304FC"/>
    <w:rsid w:val="00030FDA"/>
    <w:rsid w:val="0003384E"/>
    <w:rsid w:val="0003503B"/>
    <w:rsid w:val="0003583C"/>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604C9"/>
    <w:rsid w:val="000606CB"/>
    <w:rsid w:val="00060890"/>
    <w:rsid w:val="00061FD8"/>
    <w:rsid w:val="000637D1"/>
    <w:rsid w:val="00063C44"/>
    <w:rsid w:val="00063CE1"/>
    <w:rsid w:val="000641DA"/>
    <w:rsid w:val="00065053"/>
    <w:rsid w:val="000655E4"/>
    <w:rsid w:val="000656AD"/>
    <w:rsid w:val="00065C71"/>
    <w:rsid w:val="00066BBA"/>
    <w:rsid w:val="000671B7"/>
    <w:rsid w:val="00067B6F"/>
    <w:rsid w:val="00067E1D"/>
    <w:rsid w:val="0007064C"/>
    <w:rsid w:val="000712EE"/>
    <w:rsid w:val="000725C0"/>
    <w:rsid w:val="0007390D"/>
    <w:rsid w:val="00074CE6"/>
    <w:rsid w:val="000768A5"/>
    <w:rsid w:val="00077277"/>
    <w:rsid w:val="0007743A"/>
    <w:rsid w:val="00080069"/>
    <w:rsid w:val="00080F4F"/>
    <w:rsid w:val="00082159"/>
    <w:rsid w:val="0008449F"/>
    <w:rsid w:val="000846ED"/>
    <w:rsid w:val="000924A7"/>
    <w:rsid w:val="00094B28"/>
    <w:rsid w:val="00094B9A"/>
    <w:rsid w:val="00096568"/>
    <w:rsid w:val="00096DEE"/>
    <w:rsid w:val="00097063"/>
    <w:rsid w:val="00097336"/>
    <w:rsid w:val="000975DA"/>
    <w:rsid w:val="000A1920"/>
    <w:rsid w:val="000A1A89"/>
    <w:rsid w:val="000A1C91"/>
    <w:rsid w:val="000A1E74"/>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C0491"/>
    <w:rsid w:val="000C056F"/>
    <w:rsid w:val="000C1442"/>
    <w:rsid w:val="000C1928"/>
    <w:rsid w:val="000C19B3"/>
    <w:rsid w:val="000C19EF"/>
    <w:rsid w:val="000C2D7D"/>
    <w:rsid w:val="000C3B86"/>
    <w:rsid w:val="000C4A46"/>
    <w:rsid w:val="000C55A6"/>
    <w:rsid w:val="000C6A39"/>
    <w:rsid w:val="000C6FB8"/>
    <w:rsid w:val="000D0771"/>
    <w:rsid w:val="000D13E5"/>
    <w:rsid w:val="000D4262"/>
    <w:rsid w:val="000D43DE"/>
    <w:rsid w:val="000D55B5"/>
    <w:rsid w:val="000D58A1"/>
    <w:rsid w:val="000D7E54"/>
    <w:rsid w:val="000E04C6"/>
    <w:rsid w:val="000E0A5A"/>
    <w:rsid w:val="000E0A85"/>
    <w:rsid w:val="000E2F5F"/>
    <w:rsid w:val="000E68E3"/>
    <w:rsid w:val="000E6DDB"/>
    <w:rsid w:val="000E74A6"/>
    <w:rsid w:val="000F03B1"/>
    <w:rsid w:val="000F08AE"/>
    <w:rsid w:val="000F2D33"/>
    <w:rsid w:val="000F43F4"/>
    <w:rsid w:val="000F440E"/>
    <w:rsid w:val="000F6647"/>
    <w:rsid w:val="000F7390"/>
    <w:rsid w:val="000F73B7"/>
    <w:rsid w:val="000F794F"/>
    <w:rsid w:val="000F7E7B"/>
    <w:rsid w:val="001002F8"/>
    <w:rsid w:val="00100EFC"/>
    <w:rsid w:val="001015A5"/>
    <w:rsid w:val="00101881"/>
    <w:rsid w:val="00102654"/>
    <w:rsid w:val="001028CC"/>
    <w:rsid w:val="001045F9"/>
    <w:rsid w:val="0010472B"/>
    <w:rsid w:val="00104F95"/>
    <w:rsid w:val="0010657F"/>
    <w:rsid w:val="00111159"/>
    <w:rsid w:val="00112D0F"/>
    <w:rsid w:val="00112F95"/>
    <w:rsid w:val="001133E0"/>
    <w:rsid w:val="00115DE5"/>
    <w:rsid w:val="001163D6"/>
    <w:rsid w:val="00116C6A"/>
    <w:rsid w:val="0011726A"/>
    <w:rsid w:val="0012022D"/>
    <w:rsid w:val="00120B5E"/>
    <w:rsid w:val="0012108F"/>
    <w:rsid w:val="00121EB0"/>
    <w:rsid w:val="0012228D"/>
    <w:rsid w:val="00123218"/>
    <w:rsid w:val="001237BA"/>
    <w:rsid w:val="00123925"/>
    <w:rsid w:val="00125E16"/>
    <w:rsid w:val="001264FC"/>
    <w:rsid w:val="00126641"/>
    <w:rsid w:val="00126954"/>
    <w:rsid w:val="00132F9E"/>
    <w:rsid w:val="00133D3A"/>
    <w:rsid w:val="001352EE"/>
    <w:rsid w:val="00135505"/>
    <w:rsid w:val="001364A7"/>
    <w:rsid w:val="00136827"/>
    <w:rsid w:val="00137413"/>
    <w:rsid w:val="001375D4"/>
    <w:rsid w:val="00143750"/>
    <w:rsid w:val="00143E88"/>
    <w:rsid w:val="001455D8"/>
    <w:rsid w:val="00146B5E"/>
    <w:rsid w:val="0014790A"/>
    <w:rsid w:val="00151609"/>
    <w:rsid w:val="00151ABB"/>
    <w:rsid w:val="00152B2B"/>
    <w:rsid w:val="00154447"/>
    <w:rsid w:val="001549BE"/>
    <w:rsid w:val="00154CDE"/>
    <w:rsid w:val="00154F5B"/>
    <w:rsid w:val="00156A54"/>
    <w:rsid w:val="00156A81"/>
    <w:rsid w:val="00161DAC"/>
    <w:rsid w:val="00162B55"/>
    <w:rsid w:val="00162D8B"/>
    <w:rsid w:val="00163101"/>
    <w:rsid w:val="001634A8"/>
    <w:rsid w:val="001638E9"/>
    <w:rsid w:val="00165824"/>
    <w:rsid w:val="00165A23"/>
    <w:rsid w:val="001666EA"/>
    <w:rsid w:val="00167129"/>
    <w:rsid w:val="00167406"/>
    <w:rsid w:val="0017111A"/>
    <w:rsid w:val="00171A85"/>
    <w:rsid w:val="001722E4"/>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5EF5"/>
    <w:rsid w:val="00186850"/>
    <w:rsid w:val="001904A5"/>
    <w:rsid w:val="001923C8"/>
    <w:rsid w:val="001939FF"/>
    <w:rsid w:val="00194DE8"/>
    <w:rsid w:val="00197990"/>
    <w:rsid w:val="001A0106"/>
    <w:rsid w:val="001A02CB"/>
    <w:rsid w:val="001A11DB"/>
    <w:rsid w:val="001A33F4"/>
    <w:rsid w:val="001A347C"/>
    <w:rsid w:val="001A53AE"/>
    <w:rsid w:val="001A6256"/>
    <w:rsid w:val="001A6799"/>
    <w:rsid w:val="001A6F29"/>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3D00"/>
    <w:rsid w:val="001C42D0"/>
    <w:rsid w:val="001C7228"/>
    <w:rsid w:val="001C7B78"/>
    <w:rsid w:val="001C7FB4"/>
    <w:rsid w:val="001D0BA6"/>
    <w:rsid w:val="001D1354"/>
    <w:rsid w:val="001D1903"/>
    <w:rsid w:val="001D1942"/>
    <w:rsid w:val="001D1DDB"/>
    <w:rsid w:val="001D4ACA"/>
    <w:rsid w:val="001D53EA"/>
    <w:rsid w:val="001D6F7C"/>
    <w:rsid w:val="001E0156"/>
    <w:rsid w:val="001E12A5"/>
    <w:rsid w:val="001E1BF9"/>
    <w:rsid w:val="001E1EDB"/>
    <w:rsid w:val="001E3A18"/>
    <w:rsid w:val="001E6B90"/>
    <w:rsid w:val="001E7093"/>
    <w:rsid w:val="001E717D"/>
    <w:rsid w:val="001E71F5"/>
    <w:rsid w:val="001E7D86"/>
    <w:rsid w:val="001F377B"/>
    <w:rsid w:val="001F3CF9"/>
    <w:rsid w:val="001F55E5"/>
    <w:rsid w:val="001F5CB9"/>
    <w:rsid w:val="002003A1"/>
    <w:rsid w:val="00200DC3"/>
    <w:rsid w:val="002011E2"/>
    <w:rsid w:val="002019DE"/>
    <w:rsid w:val="00201B96"/>
    <w:rsid w:val="00201BB9"/>
    <w:rsid w:val="00202925"/>
    <w:rsid w:val="00202C70"/>
    <w:rsid w:val="002050B0"/>
    <w:rsid w:val="00205D80"/>
    <w:rsid w:val="00210874"/>
    <w:rsid w:val="0021093F"/>
    <w:rsid w:val="002133CA"/>
    <w:rsid w:val="002146B5"/>
    <w:rsid w:val="00215783"/>
    <w:rsid w:val="0021644B"/>
    <w:rsid w:val="00216489"/>
    <w:rsid w:val="00216DC9"/>
    <w:rsid w:val="00217CA0"/>
    <w:rsid w:val="002202EB"/>
    <w:rsid w:val="00220D02"/>
    <w:rsid w:val="00220FCF"/>
    <w:rsid w:val="00221705"/>
    <w:rsid w:val="00221972"/>
    <w:rsid w:val="002231C8"/>
    <w:rsid w:val="00224154"/>
    <w:rsid w:val="00224299"/>
    <w:rsid w:val="00230194"/>
    <w:rsid w:val="00231923"/>
    <w:rsid w:val="002329C3"/>
    <w:rsid w:val="002332AE"/>
    <w:rsid w:val="002333C2"/>
    <w:rsid w:val="00233F2D"/>
    <w:rsid w:val="00234040"/>
    <w:rsid w:val="0023409E"/>
    <w:rsid w:val="00235D67"/>
    <w:rsid w:val="0023626B"/>
    <w:rsid w:val="00242F07"/>
    <w:rsid w:val="00243020"/>
    <w:rsid w:val="00244D22"/>
    <w:rsid w:val="00246C09"/>
    <w:rsid w:val="002470E4"/>
    <w:rsid w:val="00247262"/>
    <w:rsid w:val="0025616B"/>
    <w:rsid w:val="00257285"/>
    <w:rsid w:val="00257FF4"/>
    <w:rsid w:val="00260546"/>
    <w:rsid w:val="002608CE"/>
    <w:rsid w:val="00261660"/>
    <w:rsid w:val="0026279C"/>
    <w:rsid w:val="00262CD3"/>
    <w:rsid w:val="00264181"/>
    <w:rsid w:val="00264BB2"/>
    <w:rsid w:val="00265289"/>
    <w:rsid w:val="00266613"/>
    <w:rsid w:val="00266FE9"/>
    <w:rsid w:val="00272396"/>
    <w:rsid w:val="00273D98"/>
    <w:rsid w:val="00275A4E"/>
    <w:rsid w:val="0027614D"/>
    <w:rsid w:val="0027651A"/>
    <w:rsid w:val="002770A1"/>
    <w:rsid w:val="0028001E"/>
    <w:rsid w:val="00280D53"/>
    <w:rsid w:val="00281CF6"/>
    <w:rsid w:val="0028359B"/>
    <w:rsid w:val="00284441"/>
    <w:rsid w:val="002857FE"/>
    <w:rsid w:val="00286519"/>
    <w:rsid w:val="00290933"/>
    <w:rsid w:val="00291E57"/>
    <w:rsid w:val="00292D6A"/>
    <w:rsid w:val="0029312A"/>
    <w:rsid w:val="0029325C"/>
    <w:rsid w:val="00293B2D"/>
    <w:rsid w:val="00293B46"/>
    <w:rsid w:val="00294E5F"/>
    <w:rsid w:val="002960B7"/>
    <w:rsid w:val="00297643"/>
    <w:rsid w:val="00297824"/>
    <w:rsid w:val="002A01A7"/>
    <w:rsid w:val="002A0D51"/>
    <w:rsid w:val="002A0F2E"/>
    <w:rsid w:val="002A153F"/>
    <w:rsid w:val="002A32FD"/>
    <w:rsid w:val="002A40DC"/>
    <w:rsid w:val="002A4534"/>
    <w:rsid w:val="002A5329"/>
    <w:rsid w:val="002A5C2D"/>
    <w:rsid w:val="002A5CB3"/>
    <w:rsid w:val="002A61E5"/>
    <w:rsid w:val="002A74DD"/>
    <w:rsid w:val="002A7FC8"/>
    <w:rsid w:val="002B0A81"/>
    <w:rsid w:val="002B1CE7"/>
    <w:rsid w:val="002B2F0F"/>
    <w:rsid w:val="002B595D"/>
    <w:rsid w:val="002B5F6A"/>
    <w:rsid w:val="002B601B"/>
    <w:rsid w:val="002B646A"/>
    <w:rsid w:val="002B779E"/>
    <w:rsid w:val="002B7D6F"/>
    <w:rsid w:val="002B7D78"/>
    <w:rsid w:val="002C044D"/>
    <w:rsid w:val="002C0552"/>
    <w:rsid w:val="002C0961"/>
    <w:rsid w:val="002C1CF7"/>
    <w:rsid w:val="002C1D11"/>
    <w:rsid w:val="002C25D0"/>
    <w:rsid w:val="002C2678"/>
    <w:rsid w:val="002C280B"/>
    <w:rsid w:val="002C2DB0"/>
    <w:rsid w:val="002C4D41"/>
    <w:rsid w:val="002C75B0"/>
    <w:rsid w:val="002C7703"/>
    <w:rsid w:val="002C7A63"/>
    <w:rsid w:val="002D0153"/>
    <w:rsid w:val="002D0985"/>
    <w:rsid w:val="002D403A"/>
    <w:rsid w:val="002D4262"/>
    <w:rsid w:val="002D46B7"/>
    <w:rsid w:val="002E1064"/>
    <w:rsid w:val="002E20D4"/>
    <w:rsid w:val="002E2551"/>
    <w:rsid w:val="002E323F"/>
    <w:rsid w:val="002E5554"/>
    <w:rsid w:val="002E5D24"/>
    <w:rsid w:val="002E67FE"/>
    <w:rsid w:val="002F1B12"/>
    <w:rsid w:val="002F530C"/>
    <w:rsid w:val="002F591B"/>
    <w:rsid w:val="002F7B47"/>
    <w:rsid w:val="00300013"/>
    <w:rsid w:val="0030032D"/>
    <w:rsid w:val="003006F8"/>
    <w:rsid w:val="00300BF2"/>
    <w:rsid w:val="003027C1"/>
    <w:rsid w:val="00302A25"/>
    <w:rsid w:val="00304900"/>
    <w:rsid w:val="00304C13"/>
    <w:rsid w:val="00305718"/>
    <w:rsid w:val="00305EC5"/>
    <w:rsid w:val="00306107"/>
    <w:rsid w:val="003077B8"/>
    <w:rsid w:val="003111C4"/>
    <w:rsid w:val="003111F8"/>
    <w:rsid w:val="0031204A"/>
    <w:rsid w:val="0031272B"/>
    <w:rsid w:val="00315435"/>
    <w:rsid w:val="0032038C"/>
    <w:rsid w:val="00320483"/>
    <w:rsid w:val="00321889"/>
    <w:rsid w:val="00325C5E"/>
    <w:rsid w:val="0032738E"/>
    <w:rsid w:val="00327435"/>
    <w:rsid w:val="00331B40"/>
    <w:rsid w:val="00331C5F"/>
    <w:rsid w:val="00332E95"/>
    <w:rsid w:val="00333074"/>
    <w:rsid w:val="00333223"/>
    <w:rsid w:val="00333A43"/>
    <w:rsid w:val="00334F7E"/>
    <w:rsid w:val="003364C1"/>
    <w:rsid w:val="00337F82"/>
    <w:rsid w:val="00340640"/>
    <w:rsid w:val="00340810"/>
    <w:rsid w:val="003435D6"/>
    <w:rsid w:val="003458E0"/>
    <w:rsid w:val="00345CCD"/>
    <w:rsid w:val="003511CE"/>
    <w:rsid w:val="00351909"/>
    <w:rsid w:val="00352BE0"/>
    <w:rsid w:val="0035333E"/>
    <w:rsid w:val="003538F0"/>
    <w:rsid w:val="00357DAE"/>
    <w:rsid w:val="003602A5"/>
    <w:rsid w:val="00361259"/>
    <w:rsid w:val="00361429"/>
    <w:rsid w:val="00362AA7"/>
    <w:rsid w:val="00363B11"/>
    <w:rsid w:val="003672D6"/>
    <w:rsid w:val="003705BF"/>
    <w:rsid w:val="00370935"/>
    <w:rsid w:val="00371C1A"/>
    <w:rsid w:val="00372B95"/>
    <w:rsid w:val="00375E52"/>
    <w:rsid w:val="00380888"/>
    <w:rsid w:val="00380D9F"/>
    <w:rsid w:val="003819E1"/>
    <w:rsid w:val="0038204B"/>
    <w:rsid w:val="00382234"/>
    <w:rsid w:val="003834C7"/>
    <w:rsid w:val="00385A6A"/>
    <w:rsid w:val="0038672F"/>
    <w:rsid w:val="00386BC9"/>
    <w:rsid w:val="00386F24"/>
    <w:rsid w:val="003876AB"/>
    <w:rsid w:val="00387957"/>
    <w:rsid w:val="0039053D"/>
    <w:rsid w:val="003910B7"/>
    <w:rsid w:val="00392B8A"/>
    <w:rsid w:val="00392DD1"/>
    <w:rsid w:val="0039449C"/>
    <w:rsid w:val="00395E02"/>
    <w:rsid w:val="0039684C"/>
    <w:rsid w:val="003A0290"/>
    <w:rsid w:val="003A25BB"/>
    <w:rsid w:val="003A300D"/>
    <w:rsid w:val="003A3DA0"/>
    <w:rsid w:val="003A3E7B"/>
    <w:rsid w:val="003A4566"/>
    <w:rsid w:val="003A7067"/>
    <w:rsid w:val="003B09F6"/>
    <w:rsid w:val="003B0AFB"/>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4E3A"/>
    <w:rsid w:val="003D015A"/>
    <w:rsid w:val="003D0E1C"/>
    <w:rsid w:val="003D1E47"/>
    <w:rsid w:val="003D3662"/>
    <w:rsid w:val="003D3C14"/>
    <w:rsid w:val="003D4188"/>
    <w:rsid w:val="003D4557"/>
    <w:rsid w:val="003D543D"/>
    <w:rsid w:val="003D59FD"/>
    <w:rsid w:val="003E10B8"/>
    <w:rsid w:val="003E122D"/>
    <w:rsid w:val="003E13F5"/>
    <w:rsid w:val="003E1978"/>
    <w:rsid w:val="003E2B5E"/>
    <w:rsid w:val="003E32AC"/>
    <w:rsid w:val="003E3FF4"/>
    <w:rsid w:val="003E4E15"/>
    <w:rsid w:val="003E5912"/>
    <w:rsid w:val="003E5AE8"/>
    <w:rsid w:val="003E68C4"/>
    <w:rsid w:val="003F07EE"/>
    <w:rsid w:val="003F29F2"/>
    <w:rsid w:val="003F3C77"/>
    <w:rsid w:val="003F47DF"/>
    <w:rsid w:val="003F6209"/>
    <w:rsid w:val="003F6ABF"/>
    <w:rsid w:val="00401831"/>
    <w:rsid w:val="0040314A"/>
    <w:rsid w:val="0040579B"/>
    <w:rsid w:val="00405DAB"/>
    <w:rsid w:val="00405E90"/>
    <w:rsid w:val="0040629D"/>
    <w:rsid w:val="004065CE"/>
    <w:rsid w:val="00406802"/>
    <w:rsid w:val="00407A61"/>
    <w:rsid w:val="004105DD"/>
    <w:rsid w:val="00410DCE"/>
    <w:rsid w:val="00412C0B"/>
    <w:rsid w:val="0041404E"/>
    <w:rsid w:val="0041429D"/>
    <w:rsid w:val="004147D0"/>
    <w:rsid w:val="00414E1F"/>
    <w:rsid w:val="0041581E"/>
    <w:rsid w:val="004161E5"/>
    <w:rsid w:val="00417370"/>
    <w:rsid w:val="0041765C"/>
    <w:rsid w:val="00420837"/>
    <w:rsid w:val="00421EEC"/>
    <w:rsid w:val="00422933"/>
    <w:rsid w:val="00422F4B"/>
    <w:rsid w:val="00423003"/>
    <w:rsid w:val="004248B4"/>
    <w:rsid w:val="00424C66"/>
    <w:rsid w:val="0042526D"/>
    <w:rsid w:val="004254A2"/>
    <w:rsid w:val="00426342"/>
    <w:rsid w:val="00426D71"/>
    <w:rsid w:val="004270D1"/>
    <w:rsid w:val="00430256"/>
    <w:rsid w:val="00430E3D"/>
    <w:rsid w:val="0043194D"/>
    <w:rsid w:val="00431BF1"/>
    <w:rsid w:val="00433D22"/>
    <w:rsid w:val="004342F8"/>
    <w:rsid w:val="00434A2F"/>
    <w:rsid w:val="0044083A"/>
    <w:rsid w:val="004408FA"/>
    <w:rsid w:val="0044552A"/>
    <w:rsid w:val="00445663"/>
    <w:rsid w:val="00445C8B"/>
    <w:rsid w:val="004461A4"/>
    <w:rsid w:val="00446612"/>
    <w:rsid w:val="00450E44"/>
    <w:rsid w:val="00451501"/>
    <w:rsid w:val="00452770"/>
    <w:rsid w:val="004528D0"/>
    <w:rsid w:val="00453C86"/>
    <w:rsid w:val="00454564"/>
    <w:rsid w:val="004562E5"/>
    <w:rsid w:val="00457125"/>
    <w:rsid w:val="00457BC3"/>
    <w:rsid w:val="0046034D"/>
    <w:rsid w:val="00461801"/>
    <w:rsid w:val="00462272"/>
    <w:rsid w:val="0046390C"/>
    <w:rsid w:val="00464569"/>
    <w:rsid w:val="00465D4E"/>
    <w:rsid w:val="00465EA2"/>
    <w:rsid w:val="00466381"/>
    <w:rsid w:val="0046700C"/>
    <w:rsid w:val="00467393"/>
    <w:rsid w:val="00467BDD"/>
    <w:rsid w:val="004717F6"/>
    <w:rsid w:val="00473198"/>
    <w:rsid w:val="0047364D"/>
    <w:rsid w:val="0047481E"/>
    <w:rsid w:val="00474918"/>
    <w:rsid w:val="00474DFD"/>
    <w:rsid w:val="00475EAF"/>
    <w:rsid w:val="0047681C"/>
    <w:rsid w:val="004815F8"/>
    <w:rsid w:val="00481E32"/>
    <w:rsid w:val="004831ED"/>
    <w:rsid w:val="004831FC"/>
    <w:rsid w:val="004836A7"/>
    <w:rsid w:val="004847B4"/>
    <w:rsid w:val="00484921"/>
    <w:rsid w:val="00485FE5"/>
    <w:rsid w:val="00486614"/>
    <w:rsid w:val="00487E11"/>
    <w:rsid w:val="00487FB8"/>
    <w:rsid w:val="004900FE"/>
    <w:rsid w:val="004919D4"/>
    <w:rsid w:val="00491FB2"/>
    <w:rsid w:val="0049200C"/>
    <w:rsid w:val="0049212C"/>
    <w:rsid w:val="00495C39"/>
    <w:rsid w:val="004A1224"/>
    <w:rsid w:val="004A247B"/>
    <w:rsid w:val="004A28C5"/>
    <w:rsid w:val="004A2F59"/>
    <w:rsid w:val="004A4CE0"/>
    <w:rsid w:val="004A4FC4"/>
    <w:rsid w:val="004A5E53"/>
    <w:rsid w:val="004A64B4"/>
    <w:rsid w:val="004A660C"/>
    <w:rsid w:val="004A6B44"/>
    <w:rsid w:val="004A6E0E"/>
    <w:rsid w:val="004B0B19"/>
    <w:rsid w:val="004B1E81"/>
    <w:rsid w:val="004B35F0"/>
    <w:rsid w:val="004B37A7"/>
    <w:rsid w:val="004B3D7E"/>
    <w:rsid w:val="004B4426"/>
    <w:rsid w:val="004B44E1"/>
    <w:rsid w:val="004B5F2A"/>
    <w:rsid w:val="004B74B2"/>
    <w:rsid w:val="004C0C19"/>
    <w:rsid w:val="004C103D"/>
    <w:rsid w:val="004C1303"/>
    <w:rsid w:val="004C1399"/>
    <w:rsid w:val="004C1C09"/>
    <w:rsid w:val="004C2084"/>
    <w:rsid w:val="004C2A17"/>
    <w:rsid w:val="004C2B0E"/>
    <w:rsid w:val="004C2DB7"/>
    <w:rsid w:val="004C5507"/>
    <w:rsid w:val="004C7679"/>
    <w:rsid w:val="004D1E1A"/>
    <w:rsid w:val="004D1EFF"/>
    <w:rsid w:val="004D23A9"/>
    <w:rsid w:val="004D2683"/>
    <w:rsid w:val="004D29F5"/>
    <w:rsid w:val="004D2F90"/>
    <w:rsid w:val="004D7804"/>
    <w:rsid w:val="004E0308"/>
    <w:rsid w:val="004E2825"/>
    <w:rsid w:val="004E3079"/>
    <w:rsid w:val="004E3276"/>
    <w:rsid w:val="004E3836"/>
    <w:rsid w:val="004E62E4"/>
    <w:rsid w:val="004E7C41"/>
    <w:rsid w:val="004F0E90"/>
    <w:rsid w:val="004F0F5B"/>
    <w:rsid w:val="004F1212"/>
    <w:rsid w:val="004F2249"/>
    <w:rsid w:val="004F22B8"/>
    <w:rsid w:val="004F2437"/>
    <w:rsid w:val="004F4242"/>
    <w:rsid w:val="004F4624"/>
    <w:rsid w:val="004F5573"/>
    <w:rsid w:val="004F5D8B"/>
    <w:rsid w:val="004F634F"/>
    <w:rsid w:val="004F7556"/>
    <w:rsid w:val="004F78BF"/>
    <w:rsid w:val="00500700"/>
    <w:rsid w:val="00500816"/>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37A4"/>
    <w:rsid w:val="00514B1A"/>
    <w:rsid w:val="00514E2B"/>
    <w:rsid w:val="005150C5"/>
    <w:rsid w:val="00516A62"/>
    <w:rsid w:val="00517351"/>
    <w:rsid w:val="00521860"/>
    <w:rsid w:val="00521D74"/>
    <w:rsid w:val="005222CC"/>
    <w:rsid w:val="00522622"/>
    <w:rsid w:val="00523B5E"/>
    <w:rsid w:val="005250EE"/>
    <w:rsid w:val="00525AB1"/>
    <w:rsid w:val="00525E3E"/>
    <w:rsid w:val="00526B01"/>
    <w:rsid w:val="00526C61"/>
    <w:rsid w:val="00527492"/>
    <w:rsid w:val="005277F5"/>
    <w:rsid w:val="00527FB1"/>
    <w:rsid w:val="005310C1"/>
    <w:rsid w:val="00531934"/>
    <w:rsid w:val="00532994"/>
    <w:rsid w:val="005329BE"/>
    <w:rsid w:val="00533515"/>
    <w:rsid w:val="005342DE"/>
    <w:rsid w:val="00534AC0"/>
    <w:rsid w:val="00535557"/>
    <w:rsid w:val="0053606A"/>
    <w:rsid w:val="005369C0"/>
    <w:rsid w:val="00536B92"/>
    <w:rsid w:val="00540B25"/>
    <w:rsid w:val="00540D82"/>
    <w:rsid w:val="00541254"/>
    <w:rsid w:val="005421CC"/>
    <w:rsid w:val="00542BA5"/>
    <w:rsid w:val="00543A98"/>
    <w:rsid w:val="00544841"/>
    <w:rsid w:val="00547058"/>
    <w:rsid w:val="00547CD4"/>
    <w:rsid w:val="00547E34"/>
    <w:rsid w:val="00547EB8"/>
    <w:rsid w:val="0055118C"/>
    <w:rsid w:val="00552FC2"/>
    <w:rsid w:val="00553DA2"/>
    <w:rsid w:val="005543FB"/>
    <w:rsid w:val="00555623"/>
    <w:rsid w:val="005562DC"/>
    <w:rsid w:val="00556725"/>
    <w:rsid w:val="00557A85"/>
    <w:rsid w:val="005606B5"/>
    <w:rsid w:val="00560E2D"/>
    <w:rsid w:val="00562BAD"/>
    <w:rsid w:val="0056365E"/>
    <w:rsid w:val="00565C77"/>
    <w:rsid w:val="00566181"/>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3F4B"/>
    <w:rsid w:val="00584245"/>
    <w:rsid w:val="00584C2D"/>
    <w:rsid w:val="00584D80"/>
    <w:rsid w:val="005852CF"/>
    <w:rsid w:val="00586535"/>
    <w:rsid w:val="00586BB5"/>
    <w:rsid w:val="00586DFB"/>
    <w:rsid w:val="00587C83"/>
    <w:rsid w:val="005905BC"/>
    <w:rsid w:val="005909CB"/>
    <w:rsid w:val="00590B75"/>
    <w:rsid w:val="00590DAA"/>
    <w:rsid w:val="0059205C"/>
    <w:rsid w:val="00592349"/>
    <w:rsid w:val="00592D49"/>
    <w:rsid w:val="00596F3F"/>
    <w:rsid w:val="00596F9B"/>
    <w:rsid w:val="00597EEF"/>
    <w:rsid w:val="005A1C4E"/>
    <w:rsid w:val="005A3160"/>
    <w:rsid w:val="005A3678"/>
    <w:rsid w:val="005A3DAF"/>
    <w:rsid w:val="005A4A1A"/>
    <w:rsid w:val="005A61D3"/>
    <w:rsid w:val="005A7C0B"/>
    <w:rsid w:val="005A7E70"/>
    <w:rsid w:val="005B1A53"/>
    <w:rsid w:val="005B2AF7"/>
    <w:rsid w:val="005B40E8"/>
    <w:rsid w:val="005B6DAA"/>
    <w:rsid w:val="005B7314"/>
    <w:rsid w:val="005B7C27"/>
    <w:rsid w:val="005B7D8B"/>
    <w:rsid w:val="005C03F6"/>
    <w:rsid w:val="005C0475"/>
    <w:rsid w:val="005C1569"/>
    <w:rsid w:val="005C348A"/>
    <w:rsid w:val="005C3C1A"/>
    <w:rsid w:val="005C4604"/>
    <w:rsid w:val="005C46D8"/>
    <w:rsid w:val="005C4BEE"/>
    <w:rsid w:val="005C6E74"/>
    <w:rsid w:val="005C7319"/>
    <w:rsid w:val="005C732E"/>
    <w:rsid w:val="005C781C"/>
    <w:rsid w:val="005D13ED"/>
    <w:rsid w:val="005D181E"/>
    <w:rsid w:val="005D1868"/>
    <w:rsid w:val="005D330E"/>
    <w:rsid w:val="005D7A35"/>
    <w:rsid w:val="005E034F"/>
    <w:rsid w:val="005E09A7"/>
    <w:rsid w:val="005E198B"/>
    <w:rsid w:val="005E19D9"/>
    <w:rsid w:val="005E1D35"/>
    <w:rsid w:val="005E2A31"/>
    <w:rsid w:val="005E3D2F"/>
    <w:rsid w:val="005E442F"/>
    <w:rsid w:val="005E54A3"/>
    <w:rsid w:val="005E5625"/>
    <w:rsid w:val="005E61D8"/>
    <w:rsid w:val="005E6EE0"/>
    <w:rsid w:val="005E6F2B"/>
    <w:rsid w:val="005E7E2C"/>
    <w:rsid w:val="005F1ADE"/>
    <w:rsid w:val="005F29CD"/>
    <w:rsid w:val="005F3175"/>
    <w:rsid w:val="005F3436"/>
    <w:rsid w:val="005F3506"/>
    <w:rsid w:val="005F41D8"/>
    <w:rsid w:val="005F4739"/>
    <w:rsid w:val="005F6228"/>
    <w:rsid w:val="005F642B"/>
    <w:rsid w:val="005F67FC"/>
    <w:rsid w:val="00601630"/>
    <w:rsid w:val="00601A28"/>
    <w:rsid w:val="006026E1"/>
    <w:rsid w:val="00603A90"/>
    <w:rsid w:val="00605163"/>
    <w:rsid w:val="006065BF"/>
    <w:rsid w:val="006070EA"/>
    <w:rsid w:val="00607ABE"/>
    <w:rsid w:val="00607F53"/>
    <w:rsid w:val="006103D0"/>
    <w:rsid w:val="0061103A"/>
    <w:rsid w:val="00611EAE"/>
    <w:rsid w:val="0061364A"/>
    <w:rsid w:val="00613BEA"/>
    <w:rsid w:val="00613C26"/>
    <w:rsid w:val="0061402C"/>
    <w:rsid w:val="0061595F"/>
    <w:rsid w:val="00615A79"/>
    <w:rsid w:val="00616179"/>
    <w:rsid w:val="0061675B"/>
    <w:rsid w:val="0061791E"/>
    <w:rsid w:val="0062052B"/>
    <w:rsid w:val="00620F8F"/>
    <w:rsid w:val="00621A86"/>
    <w:rsid w:val="00623401"/>
    <w:rsid w:val="00625C40"/>
    <w:rsid w:val="00627E7C"/>
    <w:rsid w:val="00630CFF"/>
    <w:rsid w:val="00631369"/>
    <w:rsid w:val="00632481"/>
    <w:rsid w:val="0063262D"/>
    <w:rsid w:val="0063268B"/>
    <w:rsid w:val="0063390E"/>
    <w:rsid w:val="00634673"/>
    <w:rsid w:val="00637BBD"/>
    <w:rsid w:val="00640D17"/>
    <w:rsid w:val="00641A99"/>
    <w:rsid w:val="00642768"/>
    <w:rsid w:val="00642A84"/>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59A3"/>
    <w:rsid w:val="00655F43"/>
    <w:rsid w:val="006575F3"/>
    <w:rsid w:val="00660871"/>
    <w:rsid w:val="0066221A"/>
    <w:rsid w:val="00662367"/>
    <w:rsid w:val="00662809"/>
    <w:rsid w:val="00663823"/>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3F4"/>
    <w:rsid w:val="006854CE"/>
    <w:rsid w:val="00685B9E"/>
    <w:rsid w:val="00686B47"/>
    <w:rsid w:val="0068790B"/>
    <w:rsid w:val="006906E4"/>
    <w:rsid w:val="00691C54"/>
    <w:rsid w:val="00691E49"/>
    <w:rsid w:val="006922DC"/>
    <w:rsid w:val="006941DD"/>
    <w:rsid w:val="0069466B"/>
    <w:rsid w:val="00694795"/>
    <w:rsid w:val="00695014"/>
    <w:rsid w:val="00696AA8"/>
    <w:rsid w:val="006A21A9"/>
    <w:rsid w:val="006A257C"/>
    <w:rsid w:val="006A2615"/>
    <w:rsid w:val="006A4158"/>
    <w:rsid w:val="006A4AA7"/>
    <w:rsid w:val="006A4E15"/>
    <w:rsid w:val="006A5866"/>
    <w:rsid w:val="006A5E4F"/>
    <w:rsid w:val="006A643C"/>
    <w:rsid w:val="006B006D"/>
    <w:rsid w:val="006B0F54"/>
    <w:rsid w:val="006B12C6"/>
    <w:rsid w:val="006B415B"/>
    <w:rsid w:val="006B4C95"/>
    <w:rsid w:val="006B4CBA"/>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5828"/>
    <w:rsid w:val="006E6BB9"/>
    <w:rsid w:val="006E784F"/>
    <w:rsid w:val="006F0B4F"/>
    <w:rsid w:val="006F0E97"/>
    <w:rsid w:val="006F2DF3"/>
    <w:rsid w:val="006F2DF9"/>
    <w:rsid w:val="006F3C6F"/>
    <w:rsid w:val="006F41C6"/>
    <w:rsid w:val="006F48A9"/>
    <w:rsid w:val="006F5DD9"/>
    <w:rsid w:val="006F6FA2"/>
    <w:rsid w:val="007001D0"/>
    <w:rsid w:val="00700CE3"/>
    <w:rsid w:val="00701498"/>
    <w:rsid w:val="00701E70"/>
    <w:rsid w:val="00704F47"/>
    <w:rsid w:val="00705001"/>
    <w:rsid w:val="00705BC0"/>
    <w:rsid w:val="00706628"/>
    <w:rsid w:val="007072C2"/>
    <w:rsid w:val="0070746B"/>
    <w:rsid w:val="007075CA"/>
    <w:rsid w:val="00710C02"/>
    <w:rsid w:val="0071151E"/>
    <w:rsid w:val="007118AC"/>
    <w:rsid w:val="00711FC7"/>
    <w:rsid w:val="0071482B"/>
    <w:rsid w:val="00714C8F"/>
    <w:rsid w:val="00715A32"/>
    <w:rsid w:val="00716E03"/>
    <w:rsid w:val="00716F57"/>
    <w:rsid w:val="00717A74"/>
    <w:rsid w:val="00720EA2"/>
    <w:rsid w:val="00721409"/>
    <w:rsid w:val="0072151E"/>
    <w:rsid w:val="00721CE0"/>
    <w:rsid w:val="007221A2"/>
    <w:rsid w:val="00722935"/>
    <w:rsid w:val="00723579"/>
    <w:rsid w:val="00723A1F"/>
    <w:rsid w:val="00723BA8"/>
    <w:rsid w:val="00724257"/>
    <w:rsid w:val="007254A8"/>
    <w:rsid w:val="00727815"/>
    <w:rsid w:val="007301A7"/>
    <w:rsid w:val="00730E31"/>
    <w:rsid w:val="00732886"/>
    <w:rsid w:val="007346F8"/>
    <w:rsid w:val="00734D66"/>
    <w:rsid w:val="00734E06"/>
    <w:rsid w:val="00736E9D"/>
    <w:rsid w:val="007373FA"/>
    <w:rsid w:val="00737E7D"/>
    <w:rsid w:val="0074063F"/>
    <w:rsid w:val="00740EF1"/>
    <w:rsid w:val="00741AE1"/>
    <w:rsid w:val="00741BF8"/>
    <w:rsid w:val="00742112"/>
    <w:rsid w:val="0074250E"/>
    <w:rsid w:val="007437BA"/>
    <w:rsid w:val="007444E7"/>
    <w:rsid w:val="00744DBD"/>
    <w:rsid w:val="00745398"/>
    <w:rsid w:val="00746FC3"/>
    <w:rsid w:val="00747B90"/>
    <w:rsid w:val="00754870"/>
    <w:rsid w:val="007561F0"/>
    <w:rsid w:val="00756632"/>
    <w:rsid w:val="0075754A"/>
    <w:rsid w:val="00760554"/>
    <w:rsid w:val="0076083D"/>
    <w:rsid w:val="00761071"/>
    <w:rsid w:val="00761DC2"/>
    <w:rsid w:val="00762B1E"/>
    <w:rsid w:val="00764B94"/>
    <w:rsid w:val="007652E2"/>
    <w:rsid w:val="00765A82"/>
    <w:rsid w:val="00766434"/>
    <w:rsid w:val="00770E10"/>
    <w:rsid w:val="00771E5C"/>
    <w:rsid w:val="00772107"/>
    <w:rsid w:val="00772BA7"/>
    <w:rsid w:val="00773E30"/>
    <w:rsid w:val="0077427A"/>
    <w:rsid w:val="007742FF"/>
    <w:rsid w:val="00774A83"/>
    <w:rsid w:val="00775146"/>
    <w:rsid w:val="0077566D"/>
    <w:rsid w:val="00776097"/>
    <w:rsid w:val="007766A5"/>
    <w:rsid w:val="00776E39"/>
    <w:rsid w:val="0078016D"/>
    <w:rsid w:val="00781778"/>
    <w:rsid w:val="00782098"/>
    <w:rsid w:val="00783D75"/>
    <w:rsid w:val="00786231"/>
    <w:rsid w:val="0078704D"/>
    <w:rsid w:val="0079000B"/>
    <w:rsid w:val="007900CB"/>
    <w:rsid w:val="007905B2"/>
    <w:rsid w:val="00790AE6"/>
    <w:rsid w:val="00790E9B"/>
    <w:rsid w:val="007917E7"/>
    <w:rsid w:val="007927C6"/>
    <w:rsid w:val="0079348E"/>
    <w:rsid w:val="00793EEB"/>
    <w:rsid w:val="0079405B"/>
    <w:rsid w:val="00795679"/>
    <w:rsid w:val="0079797F"/>
    <w:rsid w:val="007A05F4"/>
    <w:rsid w:val="007A0BB9"/>
    <w:rsid w:val="007A14E8"/>
    <w:rsid w:val="007A1D73"/>
    <w:rsid w:val="007A1E39"/>
    <w:rsid w:val="007A2EE4"/>
    <w:rsid w:val="007A4023"/>
    <w:rsid w:val="007A5445"/>
    <w:rsid w:val="007A5A94"/>
    <w:rsid w:val="007A5E11"/>
    <w:rsid w:val="007A6C47"/>
    <w:rsid w:val="007B31F7"/>
    <w:rsid w:val="007B347F"/>
    <w:rsid w:val="007B39F6"/>
    <w:rsid w:val="007B40EA"/>
    <w:rsid w:val="007B4481"/>
    <w:rsid w:val="007B5A98"/>
    <w:rsid w:val="007B5E30"/>
    <w:rsid w:val="007C1DB0"/>
    <w:rsid w:val="007C2270"/>
    <w:rsid w:val="007C27D4"/>
    <w:rsid w:val="007C4720"/>
    <w:rsid w:val="007C4BB0"/>
    <w:rsid w:val="007C4CCE"/>
    <w:rsid w:val="007C570A"/>
    <w:rsid w:val="007C7D49"/>
    <w:rsid w:val="007C7DE5"/>
    <w:rsid w:val="007D0EEB"/>
    <w:rsid w:val="007D1D99"/>
    <w:rsid w:val="007D4D2A"/>
    <w:rsid w:val="007D763D"/>
    <w:rsid w:val="007D77A3"/>
    <w:rsid w:val="007E00B1"/>
    <w:rsid w:val="007E0749"/>
    <w:rsid w:val="007E1598"/>
    <w:rsid w:val="007E2F87"/>
    <w:rsid w:val="007E334F"/>
    <w:rsid w:val="007E4155"/>
    <w:rsid w:val="007E57B5"/>
    <w:rsid w:val="007E5D39"/>
    <w:rsid w:val="007E66C8"/>
    <w:rsid w:val="007E67BD"/>
    <w:rsid w:val="007E6BBD"/>
    <w:rsid w:val="007F06E1"/>
    <w:rsid w:val="007F0C09"/>
    <w:rsid w:val="007F3E75"/>
    <w:rsid w:val="007F517F"/>
    <w:rsid w:val="007F6391"/>
    <w:rsid w:val="007F6FB8"/>
    <w:rsid w:val="007F7481"/>
    <w:rsid w:val="007F76FF"/>
    <w:rsid w:val="007F7E83"/>
    <w:rsid w:val="00801491"/>
    <w:rsid w:val="008015A7"/>
    <w:rsid w:val="00801B8F"/>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2B12"/>
    <w:rsid w:val="00815871"/>
    <w:rsid w:val="00821789"/>
    <w:rsid w:val="0082180B"/>
    <w:rsid w:val="00821BC9"/>
    <w:rsid w:val="00825147"/>
    <w:rsid w:val="00825D4F"/>
    <w:rsid w:val="00830017"/>
    <w:rsid w:val="00830787"/>
    <w:rsid w:val="00830DC9"/>
    <w:rsid w:val="00831489"/>
    <w:rsid w:val="00833A6A"/>
    <w:rsid w:val="00833E2F"/>
    <w:rsid w:val="00834F9A"/>
    <w:rsid w:val="008368F3"/>
    <w:rsid w:val="008400A8"/>
    <w:rsid w:val="00840349"/>
    <w:rsid w:val="0084156A"/>
    <w:rsid w:val="008427B1"/>
    <w:rsid w:val="008449FF"/>
    <w:rsid w:val="0084601D"/>
    <w:rsid w:val="008462FB"/>
    <w:rsid w:val="00846C73"/>
    <w:rsid w:val="00850462"/>
    <w:rsid w:val="0085161D"/>
    <w:rsid w:val="00855597"/>
    <w:rsid w:val="00855780"/>
    <w:rsid w:val="008557AA"/>
    <w:rsid w:val="00856178"/>
    <w:rsid w:val="008567C0"/>
    <w:rsid w:val="00856C69"/>
    <w:rsid w:val="008570AB"/>
    <w:rsid w:val="00862545"/>
    <w:rsid w:val="00862D62"/>
    <w:rsid w:val="00863356"/>
    <w:rsid w:val="00864544"/>
    <w:rsid w:val="008653B5"/>
    <w:rsid w:val="00865A76"/>
    <w:rsid w:val="00865B4B"/>
    <w:rsid w:val="008663D7"/>
    <w:rsid w:val="0086730B"/>
    <w:rsid w:val="00867762"/>
    <w:rsid w:val="008679E6"/>
    <w:rsid w:val="00867A0F"/>
    <w:rsid w:val="00871811"/>
    <w:rsid w:val="00872E1F"/>
    <w:rsid w:val="00873942"/>
    <w:rsid w:val="0087400E"/>
    <w:rsid w:val="00876D83"/>
    <w:rsid w:val="00880558"/>
    <w:rsid w:val="00882ED0"/>
    <w:rsid w:val="00883894"/>
    <w:rsid w:val="00885DA2"/>
    <w:rsid w:val="00885E17"/>
    <w:rsid w:val="00886342"/>
    <w:rsid w:val="008875DE"/>
    <w:rsid w:val="0089092F"/>
    <w:rsid w:val="00893594"/>
    <w:rsid w:val="008947EA"/>
    <w:rsid w:val="00894ABF"/>
    <w:rsid w:val="00896FF4"/>
    <w:rsid w:val="008A0E85"/>
    <w:rsid w:val="008A15CB"/>
    <w:rsid w:val="008A1DDE"/>
    <w:rsid w:val="008A2544"/>
    <w:rsid w:val="008A371D"/>
    <w:rsid w:val="008A3D17"/>
    <w:rsid w:val="008A5443"/>
    <w:rsid w:val="008A55A8"/>
    <w:rsid w:val="008A5F01"/>
    <w:rsid w:val="008A6B66"/>
    <w:rsid w:val="008A7078"/>
    <w:rsid w:val="008B0969"/>
    <w:rsid w:val="008B11D0"/>
    <w:rsid w:val="008B32B6"/>
    <w:rsid w:val="008B4243"/>
    <w:rsid w:val="008B4464"/>
    <w:rsid w:val="008B4BF2"/>
    <w:rsid w:val="008B56E5"/>
    <w:rsid w:val="008B5AFD"/>
    <w:rsid w:val="008B6650"/>
    <w:rsid w:val="008B729C"/>
    <w:rsid w:val="008B7A4E"/>
    <w:rsid w:val="008C1506"/>
    <w:rsid w:val="008C2D30"/>
    <w:rsid w:val="008C33F2"/>
    <w:rsid w:val="008C39BB"/>
    <w:rsid w:val="008C6C92"/>
    <w:rsid w:val="008C7571"/>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2B30"/>
    <w:rsid w:val="008E33EA"/>
    <w:rsid w:val="008E4180"/>
    <w:rsid w:val="008E4ECE"/>
    <w:rsid w:val="008E5BB7"/>
    <w:rsid w:val="008E5F84"/>
    <w:rsid w:val="008E6A1B"/>
    <w:rsid w:val="008E6FF6"/>
    <w:rsid w:val="008E72E5"/>
    <w:rsid w:val="008E79F9"/>
    <w:rsid w:val="008E7DCC"/>
    <w:rsid w:val="008F024B"/>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245A"/>
    <w:rsid w:val="0090394F"/>
    <w:rsid w:val="009054D3"/>
    <w:rsid w:val="00905587"/>
    <w:rsid w:val="009057D3"/>
    <w:rsid w:val="00907B9D"/>
    <w:rsid w:val="00910CE8"/>
    <w:rsid w:val="00910CFA"/>
    <w:rsid w:val="009125D2"/>
    <w:rsid w:val="00914007"/>
    <w:rsid w:val="00915E3F"/>
    <w:rsid w:val="00915F49"/>
    <w:rsid w:val="00915F97"/>
    <w:rsid w:val="0092273F"/>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7222"/>
    <w:rsid w:val="00947B5B"/>
    <w:rsid w:val="00947E58"/>
    <w:rsid w:val="00950281"/>
    <w:rsid w:val="00951BD3"/>
    <w:rsid w:val="009529FD"/>
    <w:rsid w:val="00952B8F"/>
    <w:rsid w:val="0095569B"/>
    <w:rsid w:val="009559F2"/>
    <w:rsid w:val="009562CC"/>
    <w:rsid w:val="0095695E"/>
    <w:rsid w:val="00957310"/>
    <w:rsid w:val="0095750D"/>
    <w:rsid w:val="00962B8F"/>
    <w:rsid w:val="009637E4"/>
    <w:rsid w:val="00964464"/>
    <w:rsid w:val="00965665"/>
    <w:rsid w:val="0096632E"/>
    <w:rsid w:val="00966D4F"/>
    <w:rsid w:val="00970E65"/>
    <w:rsid w:val="0097102C"/>
    <w:rsid w:val="00971CBF"/>
    <w:rsid w:val="00971F52"/>
    <w:rsid w:val="0097202E"/>
    <w:rsid w:val="00972E0B"/>
    <w:rsid w:val="0097462D"/>
    <w:rsid w:val="009748F0"/>
    <w:rsid w:val="00974A7C"/>
    <w:rsid w:val="0097587B"/>
    <w:rsid w:val="009766FE"/>
    <w:rsid w:val="00977715"/>
    <w:rsid w:val="00980439"/>
    <w:rsid w:val="00981632"/>
    <w:rsid w:val="00982444"/>
    <w:rsid w:val="00982BA7"/>
    <w:rsid w:val="00982D92"/>
    <w:rsid w:val="00982F10"/>
    <w:rsid w:val="009834A0"/>
    <w:rsid w:val="009843A8"/>
    <w:rsid w:val="00984993"/>
    <w:rsid w:val="00984CA2"/>
    <w:rsid w:val="009854F1"/>
    <w:rsid w:val="0098714A"/>
    <w:rsid w:val="00992D26"/>
    <w:rsid w:val="00993EA1"/>
    <w:rsid w:val="0099496C"/>
    <w:rsid w:val="00996569"/>
    <w:rsid w:val="009A057B"/>
    <w:rsid w:val="009A06F0"/>
    <w:rsid w:val="009A14DE"/>
    <w:rsid w:val="009A2294"/>
    <w:rsid w:val="009A40DD"/>
    <w:rsid w:val="009A5F36"/>
    <w:rsid w:val="009A72B5"/>
    <w:rsid w:val="009A7BC2"/>
    <w:rsid w:val="009B011E"/>
    <w:rsid w:val="009B180F"/>
    <w:rsid w:val="009B1897"/>
    <w:rsid w:val="009B1BB7"/>
    <w:rsid w:val="009B1C51"/>
    <w:rsid w:val="009B48D4"/>
    <w:rsid w:val="009B6DB2"/>
    <w:rsid w:val="009B751B"/>
    <w:rsid w:val="009C0992"/>
    <w:rsid w:val="009C0C48"/>
    <w:rsid w:val="009C1830"/>
    <w:rsid w:val="009C23DA"/>
    <w:rsid w:val="009C24B3"/>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A90"/>
    <w:rsid w:val="009D6969"/>
    <w:rsid w:val="009D7470"/>
    <w:rsid w:val="009D7A58"/>
    <w:rsid w:val="009E0828"/>
    <w:rsid w:val="009E0CED"/>
    <w:rsid w:val="009E17A2"/>
    <w:rsid w:val="009E2D23"/>
    <w:rsid w:val="009E4043"/>
    <w:rsid w:val="009E43C1"/>
    <w:rsid w:val="009E54AE"/>
    <w:rsid w:val="009E6DF1"/>
    <w:rsid w:val="009F000D"/>
    <w:rsid w:val="009F3BA0"/>
    <w:rsid w:val="009F3F5D"/>
    <w:rsid w:val="009F43CB"/>
    <w:rsid w:val="009F4CB9"/>
    <w:rsid w:val="00A00283"/>
    <w:rsid w:val="00A007C4"/>
    <w:rsid w:val="00A012FA"/>
    <w:rsid w:val="00A01325"/>
    <w:rsid w:val="00A01C02"/>
    <w:rsid w:val="00A02D24"/>
    <w:rsid w:val="00A05113"/>
    <w:rsid w:val="00A054DC"/>
    <w:rsid w:val="00A05ED3"/>
    <w:rsid w:val="00A069AE"/>
    <w:rsid w:val="00A10389"/>
    <w:rsid w:val="00A1133E"/>
    <w:rsid w:val="00A11888"/>
    <w:rsid w:val="00A11E62"/>
    <w:rsid w:val="00A11E8F"/>
    <w:rsid w:val="00A12369"/>
    <w:rsid w:val="00A124A0"/>
    <w:rsid w:val="00A13522"/>
    <w:rsid w:val="00A14357"/>
    <w:rsid w:val="00A1524F"/>
    <w:rsid w:val="00A15E63"/>
    <w:rsid w:val="00A167D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560B"/>
    <w:rsid w:val="00A35FAA"/>
    <w:rsid w:val="00A40163"/>
    <w:rsid w:val="00A409BC"/>
    <w:rsid w:val="00A42F6D"/>
    <w:rsid w:val="00A44612"/>
    <w:rsid w:val="00A44720"/>
    <w:rsid w:val="00A46164"/>
    <w:rsid w:val="00A46A8E"/>
    <w:rsid w:val="00A51337"/>
    <w:rsid w:val="00A537E5"/>
    <w:rsid w:val="00A540A5"/>
    <w:rsid w:val="00A54248"/>
    <w:rsid w:val="00A54CAE"/>
    <w:rsid w:val="00A55B6F"/>
    <w:rsid w:val="00A61BD0"/>
    <w:rsid w:val="00A6388E"/>
    <w:rsid w:val="00A64BC6"/>
    <w:rsid w:val="00A64FD7"/>
    <w:rsid w:val="00A650B3"/>
    <w:rsid w:val="00A65517"/>
    <w:rsid w:val="00A659CB"/>
    <w:rsid w:val="00A70398"/>
    <w:rsid w:val="00A709AD"/>
    <w:rsid w:val="00A71441"/>
    <w:rsid w:val="00A72DA9"/>
    <w:rsid w:val="00A733CB"/>
    <w:rsid w:val="00A739DF"/>
    <w:rsid w:val="00A740A0"/>
    <w:rsid w:val="00A751AD"/>
    <w:rsid w:val="00A76045"/>
    <w:rsid w:val="00A773CD"/>
    <w:rsid w:val="00A775CF"/>
    <w:rsid w:val="00A77853"/>
    <w:rsid w:val="00A77FAF"/>
    <w:rsid w:val="00A805EB"/>
    <w:rsid w:val="00A80C87"/>
    <w:rsid w:val="00A81EED"/>
    <w:rsid w:val="00A84503"/>
    <w:rsid w:val="00A867DA"/>
    <w:rsid w:val="00A8782F"/>
    <w:rsid w:val="00A9167D"/>
    <w:rsid w:val="00A92D25"/>
    <w:rsid w:val="00A9401F"/>
    <w:rsid w:val="00A940A0"/>
    <w:rsid w:val="00A94689"/>
    <w:rsid w:val="00A94DDB"/>
    <w:rsid w:val="00A94F82"/>
    <w:rsid w:val="00A950A1"/>
    <w:rsid w:val="00A965CD"/>
    <w:rsid w:val="00A96970"/>
    <w:rsid w:val="00A96FE5"/>
    <w:rsid w:val="00AA1BEC"/>
    <w:rsid w:val="00AA27AA"/>
    <w:rsid w:val="00AA2DF3"/>
    <w:rsid w:val="00AA4761"/>
    <w:rsid w:val="00AA50BC"/>
    <w:rsid w:val="00AA6AE4"/>
    <w:rsid w:val="00AB24E7"/>
    <w:rsid w:val="00AB3237"/>
    <w:rsid w:val="00AB3917"/>
    <w:rsid w:val="00AB3A2D"/>
    <w:rsid w:val="00AB4AC8"/>
    <w:rsid w:val="00AB5E21"/>
    <w:rsid w:val="00AB75AE"/>
    <w:rsid w:val="00AB76EC"/>
    <w:rsid w:val="00AB7933"/>
    <w:rsid w:val="00AB7947"/>
    <w:rsid w:val="00AC13C9"/>
    <w:rsid w:val="00AC2374"/>
    <w:rsid w:val="00AC3071"/>
    <w:rsid w:val="00AC3A08"/>
    <w:rsid w:val="00AC3D18"/>
    <w:rsid w:val="00AC6332"/>
    <w:rsid w:val="00AD10CF"/>
    <w:rsid w:val="00AD2FC0"/>
    <w:rsid w:val="00AD3581"/>
    <w:rsid w:val="00AD35EA"/>
    <w:rsid w:val="00AD3BC7"/>
    <w:rsid w:val="00AD42E2"/>
    <w:rsid w:val="00AD4967"/>
    <w:rsid w:val="00AD562E"/>
    <w:rsid w:val="00AD5B1B"/>
    <w:rsid w:val="00AD66BE"/>
    <w:rsid w:val="00AD6DB9"/>
    <w:rsid w:val="00AE2459"/>
    <w:rsid w:val="00AE29C2"/>
    <w:rsid w:val="00AE3D23"/>
    <w:rsid w:val="00AE4500"/>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AF7674"/>
    <w:rsid w:val="00B00B01"/>
    <w:rsid w:val="00B01538"/>
    <w:rsid w:val="00B04550"/>
    <w:rsid w:val="00B04964"/>
    <w:rsid w:val="00B04CBD"/>
    <w:rsid w:val="00B10605"/>
    <w:rsid w:val="00B10F95"/>
    <w:rsid w:val="00B11B0A"/>
    <w:rsid w:val="00B12331"/>
    <w:rsid w:val="00B124AD"/>
    <w:rsid w:val="00B1444E"/>
    <w:rsid w:val="00B146BD"/>
    <w:rsid w:val="00B154B3"/>
    <w:rsid w:val="00B15B71"/>
    <w:rsid w:val="00B166C6"/>
    <w:rsid w:val="00B21941"/>
    <w:rsid w:val="00B21EB4"/>
    <w:rsid w:val="00B22A5B"/>
    <w:rsid w:val="00B2691D"/>
    <w:rsid w:val="00B26C44"/>
    <w:rsid w:val="00B27820"/>
    <w:rsid w:val="00B30944"/>
    <w:rsid w:val="00B3104B"/>
    <w:rsid w:val="00B32AAC"/>
    <w:rsid w:val="00B33F4D"/>
    <w:rsid w:val="00B36CFC"/>
    <w:rsid w:val="00B37148"/>
    <w:rsid w:val="00B37AFC"/>
    <w:rsid w:val="00B4084B"/>
    <w:rsid w:val="00B41232"/>
    <w:rsid w:val="00B42B56"/>
    <w:rsid w:val="00B45864"/>
    <w:rsid w:val="00B460B5"/>
    <w:rsid w:val="00B47F4C"/>
    <w:rsid w:val="00B47FAA"/>
    <w:rsid w:val="00B50032"/>
    <w:rsid w:val="00B50958"/>
    <w:rsid w:val="00B51526"/>
    <w:rsid w:val="00B567D8"/>
    <w:rsid w:val="00B60F6F"/>
    <w:rsid w:val="00B61A52"/>
    <w:rsid w:val="00B6230B"/>
    <w:rsid w:val="00B63C3C"/>
    <w:rsid w:val="00B64DE4"/>
    <w:rsid w:val="00B65561"/>
    <w:rsid w:val="00B676B8"/>
    <w:rsid w:val="00B70250"/>
    <w:rsid w:val="00B70C9E"/>
    <w:rsid w:val="00B70F85"/>
    <w:rsid w:val="00B71222"/>
    <w:rsid w:val="00B7174A"/>
    <w:rsid w:val="00B7358B"/>
    <w:rsid w:val="00B7388C"/>
    <w:rsid w:val="00B73E0D"/>
    <w:rsid w:val="00B74503"/>
    <w:rsid w:val="00B7521F"/>
    <w:rsid w:val="00B830A1"/>
    <w:rsid w:val="00B83160"/>
    <w:rsid w:val="00B8365B"/>
    <w:rsid w:val="00B83705"/>
    <w:rsid w:val="00B83CA0"/>
    <w:rsid w:val="00B84243"/>
    <w:rsid w:val="00B85C34"/>
    <w:rsid w:val="00B86CCD"/>
    <w:rsid w:val="00B876C0"/>
    <w:rsid w:val="00B87806"/>
    <w:rsid w:val="00B92B09"/>
    <w:rsid w:val="00B93884"/>
    <w:rsid w:val="00B94405"/>
    <w:rsid w:val="00B94A65"/>
    <w:rsid w:val="00B94ADF"/>
    <w:rsid w:val="00B94FB4"/>
    <w:rsid w:val="00B95D2D"/>
    <w:rsid w:val="00B9607C"/>
    <w:rsid w:val="00B9676C"/>
    <w:rsid w:val="00BA0966"/>
    <w:rsid w:val="00BA0F2F"/>
    <w:rsid w:val="00BA28F3"/>
    <w:rsid w:val="00BA379F"/>
    <w:rsid w:val="00BA51EA"/>
    <w:rsid w:val="00BA6777"/>
    <w:rsid w:val="00BB0E6D"/>
    <w:rsid w:val="00BB276B"/>
    <w:rsid w:val="00BB2A98"/>
    <w:rsid w:val="00BB3AB5"/>
    <w:rsid w:val="00BB3DA8"/>
    <w:rsid w:val="00BB498B"/>
    <w:rsid w:val="00BB5A84"/>
    <w:rsid w:val="00BB6D23"/>
    <w:rsid w:val="00BB721D"/>
    <w:rsid w:val="00BB7455"/>
    <w:rsid w:val="00BC2C65"/>
    <w:rsid w:val="00BC3472"/>
    <w:rsid w:val="00BC3CAB"/>
    <w:rsid w:val="00BC42CE"/>
    <w:rsid w:val="00BC6702"/>
    <w:rsid w:val="00BC76B4"/>
    <w:rsid w:val="00BD210E"/>
    <w:rsid w:val="00BD2CB2"/>
    <w:rsid w:val="00BD34C3"/>
    <w:rsid w:val="00BD40CB"/>
    <w:rsid w:val="00BD4954"/>
    <w:rsid w:val="00BD78D5"/>
    <w:rsid w:val="00BE0659"/>
    <w:rsid w:val="00BE0A68"/>
    <w:rsid w:val="00BE537C"/>
    <w:rsid w:val="00BE6D85"/>
    <w:rsid w:val="00BE70B3"/>
    <w:rsid w:val="00BE7D58"/>
    <w:rsid w:val="00BF0270"/>
    <w:rsid w:val="00BF0E14"/>
    <w:rsid w:val="00BF164E"/>
    <w:rsid w:val="00BF1A33"/>
    <w:rsid w:val="00BF23C3"/>
    <w:rsid w:val="00BF3D35"/>
    <w:rsid w:val="00BF6D42"/>
    <w:rsid w:val="00BF7ED9"/>
    <w:rsid w:val="00C00AA5"/>
    <w:rsid w:val="00C00B3B"/>
    <w:rsid w:val="00C02450"/>
    <w:rsid w:val="00C024A1"/>
    <w:rsid w:val="00C038D0"/>
    <w:rsid w:val="00C066AF"/>
    <w:rsid w:val="00C06936"/>
    <w:rsid w:val="00C07DEC"/>
    <w:rsid w:val="00C1005F"/>
    <w:rsid w:val="00C1070A"/>
    <w:rsid w:val="00C107D2"/>
    <w:rsid w:val="00C11F05"/>
    <w:rsid w:val="00C11F2F"/>
    <w:rsid w:val="00C12D0A"/>
    <w:rsid w:val="00C13681"/>
    <w:rsid w:val="00C13DA0"/>
    <w:rsid w:val="00C146EA"/>
    <w:rsid w:val="00C15DEF"/>
    <w:rsid w:val="00C17B32"/>
    <w:rsid w:val="00C20E76"/>
    <w:rsid w:val="00C23647"/>
    <w:rsid w:val="00C2476F"/>
    <w:rsid w:val="00C2641F"/>
    <w:rsid w:val="00C276B1"/>
    <w:rsid w:val="00C3009E"/>
    <w:rsid w:val="00C31E81"/>
    <w:rsid w:val="00C3239B"/>
    <w:rsid w:val="00C3249E"/>
    <w:rsid w:val="00C3303C"/>
    <w:rsid w:val="00C3324A"/>
    <w:rsid w:val="00C33F72"/>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6194"/>
    <w:rsid w:val="00C46399"/>
    <w:rsid w:val="00C46D0E"/>
    <w:rsid w:val="00C4766D"/>
    <w:rsid w:val="00C53344"/>
    <w:rsid w:val="00C53EF2"/>
    <w:rsid w:val="00C55846"/>
    <w:rsid w:val="00C6305B"/>
    <w:rsid w:val="00C63109"/>
    <w:rsid w:val="00C63C1F"/>
    <w:rsid w:val="00C63ED7"/>
    <w:rsid w:val="00C642AA"/>
    <w:rsid w:val="00C705DA"/>
    <w:rsid w:val="00C729CE"/>
    <w:rsid w:val="00C7356F"/>
    <w:rsid w:val="00C74126"/>
    <w:rsid w:val="00C74C39"/>
    <w:rsid w:val="00C74DA9"/>
    <w:rsid w:val="00C74E8D"/>
    <w:rsid w:val="00C753BA"/>
    <w:rsid w:val="00C754B5"/>
    <w:rsid w:val="00C7638D"/>
    <w:rsid w:val="00C763EA"/>
    <w:rsid w:val="00C77417"/>
    <w:rsid w:val="00C8049D"/>
    <w:rsid w:val="00C82838"/>
    <w:rsid w:val="00C84EF7"/>
    <w:rsid w:val="00C854F5"/>
    <w:rsid w:val="00C85E77"/>
    <w:rsid w:val="00C86D90"/>
    <w:rsid w:val="00C872C5"/>
    <w:rsid w:val="00C8748F"/>
    <w:rsid w:val="00C87FB8"/>
    <w:rsid w:val="00C91347"/>
    <w:rsid w:val="00C91CF4"/>
    <w:rsid w:val="00C92123"/>
    <w:rsid w:val="00C946DC"/>
    <w:rsid w:val="00C95596"/>
    <w:rsid w:val="00C95850"/>
    <w:rsid w:val="00C95B85"/>
    <w:rsid w:val="00C95D4C"/>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0BC2"/>
    <w:rsid w:val="00CB1F59"/>
    <w:rsid w:val="00CB4589"/>
    <w:rsid w:val="00CB54F0"/>
    <w:rsid w:val="00CB60C9"/>
    <w:rsid w:val="00CB62C0"/>
    <w:rsid w:val="00CB6D24"/>
    <w:rsid w:val="00CB795F"/>
    <w:rsid w:val="00CC0486"/>
    <w:rsid w:val="00CC0B67"/>
    <w:rsid w:val="00CC2A06"/>
    <w:rsid w:val="00CC36A5"/>
    <w:rsid w:val="00CC4867"/>
    <w:rsid w:val="00CC5AB0"/>
    <w:rsid w:val="00CC6371"/>
    <w:rsid w:val="00CC6AFF"/>
    <w:rsid w:val="00CC7ED8"/>
    <w:rsid w:val="00CC7F08"/>
    <w:rsid w:val="00CD1BF3"/>
    <w:rsid w:val="00CD3382"/>
    <w:rsid w:val="00CD6D33"/>
    <w:rsid w:val="00CE0085"/>
    <w:rsid w:val="00CE0472"/>
    <w:rsid w:val="00CE179F"/>
    <w:rsid w:val="00CE2B6C"/>
    <w:rsid w:val="00CE2C1A"/>
    <w:rsid w:val="00CE3F53"/>
    <w:rsid w:val="00CE4134"/>
    <w:rsid w:val="00CE558E"/>
    <w:rsid w:val="00CE5774"/>
    <w:rsid w:val="00CE7933"/>
    <w:rsid w:val="00CF164C"/>
    <w:rsid w:val="00CF208C"/>
    <w:rsid w:val="00CF2C6F"/>
    <w:rsid w:val="00CF4131"/>
    <w:rsid w:val="00CF5085"/>
    <w:rsid w:val="00CF5FDC"/>
    <w:rsid w:val="00D00382"/>
    <w:rsid w:val="00D0086A"/>
    <w:rsid w:val="00D02EF1"/>
    <w:rsid w:val="00D05719"/>
    <w:rsid w:val="00D07A8D"/>
    <w:rsid w:val="00D1024D"/>
    <w:rsid w:val="00D11F5B"/>
    <w:rsid w:val="00D120BF"/>
    <w:rsid w:val="00D143EC"/>
    <w:rsid w:val="00D1469B"/>
    <w:rsid w:val="00D15792"/>
    <w:rsid w:val="00D1741D"/>
    <w:rsid w:val="00D174C3"/>
    <w:rsid w:val="00D17D15"/>
    <w:rsid w:val="00D17E55"/>
    <w:rsid w:val="00D2179B"/>
    <w:rsid w:val="00D22699"/>
    <w:rsid w:val="00D2316C"/>
    <w:rsid w:val="00D232B7"/>
    <w:rsid w:val="00D23531"/>
    <w:rsid w:val="00D24D0C"/>
    <w:rsid w:val="00D24FF4"/>
    <w:rsid w:val="00D30A84"/>
    <w:rsid w:val="00D30CBA"/>
    <w:rsid w:val="00D323B5"/>
    <w:rsid w:val="00D327B7"/>
    <w:rsid w:val="00D3564F"/>
    <w:rsid w:val="00D36333"/>
    <w:rsid w:val="00D37C36"/>
    <w:rsid w:val="00D4187B"/>
    <w:rsid w:val="00D41C33"/>
    <w:rsid w:val="00D424F8"/>
    <w:rsid w:val="00D428B3"/>
    <w:rsid w:val="00D43E58"/>
    <w:rsid w:val="00D44D21"/>
    <w:rsid w:val="00D456C4"/>
    <w:rsid w:val="00D459CF"/>
    <w:rsid w:val="00D46A7B"/>
    <w:rsid w:val="00D46D74"/>
    <w:rsid w:val="00D5073A"/>
    <w:rsid w:val="00D50C9B"/>
    <w:rsid w:val="00D50CD4"/>
    <w:rsid w:val="00D52088"/>
    <w:rsid w:val="00D549BF"/>
    <w:rsid w:val="00D551E1"/>
    <w:rsid w:val="00D55763"/>
    <w:rsid w:val="00D5708A"/>
    <w:rsid w:val="00D576B5"/>
    <w:rsid w:val="00D57849"/>
    <w:rsid w:val="00D579C5"/>
    <w:rsid w:val="00D60439"/>
    <w:rsid w:val="00D606C2"/>
    <w:rsid w:val="00D6199A"/>
    <w:rsid w:val="00D62AB4"/>
    <w:rsid w:val="00D634BA"/>
    <w:rsid w:val="00D652A2"/>
    <w:rsid w:val="00D6661E"/>
    <w:rsid w:val="00D6714F"/>
    <w:rsid w:val="00D701DB"/>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7479"/>
    <w:rsid w:val="00D9150D"/>
    <w:rsid w:val="00D92B42"/>
    <w:rsid w:val="00D952A8"/>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10A8"/>
    <w:rsid w:val="00DB22B0"/>
    <w:rsid w:val="00DB4C98"/>
    <w:rsid w:val="00DB584E"/>
    <w:rsid w:val="00DB69D9"/>
    <w:rsid w:val="00DB6E9E"/>
    <w:rsid w:val="00DC16AF"/>
    <w:rsid w:val="00DC2609"/>
    <w:rsid w:val="00DC32EC"/>
    <w:rsid w:val="00DC4099"/>
    <w:rsid w:val="00DC4790"/>
    <w:rsid w:val="00DC53F9"/>
    <w:rsid w:val="00DC6737"/>
    <w:rsid w:val="00DD0170"/>
    <w:rsid w:val="00DD051E"/>
    <w:rsid w:val="00DD05B3"/>
    <w:rsid w:val="00DD0BA0"/>
    <w:rsid w:val="00DD1046"/>
    <w:rsid w:val="00DD3DEA"/>
    <w:rsid w:val="00DD53A9"/>
    <w:rsid w:val="00DD5856"/>
    <w:rsid w:val="00DD5F84"/>
    <w:rsid w:val="00DD7B40"/>
    <w:rsid w:val="00DD7EBA"/>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54BA"/>
    <w:rsid w:val="00E05967"/>
    <w:rsid w:val="00E06F9F"/>
    <w:rsid w:val="00E1057D"/>
    <w:rsid w:val="00E1099E"/>
    <w:rsid w:val="00E10D3F"/>
    <w:rsid w:val="00E11037"/>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35C3"/>
    <w:rsid w:val="00E251E5"/>
    <w:rsid w:val="00E253F7"/>
    <w:rsid w:val="00E26003"/>
    <w:rsid w:val="00E273FF"/>
    <w:rsid w:val="00E27B91"/>
    <w:rsid w:val="00E306E7"/>
    <w:rsid w:val="00E3087C"/>
    <w:rsid w:val="00E30E1D"/>
    <w:rsid w:val="00E30FE2"/>
    <w:rsid w:val="00E335C8"/>
    <w:rsid w:val="00E37BA9"/>
    <w:rsid w:val="00E37F9B"/>
    <w:rsid w:val="00E409C6"/>
    <w:rsid w:val="00E42411"/>
    <w:rsid w:val="00E42C8A"/>
    <w:rsid w:val="00E436F2"/>
    <w:rsid w:val="00E43965"/>
    <w:rsid w:val="00E43E3B"/>
    <w:rsid w:val="00E4452C"/>
    <w:rsid w:val="00E4582E"/>
    <w:rsid w:val="00E46611"/>
    <w:rsid w:val="00E46AB8"/>
    <w:rsid w:val="00E473B3"/>
    <w:rsid w:val="00E50E8D"/>
    <w:rsid w:val="00E51739"/>
    <w:rsid w:val="00E51F1C"/>
    <w:rsid w:val="00E53F1A"/>
    <w:rsid w:val="00E54185"/>
    <w:rsid w:val="00E5444F"/>
    <w:rsid w:val="00E55ABA"/>
    <w:rsid w:val="00E57CA7"/>
    <w:rsid w:val="00E61C5E"/>
    <w:rsid w:val="00E61EC0"/>
    <w:rsid w:val="00E62415"/>
    <w:rsid w:val="00E62B36"/>
    <w:rsid w:val="00E62DF5"/>
    <w:rsid w:val="00E63BDC"/>
    <w:rsid w:val="00E647C8"/>
    <w:rsid w:val="00E67C82"/>
    <w:rsid w:val="00E702CE"/>
    <w:rsid w:val="00E70F0A"/>
    <w:rsid w:val="00E71844"/>
    <w:rsid w:val="00E731D7"/>
    <w:rsid w:val="00E7371B"/>
    <w:rsid w:val="00E73765"/>
    <w:rsid w:val="00E74ACE"/>
    <w:rsid w:val="00E75A0F"/>
    <w:rsid w:val="00E77C06"/>
    <w:rsid w:val="00E831F7"/>
    <w:rsid w:val="00E835D7"/>
    <w:rsid w:val="00E83F62"/>
    <w:rsid w:val="00E84826"/>
    <w:rsid w:val="00E855E0"/>
    <w:rsid w:val="00E860B7"/>
    <w:rsid w:val="00E8780D"/>
    <w:rsid w:val="00E9221F"/>
    <w:rsid w:val="00E92644"/>
    <w:rsid w:val="00E94499"/>
    <w:rsid w:val="00E95DB8"/>
    <w:rsid w:val="00E95E3B"/>
    <w:rsid w:val="00E97527"/>
    <w:rsid w:val="00EA186C"/>
    <w:rsid w:val="00EA30E6"/>
    <w:rsid w:val="00EA46A8"/>
    <w:rsid w:val="00EA5A9E"/>
    <w:rsid w:val="00EA6556"/>
    <w:rsid w:val="00EA6842"/>
    <w:rsid w:val="00EA6D25"/>
    <w:rsid w:val="00EB1B80"/>
    <w:rsid w:val="00EB29E3"/>
    <w:rsid w:val="00EB4C26"/>
    <w:rsid w:val="00EB5127"/>
    <w:rsid w:val="00EB53F2"/>
    <w:rsid w:val="00EB548C"/>
    <w:rsid w:val="00EB7803"/>
    <w:rsid w:val="00EC0295"/>
    <w:rsid w:val="00EC0454"/>
    <w:rsid w:val="00EC19FA"/>
    <w:rsid w:val="00EC1F39"/>
    <w:rsid w:val="00EC2948"/>
    <w:rsid w:val="00EC2A8E"/>
    <w:rsid w:val="00EC5F86"/>
    <w:rsid w:val="00ED0940"/>
    <w:rsid w:val="00ED25CE"/>
    <w:rsid w:val="00ED3A55"/>
    <w:rsid w:val="00ED402C"/>
    <w:rsid w:val="00ED511B"/>
    <w:rsid w:val="00ED57DE"/>
    <w:rsid w:val="00ED7DD7"/>
    <w:rsid w:val="00EE0ACF"/>
    <w:rsid w:val="00EE22E3"/>
    <w:rsid w:val="00EE2ED0"/>
    <w:rsid w:val="00EE37DE"/>
    <w:rsid w:val="00EE67C5"/>
    <w:rsid w:val="00EF0219"/>
    <w:rsid w:val="00EF18EF"/>
    <w:rsid w:val="00EF4031"/>
    <w:rsid w:val="00EF45CE"/>
    <w:rsid w:val="00EF4C71"/>
    <w:rsid w:val="00EF695C"/>
    <w:rsid w:val="00F00984"/>
    <w:rsid w:val="00F01FF7"/>
    <w:rsid w:val="00F05908"/>
    <w:rsid w:val="00F068B8"/>
    <w:rsid w:val="00F10305"/>
    <w:rsid w:val="00F1076B"/>
    <w:rsid w:val="00F10D71"/>
    <w:rsid w:val="00F11B9B"/>
    <w:rsid w:val="00F11D20"/>
    <w:rsid w:val="00F120D0"/>
    <w:rsid w:val="00F1363A"/>
    <w:rsid w:val="00F13E0D"/>
    <w:rsid w:val="00F15DFF"/>
    <w:rsid w:val="00F175CA"/>
    <w:rsid w:val="00F20087"/>
    <w:rsid w:val="00F20B6E"/>
    <w:rsid w:val="00F20FF5"/>
    <w:rsid w:val="00F244FC"/>
    <w:rsid w:val="00F248EC"/>
    <w:rsid w:val="00F24BCF"/>
    <w:rsid w:val="00F24C64"/>
    <w:rsid w:val="00F25AF9"/>
    <w:rsid w:val="00F2639B"/>
    <w:rsid w:val="00F271F4"/>
    <w:rsid w:val="00F276EE"/>
    <w:rsid w:val="00F3255F"/>
    <w:rsid w:val="00F33271"/>
    <w:rsid w:val="00F3510E"/>
    <w:rsid w:val="00F35B8D"/>
    <w:rsid w:val="00F373DC"/>
    <w:rsid w:val="00F37EF3"/>
    <w:rsid w:val="00F403D6"/>
    <w:rsid w:val="00F40782"/>
    <w:rsid w:val="00F422EF"/>
    <w:rsid w:val="00F42894"/>
    <w:rsid w:val="00F43E26"/>
    <w:rsid w:val="00F4532B"/>
    <w:rsid w:val="00F45CF2"/>
    <w:rsid w:val="00F470EA"/>
    <w:rsid w:val="00F47B25"/>
    <w:rsid w:val="00F506AE"/>
    <w:rsid w:val="00F510FD"/>
    <w:rsid w:val="00F51346"/>
    <w:rsid w:val="00F5235B"/>
    <w:rsid w:val="00F54947"/>
    <w:rsid w:val="00F54F7B"/>
    <w:rsid w:val="00F55CD7"/>
    <w:rsid w:val="00F560DC"/>
    <w:rsid w:val="00F56916"/>
    <w:rsid w:val="00F56AD0"/>
    <w:rsid w:val="00F56CB1"/>
    <w:rsid w:val="00F57EEB"/>
    <w:rsid w:val="00F626C2"/>
    <w:rsid w:val="00F630EF"/>
    <w:rsid w:val="00F63F85"/>
    <w:rsid w:val="00F65819"/>
    <w:rsid w:val="00F6653D"/>
    <w:rsid w:val="00F66865"/>
    <w:rsid w:val="00F67A6B"/>
    <w:rsid w:val="00F71634"/>
    <w:rsid w:val="00F7244F"/>
    <w:rsid w:val="00F72962"/>
    <w:rsid w:val="00F72D23"/>
    <w:rsid w:val="00F737C7"/>
    <w:rsid w:val="00F743D8"/>
    <w:rsid w:val="00F74CB0"/>
    <w:rsid w:val="00F75495"/>
    <w:rsid w:val="00F7639C"/>
    <w:rsid w:val="00F765EB"/>
    <w:rsid w:val="00F773A0"/>
    <w:rsid w:val="00F81CE4"/>
    <w:rsid w:val="00F822BA"/>
    <w:rsid w:val="00F8673B"/>
    <w:rsid w:val="00F908F8"/>
    <w:rsid w:val="00F92442"/>
    <w:rsid w:val="00F92517"/>
    <w:rsid w:val="00F926C8"/>
    <w:rsid w:val="00F939DB"/>
    <w:rsid w:val="00F964B0"/>
    <w:rsid w:val="00F967B5"/>
    <w:rsid w:val="00F973F0"/>
    <w:rsid w:val="00F97B52"/>
    <w:rsid w:val="00F97D2D"/>
    <w:rsid w:val="00FA05A4"/>
    <w:rsid w:val="00FA0C43"/>
    <w:rsid w:val="00FA24A7"/>
    <w:rsid w:val="00FA2F87"/>
    <w:rsid w:val="00FA30C2"/>
    <w:rsid w:val="00FA31D8"/>
    <w:rsid w:val="00FA508F"/>
    <w:rsid w:val="00FA63B6"/>
    <w:rsid w:val="00FA6958"/>
    <w:rsid w:val="00FA7135"/>
    <w:rsid w:val="00FA784C"/>
    <w:rsid w:val="00FB06E1"/>
    <w:rsid w:val="00FB0CA2"/>
    <w:rsid w:val="00FB1A25"/>
    <w:rsid w:val="00FB299A"/>
    <w:rsid w:val="00FB30B5"/>
    <w:rsid w:val="00FB4A9E"/>
    <w:rsid w:val="00FB659F"/>
    <w:rsid w:val="00FB66AB"/>
    <w:rsid w:val="00FB6912"/>
    <w:rsid w:val="00FC00DD"/>
    <w:rsid w:val="00FC0A72"/>
    <w:rsid w:val="00FC1247"/>
    <w:rsid w:val="00FC13E2"/>
    <w:rsid w:val="00FC14D9"/>
    <w:rsid w:val="00FC1C66"/>
    <w:rsid w:val="00FC27D4"/>
    <w:rsid w:val="00FC3CD4"/>
    <w:rsid w:val="00FC49D3"/>
    <w:rsid w:val="00FC4E2A"/>
    <w:rsid w:val="00FC6F4F"/>
    <w:rsid w:val="00FD1B30"/>
    <w:rsid w:val="00FD3D3E"/>
    <w:rsid w:val="00FD4975"/>
    <w:rsid w:val="00FD5051"/>
    <w:rsid w:val="00FD522D"/>
    <w:rsid w:val="00FD5958"/>
    <w:rsid w:val="00FD5A0F"/>
    <w:rsid w:val="00FD756D"/>
    <w:rsid w:val="00FD7972"/>
    <w:rsid w:val="00FD79EA"/>
    <w:rsid w:val="00FE059A"/>
    <w:rsid w:val="00FE0781"/>
    <w:rsid w:val="00FE2022"/>
    <w:rsid w:val="00FE29AF"/>
    <w:rsid w:val="00FE395C"/>
    <w:rsid w:val="00FE3DE9"/>
    <w:rsid w:val="00FE54AE"/>
    <w:rsid w:val="00FE5506"/>
    <w:rsid w:val="00FF1E56"/>
    <w:rsid w:val="00FF2122"/>
    <w:rsid w:val="00FF2339"/>
    <w:rsid w:val="00FF2430"/>
    <w:rsid w:val="00FF26B9"/>
    <w:rsid w:val="00FF33AA"/>
    <w:rsid w:val="00FF371D"/>
    <w:rsid w:val="00FF4B33"/>
    <w:rsid w:val="00FF581C"/>
    <w:rsid w:val="00FF637D"/>
    <w:rsid w:val="00FF64CF"/>
    <w:rsid w:val="00FF6B5D"/>
    <w:rsid w:val="00FF75BA"/>
    <w:rsid w:val="049C3F00"/>
    <w:rsid w:val="15DB1F1E"/>
    <w:rsid w:val="1F04ECC5"/>
    <w:rsid w:val="22F6EBEE"/>
    <w:rsid w:val="29B7ED4D"/>
    <w:rsid w:val="31700728"/>
    <w:rsid w:val="32B84E02"/>
    <w:rsid w:val="4425F14B"/>
    <w:rsid w:val="442C3FC6"/>
    <w:rsid w:val="450B61E4"/>
    <w:rsid w:val="4775DD13"/>
    <w:rsid w:val="49135B97"/>
    <w:rsid w:val="4E3812FF"/>
    <w:rsid w:val="5CE43604"/>
    <w:rsid w:val="5E3ACFAF"/>
    <w:rsid w:val="5E7A94C8"/>
    <w:rsid w:val="5F8FB639"/>
    <w:rsid w:val="66D38783"/>
    <w:rsid w:val="7297B652"/>
    <w:rsid w:val="7F3F7E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62CBA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2A32FD"/>
    <w:pPr>
      <w:spacing w:after="360"/>
      <w:jc w:val="center"/>
      <w:outlineLvl w:val="0"/>
    </w:pPr>
    <w:rPr>
      <w:b/>
      <w:smallCaps/>
      <w:kern w:val="28"/>
      <w:sz w:val="34"/>
    </w:rPr>
  </w:style>
  <w:style w:type="paragraph" w:styleId="Heading2">
    <w:name w:val="heading 2"/>
    <w:basedOn w:val="HeadingBase"/>
    <w:next w:val="Normal"/>
    <w:qFormat/>
    <w:rsid w:val="00883894"/>
    <w:pPr>
      <w:spacing w:after="480"/>
      <w:outlineLvl w:val="1"/>
    </w:pPr>
    <w:rPr>
      <w:sz w:val="30"/>
    </w:rPr>
  </w:style>
  <w:style w:type="paragraph" w:styleId="Heading3">
    <w:name w:val="heading 3"/>
    <w:basedOn w:val="HeadingBase"/>
    <w:next w:val="Normal"/>
    <w:link w:val="Heading3Char"/>
    <w:qFormat/>
    <w:rsid w:val="00EC5F86"/>
    <w:pPr>
      <w:tabs>
        <w:tab w:val="left" w:pos="709"/>
      </w:tabs>
      <w:spacing w:before="240" w:after="240"/>
      <w:outlineLvl w:val="2"/>
    </w:pPr>
    <w:rPr>
      <w:b/>
      <w:smallCaps/>
      <w:sz w:val="26"/>
    </w:rPr>
  </w:style>
  <w:style w:type="paragraph" w:styleId="Heading4">
    <w:name w:val="heading 4"/>
    <w:basedOn w:val="HeadingBase"/>
    <w:next w:val="Normal"/>
    <w:qFormat/>
    <w:rsid w:val="00EC5F86"/>
    <w:pPr>
      <w:tabs>
        <w:tab w:val="left" w:pos="709"/>
      </w:tabs>
      <w:spacing w:before="120" w:after="120"/>
      <w:outlineLvl w:val="3"/>
    </w:pPr>
    <w:rPr>
      <w:b/>
      <w:sz w:val="22"/>
    </w:rPr>
  </w:style>
  <w:style w:type="paragraph" w:styleId="Heading5">
    <w:name w:val="heading 5"/>
    <w:basedOn w:val="HeadingBase"/>
    <w:next w:val="Normal"/>
    <w:qFormat/>
    <w:rsid w:val="00EC5F86"/>
    <w:pPr>
      <w:spacing w:after="120"/>
      <w:outlineLvl w:val="4"/>
    </w:pPr>
    <w:rPr>
      <w:b/>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2A32FD"/>
    <w:pPr>
      <w:spacing w:after="60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link w:val="TableGraphicChar"/>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7437BA"/>
    <w:pPr>
      <w:spacing w:after="480"/>
      <w:outlineLvl w:val="9"/>
    </w:pPr>
  </w:style>
  <w:style w:type="character" w:customStyle="1" w:styleId="BulletChar">
    <w:name w:val="Bullet Char"/>
    <w:link w:val="Bullet"/>
    <w:rsid w:val="00FD5958"/>
    <w:rPr>
      <w:rFonts w:ascii="Book Antiqua" w:hAnsi="Book Antiqua"/>
      <w:lang w:val="x-none" w:eastAsia="x-none"/>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C7638D"/>
    <w:rPr>
      <w:rFonts w:ascii="Arial" w:hAnsi="Arial"/>
      <w:b/>
      <w:smallCaps/>
      <w:sz w:val="26"/>
      <w:lang w:val="en-AU" w:eastAsia="en-AU" w:bidi="ar-SA"/>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CD6D33"/>
    <w:pPr>
      <w:spacing w:after="360"/>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834F9A"/>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14"/>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 w:type="paragraph" w:customStyle="1" w:styleId="Default">
    <w:name w:val="Default"/>
    <w:rsid w:val="00165A23"/>
    <w:pPr>
      <w:autoSpaceDE w:val="0"/>
      <w:autoSpaceDN w:val="0"/>
      <w:adjustRightInd w:val="0"/>
    </w:pPr>
    <w:rPr>
      <w:rFonts w:ascii="Arial" w:eastAsia="Calibri" w:hAnsi="Arial" w:cs="Arial"/>
      <w:color w:val="000000"/>
      <w:sz w:val="24"/>
      <w:szCs w:val="24"/>
      <w:lang w:eastAsia="en-US"/>
    </w:rPr>
  </w:style>
  <w:style w:type="paragraph" w:customStyle="1" w:styleId="OutlineNumbered1">
    <w:name w:val="Outline Numbered 1"/>
    <w:basedOn w:val="Normal"/>
    <w:link w:val="OutlineNumbered1Char"/>
    <w:rsid w:val="00C95D4C"/>
    <w:pPr>
      <w:numPr>
        <w:numId w:val="25"/>
      </w:numPr>
    </w:pPr>
  </w:style>
  <w:style w:type="character" w:customStyle="1" w:styleId="TableGraphicChar">
    <w:name w:val="Table Graphic Char"/>
    <w:basedOn w:val="DefaultParagraphFont"/>
    <w:link w:val="TableGraphic"/>
    <w:rsid w:val="00C95D4C"/>
    <w:rPr>
      <w:rFonts w:ascii="Book Antiqua" w:hAnsi="Book Antiqua"/>
    </w:rPr>
  </w:style>
  <w:style w:type="character" w:customStyle="1" w:styleId="OutlineNumbered1Char">
    <w:name w:val="Outline Numbered 1 Char"/>
    <w:basedOn w:val="TableGraphicChar"/>
    <w:link w:val="OutlineNumbered1"/>
    <w:rsid w:val="00C95D4C"/>
    <w:rPr>
      <w:rFonts w:ascii="Book Antiqua" w:hAnsi="Book Antiqua"/>
    </w:rPr>
  </w:style>
  <w:style w:type="paragraph" w:customStyle="1" w:styleId="OutlineNumbered2">
    <w:name w:val="Outline Numbered 2"/>
    <w:basedOn w:val="Normal"/>
    <w:link w:val="OutlineNumbered2Char"/>
    <w:rsid w:val="00C95D4C"/>
    <w:pPr>
      <w:numPr>
        <w:ilvl w:val="1"/>
        <w:numId w:val="25"/>
      </w:numPr>
    </w:pPr>
  </w:style>
  <w:style w:type="character" w:customStyle="1" w:styleId="OutlineNumbered2Char">
    <w:name w:val="Outline Numbered 2 Char"/>
    <w:basedOn w:val="TableGraphicChar"/>
    <w:link w:val="OutlineNumbered2"/>
    <w:rsid w:val="00C95D4C"/>
    <w:rPr>
      <w:rFonts w:ascii="Book Antiqua" w:hAnsi="Book Antiqua"/>
    </w:rPr>
  </w:style>
  <w:style w:type="paragraph" w:customStyle="1" w:styleId="OutlineNumbered3">
    <w:name w:val="Outline Numbered 3"/>
    <w:basedOn w:val="Normal"/>
    <w:link w:val="OutlineNumbered3Char"/>
    <w:rsid w:val="00C95D4C"/>
    <w:pPr>
      <w:numPr>
        <w:ilvl w:val="2"/>
        <w:numId w:val="25"/>
      </w:numPr>
    </w:pPr>
  </w:style>
  <w:style w:type="character" w:customStyle="1" w:styleId="OutlineNumbered3Char">
    <w:name w:val="Outline Numbered 3 Char"/>
    <w:basedOn w:val="TableGraphicChar"/>
    <w:link w:val="OutlineNumbered3"/>
    <w:rsid w:val="00C95D4C"/>
    <w:rPr>
      <w:rFonts w:ascii="Book Antiqua" w:hAnsi="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3681">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96407000">
      <w:bodyDiv w:val="1"/>
      <w:marLeft w:val="0"/>
      <w:marRight w:val="0"/>
      <w:marTop w:val="0"/>
      <w:marBottom w:val="0"/>
      <w:divBdr>
        <w:top w:val="none" w:sz="0" w:space="0" w:color="auto"/>
        <w:left w:val="none" w:sz="0" w:space="0" w:color="auto"/>
        <w:bottom w:val="none" w:sz="0" w:space="0" w:color="auto"/>
        <w:right w:val="none" w:sz="0" w:space="0" w:color="auto"/>
      </w:divBdr>
    </w:div>
    <w:div w:id="126708791">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42419800">
      <w:bodyDiv w:val="1"/>
      <w:marLeft w:val="0"/>
      <w:marRight w:val="0"/>
      <w:marTop w:val="0"/>
      <w:marBottom w:val="0"/>
      <w:divBdr>
        <w:top w:val="none" w:sz="0" w:space="0" w:color="auto"/>
        <w:left w:val="none" w:sz="0" w:space="0" w:color="auto"/>
        <w:bottom w:val="none" w:sz="0" w:space="0" w:color="auto"/>
        <w:right w:val="none" w:sz="0" w:space="0" w:color="auto"/>
      </w:divBdr>
    </w:div>
    <w:div w:id="250285871">
      <w:bodyDiv w:val="1"/>
      <w:marLeft w:val="0"/>
      <w:marRight w:val="0"/>
      <w:marTop w:val="0"/>
      <w:marBottom w:val="0"/>
      <w:divBdr>
        <w:top w:val="none" w:sz="0" w:space="0" w:color="auto"/>
        <w:left w:val="none" w:sz="0" w:space="0" w:color="auto"/>
        <w:bottom w:val="none" w:sz="0" w:space="0" w:color="auto"/>
        <w:right w:val="none" w:sz="0" w:space="0" w:color="auto"/>
      </w:divBdr>
    </w:div>
    <w:div w:id="252084210">
      <w:bodyDiv w:val="1"/>
      <w:marLeft w:val="0"/>
      <w:marRight w:val="0"/>
      <w:marTop w:val="0"/>
      <w:marBottom w:val="0"/>
      <w:divBdr>
        <w:top w:val="none" w:sz="0" w:space="0" w:color="auto"/>
        <w:left w:val="none" w:sz="0" w:space="0" w:color="auto"/>
        <w:bottom w:val="none" w:sz="0" w:space="0" w:color="auto"/>
        <w:right w:val="none" w:sz="0" w:space="0" w:color="auto"/>
      </w:divBdr>
    </w:div>
    <w:div w:id="252861820">
      <w:bodyDiv w:val="1"/>
      <w:marLeft w:val="0"/>
      <w:marRight w:val="0"/>
      <w:marTop w:val="0"/>
      <w:marBottom w:val="0"/>
      <w:divBdr>
        <w:top w:val="none" w:sz="0" w:space="0" w:color="auto"/>
        <w:left w:val="none" w:sz="0" w:space="0" w:color="auto"/>
        <w:bottom w:val="none" w:sz="0" w:space="0" w:color="auto"/>
        <w:right w:val="none" w:sz="0" w:space="0" w:color="auto"/>
      </w:divBdr>
    </w:div>
    <w:div w:id="294532678">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6936894">
      <w:bodyDiv w:val="1"/>
      <w:marLeft w:val="0"/>
      <w:marRight w:val="0"/>
      <w:marTop w:val="0"/>
      <w:marBottom w:val="0"/>
      <w:divBdr>
        <w:top w:val="none" w:sz="0" w:space="0" w:color="auto"/>
        <w:left w:val="none" w:sz="0" w:space="0" w:color="auto"/>
        <w:bottom w:val="none" w:sz="0" w:space="0" w:color="auto"/>
        <w:right w:val="none" w:sz="0" w:space="0" w:color="auto"/>
      </w:divBdr>
    </w:div>
    <w:div w:id="334848119">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46504530">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7691998">
      <w:bodyDiv w:val="1"/>
      <w:marLeft w:val="0"/>
      <w:marRight w:val="0"/>
      <w:marTop w:val="0"/>
      <w:marBottom w:val="0"/>
      <w:divBdr>
        <w:top w:val="none" w:sz="0" w:space="0" w:color="auto"/>
        <w:left w:val="none" w:sz="0" w:space="0" w:color="auto"/>
        <w:bottom w:val="none" w:sz="0" w:space="0" w:color="auto"/>
        <w:right w:val="none" w:sz="0" w:space="0" w:color="auto"/>
      </w:divBdr>
    </w:div>
    <w:div w:id="479735218">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0392304">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18415875">
      <w:bodyDiv w:val="1"/>
      <w:marLeft w:val="0"/>
      <w:marRight w:val="0"/>
      <w:marTop w:val="0"/>
      <w:marBottom w:val="0"/>
      <w:divBdr>
        <w:top w:val="none" w:sz="0" w:space="0" w:color="auto"/>
        <w:left w:val="none" w:sz="0" w:space="0" w:color="auto"/>
        <w:bottom w:val="none" w:sz="0" w:space="0" w:color="auto"/>
        <w:right w:val="none" w:sz="0" w:space="0" w:color="auto"/>
      </w:divBdr>
    </w:div>
    <w:div w:id="632099251">
      <w:bodyDiv w:val="1"/>
      <w:marLeft w:val="0"/>
      <w:marRight w:val="0"/>
      <w:marTop w:val="0"/>
      <w:marBottom w:val="0"/>
      <w:divBdr>
        <w:top w:val="none" w:sz="0" w:space="0" w:color="auto"/>
        <w:left w:val="none" w:sz="0" w:space="0" w:color="auto"/>
        <w:bottom w:val="none" w:sz="0" w:space="0" w:color="auto"/>
        <w:right w:val="none" w:sz="0" w:space="0" w:color="auto"/>
      </w:divBdr>
    </w:div>
    <w:div w:id="642731665">
      <w:bodyDiv w:val="1"/>
      <w:marLeft w:val="0"/>
      <w:marRight w:val="0"/>
      <w:marTop w:val="0"/>
      <w:marBottom w:val="0"/>
      <w:divBdr>
        <w:top w:val="none" w:sz="0" w:space="0" w:color="auto"/>
        <w:left w:val="none" w:sz="0" w:space="0" w:color="auto"/>
        <w:bottom w:val="none" w:sz="0" w:space="0" w:color="auto"/>
        <w:right w:val="none" w:sz="0" w:space="0" w:color="auto"/>
      </w:divBdr>
    </w:div>
    <w:div w:id="645596226">
      <w:bodyDiv w:val="1"/>
      <w:marLeft w:val="0"/>
      <w:marRight w:val="0"/>
      <w:marTop w:val="0"/>
      <w:marBottom w:val="0"/>
      <w:divBdr>
        <w:top w:val="none" w:sz="0" w:space="0" w:color="auto"/>
        <w:left w:val="none" w:sz="0" w:space="0" w:color="auto"/>
        <w:bottom w:val="none" w:sz="0" w:space="0" w:color="auto"/>
        <w:right w:val="none" w:sz="0" w:space="0" w:color="auto"/>
      </w:divBdr>
    </w:div>
    <w:div w:id="661471480">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701588191">
      <w:bodyDiv w:val="1"/>
      <w:marLeft w:val="0"/>
      <w:marRight w:val="0"/>
      <w:marTop w:val="0"/>
      <w:marBottom w:val="0"/>
      <w:divBdr>
        <w:top w:val="none" w:sz="0" w:space="0" w:color="auto"/>
        <w:left w:val="none" w:sz="0" w:space="0" w:color="auto"/>
        <w:bottom w:val="none" w:sz="0" w:space="0" w:color="auto"/>
        <w:right w:val="none" w:sz="0" w:space="0" w:color="auto"/>
      </w:divBdr>
    </w:div>
    <w:div w:id="703561565">
      <w:bodyDiv w:val="1"/>
      <w:marLeft w:val="0"/>
      <w:marRight w:val="0"/>
      <w:marTop w:val="0"/>
      <w:marBottom w:val="0"/>
      <w:divBdr>
        <w:top w:val="none" w:sz="0" w:space="0" w:color="auto"/>
        <w:left w:val="none" w:sz="0" w:space="0" w:color="auto"/>
        <w:bottom w:val="none" w:sz="0" w:space="0" w:color="auto"/>
        <w:right w:val="none" w:sz="0" w:space="0" w:color="auto"/>
      </w:divBdr>
    </w:div>
    <w:div w:id="715278116">
      <w:bodyDiv w:val="1"/>
      <w:marLeft w:val="0"/>
      <w:marRight w:val="0"/>
      <w:marTop w:val="0"/>
      <w:marBottom w:val="0"/>
      <w:divBdr>
        <w:top w:val="none" w:sz="0" w:space="0" w:color="auto"/>
        <w:left w:val="none" w:sz="0" w:space="0" w:color="auto"/>
        <w:bottom w:val="none" w:sz="0" w:space="0" w:color="auto"/>
        <w:right w:val="none" w:sz="0" w:space="0" w:color="auto"/>
      </w:divBdr>
    </w:div>
    <w:div w:id="727799164">
      <w:bodyDiv w:val="1"/>
      <w:marLeft w:val="0"/>
      <w:marRight w:val="0"/>
      <w:marTop w:val="0"/>
      <w:marBottom w:val="0"/>
      <w:divBdr>
        <w:top w:val="none" w:sz="0" w:space="0" w:color="auto"/>
        <w:left w:val="none" w:sz="0" w:space="0" w:color="auto"/>
        <w:bottom w:val="none" w:sz="0" w:space="0" w:color="auto"/>
        <w:right w:val="none" w:sz="0" w:space="0" w:color="auto"/>
      </w:divBdr>
    </w:div>
    <w:div w:id="731661955">
      <w:bodyDiv w:val="1"/>
      <w:marLeft w:val="0"/>
      <w:marRight w:val="0"/>
      <w:marTop w:val="0"/>
      <w:marBottom w:val="0"/>
      <w:divBdr>
        <w:top w:val="none" w:sz="0" w:space="0" w:color="auto"/>
        <w:left w:val="none" w:sz="0" w:space="0" w:color="auto"/>
        <w:bottom w:val="none" w:sz="0" w:space="0" w:color="auto"/>
        <w:right w:val="none" w:sz="0" w:space="0" w:color="auto"/>
      </w:divBdr>
    </w:div>
    <w:div w:id="781608389">
      <w:bodyDiv w:val="1"/>
      <w:marLeft w:val="0"/>
      <w:marRight w:val="0"/>
      <w:marTop w:val="0"/>
      <w:marBottom w:val="0"/>
      <w:divBdr>
        <w:top w:val="none" w:sz="0" w:space="0" w:color="auto"/>
        <w:left w:val="none" w:sz="0" w:space="0" w:color="auto"/>
        <w:bottom w:val="none" w:sz="0" w:space="0" w:color="auto"/>
        <w:right w:val="none" w:sz="0" w:space="0" w:color="auto"/>
      </w:divBdr>
    </w:div>
    <w:div w:id="811597876">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33452831">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366236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1696003">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5522055">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21680228">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80124838">
      <w:bodyDiv w:val="1"/>
      <w:marLeft w:val="0"/>
      <w:marRight w:val="0"/>
      <w:marTop w:val="0"/>
      <w:marBottom w:val="0"/>
      <w:divBdr>
        <w:top w:val="none" w:sz="0" w:space="0" w:color="auto"/>
        <w:left w:val="none" w:sz="0" w:space="0" w:color="auto"/>
        <w:bottom w:val="none" w:sz="0" w:space="0" w:color="auto"/>
        <w:right w:val="none" w:sz="0" w:space="0" w:color="auto"/>
      </w:divBdr>
    </w:div>
    <w:div w:id="1197697522">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6404902">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6273354">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3196958">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31443267">
      <w:bodyDiv w:val="1"/>
      <w:marLeft w:val="0"/>
      <w:marRight w:val="0"/>
      <w:marTop w:val="0"/>
      <w:marBottom w:val="0"/>
      <w:divBdr>
        <w:top w:val="none" w:sz="0" w:space="0" w:color="auto"/>
        <w:left w:val="none" w:sz="0" w:space="0" w:color="auto"/>
        <w:bottom w:val="none" w:sz="0" w:space="0" w:color="auto"/>
        <w:right w:val="none" w:sz="0" w:space="0" w:color="auto"/>
      </w:divBdr>
    </w:div>
    <w:div w:id="1335184238">
      <w:bodyDiv w:val="1"/>
      <w:marLeft w:val="0"/>
      <w:marRight w:val="0"/>
      <w:marTop w:val="0"/>
      <w:marBottom w:val="0"/>
      <w:divBdr>
        <w:top w:val="none" w:sz="0" w:space="0" w:color="auto"/>
        <w:left w:val="none" w:sz="0" w:space="0" w:color="auto"/>
        <w:bottom w:val="none" w:sz="0" w:space="0" w:color="auto"/>
        <w:right w:val="none" w:sz="0" w:space="0" w:color="auto"/>
      </w:divBdr>
    </w:div>
    <w:div w:id="1401975938">
      <w:bodyDiv w:val="1"/>
      <w:marLeft w:val="0"/>
      <w:marRight w:val="0"/>
      <w:marTop w:val="0"/>
      <w:marBottom w:val="0"/>
      <w:divBdr>
        <w:top w:val="none" w:sz="0" w:space="0" w:color="auto"/>
        <w:left w:val="none" w:sz="0" w:space="0" w:color="auto"/>
        <w:bottom w:val="none" w:sz="0" w:space="0" w:color="auto"/>
        <w:right w:val="none" w:sz="0" w:space="0" w:color="auto"/>
      </w:divBdr>
    </w:div>
    <w:div w:id="1424185120">
      <w:bodyDiv w:val="1"/>
      <w:marLeft w:val="0"/>
      <w:marRight w:val="0"/>
      <w:marTop w:val="0"/>
      <w:marBottom w:val="0"/>
      <w:divBdr>
        <w:top w:val="none" w:sz="0" w:space="0" w:color="auto"/>
        <w:left w:val="none" w:sz="0" w:space="0" w:color="auto"/>
        <w:bottom w:val="none" w:sz="0" w:space="0" w:color="auto"/>
        <w:right w:val="none" w:sz="0" w:space="0" w:color="auto"/>
      </w:divBdr>
    </w:div>
    <w:div w:id="1439835400">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74103590">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499803899">
      <w:bodyDiv w:val="1"/>
      <w:marLeft w:val="0"/>
      <w:marRight w:val="0"/>
      <w:marTop w:val="0"/>
      <w:marBottom w:val="0"/>
      <w:divBdr>
        <w:top w:val="none" w:sz="0" w:space="0" w:color="auto"/>
        <w:left w:val="none" w:sz="0" w:space="0" w:color="auto"/>
        <w:bottom w:val="none" w:sz="0" w:space="0" w:color="auto"/>
        <w:right w:val="none" w:sz="0" w:space="0" w:color="auto"/>
      </w:divBdr>
    </w:div>
    <w:div w:id="1534226704">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85063660">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8073470">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8047323">
      <w:bodyDiv w:val="1"/>
      <w:marLeft w:val="0"/>
      <w:marRight w:val="0"/>
      <w:marTop w:val="0"/>
      <w:marBottom w:val="0"/>
      <w:divBdr>
        <w:top w:val="none" w:sz="0" w:space="0" w:color="auto"/>
        <w:left w:val="none" w:sz="0" w:space="0" w:color="auto"/>
        <w:bottom w:val="none" w:sz="0" w:space="0" w:color="auto"/>
        <w:right w:val="none" w:sz="0" w:space="0" w:color="auto"/>
      </w:divBdr>
    </w:div>
    <w:div w:id="1632707277">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64970777">
      <w:bodyDiv w:val="1"/>
      <w:marLeft w:val="0"/>
      <w:marRight w:val="0"/>
      <w:marTop w:val="0"/>
      <w:marBottom w:val="0"/>
      <w:divBdr>
        <w:top w:val="none" w:sz="0" w:space="0" w:color="auto"/>
        <w:left w:val="none" w:sz="0" w:space="0" w:color="auto"/>
        <w:bottom w:val="none" w:sz="0" w:space="0" w:color="auto"/>
        <w:right w:val="none" w:sz="0" w:space="0" w:color="auto"/>
      </w:divBdr>
    </w:div>
    <w:div w:id="1674986569">
      <w:bodyDiv w:val="1"/>
      <w:marLeft w:val="0"/>
      <w:marRight w:val="0"/>
      <w:marTop w:val="0"/>
      <w:marBottom w:val="0"/>
      <w:divBdr>
        <w:top w:val="none" w:sz="0" w:space="0" w:color="auto"/>
        <w:left w:val="none" w:sz="0" w:space="0" w:color="auto"/>
        <w:bottom w:val="none" w:sz="0" w:space="0" w:color="auto"/>
        <w:right w:val="none" w:sz="0" w:space="0" w:color="auto"/>
      </w:divBdr>
    </w:div>
    <w:div w:id="1680355731">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5522361">
      <w:bodyDiv w:val="1"/>
      <w:marLeft w:val="0"/>
      <w:marRight w:val="0"/>
      <w:marTop w:val="0"/>
      <w:marBottom w:val="0"/>
      <w:divBdr>
        <w:top w:val="none" w:sz="0" w:space="0" w:color="auto"/>
        <w:left w:val="none" w:sz="0" w:space="0" w:color="auto"/>
        <w:bottom w:val="none" w:sz="0" w:space="0" w:color="auto"/>
        <w:right w:val="none" w:sz="0" w:space="0" w:color="auto"/>
      </w:divBdr>
    </w:div>
    <w:div w:id="1708675774">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34042589">
      <w:bodyDiv w:val="1"/>
      <w:marLeft w:val="0"/>
      <w:marRight w:val="0"/>
      <w:marTop w:val="0"/>
      <w:marBottom w:val="0"/>
      <w:divBdr>
        <w:top w:val="none" w:sz="0" w:space="0" w:color="auto"/>
        <w:left w:val="none" w:sz="0" w:space="0" w:color="auto"/>
        <w:bottom w:val="none" w:sz="0" w:space="0" w:color="auto"/>
        <w:right w:val="none" w:sz="0" w:space="0" w:color="auto"/>
      </w:divBdr>
    </w:div>
    <w:div w:id="1752582004">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5174413">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778327822">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73029177">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48610711">
      <w:bodyDiv w:val="1"/>
      <w:marLeft w:val="0"/>
      <w:marRight w:val="0"/>
      <w:marTop w:val="0"/>
      <w:marBottom w:val="0"/>
      <w:divBdr>
        <w:top w:val="none" w:sz="0" w:space="0" w:color="auto"/>
        <w:left w:val="none" w:sz="0" w:space="0" w:color="auto"/>
        <w:bottom w:val="none" w:sz="0" w:space="0" w:color="auto"/>
        <w:right w:val="none" w:sz="0" w:space="0" w:color="auto"/>
      </w:divBdr>
    </w:div>
    <w:div w:id="1953055791">
      <w:bodyDiv w:val="1"/>
      <w:marLeft w:val="0"/>
      <w:marRight w:val="0"/>
      <w:marTop w:val="0"/>
      <w:marBottom w:val="0"/>
      <w:divBdr>
        <w:top w:val="none" w:sz="0" w:space="0" w:color="auto"/>
        <w:left w:val="none" w:sz="0" w:space="0" w:color="auto"/>
        <w:bottom w:val="none" w:sz="0" w:space="0" w:color="auto"/>
        <w:right w:val="none" w:sz="0" w:space="0" w:color="auto"/>
      </w:divBdr>
    </w:div>
    <w:div w:id="1957327448">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89823930">
      <w:bodyDiv w:val="1"/>
      <w:marLeft w:val="0"/>
      <w:marRight w:val="0"/>
      <w:marTop w:val="0"/>
      <w:marBottom w:val="0"/>
      <w:divBdr>
        <w:top w:val="none" w:sz="0" w:space="0" w:color="auto"/>
        <w:left w:val="none" w:sz="0" w:space="0" w:color="auto"/>
        <w:bottom w:val="none" w:sz="0" w:space="0" w:color="auto"/>
        <w:right w:val="none" w:sz="0" w:space="0" w:color="auto"/>
      </w:divBdr>
    </w:div>
    <w:div w:id="1994747804">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35381305">
      <w:bodyDiv w:val="1"/>
      <w:marLeft w:val="0"/>
      <w:marRight w:val="0"/>
      <w:marTop w:val="0"/>
      <w:marBottom w:val="0"/>
      <w:divBdr>
        <w:top w:val="none" w:sz="0" w:space="0" w:color="auto"/>
        <w:left w:val="none" w:sz="0" w:space="0" w:color="auto"/>
        <w:bottom w:val="none" w:sz="0" w:space="0" w:color="auto"/>
        <w:right w:val="none" w:sz="0" w:space="0" w:color="auto"/>
      </w:divBdr>
    </w:div>
    <w:div w:id="2052461882">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7701835">
      <w:bodyDiv w:val="1"/>
      <w:marLeft w:val="0"/>
      <w:marRight w:val="0"/>
      <w:marTop w:val="0"/>
      <w:marBottom w:val="0"/>
      <w:divBdr>
        <w:top w:val="none" w:sz="0" w:space="0" w:color="auto"/>
        <w:left w:val="none" w:sz="0" w:space="0" w:color="auto"/>
        <w:bottom w:val="none" w:sz="0" w:space="0" w:color="auto"/>
        <w:right w:val="none" w:sz="0" w:space="0" w:color="auto"/>
      </w:divBdr>
    </w:div>
    <w:div w:id="2106882927">
      <w:bodyDiv w:val="1"/>
      <w:marLeft w:val="0"/>
      <w:marRight w:val="0"/>
      <w:marTop w:val="0"/>
      <w:marBottom w:val="0"/>
      <w:divBdr>
        <w:top w:val="none" w:sz="0" w:space="0" w:color="auto"/>
        <w:left w:val="none" w:sz="0" w:space="0" w:color="auto"/>
        <w:bottom w:val="none" w:sz="0" w:space="0" w:color="auto"/>
        <w:right w:val="none" w:sz="0" w:space="0" w:color="auto"/>
      </w:divBdr>
    </w:div>
    <w:div w:id="2126655143">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auasb.gov.au/admin/file/content13/c6/2018-19_AASB-AUASB_AnnualReport_1571199073126.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uasb.gov.au/admin/file/content102/c3/AASB-AUASB_CorporatePlan_2019-20.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2536" ma:contentTypeDescription="" ma:contentTypeScope="" ma:versionID="457c192813e7cbcb09aee2730968afb6">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_dlc_DocId xmlns="0f563589-9cf9-4143-b1eb-fb0534803d38">2020CSSG-1276-19076</_dlc_DocId>
    <TaxCatchAll xmlns="0f563589-9cf9-4143-b1eb-fb0534803d38">
      <Value>78</Value>
    </TaxCatchAll>
    <_dlc_DocIdUrl xmlns="0f563589-9cf9-4143-b1eb-fb0534803d38">
      <Url>http://tweb/sites/cssg/ffmd/frbu/_layouts/15/DocIdRedir.aspx?ID=2020CSSG-1276-19076</Url>
      <Description>2020CSSG-1276-19076</Description>
    </_dlc_DocIdUrl>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2.xml><?xml version="1.0" encoding="utf-8"?>
<ds:datastoreItem xmlns:ds="http://schemas.openxmlformats.org/officeDocument/2006/customXml" ds:itemID="{0DEB0EA1-F331-4097-949A-E104ACCC9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6F1C64-3D0A-4F98-BC1B-9A51071F3D25}">
  <ds:schemaRefs>
    <ds:schemaRef ds:uri="0f563589-9cf9-4143-b1eb-fb0534803d38"/>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http://schemas.microsoft.com/office/2006/documentManagement/types"/>
    <ds:schemaRef ds:uri="http://schemas.microsoft.com/sharepoint/v4"/>
    <ds:schemaRef ds:uri="eb47d8b7-fefc-4923-b53c-9685ba6b7210"/>
    <ds:schemaRef ds:uri="http://www.w3.org/XML/1998/namespace"/>
    <ds:schemaRef ds:uri="http://purl.org/dc/dcmitype/"/>
  </ds:schemaRefs>
</ds:datastoreItem>
</file>

<file path=customXml/itemProps4.xml><?xml version="1.0" encoding="utf-8"?>
<ds:datastoreItem xmlns:ds="http://schemas.openxmlformats.org/officeDocument/2006/customXml" ds:itemID="{319FCE45-A8EA-4EB9-978F-626835A13D65}">
  <ds:schemaRefs>
    <ds:schemaRef ds:uri="http://schemas.microsoft.com/sharepoint/v3/contenttype/forms"/>
  </ds:schemaRefs>
</ds:datastoreItem>
</file>

<file path=customXml/itemProps5.xml><?xml version="1.0" encoding="utf-8"?>
<ds:datastoreItem xmlns:ds="http://schemas.openxmlformats.org/officeDocument/2006/customXml" ds:itemID="{D1E80ADE-9CCB-47BE-9A3C-A806F370D68B}">
  <ds:schemaRefs>
    <ds:schemaRef ds:uri="http://schemas.microsoft.com/sharepoint/events"/>
  </ds:schemaRefs>
</ds:datastoreItem>
</file>

<file path=customXml/itemProps6.xml><?xml version="1.0" encoding="utf-8"?>
<ds:datastoreItem xmlns:ds="http://schemas.openxmlformats.org/officeDocument/2006/customXml" ds:itemID="{DA603D60-6B92-4EE5-9896-BA77BC0C5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3560</Words>
  <Characters>21197</Characters>
  <Application>Microsoft Office Word</Application>
  <DocSecurity>0</DocSecurity>
  <Lines>1441</Lines>
  <Paragraphs>823</Paragraphs>
  <ScaleCrop>false</ScaleCrop>
  <HeadingPairs>
    <vt:vector size="2" baseType="variant">
      <vt:variant>
        <vt:lpstr>Title</vt:lpstr>
      </vt:variant>
      <vt:variant>
        <vt:i4>1</vt:i4>
      </vt:variant>
    </vt:vector>
  </HeadingPairs>
  <TitlesOfParts>
    <vt:vector size="1" baseType="lpstr">
      <vt:lpstr>Budget 2020-21 - Portfolio Budget Statements 2020-21 </vt:lpstr>
    </vt:vector>
  </TitlesOfParts>
  <Company/>
  <LinksUpToDate>false</LinksUpToDate>
  <CharactersWithSpaces>24980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Budget 2020-21 - Portfolio Budget Statements 2020-21 </dc:title>
  <dc:subject>Office of the Australian Accounting Standards Board</dc:subject>
  <dc:creator/>
  <cp:keywords/>
  <cp:lastModifiedBy/>
  <cp:revision>1</cp:revision>
  <dcterms:created xsi:type="dcterms:W3CDTF">2020-09-22T02:37:00Z</dcterms:created>
  <dcterms:modified xsi:type="dcterms:W3CDTF">2020-10-06T01:00:00Z</dcterms:modified>
  <cp:contentStatus/>
</cp:coreProperties>
</file>