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B74" w:rsidRPr="006D0240" w:rsidRDefault="000E0B74" w:rsidP="008E6292">
      <w:bookmarkStart w:id="0" w:name="_GoBack"/>
      <w:bookmarkEnd w:id="0"/>
    </w:p>
    <w:p w:rsidR="000E0B74" w:rsidRPr="006D0240" w:rsidRDefault="000E0B74" w:rsidP="00C72318">
      <w:pPr>
        <w:pStyle w:val="Crest"/>
        <w:spacing w:after="3000"/>
        <w:jc w:val="right"/>
      </w:pPr>
    </w:p>
    <w:p w:rsidR="008919A4" w:rsidRDefault="00D844E5" w:rsidP="000E0B74">
      <w:pPr>
        <w:pStyle w:val="Title"/>
      </w:pPr>
      <w:r>
        <w:t>Deductible Gift Recipient</w:t>
      </w:r>
      <w:r w:rsidR="00721D6A">
        <w:t xml:space="preserve"> (DGR) </w:t>
      </w:r>
      <w:r w:rsidR="008919A4">
        <w:t>Reform</w:t>
      </w:r>
      <w:r>
        <w:t xml:space="preserve"> — </w:t>
      </w:r>
      <w:r w:rsidR="00E375B9">
        <w:t xml:space="preserve">Requiring </w:t>
      </w:r>
      <w:r w:rsidR="008919A4">
        <w:t xml:space="preserve">DGRs to be </w:t>
      </w:r>
      <w:r w:rsidR="00E375B9">
        <w:t>registered as charities</w:t>
      </w:r>
    </w:p>
    <w:p w:rsidR="000E0B74" w:rsidRPr="00A524B9" w:rsidRDefault="00736516" w:rsidP="000E0B74">
      <w:pPr>
        <w:pStyle w:val="Title"/>
      </w:pPr>
      <w:r>
        <w:t>F</w:t>
      </w:r>
      <w:r w:rsidR="00FD4EAF">
        <w:t>AQs</w:t>
      </w:r>
    </w:p>
    <w:p w:rsidR="002F617F" w:rsidRPr="005D561D" w:rsidRDefault="002F617F" w:rsidP="002F617F">
      <w:pPr>
        <w:pStyle w:val="Divider"/>
      </w:pPr>
    </w:p>
    <w:p w:rsidR="002F617F" w:rsidRDefault="002F617F"/>
    <w:p w:rsidR="000E0B74" w:rsidRDefault="000E0B74" w:rsidP="000E0B74">
      <w:pPr>
        <w:rPr>
          <w:rFonts w:cs="Calibri"/>
          <w:sz w:val="20"/>
        </w:rPr>
      </w:pPr>
    </w:p>
    <w:p w:rsidR="000E0B74" w:rsidRDefault="000E0B74" w:rsidP="000E0B74">
      <w:pPr>
        <w:sectPr w:rsidR="000E0B74" w:rsidSect="00C01DCC">
          <w:headerReference w:type="default" r:id="rId13"/>
          <w:footerReference w:type="even" r:id="rId14"/>
          <w:footerReference w:type="default" r:id="rId15"/>
          <w:pgSz w:w="11906" w:h="16838"/>
          <w:pgMar w:top="1418" w:right="1418" w:bottom="1418" w:left="1418" w:header="709" w:footer="709" w:gutter="0"/>
          <w:cols w:space="720"/>
        </w:sectPr>
      </w:pPr>
    </w:p>
    <w:p w:rsidR="00651786" w:rsidRDefault="007D50E0" w:rsidP="006514DD">
      <w:pPr>
        <w:pStyle w:val="Heading2"/>
      </w:pPr>
      <w:r>
        <w:lastRenderedPageBreak/>
        <w:t>Context</w:t>
      </w:r>
    </w:p>
    <w:p w:rsidR="0024078B" w:rsidRPr="00F03AE7" w:rsidRDefault="00BD7CD3" w:rsidP="00AD4087">
      <w:pPr>
        <w:pStyle w:val="Bullet"/>
        <w:numPr>
          <w:ilvl w:val="0"/>
          <w:numId w:val="0"/>
        </w:numPr>
        <w:tabs>
          <w:tab w:val="num" w:pos="520"/>
        </w:tabs>
        <w:spacing w:before="240" w:after="200"/>
      </w:pPr>
      <w:r>
        <w:t>T</w:t>
      </w:r>
      <w:r w:rsidR="00F02705" w:rsidRPr="00F03AE7">
        <w:t>he</w:t>
      </w:r>
      <w:r w:rsidR="00021A82">
        <w:t xml:space="preserve"> Australian</w:t>
      </w:r>
      <w:r w:rsidR="00F02705" w:rsidRPr="00F03AE7">
        <w:t xml:space="preserve"> Government </w:t>
      </w:r>
      <w:r>
        <w:t xml:space="preserve">is proposing to require </w:t>
      </w:r>
      <w:r w:rsidR="00F02705" w:rsidRPr="00F03AE7">
        <w:t xml:space="preserve">non-Government </w:t>
      </w:r>
      <w:r>
        <w:t xml:space="preserve">Item 1 </w:t>
      </w:r>
      <w:r w:rsidR="00F02705" w:rsidRPr="00F03AE7">
        <w:t>DGRs</w:t>
      </w:r>
      <w:r w:rsidR="0094043E">
        <w:rPr>
          <w:rStyle w:val="FootnoteReference"/>
        </w:rPr>
        <w:footnoteReference w:id="2"/>
      </w:r>
      <w:r w:rsidR="00F02705" w:rsidRPr="00F03AE7">
        <w:t xml:space="preserve"> to be registered charities with the Australian Charities and Not-for-profits Commission (ACNC).</w:t>
      </w:r>
      <w:r w:rsidR="0024078B" w:rsidRPr="00F03AE7">
        <w:t xml:space="preserve"> </w:t>
      </w:r>
    </w:p>
    <w:p w:rsidR="00F02705" w:rsidRPr="00F03AE7" w:rsidRDefault="0024078B" w:rsidP="00AD4087">
      <w:pPr>
        <w:pStyle w:val="Bullet"/>
        <w:numPr>
          <w:ilvl w:val="0"/>
          <w:numId w:val="0"/>
        </w:numPr>
        <w:tabs>
          <w:tab w:val="num" w:pos="520"/>
        </w:tabs>
        <w:spacing w:before="240" w:after="200"/>
      </w:pPr>
      <w:r w:rsidRPr="00F03AE7">
        <w:t xml:space="preserve">This is one element of a broader DGR Reform package, designed to enhance the administration and oversight of </w:t>
      </w:r>
      <w:r w:rsidR="00505A30">
        <w:t xml:space="preserve">entities </w:t>
      </w:r>
      <w:r w:rsidRPr="00F03AE7">
        <w:t xml:space="preserve">with DGR status, by strengthening governance arrangements, reducing administrative complexity and ensuring continued trust and confidence in the sector. </w:t>
      </w:r>
    </w:p>
    <w:p w:rsidR="001C6C5E" w:rsidRPr="00F03AE7" w:rsidRDefault="001C6C5E" w:rsidP="004D6EAA">
      <w:pPr>
        <w:pStyle w:val="Heading2"/>
      </w:pPr>
      <w:r w:rsidRPr="00F03AE7">
        <w:t>When will the new requirements be in force?</w:t>
      </w:r>
    </w:p>
    <w:p w:rsidR="001C6C5E" w:rsidRPr="00F03AE7" w:rsidRDefault="007D7BCD" w:rsidP="00AD4087">
      <w:pPr>
        <w:pStyle w:val="Heading2"/>
        <w:spacing w:before="240"/>
        <w:rPr>
          <w:rFonts w:cs="Times New Roman"/>
          <w:iCs w:val="0"/>
          <w:color w:val="auto"/>
          <w:kern w:val="0"/>
          <w:sz w:val="22"/>
          <w:szCs w:val="20"/>
        </w:rPr>
      </w:pPr>
      <w:r w:rsidRPr="00F03AE7">
        <w:rPr>
          <w:rFonts w:cs="Times New Roman"/>
          <w:iCs w:val="0"/>
          <w:color w:val="auto"/>
          <w:kern w:val="0"/>
          <w:sz w:val="22"/>
          <w:szCs w:val="20"/>
        </w:rPr>
        <w:t xml:space="preserve">Given disruptions to the parliamentary calendar due to COVID-19, it is unclear when legislative amendments </w:t>
      </w:r>
      <w:r w:rsidR="00D55744">
        <w:rPr>
          <w:rFonts w:cs="Times New Roman"/>
          <w:iCs w:val="0"/>
          <w:color w:val="auto"/>
          <w:kern w:val="0"/>
          <w:sz w:val="22"/>
          <w:szCs w:val="20"/>
        </w:rPr>
        <w:t xml:space="preserve">facilitating these new requirements </w:t>
      </w:r>
      <w:r w:rsidRPr="00F03AE7">
        <w:rPr>
          <w:rFonts w:cs="Times New Roman"/>
          <w:iCs w:val="0"/>
          <w:color w:val="auto"/>
          <w:kern w:val="0"/>
          <w:sz w:val="22"/>
          <w:szCs w:val="20"/>
        </w:rPr>
        <w:t>will be put to parliament. As such</w:t>
      </w:r>
      <w:r w:rsidR="004F52CA" w:rsidRPr="00F03AE7">
        <w:rPr>
          <w:rFonts w:cs="Times New Roman"/>
          <w:iCs w:val="0"/>
          <w:color w:val="auto"/>
          <w:kern w:val="0"/>
          <w:sz w:val="22"/>
          <w:szCs w:val="20"/>
        </w:rPr>
        <w:t>,</w:t>
      </w:r>
      <w:r w:rsidRPr="00F03AE7">
        <w:rPr>
          <w:rFonts w:cs="Times New Roman"/>
          <w:iCs w:val="0"/>
          <w:color w:val="auto"/>
          <w:kern w:val="0"/>
          <w:sz w:val="22"/>
          <w:szCs w:val="20"/>
        </w:rPr>
        <w:t xml:space="preserve"> </w:t>
      </w:r>
      <w:r w:rsidR="00E95730">
        <w:rPr>
          <w:rFonts w:cs="Times New Roman"/>
          <w:iCs w:val="0"/>
          <w:color w:val="auto"/>
          <w:kern w:val="0"/>
          <w:sz w:val="22"/>
          <w:szCs w:val="20"/>
        </w:rPr>
        <w:t>it is intended that</w:t>
      </w:r>
      <w:r w:rsidR="00774F89">
        <w:rPr>
          <w:rFonts w:cs="Times New Roman"/>
          <w:iCs w:val="0"/>
          <w:color w:val="auto"/>
          <w:kern w:val="0"/>
          <w:sz w:val="22"/>
          <w:szCs w:val="20"/>
        </w:rPr>
        <w:t>,</w:t>
      </w:r>
      <w:r w:rsidR="00E95730">
        <w:rPr>
          <w:rFonts w:cs="Times New Roman"/>
          <w:iCs w:val="0"/>
          <w:color w:val="auto"/>
          <w:kern w:val="0"/>
          <w:sz w:val="22"/>
          <w:szCs w:val="20"/>
        </w:rPr>
        <w:t xml:space="preserve"> </w:t>
      </w:r>
      <w:r w:rsidR="00774F89">
        <w:rPr>
          <w:rFonts w:cs="Times New Roman"/>
          <w:iCs w:val="0"/>
          <w:color w:val="auto"/>
          <w:kern w:val="0"/>
          <w:sz w:val="22"/>
          <w:szCs w:val="20"/>
        </w:rPr>
        <w:t xml:space="preserve">after passing through parliament, </w:t>
      </w:r>
      <w:r w:rsidRPr="00F03AE7">
        <w:rPr>
          <w:rFonts w:cs="Times New Roman"/>
          <w:iCs w:val="0"/>
          <w:color w:val="auto"/>
          <w:kern w:val="0"/>
          <w:sz w:val="22"/>
          <w:szCs w:val="20"/>
        </w:rPr>
        <w:t xml:space="preserve">the </w:t>
      </w:r>
      <w:r w:rsidR="00DB7B31" w:rsidRPr="00F03AE7">
        <w:rPr>
          <w:rFonts w:cs="Times New Roman"/>
          <w:iCs w:val="0"/>
          <w:color w:val="auto"/>
          <w:kern w:val="0"/>
          <w:sz w:val="22"/>
          <w:szCs w:val="20"/>
        </w:rPr>
        <w:t xml:space="preserve">amendments will </w:t>
      </w:r>
      <w:r w:rsidR="00E95730">
        <w:rPr>
          <w:rFonts w:cs="Times New Roman"/>
          <w:iCs w:val="0"/>
          <w:color w:val="auto"/>
          <w:kern w:val="0"/>
          <w:sz w:val="22"/>
          <w:szCs w:val="20"/>
        </w:rPr>
        <w:t xml:space="preserve">commence </w:t>
      </w:r>
      <w:r w:rsidR="007F1871">
        <w:rPr>
          <w:rFonts w:cs="Times New Roman"/>
          <w:iCs w:val="0"/>
          <w:color w:val="auto"/>
          <w:kern w:val="0"/>
          <w:sz w:val="22"/>
          <w:szCs w:val="20"/>
        </w:rPr>
        <w:t xml:space="preserve">three months </w:t>
      </w:r>
      <w:r w:rsidR="00E95730">
        <w:rPr>
          <w:rFonts w:cs="Times New Roman"/>
          <w:iCs w:val="0"/>
          <w:color w:val="auto"/>
          <w:kern w:val="0"/>
          <w:sz w:val="22"/>
          <w:szCs w:val="20"/>
        </w:rPr>
        <w:t>following</w:t>
      </w:r>
      <w:r w:rsidR="00DB7B31" w:rsidRPr="00F03AE7">
        <w:rPr>
          <w:rFonts w:cs="Times New Roman"/>
          <w:iCs w:val="0"/>
          <w:color w:val="auto"/>
          <w:kern w:val="0"/>
          <w:sz w:val="22"/>
          <w:szCs w:val="20"/>
        </w:rPr>
        <w:t xml:space="preserve"> Royal Assent. </w:t>
      </w:r>
    </w:p>
    <w:p w:rsidR="0094043E" w:rsidRPr="00F03AE7" w:rsidRDefault="0094043E" w:rsidP="0094043E">
      <w:pPr>
        <w:pStyle w:val="Heading2"/>
      </w:pPr>
      <w:r w:rsidRPr="00F03AE7">
        <w:t>What if a DGR is already a</w:t>
      </w:r>
      <w:r>
        <w:t>n ACNC</w:t>
      </w:r>
      <w:r w:rsidRPr="00F03AE7">
        <w:t xml:space="preserve"> registered charity?</w:t>
      </w:r>
    </w:p>
    <w:p w:rsidR="0094043E" w:rsidRPr="00F03AE7" w:rsidRDefault="0094043E" w:rsidP="0094043E">
      <w:pPr>
        <w:spacing w:before="240"/>
      </w:pPr>
      <w:r w:rsidRPr="00F03AE7">
        <w:t xml:space="preserve">If a DGR is already </w:t>
      </w:r>
      <w:r w:rsidR="006D609F">
        <w:t xml:space="preserve">a </w:t>
      </w:r>
      <w:r w:rsidRPr="00F03AE7">
        <w:t xml:space="preserve">registered </w:t>
      </w:r>
      <w:r w:rsidR="006D609F">
        <w:t xml:space="preserve">charity </w:t>
      </w:r>
      <w:r w:rsidRPr="00F03AE7">
        <w:t xml:space="preserve">with the ACNC, then no additional action will be required other than continuing to meet all the obligations associated with maintaining </w:t>
      </w:r>
      <w:r>
        <w:t xml:space="preserve">ACNC </w:t>
      </w:r>
      <w:r w:rsidRPr="00F03AE7">
        <w:t>charity registration</w:t>
      </w:r>
      <w:r>
        <w:t xml:space="preserve"> and DGR endorsement</w:t>
      </w:r>
      <w:r w:rsidRPr="00F03AE7">
        <w:t xml:space="preserve">. </w:t>
      </w:r>
    </w:p>
    <w:p w:rsidR="0094043E" w:rsidRPr="00F03AE7" w:rsidRDefault="0094043E" w:rsidP="0094043E">
      <w:pPr>
        <w:pStyle w:val="Heading2"/>
      </w:pPr>
      <w:r w:rsidRPr="00F03AE7">
        <w:t>What if a DGR is not a</w:t>
      </w:r>
      <w:r>
        <w:t>n ACNC</w:t>
      </w:r>
      <w:r w:rsidRPr="00F03AE7">
        <w:t xml:space="preserve"> registered charity?</w:t>
      </w:r>
    </w:p>
    <w:p w:rsidR="0094043E" w:rsidRDefault="0094043E" w:rsidP="0094043E">
      <w:pPr>
        <w:pStyle w:val="Bullet"/>
        <w:numPr>
          <w:ilvl w:val="0"/>
          <w:numId w:val="0"/>
        </w:numPr>
        <w:tabs>
          <w:tab w:val="num" w:pos="520"/>
        </w:tabs>
        <w:spacing w:before="240" w:after="200"/>
      </w:pPr>
      <w:r>
        <w:t>The proposed amendments will require a</w:t>
      </w:r>
      <w:r w:rsidRPr="00F03AE7">
        <w:t xml:space="preserve">ll non-Government Item 1 DGRs, </w:t>
      </w:r>
      <w:r>
        <w:t>except for</w:t>
      </w:r>
      <w:r w:rsidRPr="00F03AE7">
        <w:t xml:space="preserve"> specifically listed DGRs, to maintain ACNC charity registration in order to maintain their eligibility for DGR endorsement. Item 2 DGRs (ancillary funds) and specifically listed Item 1 DGRs are strongly encouraged to seek and maintain</w:t>
      </w:r>
      <w:r>
        <w:t xml:space="preserve"> ACNC</w:t>
      </w:r>
      <w:r w:rsidRPr="00F03AE7">
        <w:t xml:space="preserve"> charity registration with the ACNC</w:t>
      </w:r>
      <w:r w:rsidR="009F6587">
        <w:t>.</w:t>
      </w:r>
      <w:r>
        <w:t xml:space="preserve"> </w:t>
      </w:r>
      <w:r w:rsidR="009F6587">
        <w:t xml:space="preserve">Benefits of charity registration include eligibility </w:t>
      </w:r>
      <w:r>
        <w:t>for tax concessions (including exemption from income tax)</w:t>
      </w:r>
      <w:r w:rsidRPr="00F03AE7">
        <w:t xml:space="preserve">. </w:t>
      </w:r>
    </w:p>
    <w:p w:rsidR="00242F34" w:rsidRDefault="0094043E" w:rsidP="0094043E">
      <w:pPr>
        <w:pStyle w:val="Bullet"/>
        <w:numPr>
          <w:ilvl w:val="0"/>
          <w:numId w:val="0"/>
        </w:numPr>
        <w:tabs>
          <w:tab w:val="num" w:pos="520"/>
        </w:tabs>
        <w:spacing w:before="240" w:after="200"/>
      </w:pPr>
      <w:r w:rsidRPr="00F03AE7">
        <w:t>Some DGRs are operated by Commonwealt</w:t>
      </w:r>
      <w:r>
        <w:t>h or State government agencies.</w:t>
      </w:r>
      <w:r w:rsidRPr="00F03AE7">
        <w:t xml:space="preserve"> These entities are unable to be registered as charities</w:t>
      </w:r>
      <w:r>
        <w:t xml:space="preserve"> with the ACNC</w:t>
      </w:r>
      <w:r w:rsidRPr="00F03AE7">
        <w:t xml:space="preserve">. </w:t>
      </w:r>
    </w:p>
    <w:p w:rsidR="00242F34" w:rsidRDefault="00242F34">
      <w:pPr>
        <w:spacing w:before="0" w:after="160" w:line="259" w:lineRule="auto"/>
      </w:pPr>
      <w:r>
        <w:br w:type="page"/>
      </w:r>
    </w:p>
    <w:p w:rsidR="00516061" w:rsidRPr="00F03AE7" w:rsidRDefault="00516061" w:rsidP="00516061">
      <w:pPr>
        <w:pStyle w:val="Heading2"/>
      </w:pPr>
      <w:r w:rsidRPr="00F03AE7">
        <w:lastRenderedPageBreak/>
        <w:t>What are the requirements to become a</w:t>
      </w:r>
      <w:r w:rsidR="00CA120A">
        <w:t>n ACNC</w:t>
      </w:r>
      <w:r w:rsidRPr="00F03AE7">
        <w:t xml:space="preserve"> registered charity?</w:t>
      </w:r>
    </w:p>
    <w:p w:rsidR="00516061" w:rsidRPr="00F03AE7" w:rsidRDefault="00516061" w:rsidP="00516061">
      <w:r w:rsidRPr="00F03AE7">
        <w:t xml:space="preserve">To be eligible to be registered as a charity with the ACNC, the </w:t>
      </w:r>
      <w:r w:rsidR="000B4067">
        <w:t>entity</w:t>
      </w:r>
      <w:r w:rsidRPr="00F03AE7">
        <w:t xml:space="preserve"> must:</w:t>
      </w:r>
    </w:p>
    <w:p w:rsidR="00516061" w:rsidRPr="00F03AE7" w:rsidRDefault="00516061" w:rsidP="00516061">
      <w:pPr>
        <w:pStyle w:val="Bullet"/>
      </w:pPr>
      <w:r w:rsidRPr="00F03AE7">
        <w:t>have an Australian Business Number (ABN);</w:t>
      </w:r>
    </w:p>
    <w:p w:rsidR="00516061" w:rsidRPr="00F03AE7" w:rsidRDefault="00021A82" w:rsidP="00505A30">
      <w:pPr>
        <w:pStyle w:val="Bullet"/>
      </w:pPr>
      <w:r>
        <w:t>b</w:t>
      </w:r>
      <w:r w:rsidR="00505A30" w:rsidRPr="00505A30">
        <w:t>e able to demonstrate its charitable purpose, and not-for-profit character through gov</w:t>
      </w:r>
      <w:r w:rsidR="00505A30">
        <w:t>erning documents or other means</w:t>
      </w:r>
      <w:r w:rsidR="00516061" w:rsidRPr="00F03AE7">
        <w:t xml:space="preserve">; </w:t>
      </w:r>
    </w:p>
    <w:p w:rsidR="00516061" w:rsidRPr="00F03AE7" w:rsidRDefault="00516061" w:rsidP="00516061">
      <w:pPr>
        <w:pStyle w:val="Bullet"/>
      </w:pPr>
      <w:r w:rsidRPr="00F03AE7">
        <w:t xml:space="preserve">provide the details of people responsible for governing the </w:t>
      </w:r>
      <w:r w:rsidR="00505A30">
        <w:t>entity</w:t>
      </w:r>
      <w:r w:rsidRPr="00F03AE7">
        <w:t>;</w:t>
      </w:r>
    </w:p>
    <w:p w:rsidR="00516061" w:rsidRPr="00F03AE7" w:rsidRDefault="00516061" w:rsidP="00516061">
      <w:pPr>
        <w:pStyle w:val="Bullet"/>
      </w:pPr>
      <w:r w:rsidRPr="00F03AE7">
        <w:t>have only charitable purposes or purposes ancillary to charitable purposes; and</w:t>
      </w:r>
    </w:p>
    <w:p w:rsidR="00516061" w:rsidRPr="00F03AE7" w:rsidRDefault="00516061" w:rsidP="00516061">
      <w:pPr>
        <w:pStyle w:val="Bullet"/>
      </w:pPr>
      <w:proofErr w:type="gramStart"/>
      <w:r w:rsidRPr="00F03AE7">
        <w:t>provide</w:t>
      </w:r>
      <w:proofErr w:type="gramEnd"/>
      <w:r w:rsidRPr="00F03AE7">
        <w:t xml:space="preserve"> other relevant information </w:t>
      </w:r>
      <w:r w:rsidR="002E3EB1">
        <w:t xml:space="preserve">periodically </w:t>
      </w:r>
      <w:r w:rsidRPr="00F03AE7">
        <w:t>such as its financial information.</w:t>
      </w:r>
    </w:p>
    <w:p w:rsidR="00516061" w:rsidRPr="00F03AE7" w:rsidRDefault="00516061">
      <w:pPr>
        <w:pStyle w:val="Heading2"/>
      </w:pPr>
      <w:r w:rsidRPr="00F03AE7">
        <w:t xml:space="preserve">What </w:t>
      </w:r>
      <w:r w:rsidR="00D55744">
        <w:t>will</w:t>
      </w:r>
      <w:r w:rsidR="00D55744" w:rsidRPr="00F03AE7">
        <w:t xml:space="preserve"> </w:t>
      </w:r>
      <w:r w:rsidRPr="00F03AE7">
        <w:t>a DGR need to do to maintain</w:t>
      </w:r>
      <w:r w:rsidR="00D55744">
        <w:t xml:space="preserve"> both</w:t>
      </w:r>
      <w:r w:rsidRPr="00F03AE7">
        <w:t xml:space="preserve"> </w:t>
      </w:r>
      <w:r w:rsidR="00CA120A">
        <w:t xml:space="preserve">ACNC </w:t>
      </w:r>
      <w:r w:rsidRPr="00F03AE7">
        <w:t>charity registration and DGR endorsement?</w:t>
      </w:r>
    </w:p>
    <w:p w:rsidR="00516061" w:rsidRDefault="00516061" w:rsidP="00516061">
      <w:r w:rsidRPr="00F03AE7">
        <w:t xml:space="preserve">An endorsed DGR must act in accordance with ACNC obligations such as operating consistently with the ACNC governance standards and reporting annually to the ACNC through the Annual Information Statement. It should also collect, record and disburse funds in accordance with the purpose for which the DGR endorsement was provided. </w:t>
      </w:r>
      <w:r w:rsidR="00CE68DD">
        <w:t xml:space="preserve">An endorsed DGR </w:t>
      </w:r>
      <w:r w:rsidR="00073879">
        <w:t xml:space="preserve">also </w:t>
      </w:r>
      <w:r w:rsidR="00CE68DD">
        <w:t xml:space="preserve">needs to regularly review its </w:t>
      </w:r>
      <w:r w:rsidR="000B4067">
        <w:t>entity’s</w:t>
      </w:r>
      <w:r w:rsidR="00CE68DD">
        <w:t xml:space="preserve"> </w:t>
      </w:r>
      <w:r w:rsidR="00553D2C">
        <w:t>affairs</w:t>
      </w:r>
      <w:r w:rsidR="00CE68DD">
        <w:t xml:space="preserve"> to ensure it is still entitled to DGR status, as </w:t>
      </w:r>
      <w:r w:rsidR="00553D2C">
        <w:t>it is a requirement to inform the</w:t>
      </w:r>
      <w:r w:rsidR="00CE68DD">
        <w:t xml:space="preserve"> ATO </w:t>
      </w:r>
      <w:r w:rsidR="00553D2C">
        <w:t>if it is no longer entitled.</w:t>
      </w:r>
      <w:r w:rsidR="00CE68DD">
        <w:t xml:space="preserve"> Things that can affect an entitlement to </w:t>
      </w:r>
      <w:r w:rsidR="0028363B">
        <w:t>DGR endorsement include</w:t>
      </w:r>
      <w:r w:rsidR="00CE68DD">
        <w:t>:</w:t>
      </w:r>
    </w:p>
    <w:p w:rsidR="00CE68DD" w:rsidRDefault="00CE68DD" w:rsidP="006514DD">
      <w:pPr>
        <w:pStyle w:val="Bullet"/>
      </w:pPr>
      <w:r>
        <w:t>changes to purpose and operations</w:t>
      </w:r>
      <w:r w:rsidR="00021A82">
        <w:t>;</w:t>
      </w:r>
    </w:p>
    <w:p w:rsidR="00CE68DD" w:rsidRDefault="00CE68DD" w:rsidP="006514DD">
      <w:pPr>
        <w:pStyle w:val="Bullet"/>
      </w:pPr>
      <w:r>
        <w:t>maintaining a gift fund</w:t>
      </w:r>
      <w:r w:rsidR="00021A82">
        <w:t>;</w:t>
      </w:r>
    </w:p>
    <w:p w:rsidR="00553D2C" w:rsidRDefault="00CE68DD" w:rsidP="006514DD">
      <w:pPr>
        <w:pStyle w:val="Bullet"/>
      </w:pPr>
      <w:r>
        <w:t>the ‘in Australia’ requirement</w:t>
      </w:r>
      <w:r w:rsidR="001B12C4">
        <w:t xml:space="preserve"> that requires</w:t>
      </w:r>
      <w:r w:rsidR="001B12C4" w:rsidRPr="001B12C4">
        <w:t xml:space="preserve"> DGRs </w:t>
      </w:r>
      <w:r w:rsidR="001B12C4">
        <w:t>to</w:t>
      </w:r>
      <w:r w:rsidR="001B12C4" w:rsidRPr="001B12C4">
        <w:t xml:space="preserve"> be established and operated in Australia</w:t>
      </w:r>
      <w:r w:rsidR="00021A82">
        <w:t>; and</w:t>
      </w:r>
    </w:p>
    <w:p w:rsidR="00553D2C" w:rsidRPr="00F03AE7" w:rsidRDefault="00553D2C" w:rsidP="006514DD">
      <w:pPr>
        <w:pStyle w:val="Bullet"/>
      </w:pPr>
      <w:proofErr w:type="gramStart"/>
      <w:r>
        <w:t>the</w:t>
      </w:r>
      <w:proofErr w:type="gramEnd"/>
      <w:r>
        <w:t xml:space="preserve"> receipts for gifts or deductible contributions </w:t>
      </w:r>
      <w:r w:rsidR="00021A82">
        <w:t>the</w:t>
      </w:r>
      <w:r>
        <w:t xml:space="preserve"> </w:t>
      </w:r>
      <w:r w:rsidR="00C21D65">
        <w:t>entity</w:t>
      </w:r>
      <w:r>
        <w:t xml:space="preserve"> issues.</w:t>
      </w:r>
    </w:p>
    <w:p w:rsidR="001C6C5E" w:rsidRPr="00F03AE7" w:rsidRDefault="001C6C5E" w:rsidP="006514DD">
      <w:pPr>
        <w:pStyle w:val="Bullet"/>
        <w:numPr>
          <w:ilvl w:val="0"/>
          <w:numId w:val="0"/>
        </w:numPr>
        <w:spacing w:before="360"/>
        <w:ind w:left="284" w:hanging="284"/>
        <w:rPr>
          <w:rFonts w:cs="Arial"/>
          <w:iCs/>
          <w:color w:val="004A7F"/>
          <w:kern w:val="32"/>
          <w:sz w:val="36"/>
          <w:szCs w:val="28"/>
        </w:rPr>
      </w:pPr>
      <w:r w:rsidRPr="00F03AE7">
        <w:rPr>
          <w:rFonts w:cs="Arial"/>
          <w:iCs/>
          <w:color w:val="004A7F"/>
          <w:kern w:val="32"/>
          <w:sz w:val="36"/>
          <w:szCs w:val="28"/>
        </w:rPr>
        <w:t>What are the transition arrangements?</w:t>
      </w:r>
    </w:p>
    <w:p w:rsidR="00516061" w:rsidRPr="000B4067" w:rsidRDefault="00432998" w:rsidP="005C34A1">
      <w:pPr>
        <w:pStyle w:val="Bullet"/>
        <w:numPr>
          <w:ilvl w:val="0"/>
          <w:numId w:val="0"/>
        </w:numPr>
        <w:tabs>
          <w:tab w:val="num" w:pos="520"/>
        </w:tabs>
        <w:spacing w:before="240" w:after="200"/>
      </w:pPr>
      <w:r w:rsidRPr="00F03AE7">
        <w:t xml:space="preserve">The Government is </w:t>
      </w:r>
      <w:r w:rsidR="00516061" w:rsidRPr="00F03AE7">
        <w:t xml:space="preserve">aware </w:t>
      </w:r>
      <w:r w:rsidRPr="00F03AE7">
        <w:t>that becoming a</w:t>
      </w:r>
      <w:r w:rsidR="00CA120A">
        <w:t>n ACNC</w:t>
      </w:r>
      <w:r w:rsidRPr="00F03AE7">
        <w:t xml:space="preserve"> registered </w:t>
      </w:r>
      <w:r w:rsidR="00516061" w:rsidRPr="00F03AE7">
        <w:t xml:space="preserve">charity </w:t>
      </w:r>
      <w:r w:rsidRPr="00F03AE7">
        <w:t xml:space="preserve">can be a </w:t>
      </w:r>
      <w:r w:rsidR="00516061" w:rsidRPr="00F03AE7">
        <w:t xml:space="preserve">time consuming </w:t>
      </w:r>
      <w:r w:rsidRPr="00F03AE7">
        <w:t>process. For</w:t>
      </w:r>
      <w:r w:rsidR="00516061" w:rsidRPr="00F03AE7">
        <w:t xml:space="preserve"> this reason</w:t>
      </w:r>
      <w:r w:rsidR="00D04AA8" w:rsidRPr="00F03AE7">
        <w:t>,</w:t>
      </w:r>
      <w:r w:rsidR="00516061" w:rsidRPr="00F03AE7">
        <w:t xml:space="preserve"> </w:t>
      </w:r>
      <w:r w:rsidRPr="00F03AE7">
        <w:t>the G</w:t>
      </w:r>
      <w:r w:rsidR="00516061" w:rsidRPr="00F03AE7">
        <w:t>ov</w:t>
      </w:r>
      <w:r w:rsidRPr="00F03AE7">
        <w:t xml:space="preserve">ernment will provide </w:t>
      </w:r>
      <w:r w:rsidR="00516061" w:rsidRPr="00F03AE7">
        <w:t>a transition period</w:t>
      </w:r>
      <w:r w:rsidRPr="00F03AE7">
        <w:t xml:space="preserve"> to allow current DGRs to </w:t>
      </w:r>
      <w:r w:rsidRPr="000B4067">
        <w:t xml:space="preserve">maintain their DGR endorsement while they undertake the </w:t>
      </w:r>
      <w:r w:rsidR="000B4067">
        <w:t xml:space="preserve">ACNC </w:t>
      </w:r>
      <w:r w:rsidRPr="000B4067">
        <w:t xml:space="preserve">charity registration process. </w:t>
      </w:r>
    </w:p>
    <w:p w:rsidR="00516061" w:rsidRPr="00F03AE7" w:rsidRDefault="00432998" w:rsidP="00AD4087">
      <w:pPr>
        <w:pStyle w:val="Bullet"/>
        <w:numPr>
          <w:ilvl w:val="0"/>
          <w:numId w:val="0"/>
        </w:numPr>
        <w:tabs>
          <w:tab w:val="num" w:pos="520"/>
        </w:tabs>
        <w:spacing w:before="240" w:after="200"/>
      </w:pPr>
      <w:r w:rsidRPr="000B4067">
        <w:t>The process may be more involved for some entities compared to others. Where changes need to be made to governing documents, it may be necessary to set up an</w:t>
      </w:r>
      <w:r w:rsidR="00516061" w:rsidRPr="000B4067">
        <w:t xml:space="preserve"> </w:t>
      </w:r>
      <w:r w:rsidR="000B4067" w:rsidRPr="000B4067">
        <w:t>Extraordinary</w:t>
      </w:r>
      <w:r w:rsidR="00516061" w:rsidRPr="000B4067">
        <w:t xml:space="preserve"> General Meeting</w:t>
      </w:r>
      <w:r w:rsidRPr="000B4067">
        <w:t xml:space="preserve"> to agree</w:t>
      </w:r>
      <w:r w:rsidR="00AD5347" w:rsidRPr="000B4067">
        <w:t xml:space="preserve"> </w:t>
      </w:r>
      <w:r w:rsidR="00403736" w:rsidRPr="000B4067">
        <w:t xml:space="preserve">to </w:t>
      </w:r>
      <w:r w:rsidR="00AD5347" w:rsidRPr="000B4067">
        <w:t>amendments</w:t>
      </w:r>
      <w:r w:rsidRPr="000B4067">
        <w:t xml:space="preserve">. For </w:t>
      </w:r>
      <w:r w:rsidR="00403736" w:rsidRPr="000B4067">
        <w:t>a small number</w:t>
      </w:r>
      <w:r w:rsidR="006E0890">
        <w:t xml:space="preserve"> of entities</w:t>
      </w:r>
      <w:r w:rsidR="00403736" w:rsidRPr="000B4067">
        <w:t xml:space="preserve"> </w:t>
      </w:r>
      <w:r w:rsidRPr="000B4067">
        <w:t xml:space="preserve">it may be </w:t>
      </w:r>
      <w:r w:rsidR="00AD5347" w:rsidRPr="000B4067">
        <w:t xml:space="preserve">even </w:t>
      </w:r>
      <w:r w:rsidRPr="000B4067">
        <w:t xml:space="preserve">more </w:t>
      </w:r>
      <w:r w:rsidR="00AD5347" w:rsidRPr="000B4067">
        <w:t xml:space="preserve">complex, requiring a </w:t>
      </w:r>
      <w:r w:rsidR="00516061" w:rsidRPr="000B4067">
        <w:t xml:space="preserve">new entity </w:t>
      </w:r>
      <w:r w:rsidR="00AD5347" w:rsidRPr="000B4067">
        <w:t xml:space="preserve">to be established, such as a charitable trust. </w:t>
      </w:r>
    </w:p>
    <w:p w:rsidR="00AD5347" w:rsidRPr="00F03AE7" w:rsidRDefault="00AD5347" w:rsidP="00AD4087">
      <w:pPr>
        <w:pStyle w:val="Bullet"/>
        <w:numPr>
          <w:ilvl w:val="0"/>
          <w:numId w:val="0"/>
        </w:numPr>
        <w:tabs>
          <w:tab w:val="num" w:pos="520"/>
        </w:tabs>
        <w:spacing w:before="240" w:after="200"/>
      </w:pPr>
      <w:r w:rsidRPr="00F03AE7">
        <w:t xml:space="preserve">The ATO and the ACNC will </w:t>
      </w:r>
      <w:r w:rsidR="00277E2E" w:rsidRPr="00F03AE7">
        <w:t xml:space="preserve">work constructively with entities </w:t>
      </w:r>
      <w:r w:rsidRPr="00F03AE7">
        <w:t xml:space="preserve">to provide guidance and suggest model clauses to make the process as smooth as possible. It is expected that many non-charity DGRs should be able to secure </w:t>
      </w:r>
      <w:r w:rsidR="00CA120A">
        <w:t xml:space="preserve">ACNC </w:t>
      </w:r>
      <w:r w:rsidRPr="00F03AE7">
        <w:t>charity registration within the first 12 months</w:t>
      </w:r>
      <w:r w:rsidR="006E0890">
        <w:t xml:space="preserve"> after the </w:t>
      </w:r>
      <w:r w:rsidR="00C96D2E">
        <w:t xml:space="preserve">legislative </w:t>
      </w:r>
      <w:r w:rsidR="006E0890">
        <w:t xml:space="preserve">amendments </w:t>
      </w:r>
      <w:r w:rsidR="007D50E0">
        <w:t>commence</w:t>
      </w:r>
      <w:r w:rsidRPr="00F03AE7">
        <w:t xml:space="preserve">. </w:t>
      </w:r>
    </w:p>
    <w:p w:rsidR="00C90D0E" w:rsidRPr="00F03AE7" w:rsidRDefault="00C90D0E" w:rsidP="00AD4087">
      <w:pPr>
        <w:pStyle w:val="Bullet"/>
        <w:numPr>
          <w:ilvl w:val="0"/>
          <w:numId w:val="0"/>
        </w:numPr>
        <w:tabs>
          <w:tab w:val="num" w:pos="520"/>
        </w:tabs>
        <w:spacing w:before="240" w:after="200"/>
      </w:pPr>
      <w:r w:rsidRPr="00F03AE7">
        <w:t xml:space="preserve">The transition period allows non-charity DGR entities to retain their DGR status for the </w:t>
      </w:r>
      <w:r w:rsidR="00721D6A" w:rsidRPr="00F03AE7">
        <w:t xml:space="preserve">initial </w:t>
      </w:r>
      <w:r w:rsidRPr="00F03AE7">
        <w:t>12</w:t>
      </w:r>
      <w:r w:rsidR="006E0890">
        <w:t> </w:t>
      </w:r>
      <w:r w:rsidRPr="00F03AE7">
        <w:t>month</w:t>
      </w:r>
      <w:r w:rsidR="00721D6A" w:rsidRPr="00F03AE7">
        <w:t xml:space="preserve"> period</w:t>
      </w:r>
      <w:r w:rsidR="00D55744">
        <w:t xml:space="preserve"> following the legislative amendments commencing</w:t>
      </w:r>
      <w:r w:rsidRPr="00F03AE7">
        <w:t>.</w:t>
      </w:r>
      <w:r w:rsidR="00227254" w:rsidRPr="00F03AE7">
        <w:t xml:space="preserve"> </w:t>
      </w:r>
      <w:r w:rsidR="002465A3" w:rsidRPr="00F03AE7">
        <w:t xml:space="preserve">Non-charity DGRs must </w:t>
      </w:r>
      <w:r w:rsidR="002B4EF7" w:rsidRPr="00F03AE7">
        <w:t xml:space="preserve">apply to the ACNC to </w:t>
      </w:r>
      <w:r w:rsidR="002465A3" w:rsidRPr="00F03AE7">
        <w:t xml:space="preserve">seek charity registration </w:t>
      </w:r>
      <w:r w:rsidR="002B4EF7" w:rsidRPr="00F03AE7">
        <w:t xml:space="preserve">before the end of </w:t>
      </w:r>
      <w:r w:rsidR="002465A3" w:rsidRPr="00F03AE7">
        <w:t>this period if they wish to maintain their DGR status</w:t>
      </w:r>
      <w:r w:rsidR="00D55744">
        <w:t xml:space="preserve"> beyond that time</w:t>
      </w:r>
      <w:r w:rsidR="002465A3" w:rsidRPr="00F03AE7">
        <w:t xml:space="preserve">. </w:t>
      </w:r>
      <w:r w:rsidR="00227254" w:rsidRPr="00F03AE7">
        <w:t xml:space="preserve">Once a DGR fulfils the requirements of charity registration, they will </w:t>
      </w:r>
      <w:r w:rsidR="00721D6A" w:rsidRPr="00F03AE7">
        <w:t>appear</w:t>
      </w:r>
      <w:r w:rsidR="00227254" w:rsidRPr="00F03AE7">
        <w:t xml:space="preserve"> on the ACNC charity register.</w:t>
      </w:r>
      <w:r w:rsidR="007452E6" w:rsidRPr="00F03AE7">
        <w:t xml:space="preserve"> </w:t>
      </w:r>
    </w:p>
    <w:p w:rsidR="00277E2E" w:rsidRPr="00F03AE7" w:rsidRDefault="009E4008" w:rsidP="00AD4087">
      <w:pPr>
        <w:pStyle w:val="Bullet"/>
        <w:numPr>
          <w:ilvl w:val="0"/>
          <w:numId w:val="0"/>
        </w:numPr>
        <w:tabs>
          <w:tab w:val="num" w:pos="520"/>
        </w:tabs>
        <w:spacing w:before="240" w:after="200"/>
      </w:pPr>
      <w:r w:rsidRPr="00F03AE7">
        <w:lastRenderedPageBreak/>
        <w:t xml:space="preserve">However, </w:t>
      </w:r>
      <w:r w:rsidR="00277E2E" w:rsidRPr="00F03AE7">
        <w:t>there may be some circumstances where, despite best efforts, entities are unable to achieve</w:t>
      </w:r>
      <w:r w:rsidR="00CA120A">
        <w:t xml:space="preserve"> ACNC</w:t>
      </w:r>
      <w:r w:rsidR="00277E2E" w:rsidRPr="00F03AE7">
        <w:t xml:space="preserve"> charity registration in the first 12 months. For example, if changes need to be made to Trust deeds that require a court process that could take </w:t>
      </w:r>
      <w:r w:rsidR="00403736">
        <w:t>some time</w:t>
      </w:r>
      <w:r w:rsidR="00277E2E" w:rsidRPr="00F03AE7">
        <w:t xml:space="preserve">. </w:t>
      </w:r>
      <w:r w:rsidR="00FB3D79" w:rsidRPr="00F03AE7">
        <w:t>The Government has designed a time</w:t>
      </w:r>
      <w:r w:rsidR="006E0890">
        <w:t>-</w:t>
      </w:r>
      <w:r w:rsidR="00FB3D79" w:rsidRPr="00F03AE7">
        <w:t>limited exemption</w:t>
      </w:r>
      <w:r w:rsidR="00403736">
        <w:t xml:space="preserve"> which allows the ATO to grant an additional three-year extension beyond the transition period,</w:t>
      </w:r>
      <w:r w:rsidR="00FB3D79" w:rsidRPr="00F03AE7">
        <w:t xml:space="preserve"> to accommodate such circumstances. </w:t>
      </w:r>
    </w:p>
    <w:p w:rsidR="001C6C5E" w:rsidRPr="00F03AE7" w:rsidRDefault="00B13E54" w:rsidP="00AD4087">
      <w:pPr>
        <w:pStyle w:val="Bullet"/>
        <w:numPr>
          <w:ilvl w:val="0"/>
          <w:numId w:val="0"/>
        </w:numPr>
        <w:tabs>
          <w:tab w:val="num" w:pos="520"/>
        </w:tabs>
        <w:spacing w:before="240" w:after="200"/>
      </w:pPr>
      <w:r w:rsidRPr="00F03AE7">
        <w:t>I</w:t>
      </w:r>
      <w:r w:rsidR="007452E6" w:rsidRPr="00F03AE7">
        <w:t xml:space="preserve">f </w:t>
      </w:r>
      <w:r w:rsidR="00C90D0E" w:rsidRPr="00F03AE7">
        <w:t xml:space="preserve">a DGR </w:t>
      </w:r>
      <w:r w:rsidR="007452E6" w:rsidRPr="00F03AE7">
        <w:t xml:space="preserve">has not achieved </w:t>
      </w:r>
      <w:r w:rsidR="000B4067">
        <w:t xml:space="preserve">ACNC </w:t>
      </w:r>
      <w:r w:rsidR="009D680D" w:rsidRPr="00F03AE7">
        <w:t xml:space="preserve">charity registration </w:t>
      </w:r>
      <w:r w:rsidR="007452E6" w:rsidRPr="00F03AE7">
        <w:t>within the 12 month</w:t>
      </w:r>
      <w:r w:rsidRPr="00F03AE7">
        <w:t xml:space="preserve"> transition period</w:t>
      </w:r>
      <w:r w:rsidR="007452E6" w:rsidRPr="00F03AE7">
        <w:t xml:space="preserve">, </w:t>
      </w:r>
      <w:r w:rsidR="004C2E55" w:rsidRPr="00F03AE7">
        <w:t xml:space="preserve">it must </w:t>
      </w:r>
      <w:r w:rsidRPr="00F03AE7">
        <w:t>appl</w:t>
      </w:r>
      <w:r w:rsidR="004C2E55" w:rsidRPr="00F03AE7">
        <w:t>y</w:t>
      </w:r>
      <w:r w:rsidRPr="00F03AE7">
        <w:t xml:space="preserve"> for </w:t>
      </w:r>
      <w:r w:rsidR="007452E6" w:rsidRPr="00F03AE7">
        <w:t>an ATO Commissioner’s time</w:t>
      </w:r>
      <w:r w:rsidR="00721D6A" w:rsidRPr="00F03AE7">
        <w:t>-</w:t>
      </w:r>
      <w:r w:rsidR="007452E6" w:rsidRPr="00F03AE7">
        <w:t>limited exemption</w:t>
      </w:r>
      <w:r w:rsidR="004C2E55" w:rsidRPr="00F03AE7">
        <w:t xml:space="preserve"> to </w:t>
      </w:r>
      <w:r w:rsidR="00652A9E" w:rsidRPr="00F03AE7">
        <w:t>maintain</w:t>
      </w:r>
      <w:r w:rsidR="00D55744">
        <w:t xml:space="preserve"> their</w:t>
      </w:r>
      <w:r w:rsidR="00652A9E" w:rsidRPr="00F03AE7">
        <w:t xml:space="preserve"> </w:t>
      </w:r>
      <w:r w:rsidR="004C2E55" w:rsidRPr="00F03AE7">
        <w:t>DGR endorsement</w:t>
      </w:r>
      <w:r w:rsidRPr="00F03AE7">
        <w:t>.</w:t>
      </w:r>
    </w:p>
    <w:p w:rsidR="001C6C5E" w:rsidRPr="00F03AE7" w:rsidRDefault="001C6C5E" w:rsidP="006514DD">
      <w:pPr>
        <w:pStyle w:val="Bullet"/>
        <w:numPr>
          <w:ilvl w:val="0"/>
          <w:numId w:val="0"/>
        </w:numPr>
        <w:spacing w:before="360"/>
        <w:ind w:left="284" w:hanging="284"/>
        <w:rPr>
          <w:rFonts w:cs="Arial"/>
          <w:iCs/>
          <w:color w:val="004A7F"/>
          <w:kern w:val="32"/>
          <w:sz w:val="36"/>
          <w:szCs w:val="28"/>
        </w:rPr>
      </w:pPr>
      <w:r w:rsidRPr="00F03AE7">
        <w:rPr>
          <w:rFonts w:cs="Arial"/>
          <w:iCs/>
          <w:color w:val="004A7F"/>
          <w:kern w:val="32"/>
          <w:sz w:val="36"/>
          <w:szCs w:val="28"/>
        </w:rPr>
        <w:t>What are the exemption provisions?</w:t>
      </w:r>
    </w:p>
    <w:p w:rsidR="001C6C5E" w:rsidRPr="00F03AE7" w:rsidRDefault="00F75901" w:rsidP="00AD4087">
      <w:pPr>
        <w:pStyle w:val="Bullet"/>
        <w:numPr>
          <w:ilvl w:val="0"/>
          <w:numId w:val="0"/>
        </w:numPr>
        <w:tabs>
          <w:tab w:val="num" w:pos="520"/>
        </w:tabs>
        <w:spacing w:before="240" w:after="200"/>
      </w:pPr>
      <w:r>
        <w:t>Applications for an</w:t>
      </w:r>
      <w:r w:rsidR="00227254" w:rsidRPr="00F03AE7">
        <w:t xml:space="preserve"> exemption</w:t>
      </w:r>
      <w:r w:rsidR="00CA3350">
        <w:t xml:space="preserve"> </w:t>
      </w:r>
      <w:r w:rsidR="00D01EF8" w:rsidRPr="00F03AE7">
        <w:t xml:space="preserve">must be received within </w:t>
      </w:r>
      <w:r w:rsidR="00C90D0E" w:rsidRPr="00F03AE7">
        <w:t xml:space="preserve">the </w:t>
      </w:r>
      <w:r w:rsidR="00D01EF8" w:rsidRPr="00F03AE7">
        <w:t xml:space="preserve">12 month </w:t>
      </w:r>
      <w:r w:rsidR="00C90D0E" w:rsidRPr="00F03AE7">
        <w:t>transition period</w:t>
      </w:r>
      <w:r w:rsidR="00D01EF8" w:rsidRPr="00F03AE7">
        <w:t xml:space="preserve">, and </w:t>
      </w:r>
      <w:r w:rsidR="00227254" w:rsidRPr="00F03AE7">
        <w:t>will be time</w:t>
      </w:r>
      <w:r w:rsidR="00721D6A" w:rsidRPr="00F03AE7">
        <w:t>-</w:t>
      </w:r>
      <w:r w:rsidR="00227254" w:rsidRPr="00F03AE7">
        <w:t>limited</w:t>
      </w:r>
      <w:r w:rsidR="00ED1C87">
        <w:t xml:space="preserve"> to an additional three years after the end of the initial 12 month transition period</w:t>
      </w:r>
      <w:r w:rsidR="00227254" w:rsidRPr="00F03AE7">
        <w:t xml:space="preserve">. </w:t>
      </w:r>
    </w:p>
    <w:p w:rsidR="00C90D0E" w:rsidRPr="00F03AE7" w:rsidRDefault="00492F89" w:rsidP="00AD4087">
      <w:pPr>
        <w:pStyle w:val="Bullet"/>
        <w:numPr>
          <w:ilvl w:val="0"/>
          <w:numId w:val="0"/>
        </w:numPr>
        <w:tabs>
          <w:tab w:val="num" w:pos="520"/>
        </w:tabs>
        <w:spacing w:before="240" w:after="200"/>
      </w:pPr>
      <w:r w:rsidRPr="00F03AE7">
        <w:t>T</w:t>
      </w:r>
      <w:r w:rsidR="00C90D0E" w:rsidRPr="00F03AE7">
        <w:t xml:space="preserve">o </w:t>
      </w:r>
      <w:r w:rsidR="00ED1C87">
        <w:t xml:space="preserve">be eligible </w:t>
      </w:r>
      <w:r w:rsidR="00CA3350">
        <w:t xml:space="preserve">for </w:t>
      </w:r>
      <w:r w:rsidR="00025D83" w:rsidRPr="00025D83">
        <w:t>a time-limited</w:t>
      </w:r>
      <w:r w:rsidR="00CA3350">
        <w:t xml:space="preserve"> exemption</w:t>
      </w:r>
      <w:r w:rsidR="00C90D0E" w:rsidRPr="00F03AE7">
        <w:t>, entities will need to have made an application</w:t>
      </w:r>
      <w:r w:rsidRPr="00F03AE7">
        <w:t xml:space="preserve"> to the ACNC</w:t>
      </w:r>
      <w:r w:rsidR="00C90D0E" w:rsidRPr="00F03AE7">
        <w:t xml:space="preserve"> for charity registration during </w:t>
      </w:r>
      <w:r w:rsidRPr="00F03AE7">
        <w:t>the</w:t>
      </w:r>
      <w:r w:rsidR="00ED1C87">
        <w:t xml:space="preserve"> initial 12 month</w:t>
      </w:r>
      <w:r w:rsidRPr="00F03AE7">
        <w:t xml:space="preserve"> transition </w:t>
      </w:r>
      <w:r w:rsidR="00C90D0E" w:rsidRPr="00F03AE7">
        <w:t>period</w:t>
      </w:r>
      <w:r w:rsidR="006514DD" w:rsidRPr="006514DD">
        <w:t xml:space="preserve">. </w:t>
      </w:r>
      <w:r w:rsidR="006514DD" w:rsidRPr="00AC7B58">
        <w:t>A streamlined process will enable entities to indicate in their</w:t>
      </w:r>
      <w:r w:rsidR="00C90D0E" w:rsidRPr="00AC7B58">
        <w:t xml:space="preserve"> in their application </w:t>
      </w:r>
      <w:r w:rsidR="00242F34" w:rsidRPr="00AC7B58">
        <w:t xml:space="preserve">for charity </w:t>
      </w:r>
      <w:r w:rsidR="00651786" w:rsidRPr="00AC7B58">
        <w:t xml:space="preserve">registration that </w:t>
      </w:r>
      <w:r w:rsidR="00C90D0E" w:rsidRPr="00AC7B58">
        <w:t>they wish to apply</w:t>
      </w:r>
      <w:r w:rsidR="00ED1C87" w:rsidRPr="00AC7B58">
        <w:t xml:space="preserve"> to the ATO </w:t>
      </w:r>
      <w:r w:rsidR="00C90D0E" w:rsidRPr="00AC7B58">
        <w:t>for the exemption.</w:t>
      </w:r>
    </w:p>
    <w:p w:rsidR="007452E6" w:rsidRPr="0092738D" w:rsidRDefault="007452E6" w:rsidP="00AD4087">
      <w:pPr>
        <w:pStyle w:val="Bullet"/>
        <w:numPr>
          <w:ilvl w:val="0"/>
          <w:numId w:val="0"/>
        </w:numPr>
        <w:spacing w:before="240" w:after="200"/>
        <w:ind w:firstLine="1"/>
      </w:pPr>
      <w:r w:rsidRPr="0092738D">
        <w:t>The following factors will be relevant when considering applications for a time</w:t>
      </w:r>
      <w:r w:rsidR="00492F89" w:rsidRPr="0092738D">
        <w:t>-</w:t>
      </w:r>
      <w:r w:rsidRPr="0092738D">
        <w:t>limited exemption:</w:t>
      </w:r>
    </w:p>
    <w:p w:rsidR="00D01EF8" w:rsidRPr="0092738D" w:rsidRDefault="006E0890" w:rsidP="006514DD">
      <w:pPr>
        <w:pStyle w:val="Bullet"/>
      </w:pPr>
      <w:r>
        <w:t>d</w:t>
      </w:r>
      <w:r w:rsidR="00D01EF8" w:rsidRPr="0092738D">
        <w:t xml:space="preserve">uring the transitional period, the non-charity DGR entity has taken steps to fulfil the requirements for </w:t>
      </w:r>
      <w:r w:rsidR="000B4067" w:rsidRPr="0092738D">
        <w:t xml:space="preserve">ACNC </w:t>
      </w:r>
      <w:r w:rsidR="00D01EF8" w:rsidRPr="0092738D">
        <w:t>charity registration but, as at</w:t>
      </w:r>
      <w:r w:rsidR="007452E6" w:rsidRPr="0092738D">
        <w:t xml:space="preserve"> the end of the 12 month</w:t>
      </w:r>
      <w:r w:rsidR="00710C1C" w:rsidRPr="0092738D">
        <w:t xml:space="preserve"> transition period</w:t>
      </w:r>
      <w:r w:rsidR="00D01EF8" w:rsidRPr="0092738D">
        <w:t>, has not been granted registration by the ACNC</w:t>
      </w:r>
      <w:r>
        <w:t>; and</w:t>
      </w:r>
    </w:p>
    <w:p w:rsidR="00D01EF8" w:rsidRPr="0092738D" w:rsidRDefault="006E0890" w:rsidP="006514DD">
      <w:pPr>
        <w:pStyle w:val="Bullet"/>
      </w:pPr>
      <w:proofErr w:type="gramStart"/>
      <w:r>
        <w:t>t</w:t>
      </w:r>
      <w:r w:rsidR="00D01EF8" w:rsidRPr="0092738D">
        <w:t>here</w:t>
      </w:r>
      <w:proofErr w:type="gramEnd"/>
      <w:r w:rsidR="00D01EF8" w:rsidRPr="0092738D">
        <w:t xml:space="preserve"> has been no change in circumstances of the non-charity DGR entity that would otherwise affect their DGR endorsement.</w:t>
      </w:r>
    </w:p>
    <w:p w:rsidR="00D01EF8" w:rsidRPr="0092738D" w:rsidRDefault="00D01EF8" w:rsidP="00AD4087">
      <w:pPr>
        <w:spacing w:before="240" w:after="200"/>
      </w:pPr>
      <w:r w:rsidRPr="0092738D">
        <w:t xml:space="preserve">Entities that have applied for </w:t>
      </w:r>
      <w:r w:rsidR="00EA1802" w:rsidRPr="0092738D">
        <w:t>an</w:t>
      </w:r>
      <w:r w:rsidRPr="0092738D">
        <w:t xml:space="preserve"> exemption </w:t>
      </w:r>
      <w:r w:rsidR="009D680D" w:rsidRPr="0092738D">
        <w:t xml:space="preserve">within the 12 months </w:t>
      </w:r>
      <w:r w:rsidR="00710C1C" w:rsidRPr="0092738D">
        <w:t xml:space="preserve">transition period </w:t>
      </w:r>
      <w:r w:rsidRPr="0092738D">
        <w:t xml:space="preserve">will maintain their DGR endorsement until four years after the start date, unless they are notified that they </w:t>
      </w:r>
      <w:r w:rsidR="00594E35" w:rsidRPr="0092738D">
        <w:t xml:space="preserve">are </w:t>
      </w:r>
      <w:r w:rsidRPr="0092738D">
        <w:t xml:space="preserve">not eligible for </w:t>
      </w:r>
      <w:r w:rsidR="00E314F0" w:rsidRPr="0092738D">
        <w:t>the</w:t>
      </w:r>
      <w:r w:rsidRPr="0092738D">
        <w:t xml:space="preserve"> </w:t>
      </w:r>
      <w:r w:rsidR="001F5C13">
        <w:t xml:space="preserve">ATO </w:t>
      </w:r>
      <w:r w:rsidRPr="0092738D">
        <w:t>Commissioner</w:t>
      </w:r>
      <w:r w:rsidR="00E314F0" w:rsidRPr="0092738D">
        <w:t>’</w:t>
      </w:r>
      <w:r w:rsidRPr="0092738D">
        <w:t>s time</w:t>
      </w:r>
      <w:r w:rsidR="00492F89" w:rsidRPr="0092738D">
        <w:t>-</w:t>
      </w:r>
      <w:r w:rsidRPr="0092738D">
        <w:t xml:space="preserve">limited exemption. </w:t>
      </w:r>
    </w:p>
    <w:p w:rsidR="003A4D12" w:rsidRPr="0092738D" w:rsidRDefault="003A4D12" w:rsidP="006514DD">
      <w:pPr>
        <w:spacing w:before="360"/>
        <w:rPr>
          <w:rFonts w:cs="Arial"/>
          <w:iCs/>
          <w:color w:val="004A7F"/>
          <w:kern w:val="32"/>
          <w:sz w:val="36"/>
          <w:szCs w:val="28"/>
        </w:rPr>
      </w:pPr>
      <w:r w:rsidRPr="0092738D">
        <w:rPr>
          <w:rFonts w:cs="Arial"/>
          <w:iCs/>
          <w:color w:val="004A7F"/>
          <w:kern w:val="32"/>
          <w:sz w:val="36"/>
          <w:szCs w:val="28"/>
        </w:rPr>
        <w:t>Can all DGRs apply for the time-limited exemption?</w:t>
      </w:r>
    </w:p>
    <w:p w:rsidR="0085668A" w:rsidRPr="00F03AE7" w:rsidRDefault="003A4D12" w:rsidP="005C34A1">
      <w:pPr>
        <w:pStyle w:val="Bullet"/>
        <w:numPr>
          <w:ilvl w:val="0"/>
          <w:numId w:val="0"/>
        </w:numPr>
        <w:spacing w:before="240"/>
      </w:pPr>
      <w:r w:rsidRPr="0092738D">
        <w:t xml:space="preserve">No. </w:t>
      </w:r>
      <w:r w:rsidR="00F641C1" w:rsidRPr="0092738D">
        <w:t>Non-charity DGR entities that have</w:t>
      </w:r>
      <w:r w:rsidR="0085668A" w:rsidRPr="0092738D">
        <w:t xml:space="preserve"> previously had</w:t>
      </w:r>
      <w:r w:rsidR="000B4067" w:rsidRPr="0092738D">
        <w:t xml:space="preserve"> ACNC</w:t>
      </w:r>
      <w:r w:rsidR="0085668A" w:rsidRPr="0092738D">
        <w:t xml:space="preserve"> charity registration refused or involuntarily revoked by the ACNC will not be eligible for the time-limited ATO Commissioner’s exemption. These entities will </w:t>
      </w:r>
      <w:r w:rsidR="00F641C1" w:rsidRPr="0092738D">
        <w:t xml:space="preserve">lose their </w:t>
      </w:r>
      <w:r w:rsidR="0085668A" w:rsidRPr="0092738D">
        <w:t xml:space="preserve">DGR </w:t>
      </w:r>
      <w:r w:rsidR="00F641C1" w:rsidRPr="0092738D">
        <w:t>endorsement</w:t>
      </w:r>
      <w:r w:rsidR="00710C1C" w:rsidRPr="0092738D">
        <w:t xml:space="preserve"> at the end of the 12 month transition period</w:t>
      </w:r>
      <w:r w:rsidR="00F641C1" w:rsidRPr="0092738D">
        <w:t xml:space="preserve"> </w:t>
      </w:r>
      <w:r w:rsidR="0085668A" w:rsidRPr="0092738D">
        <w:t>if they do</w:t>
      </w:r>
      <w:r w:rsidR="0085668A" w:rsidRPr="00F03AE7">
        <w:t xml:space="preserve"> not obtain full</w:t>
      </w:r>
      <w:r w:rsidR="000B4067">
        <w:t xml:space="preserve"> ACNC</w:t>
      </w:r>
      <w:r w:rsidR="0085668A" w:rsidRPr="00F03AE7">
        <w:t xml:space="preserve"> charity registration within the 12 month transition period.</w:t>
      </w:r>
    </w:p>
    <w:p w:rsidR="003A4D12" w:rsidRPr="00F03AE7" w:rsidRDefault="003A4D12" w:rsidP="006514DD">
      <w:pPr>
        <w:pStyle w:val="Bullet"/>
        <w:numPr>
          <w:ilvl w:val="0"/>
          <w:numId w:val="0"/>
        </w:numPr>
        <w:spacing w:before="360"/>
      </w:pPr>
      <w:r w:rsidRPr="00F03AE7">
        <w:rPr>
          <w:rFonts w:cs="Arial"/>
          <w:iCs/>
          <w:color w:val="004A7F"/>
          <w:kern w:val="32"/>
          <w:sz w:val="36"/>
          <w:szCs w:val="28"/>
        </w:rPr>
        <w:t>What access do DGR applicants have to the transition period and time</w:t>
      </w:r>
      <w:r w:rsidR="001F5C13">
        <w:rPr>
          <w:rFonts w:cs="Arial"/>
          <w:iCs/>
          <w:color w:val="004A7F"/>
          <w:kern w:val="32"/>
          <w:sz w:val="36"/>
          <w:szCs w:val="28"/>
        </w:rPr>
        <w:t>-</w:t>
      </w:r>
      <w:r w:rsidRPr="00F03AE7">
        <w:rPr>
          <w:rFonts w:cs="Arial"/>
          <w:iCs/>
          <w:color w:val="004A7F"/>
          <w:kern w:val="32"/>
          <w:sz w:val="36"/>
          <w:szCs w:val="28"/>
        </w:rPr>
        <w:t>limited exemption?</w:t>
      </w:r>
    </w:p>
    <w:p w:rsidR="003A4D12" w:rsidRPr="00F03AE7" w:rsidRDefault="00D06657" w:rsidP="005C34A1">
      <w:pPr>
        <w:pStyle w:val="Bullet"/>
        <w:numPr>
          <w:ilvl w:val="0"/>
          <w:numId w:val="0"/>
        </w:numPr>
        <w:spacing w:before="240"/>
      </w:pPr>
      <w:r w:rsidRPr="00F03AE7">
        <w:t>E</w:t>
      </w:r>
      <w:r w:rsidR="003A4D12" w:rsidRPr="00F03AE7">
        <w:t xml:space="preserve">ntities that are </w:t>
      </w:r>
      <w:r w:rsidRPr="00F03AE7">
        <w:t>not</w:t>
      </w:r>
      <w:r w:rsidR="001F5C13">
        <w:t xml:space="preserve"> </w:t>
      </w:r>
      <w:r w:rsidR="003A4D12" w:rsidRPr="00F03AE7">
        <w:t>DGRs but are in the process of applying for DGR endorsement</w:t>
      </w:r>
      <w:r w:rsidRPr="00F03AE7">
        <w:t xml:space="preserve"> </w:t>
      </w:r>
      <w:r w:rsidR="00CB334A">
        <w:t xml:space="preserve">immediately before </w:t>
      </w:r>
      <w:r w:rsidRPr="00F03AE7">
        <w:t>the new arrangements come into force</w:t>
      </w:r>
      <w:r w:rsidR="003A4D12" w:rsidRPr="00F03AE7">
        <w:t xml:space="preserve"> will be treated the same as current </w:t>
      </w:r>
      <w:r w:rsidR="00416B05">
        <w:t xml:space="preserve">non-charity </w:t>
      </w:r>
      <w:r w:rsidR="003A4D12" w:rsidRPr="00F03AE7">
        <w:t xml:space="preserve">DGRs. </w:t>
      </w:r>
      <w:r w:rsidRPr="00F03AE7">
        <w:t>DGR applicants as at the start date will have the same access to the transition period and time</w:t>
      </w:r>
      <w:r w:rsidR="001F5C13">
        <w:t>-</w:t>
      </w:r>
      <w:r w:rsidRPr="00F03AE7">
        <w:t xml:space="preserve">limited exemption as current </w:t>
      </w:r>
      <w:r w:rsidR="00C35FBC">
        <w:t xml:space="preserve">non-charity </w:t>
      </w:r>
      <w:r w:rsidRPr="00F03AE7">
        <w:t xml:space="preserve">DGRs. </w:t>
      </w:r>
    </w:p>
    <w:p w:rsidR="00D06657" w:rsidRPr="00F03AE7" w:rsidRDefault="00D06657" w:rsidP="005C34A1">
      <w:pPr>
        <w:pStyle w:val="Bullet"/>
        <w:numPr>
          <w:ilvl w:val="0"/>
          <w:numId w:val="0"/>
        </w:numPr>
        <w:spacing w:before="240"/>
      </w:pPr>
      <w:r w:rsidRPr="00F03AE7">
        <w:t xml:space="preserve">Any entities applying for DGR endorsement after the new arrangements come into force will need to achieve </w:t>
      </w:r>
      <w:r w:rsidR="000B4067">
        <w:t xml:space="preserve">ACNC </w:t>
      </w:r>
      <w:r w:rsidRPr="00F03AE7">
        <w:t xml:space="preserve">charity registration before they can be endorsed as a DGR. </w:t>
      </w:r>
    </w:p>
    <w:p w:rsidR="00651786" w:rsidRDefault="00651786">
      <w:pPr>
        <w:spacing w:before="0" w:after="160" w:line="259" w:lineRule="auto"/>
        <w:rPr>
          <w:rFonts w:cs="Arial"/>
          <w:iCs/>
          <w:color w:val="004A7F"/>
          <w:kern w:val="32"/>
          <w:sz w:val="36"/>
          <w:szCs w:val="28"/>
        </w:rPr>
      </w:pPr>
      <w:r>
        <w:rPr>
          <w:rFonts w:cs="Arial"/>
          <w:iCs/>
          <w:color w:val="004A7F"/>
          <w:kern w:val="32"/>
          <w:sz w:val="36"/>
          <w:szCs w:val="28"/>
        </w:rPr>
        <w:br w:type="page"/>
      </w:r>
    </w:p>
    <w:p w:rsidR="004F52CA" w:rsidRPr="00F03AE7" w:rsidRDefault="004F52CA" w:rsidP="006514DD">
      <w:pPr>
        <w:spacing w:before="360"/>
        <w:rPr>
          <w:rFonts w:cs="Arial"/>
          <w:iCs/>
          <w:color w:val="004A7F"/>
          <w:kern w:val="32"/>
          <w:sz w:val="36"/>
          <w:szCs w:val="28"/>
        </w:rPr>
      </w:pPr>
      <w:r w:rsidRPr="00F03AE7">
        <w:rPr>
          <w:rFonts w:cs="Arial"/>
          <w:iCs/>
          <w:color w:val="004A7F"/>
          <w:kern w:val="32"/>
          <w:sz w:val="36"/>
          <w:szCs w:val="28"/>
        </w:rPr>
        <w:lastRenderedPageBreak/>
        <w:t xml:space="preserve">Do non-charity DGRs need to wait for the </w:t>
      </w:r>
      <w:r w:rsidR="00AD4087" w:rsidRPr="00F03AE7">
        <w:rPr>
          <w:rFonts w:cs="Arial"/>
          <w:iCs/>
          <w:color w:val="004A7F"/>
          <w:kern w:val="32"/>
          <w:sz w:val="36"/>
          <w:szCs w:val="28"/>
        </w:rPr>
        <w:t xml:space="preserve">amendments </w:t>
      </w:r>
      <w:r w:rsidRPr="00F03AE7">
        <w:rPr>
          <w:rFonts w:cs="Arial"/>
          <w:iCs/>
          <w:color w:val="004A7F"/>
          <w:kern w:val="32"/>
          <w:sz w:val="36"/>
          <w:szCs w:val="28"/>
        </w:rPr>
        <w:t xml:space="preserve">before applying for </w:t>
      </w:r>
      <w:r w:rsidR="00CA120A">
        <w:rPr>
          <w:rFonts w:cs="Arial"/>
          <w:iCs/>
          <w:color w:val="004A7F"/>
          <w:kern w:val="32"/>
          <w:sz w:val="36"/>
          <w:szCs w:val="28"/>
        </w:rPr>
        <w:t xml:space="preserve">ACNC </w:t>
      </w:r>
      <w:r w:rsidRPr="00F03AE7">
        <w:rPr>
          <w:rFonts w:cs="Arial"/>
          <w:iCs/>
          <w:color w:val="004A7F"/>
          <w:kern w:val="32"/>
          <w:sz w:val="36"/>
          <w:szCs w:val="28"/>
        </w:rPr>
        <w:t>Charity Registration?</w:t>
      </w:r>
    </w:p>
    <w:p w:rsidR="001C6C5E" w:rsidRPr="00F03AE7" w:rsidRDefault="004F52CA">
      <w:pPr>
        <w:spacing w:before="240"/>
      </w:pPr>
      <w:r w:rsidRPr="00F03AE7">
        <w:t xml:space="preserve">No. Entities can apply for </w:t>
      </w:r>
      <w:r w:rsidR="00CA120A">
        <w:t xml:space="preserve">ACNC </w:t>
      </w:r>
      <w:r w:rsidRPr="00F03AE7">
        <w:t xml:space="preserve">charity registration at any time, and are encouraged to do so ahead of </w:t>
      </w:r>
      <w:r w:rsidR="00492F89" w:rsidRPr="00F03AE7">
        <w:t xml:space="preserve">the </w:t>
      </w:r>
      <w:r w:rsidR="00AD4087" w:rsidRPr="00F03AE7">
        <w:t>legislative amendments</w:t>
      </w:r>
      <w:r w:rsidR="00492F89" w:rsidRPr="00F03AE7">
        <w:t xml:space="preserve"> receiving Royal Assent</w:t>
      </w:r>
      <w:r w:rsidRPr="00F03AE7">
        <w:t xml:space="preserve">.  </w:t>
      </w:r>
    </w:p>
    <w:p w:rsidR="00AD4087" w:rsidRPr="00F03AE7" w:rsidRDefault="00AD4087" w:rsidP="006514DD">
      <w:pPr>
        <w:pStyle w:val="NormalWeb"/>
        <w:shd w:val="clear" w:color="auto" w:fill="FFFFFF"/>
        <w:spacing w:before="240" w:beforeAutospacing="0" w:after="120" w:afterAutospacing="0"/>
        <w:rPr>
          <w:rFonts w:ascii="Calibri" w:hAnsi="Calibri"/>
          <w:sz w:val="22"/>
          <w:szCs w:val="20"/>
        </w:rPr>
      </w:pPr>
      <w:r w:rsidRPr="00F03AE7">
        <w:rPr>
          <w:rFonts w:ascii="Calibri" w:hAnsi="Calibri"/>
          <w:sz w:val="22"/>
          <w:szCs w:val="20"/>
        </w:rPr>
        <w:t xml:space="preserve">Entities with queries can seek guidance from the ACNC at: </w:t>
      </w:r>
      <w:hyperlink r:id="rId16" w:history="1">
        <w:r w:rsidRPr="00F03AE7">
          <w:rPr>
            <w:rStyle w:val="Hyperlink"/>
            <w:rFonts w:ascii="Calibri" w:hAnsi="Calibri"/>
            <w:sz w:val="22"/>
            <w:szCs w:val="20"/>
          </w:rPr>
          <w:t>https://www.acnc.gov.au/contact-us</w:t>
        </w:r>
      </w:hyperlink>
      <w:r w:rsidRPr="00F03AE7">
        <w:rPr>
          <w:rFonts w:ascii="Calibri" w:hAnsi="Calibri"/>
          <w:sz w:val="22"/>
          <w:szCs w:val="20"/>
        </w:rPr>
        <w:t xml:space="preserve"> </w:t>
      </w:r>
    </w:p>
    <w:p w:rsidR="002E7ACB" w:rsidRPr="00F03AE7" w:rsidRDefault="002E7ACB" w:rsidP="006514DD">
      <w:pPr>
        <w:spacing w:before="240"/>
      </w:pPr>
      <w:r w:rsidRPr="00F03AE7">
        <w:t xml:space="preserve">More information is available </w:t>
      </w:r>
      <w:r w:rsidR="002465A3" w:rsidRPr="00F03AE7">
        <w:t>at</w:t>
      </w:r>
      <w:r w:rsidRPr="00F03AE7">
        <w:t>:</w:t>
      </w:r>
      <w:r w:rsidR="00AD4087" w:rsidRPr="00F03AE7">
        <w:t xml:space="preserve"> </w:t>
      </w:r>
      <w:hyperlink r:id="rId17" w:history="1">
        <w:r w:rsidR="002465A3" w:rsidRPr="00F03AE7">
          <w:rPr>
            <w:rStyle w:val="Hyperlink"/>
          </w:rPr>
          <w:t>https://www.acnc.gov.au/for-charities/start-charity/apply-now</w:t>
        </w:r>
      </w:hyperlink>
      <w:r w:rsidR="002465A3" w:rsidRPr="00F03AE7">
        <w:t xml:space="preserve"> </w:t>
      </w:r>
    </w:p>
    <w:p w:rsidR="002D1762" w:rsidRPr="00F03AE7" w:rsidRDefault="002D1762" w:rsidP="004D1D06">
      <w:pPr>
        <w:pStyle w:val="Heading2"/>
      </w:pPr>
      <w:r w:rsidRPr="00F03AE7">
        <w:t xml:space="preserve">What is Treasury’s role </w:t>
      </w:r>
      <w:r w:rsidR="00257F3F">
        <w:t>compared to</w:t>
      </w:r>
      <w:r w:rsidR="00257F3F" w:rsidRPr="00F03AE7" w:rsidDel="00257F3F">
        <w:t xml:space="preserve"> </w:t>
      </w:r>
      <w:r w:rsidRPr="00F03AE7">
        <w:t>the ACNC</w:t>
      </w:r>
      <w:r w:rsidR="007673B3" w:rsidRPr="00F03AE7">
        <w:t xml:space="preserve"> and the ATO</w:t>
      </w:r>
      <w:r w:rsidRPr="00F03AE7">
        <w:t>?</w:t>
      </w:r>
    </w:p>
    <w:p w:rsidR="00EB350C" w:rsidRPr="00F03AE7" w:rsidRDefault="00404295" w:rsidP="003C1FF8">
      <w:pPr>
        <w:spacing w:before="240"/>
      </w:pPr>
      <w:r w:rsidRPr="00F03AE7">
        <w:t xml:space="preserve">Treasury works with the </w:t>
      </w:r>
      <w:r w:rsidR="00663170" w:rsidRPr="00F03AE7">
        <w:t xml:space="preserve">ACNC </w:t>
      </w:r>
      <w:r w:rsidR="00EB350C" w:rsidRPr="00F03AE7">
        <w:t xml:space="preserve">and </w:t>
      </w:r>
      <w:r w:rsidR="00C35FBC">
        <w:t xml:space="preserve">the </w:t>
      </w:r>
      <w:r w:rsidR="00EB350C" w:rsidRPr="00F03AE7">
        <w:t xml:space="preserve">ATO </w:t>
      </w:r>
      <w:r w:rsidRPr="00F03AE7">
        <w:t>to provide</w:t>
      </w:r>
      <w:r w:rsidR="00663170" w:rsidRPr="00F03AE7">
        <w:t xml:space="preserve"> advice to government on policy issues </w:t>
      </w:r>
      <w:r w:rsidR="00492F89" w:rsidRPr="00F03AE7">
        <w:t>a</w:t>
      </w:r>
      <w:r w:rsidR="00663170" w:rsidRPr="00F03AE7">
        <w:t xml:space="preserve">ffecting the regulation </w:t>
      </w:r>
      <w:r w:rsidRPr="00F03AE7">
        <w:t xml:space="preserve">and administration </w:t>
      </w:r>
      <w:r w:rsidR="00663170" w:rsidRPr="00F03AE7">
        <w:t>of Australia’s not-for-profit sector</w:t>
      </w:r>
      <w:r w:rsidR="00EB350C" w:rsidRPr="00F03AE7">
        <w:t>,</w:t>
      </w:r>
      <w:r w:rsidRPr="00F03AE7">
        <w:t xml:space="preserve"> including taxation concessions</w:t>
      </w:r>
      <w:r w:rsidR="00663170" w:rsidRPr="00F03AE7">
        <w:t xml:space="preserve">. </w:t>
      </w:r>
    </w:p>
    <w:p w:rsidR="00404295" w:rsidRPr="00F03AE7" w:rsidRDefault="00663170" w:rsidP="003C1FF8">
      <w:pPr>
        <w:spacing w:before="240"/>
      </w:pPr>
      <w:r w:rsidRPr="00F03AE7">
        <w:t xml:space="preserve">The ACNC is the Government's </w:t>
      </w:r>
      <w:r w:rsidR="00505A30">
        <w:t xml:space="preserve">independent </w:t>
      </w:r>
      <w:r w:rsidRPr="00F03AE7">
        <w:t xml:space="preserve">national regulator for </w:t>
      </w:r>
      <w:r w:rsidR="00404295" w:rsidRPr="00F03AE7">
        <w:t>charities</w:t>
      </w:r>
      <w:r w:rsidRPr="00F03AE7">
        <w:t xml:space="preserve">. </w:t>
      </w:r>
      <w:r w:rsidR="00404295" w:rsidRPr="00F03AE7">
        <w:t xml:space="preserve">Its role includes assessing entities seeking </w:t>
      </w:r>
      <w:r w:rsidR="001E51DB" w:rsidRPr="00F03AE7">
        <w:t xml:space="preserve">charity registration, which in turn can provide </w:t>
      </w:r>
      <w:r w:rsidR="00404295" w:rsidRPr="00F03AE7">
        <w:t>access to Commonwealth taxation exemptions and concessions.</w:t>
      </w:r>
    </w:p>
    <w:p w:rsidR="006B4E10" w:rsidRPr="00F03AE7" w:rsidRDefault="00A46F73" w:rsidP="003C1FF8">
      <w:pPr>
        <w:spacing w:before="240"/>
      </w:pPr>
      <w:r w:rsidRPr="00F03AE7">
        <w:t>The ATO is the Government’s national regulator for taxation. Its role includes assessing entities seeking access to Commonwealth taxation exemptions and concessions, such as charities seeking DGR endorsement.</w:t>
      </w:r>
    </w:p>
    <w:p w:rsidR="00A46F73" w:rsidRPr="00F03AE7" w:rsidRDefault="00A46F73" w:rsidP="003C1FF8">
      <w:pPr>
        <w:spacing w:before="240"/>
      </w:pPr>
      <w:r w:rsidRPr="00F03AE7">
        <w:t xml:space="preserve">Treasury works closely with the ACNC and ATO to ensure that new laws are administrable. </w:t>
      </w:r>
    </w:p>
    <w:p w:rsidR="00CE0D9F" w:rsidRPr="00F03AE7" w:rsidRDefault="00CE0D9F" w:rsidP="00CE0D9F">
      <w:pPr>
        <w:pStyle w:val="Heading2"/>
      </w:pPr>
      <w:r w:rsidRPr="00F03AE7">
        <w:t>What are the next steps?</w:t>
      </w:r>
    </w:p>
    <w:p w:rsidR="00CE0D9F" w:rsidRPr="00CE0D9F" w:rsidRDefault="009C4407" w:rsidP="003C1FF8">
      <w:pPr>
        <w:spacing w:before="240"/>
      </w:pPr>
      <w:r w:rsidRPr="00F03AE7">
        <w:t xml:space="preserve">Treasury will review the submissions and feedback from stakeholders </w:t>
      </w:r>
      <w:r>
        <w:t xml:space="preserve">on the Exposure </w:t>
      </w:r>
      <w:r w:rsidR="00B046D5">
        <w:t>D</w:t>
      </w:r>
      <w:r>
        <w:t>raft</w:t>
      </w:r>
      <w:r w:rsidR="00B046D5">
        <w:t xml:space="preserve"> Bill</w:t>
      </w:r>
      <w:r>
        <w:t xml:space="preserve">, which </w:t>
      </w:r>
      <w:r w:rsidR="00404295" w:rsidRPr="00F03AE7">
        <w:t xml:space="preserve">will inform any potential </w:t>
      </w:r>
      <w:r w:rsidR="002D2F27" w:rsidRPr="00F03AE7">
        <w:t xml:space="preserve">amendments </w:t>
      </w:r>
      <w:r w:rsidR="00404295" w:rsidRPr="00F03AE7">
        <w:t xml:space="preserve">to </w:t>
      </w:r>
      <w:r w:rsidR="002D2F27" w:rsidRPr="00F03AE7">
        <w:t xml:space="preserve">the </w:t>
      </w:r>
      <w:r>
        <w:t>B</w:t>
      </w:r>
      <w:r w:rsidRPr="00F03AE7">
        <w:t xml:space="preserve">ill </w:t>
      </w:r>
      <w:r w:rsidR="00404295" w:rsidRPr="00F03AE7">
        <w:t>to ensure it achieves</w:t>
      </w:r>
      <w:r w:rsidR="004D5986" w:rsidRPr="00F03AE7">
        <w:t xml:space="preserve"> its </w:t>
      </w:r>
      <w:r w:rsidR="002D2F27" w:rsidRPr="00F03AE7">
        <w:t>intend</w:t>
      </w:r>
      <w:r w:rsidR="002D2F27" w:rsidRPr="008C6E32">
        <w:t xml:space="preserve">ed purpose. </w:t>
      </w:r>
    </w:p>
    <w:sectPr w:rsidR="00CE0D9F" w:rsidRPr="00CE0D9F" w:rsidSect="005C34A1">
      <w:headerReference w:type="even" r:id="rId18"/>
      <w:headerReference w:type="default" r:id="rId19"/>
      <w:footerReference w:type="even" r:id="rId20"/>
      <w:footerReference w:type="default" r:id="rId21"/>
      <w:headerReference w:type="first" r:id="rId22"/>
      <w:footerReference w:type="first" r:id="rId23"/>
      <w:pgSz w:w="11906" w:h="16838" w:code="9"/>
      <w:pgMar w:top="1134" w:right="1417" w:bottom="1276"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4477C" w16cid:durableId="22EA3705"/>
  <w16cid:commentId w16cid:paraId="0FBCA38D" w16cid:durableId="22E78579"/>
  <w16cid:commentId w16cid:paraId="52DB081A" w16cid:durableId="22E785AF"/>
  <w16cid:commentId w16cid:paraId="468649CB" w16cid:durableId="22EA58E9"/>
  <w16cid:commentId w16cid:paraId="37D2A9E8" w16cid:durableId="22E786E5"/>
  <w16cid:commentId w16cid:paraId="27CD08AB" w16cid:durableId="22E787B4"/>
  <w16cid:commentId w16cid:paraId="7FD2445C" w16cid:durableId="22E78879"/>
  <w16cid:commentId w16cid:paraId="4A601188" w16cid:durableId="22EA3AA3"/>
  <w16cid:commentId w16cid:paraId="01EFB536" w16cid:durableId="22EA40C8"/>
  <w16cid:commentId w16cid:paraId="7FBB6507" w16cid:durableId="22EA4C87"/>
  <w16cid:commentId w16cid:paraId="0BA52F46" w16cid:durableId="22EA4D22"/>
  <w16cid:commentId w16cid:paraId="35B690B5" w16cid:durableId="22EA5237"/>
  <w16cid:commentId w16cid:paraId="40957F1F" w16cid:durableId="22E78C09"/>
  <w16cid:commentId w16cid:paraId="423AB249" w16cid:durableId="22E78CD6"/>
  <w16cid:commentId w16cid:paraId="60D6752E" w16cid:durableId="22E78E3C"/>
  <w16cid:commentId w16cid:paraId="328A361B" w16cid:durableId="22EA4F3A"/>
  <w16cid:commentId w16cid:paraId="0BC861E9" w16cid:durableId="22E78EC7"/>
  <w16cid:commentId w16cid:paraId="1AA392DE" w16cid:durableId="22E78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99" w:rsidRDefault="001B6299">
      <w:pPr>
        <w:spacing w:before="0" w:after="0"/>
      </w:pPr>
      <w:r>
        <w:separator/>
      </w:r>
    </w:p>
  </w:endnote>
  <w:endnote w:type="continuationSeparator" w:id="0">
    <w:p w:rsidR="001B6299" w:rsidRDefault="001B6299">
      <w:pPr>
        <w:spacing w:before="0" w:after="0"/>
      </w:pPr>
      <w:r>
        <w:continuationSeparator/>
      </w:r>
    </w:p>
  </w:endnote>
  <w:endnote w:type="continuationNotice" w:id="1">
    <w:p w:rsidR="001B6299" w:rsidRDefault="001B62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rsidP="003C24B4">
    <w:pPr>
      <w:pStyle w:val="FooterEven"/>
    </w:pP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pPr>
      <w:pStyle w:val="Footer"/>
    </w:pPr>
    <w:r>
      <w:rPr>
        <w:noProof/>
      </w:rPr>
      <w:drawing>
        <wp:anchor distT="0" distB="0" distL="114300" distR="114300" simplePos="0" relativeHeight="251658241" behindDoc="1" locked="0" layoutInCell="1" allowOverlap="1" wp14:anchorId="5139C8E5" wp14:editId="30DCE610">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Pr="00E77C89" w:rsidRDefault="00447661" w:rsidP="007673B3">
    <w:pPr>
      <w:pStyle w:val="FooterEven"/>
      <w:jc w:val="center"/>
    </w:pPr>
    <w:r>
      <w:fldChar w:fldCharType="begin"/>
    </w:r>
    <w:r>
      <w:instrText xml:space="preserve"> PAGE  \* Arabic  \* MERGEFORMAT </w:instrText>
    </w:r>
    <w:r>
      <w:fldChar w:fldCharType="separate"/>
    </w:r>
    <w:r w:rsidR="00896549">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rsidP="007673B3">
    <w:pPr>
      <w:pStyle w:val="FooterOdd"/>
      <w:jc w:val="center"/>
    </w:pPr>
    <w:r>
      <w:fldChar w:fldCharType="begin"/>
    </w:r>
    <w:r>
      <w:instrText xml:space="preserve"> PAGE   \* MERGEFORMAT </w:instrText>
    </w:r>
    <w:r>
      <w:fldChar w:fldCharType="separate"/>
    </w:r>
    <w:r w:rsidR="00896549">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99" w:rsidRDefault="001B6299">
      <w:pPr>
        <w:spacing w:before="0" w:after="0"/>
      </w:pPr>
      <w:r>
        <w:separator/>
      </w:r>
    </w:p>
  </w:footnote>
  <w:footnote w:type="continuationSeparator" w:id="0">
    <w:p w:rsidR="001B6299" w:rsidRDefault="001B6299">
      <w:pPr>
        <w:spacing w:before="0" w:after="0"/>
      </w:pPr>
      <w:r>
        <w:continuationSeparator/>
      </w:r>
    </w:p>
  </w:footnote>
  <w:footnote w:type="continuationNotice" w:id="1">
    <w:p w:rsidR="001B6299" w:rsidRDefault="001B6299">
      <w:pPr>
        <w:spacing w:before="0" w:after="0"/>
      </w:pPr>
    </w:p>
  </w:footnote>
  <w:footnote w:id="2">
    <w:p w:rsidR="0094043E" w:rsidRDefault="0094043E" w:rsidP="0094043E">
      <w:pPr>
        <w:pStyle w:val="FootnoteText"/>
      </w:pPr>
      <w:r>
        <w:rPr>
          <w:rStyle w:val="FootnoteReference"/>
        </w:rPr>
        <w:footnoteRef/>
      </w:r>
      <w:r>
        <w:t xml:space="preserve"> </w:t>
      </w:r>
      <w:r w:rsidRPr="000B7289">
        <w:t xml:space="preserve">A DGR is a not-for-profit </w:t>
      </w:r>
      <w:r>
        <w:t>entity</w:t>
      </w:r>
      <w:r w:rsidRPr="000B7289">
        <w:t xml:space="preserve"> that is entitled to receive gifts that are tax deductible. To receive DGR status the </w:t>
      </w:r>
      <w:r>
        <w:t>entity</w:t>
      </w:r>
      <w:r w:rsidRPr="000B7289">
        <w:t xml:space="preserve"> must be endorsed by the</w:t>
      </w:r>
      <w:r>
        <w:t xml:space="preserve"> Australian Taxation Office</w:t>
      </w:r>
      <w:r w:rsidRPr="000B7289">
        <w:t xml:space="preserve"> </w:t>
      </w:r>
      <w:r>
        <w:t>(</w:t>
      </w:r>
      <w:r w:rsidRPr="000B7289">
        <w:t>ATO</w:t>
      </w:r>
      <w:r>
        <w:t>)</w:t>
      </w:r>
      <w:r w:rsidRPr="000B7289">
        <w:t>. Strict rules govern the use of tax deductible funds raised by a DG</w:t>
      </w:r>
      <w:r>
        <w:t xml:space="preserve">R: </w:t>
      </w:r>
      <w:bookmarkStart w:id="1" w:name="tempbookmark"/>
      <w:bookmarkEnd w:id="1"/>
      <w:r w:rsidRPr="000B7289">
        <w:t xml:space="preserve">An </w:t>
      </w:r>
      <w:r>
        <w:t xml:space="preserve">entity </w:t>
      </w:r>
      <w:r w:rsidRPr="000B7289">
        <w:t xml:space="preserve">must not be directed by a donor to act as a conduit by passing a donation of money or property to other </w:t>
      </w:r>
      <w:r>
        <w:t xml:space="preserve">entities, bodies or persons; and a </w:t>
      </w:r>
      <w:r w:rsidRPr="000B7289">
        <w:t xml:space="preserve">DGR endorsed </w:t>
      </w:r>
      <w:r>
        <w:t>entity</w:t>
      </w:r>
      <w:r w:rsidRPr="000B7289">
        <w:t xml:space="preserve"> must not act as a collection agency for tax</w:t>
      </w:r>
      <w:r w:rsidR="00D545AD">
        <w:t xml:space="preserve"> </w:t>
      </w:r>
      <w:r w:rsidRPr="000B7289">
        <w:t xml:space="preserve">deductible donations intended by a donor to be passed on to another </w:t>
      </w:r>
      <w:r>
        <w:t>entity</w:t>
      </w:r>
      <w:r w:rsidRPr="000B7289">
        <w:t xml:space="preserve"> or person.</w:t>
      </w:r>
    </w:p>
    <w:p w:rsidR="0094043E" w:rsidRDefault="0094043E" w:rsidP="0094043E">
      <w:pPr>
        <w:pStyle w:val="FootnoteText"/>
      </w:pPr>
    </w:p>
    <w:p w:rsidR="0094043E" w:rsidRDefault="0094043E" w:rsidP="0094043E">
      <w:pPr>
        <w:pStyle w:val="FootnoteText"/>
      </w:pPr>
      <w:r w:rsidRPr="00F03AE7">
        <w:t xml:space="preserve">Item 1 DGRs are those endorsed (or specifically listed) under the general DGR categories in the tax law. The majority of DGRs are Item 1 DGRs. Item 1 DGRs are sometimes referred to as the ‘doing’ DGRs, as opposed to Item 2 DGRs or ‘funding’ DGRs, which are ancillary funds who collect </w:t>
      </w:r>
      <w:r>
        <w:t xml:space="preserve">donations from the public </w:t>
      </w:r>
      <w:r w:rsidRPr="00F03AE7">
        <w:t xml:space="preserve">which can then only be distributed to Item 1 DGRs. The ‘ABN Lookup’ website </w:t>
      </w:r>
      <w:r>
        <w:t>(</w:t>
      </w:r>
      <w:hyperlink r:id="rId1" w:history="1">
        <w:r w:rsidRPr="00EA0C3B">
          <w:rPr>
            <w:rStyle w:val="Hyperlink"/>
          </w:rPr>
          <w:t>https://abr.business.gov.au/</w:t>
        </w:r>
      </w:hyperlink>
      <w:r>
        <w:t xml:space="preserve">) </w:t>
      </w:r>
      <w:r w:rsidRPr="00F03AE7">
        <w:t xml:space="preserve">provides information on whether an entity is a DGR, and if it is, </w:t>
      </w:r>
      <w:r>
        <w:t>whether it is an Item 1 or an Item 2 DGR</w:t>
      </w:r>
      <w:r w:rsidRPr="00F03AE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pPr>
      <w:pStyle w:val="Header"/>
    </w:pPr>
    <w:r>
      <w:rPr>
        <w:noProof/>
      </w:rPr>
      <w:drawing>
        <wp:anchor distT="0" distB="0" distL="114300" distR="114300" simplePos="0" relativeHeight="251658240" behindDoc="1" locked="0" layoutInCell="1" allowOverlap="1" wp14:anchorId="18BCFC44" wp14:editId="25268144">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Pr="001F3912" w:rsidRDefault="00896549" w:rsidP="00A12F62">
    <w:pPr>
      <w:pStyle w:val="HeaderEven"/>
    </w:pPr>
    <w:r>
      <w:fldChar w:fldCharType="begin"/>
    </w:r>
    <w:r>
      <w:instrText xml:space="preserve"> STYLEREF  Title  \* MERGEFORMAT </w:instrText>
    </w:r>
    <w:r>
      <w:fldChar w:fldCharType="separate"/>
    </w:r>
    <w:r>
      <w:rPr>
        <w:noProof/>
      </w:rPr>
      <w:t>FAQs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Pr="007673B3" w:rsidRDefault="00896549" w:rsidP="007673B3">
    <w:pPr>
      <w:pStyle w:val="HeaderEven"/>
      <w:jc w:val="right"/>
    </w:pPr>
    <w:r>
      <w:fldChar w:fldCharType="begin"/>
    </w:r>
    <w:r>
      <w:instrText xml:space="preserve"> STYLEREF  Title  \* MERGEFORMAT </w:instrText>
    </w:r>
    <w:r>
      <w:fldChar w:fldCharType="separate"/>
    </w:r>
    <w:r>
      <w:rPr>
        <w:noProof/>
      </w:rPr>
      <w:t>FAQs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61" w:rsidRDefault="0044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76FD0"/>
    <w:multiLevelType w:val="hybridMultilevel"/>
    <w:tmpl w:val="ADA4EF34"/>
    <w:lvl w:ilvl="0" w:tplc="595A369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581FF0"/>
    <w:multiLevelType w:val="hybridMultilevel"/>
    <w:tmpl w:val="C794F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AD2D85"/>
    <w:multiLevelType w:val="hybridMultilevel"/>
    <w:tmpl w:val="16F8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C3D08"/>
    <w:multiLevelType w:val="hybridMultilevel"/>
    <w:tmpl w:val="49C8EF82"/>
    <w:lvl w:ilvl="0" w:tplc="FA728A56">
      <w:start w:val="1"/>
      <w:numFmt w:val="bullet"/>
      <w:lvlText w:val=""/>
      <w:lvlJc w:val="left"/>
      <w:pPr>
        <w:tabs>
          <w:tab w:val="num" w:pos="720"/>
        </w:tabs>
        <w:ind w:left="720" w:hanging="360"/>
      </w:pPr>
      <w:rPr>
        <w:rFonts w:ascii="Wingdings" w:hAnsi="Wingdings" w:hint="default"/>
      </w:rPr>
    </w:lvl>
    <w:lvl w:ilvl="1" w:tplc="7BEEF118" w:tentative="1">
      <w:start w:val="1"/>
      <w:numFmt w:val="bullet"/>
      <w:lvlText w:val=""/>
      <w:lvlJc w:val="left"/>
      <w:pPr>
        <w:tabs>
          <w:tab w:val="num" w:pos="1440"/>
        </w:tabs>
        <w:ind w:left="1440" w:hanging="360"/>
      </w:pPr>
      <w:rPr>
        <w:rFonts w:ascii="Wingdings" w:hAnsi="Wingdings" w:hint="default"/>
      </w:rPr>
    </w:lvl>
    <w:lvl w:ilvl="2" w:tplc="D7C06D1C" w:tentative="1">
      <w:start w:val="1"/>
      <w:numFmt w:val="bullet"/>
      <w:lvlText w:val=""/>
      <w:lvlJc w:val="left"/>
      <w:pPr>
        <w:tabs>
          <w:tab w:val="num" w:pos="2160"/>
        </w:tabs>
        <w:ind w:left="2160" w:hanging="360"/>
      </w:pPr>
      <w:rPr>
        <w:rFonts w:ascii="Wingdings" w:hAnsi="Wingdings" w:hint="default"/>
      </w:rPr>
    </w:lvl>
    <w:lvl w:ilvl="3" w:tplc="4AD89C74" w:tentative="1">
      <w:start w:val="1"/>
      <w:numFmt w:val="bullet"/>
      <w:lvlText w:val=""/>
      <w:lvlJc w:val="left"/>
      <w:pPr>
        <w:tabs>
          <w:tab w:val="num" w:pos="2880"/>
        </w:tabs>
        <w:ind w:left="2880" w:hanging="360"/>
      </w:pPr>
      <w:rPr>
        <w:rFonts w:ascii="Wingdings" w:hAnsi="Wingdings" w:hint="default"/>
      </w:rPr>
    </w:lvl>
    <w:lvl w:ilvl="4" w:tplc="82964944" w:tentative="1">
      <w:start w:val="1"/>
      <w:numFmt w:val="bullet"/>
      <w:lvlText w:val=""/>
      <w:lvlJc w:val="left"/>
      <w:pPr>
        <w:tabs>
          <w:tab w:val="num" w:pos="3600"/>
        </w:tabs>
        <w:ind w:left="3600" w:hanging="360"/>
      </w:pPr>
      <w:rPr>
        <w:rFonts w:ascii="Wingdings" w:hAnsi="Wingdings" w:hint="default"/>
      </w:rPr>
    </w:lvl>
    <w:lvl w:ilvl="5" w:tplc="15466364" w:tentative="1">
      <w:start w:val="1"/>
      <w:numFmt w:val="bullet"/>
      <w:lvlText w:val=""/>
      <w:lvlJc w:val="left"/>
      <w:pPr>
        <w:tabs>
          <w:tab w:val="num" w:pos="4320"/>
        </w:tabs>
        <w:ind w:left="4320" w:hanging="360"/>
      </w:pPr>
      <w:rPr>
        <w:rFonts w:ascii="Wingdings" w:hAnsi="Wingdings" w:hint="default"/>
      </w:rPr>
    </w:lvl>
    <w:lvl w:ilvl="6" w:tplc="71F4217A" w:tentative="1">
      <w:start w:val="1"/>
      <w:numFmt w:val="bullet"/>
      <w:lvlText w:val=""/>
      <w:lvlJc w:val="left"/>
      <w:pPr>
        <w:tabs>
          <w:tab w:val="num" w:pos="5040"/>
        </w:tabs>
        <w:ind w:left="5040" w:hanging="360"/>
      </w:pPr>
      <w:rPr>
        <w:rFonts w:ascii="Wingdings" w:hAnsi="Wingdings" w:hint="default"/>
      </w:rPr>
    </w:lvl>
    <w:lvl w:ilvl="7" w:tplc="9DEA8E22" w:tentative="1">
      <w:start w:val="1"/>
      <w:numFmt w:val="bullet"/>
      <w:lvlText w:val=""/>
      <w:lvlJc w:val="left"/>
      <w:pPr>
        <w:tabs>
          <w:tab w:val="num" w:pos="5760"/>
        </w:tabs>
        <w:ind w:left="5760" w:hanging="360"/>
      </w:pPr>
      <w:rPr>
        <w:rFonts w:ascii="Wingdings" w:hAnsi="Wingdings" w:hint="default"/>
      </w:rPr>
    </w:lvl>
    <w:lvl w:ilvl="8" w:tplc="1A0696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4C18CD"/>
    <w:multiLevelType w:val="multilevel"/>
    <w:tmpl w:val="2562A1EA"/>
    <w:lvl w:ilvl="0">
      <w:start w:val="1"/>
      <w:numFmt w:val="bullet"/>
      <w:lvlText w:val="&gt;"/>
      <w:lvlJc w:val="left"/>
      <w:pPr>
        <w:ind w:left="284" w:hanging="284"/>
      </w:pPr>
      <w:rPr>
        <w:rFonts w:ascii="Arial" w:hAnsi="Arial" w:cs="Times New Roman" w:hint="default"/>
        <w:color w:val="4F81BD"/>
      </w:rPr>
    </w:lvl>
    <w:lvl w:ilvl="1">
      <w:start w:val="1"/>
      <w:numFmt w:val="bullet"/>
      <w:lvlText w:val="-"/>
      <w:lvlJc w:val="left"/>
      <w:pPr>
        <w:ind w:left="539" w:hanging="255"/>
      </w:pPr>
      <w:rPr>
        <w:rFonts w:ascii="Courier New" w:hAnsi="Courier New" w:cs="Times New Roman" w:hint="default"/>
        <w:color w:val="50A057"/>
      </w:rPr>
    </w:lvl>
    <w:lvl w:ilvl="2">
      <w:start w:val="1"/>
      <w:numFmt w:val="bullet"/>
      <w:lvlText w:val="-"/>
      <w:lvlJc w:val="left"/>
      <w:pPr>
        <w:ind w:left="737" w:hanging="198"/>
      </w:pPr>
      <w:rPr>
        <w:color w:val="9BBB59"/>
      </w:rPr>
    </w:lvl>
    <w:lvl w:ilvl="3">
      <w:start w:val="1"/>
      <w:numFmt w:val="bullet"/>
      <w:lvlText w:val="&gt;"/>
      <w:lvlJc w:val="left"/>
      <w:pPr>
        <w:ind w:left="624" w:hanging="284"/>
      </w:pPr>
      <w:rPr>
        <w:rFonts w:ascii="Arial" w:hAnsi="Arial" w:cs="Times New Roman" w:hint="default"/>
        <w:color w:val="9BBB59"/>
      </w:rPr>
    </w:lvl>
    <w:lvl w:ilvl="4">
      <w:start w:val="1"/>
      <w:numFmt w:val="bullet"/>
      <w:lvlText w:val="–"/>
      <w:lvlJc w:val="left"/>
      <w:pPr>
        <w:ind w:left="879" w:hanging="255"/>
      </w:pPr>
      <w:rPr>
        <w:rFonts w:ascii="Arial" w:hAnsi="Arial" w:cs="Times New Roman" w:hint="default"/>
        <w:color w:val="9BBB59"/>
      </w:rPr>
    </w:lvl>
    <w:lvl w:ilvl="5">
      <w:start w:val="1"/>
      <w:numFmt w:val="bullet"/>
      <w:lvlText w:val="-"/>
      <w:lvlJc w:val="left"/>
      <w:pPr>
        <w:ind w:left="1077" w:hanging="198"/>
      </w:pPr>
      <w:rPr>
        <w:rFonts w:ascii="Calibri" w:hAnsi="Calibri" w:cs="Times New Roman" w:hint="default"/>
        <w:color w:val="9BBB59"/>
      </w:rPr>
    </w:lvl>
    <w:lvl w:ilvl="6">
      <w:start w:val="1"/>
      <w:numFmt w:val="bullet"/>
      <w:lvlText w:val="&gt;"/>
      <w:lvlJc w:val="left"/>
      <w:pPr>
        <w:ind w:left="510" w:hanging="283"/>
      </w:pPr>
      <w:rPr>
        <w:rFonts w:ascii="Arial" w:hAnsi="Arial" w:cs="Times New Roman" w:hint="default"/>
        <w:color w:val="9BBB59"/>
      </w:rPr>
    </w:lvl>
    <w:lvl w:ilvl="7">
      <w:start w:val="1"/>
      <w:numFmt w:val="bullet"/>
      <w:lvlText w:val="–"/>
      <w:lvlJc w:val="left"/>
      <w:pPr>
        <w:ind w:left="765" w:hanging="255"/>
      </w:pPr>
      <w:rPr>
        <w:rFonts w:ascii="Arial" w:hAnsi="Arial" w:cs="Times New Roman" w:hint="default"/>
        <w:color w:val="9BBB59"/>
      </w:rPr>
    </w:lvl>
    <w:lvl w:ilvl="8">
      <w:start w:val="1"/>
      <w:numFmt w:val="bullet"/>
      <w:lvlText w:val="-"/>
      <w:lvlJc w:val="left"/>
      <w:pPr>
        <w:ind w:left="964" w:hanging="199"/>
      </w:pPr>
      <w:rPr>
        <w:rFonts w:ascii="Calibri" w:hAnsi="Calibri" w:cs="Times New Roman" w:hint="default"/>
        <w:color w:val="9BBB59"/>
      </w:r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951952"/>
    <w:multiLevelType w:val="hybridMultilevel"/>
    <w:tmpl w:val="1D4E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63D50"/>
    <w:multiLevelType w:val="hybridMultilevel"/>
    <w:tmpl w:val="EFE8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9" w15:restartNumberingAfterBreak="0">
    <w:nsid w:val="4F5B27A8"/>
    <w:multiLevelType w:val="multilevel"/>
    <w:tmpl w:val="D5F23F8C"/>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0" w15:restartNumberingAfterBreak="0">
    <w:nsid w:val="510D2021"/>
    <w:multiLevelType w:val="multilevel"/>
    <w:tmpl w:val="72F8140E"/>
    <w:numStyleLink w:val="OutlineList"/>
  </w:abstractNum>
  <w:abstractNum w:abstractNumId="2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E34982"/>
    <w:multiLevelType w:val="multilevel"/>
    <w:tmpl w:val="CA2811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3"/>
  </w:num>
  <w:num w:numId="2">
    <w:abstractNumId w:val="2"/>
  </w:num>
  <w:num w:numId="3">
    <w:abstractNumId w:val="15"/>
  </w:num>
  <w:num w:numId="4">
    <w:abstractNumId w:val="6"/>
  </w:num>
  <w:num w:numId="5">
    <w:abstractNumId w:val="7"/>
  </w:num>
  <w:num w:numId="6">
    <w:abstractNumId w:val="20"/>
  </w:num>
  <w:num w:numId="7">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8"/>
  </w:num>
  <w:num w:numId="9">
    <w:abstractNumId w:val="5"/>
  </w:num>
  <w:num w:numId="10">
    <w:abstractNumId w:val="11"/>
  </w:num>
  <w:num w:numId="11">
    <w:abstractNumId w:val="24"/>
  </w:num>
  <w:num w:numId="12">
    <w:abstractNumId w:val="20"/>
  </w:num>
  <w:num w:numId="13">
    <w:abstractNumId w:val="25"/>
  </w:num>
  <w:num w:numId="14">
    <w:abstractNumId w:val="18"/>
  </w:num>
  <w:num w:numId="15">
    <w:abstractNumId w:val="10"/>
  </w:num>
  <w:num w:numId="16">
    <w:abstractNumId w:val="21"/>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2"/>
  </w:num>
  <w:num w:numId="21">
    <w:abstractNumId w:val="13"/>
  </w:num>
  <w:num w:numId="22">
    <w:abstractNumId w:val="9"/>
  </w:num>
  <w:num w:numId="23">
    <w:abstractNumId w:val="13"/>
  </w:num>
  <w:num w:numId="24">
    <w:abstractNumId w:val="13"/>
  </w:num>
  <w:num w:numId="25">
    <w:abstractNumId w:val="3"/>
  </w:num>
  <w:num w:numId="26">
    <w:abstractNumId w:val="1"/>
  </w:num>
  <w:num w:numId="27">
    <w:abstractNumId w:val="19"/>
  </w:num>
  <w:num w:numId="28">
    <w:abstractNumId w:val="13"/>
  </w:num>
  <w:num w:numId="29">
    <w:abstractNumId w:val="13"/>
  </w:num>
  <w:num w:numId="30">
    <w:abstractNumId w:val="13"/>
  </w:num>
  <w:num w:numId="31">
    <w:abstractNumId w:val="13"/>
  </w:num>
  <w:num w:numId="32">
    <w:abstractNumId w:val="13"/>
  </w:num>
  <w:num w:numId="33">
    <w:abstractNumId w:val="4"/>
  </w:num>
  <w:num w:numId="34">
    <w:abstractNumId w:val="12"/>
  </w:num>
  <w:num w:numId="35">
    <w:abstractNumId w:val="16"/>
  </w:num>
  <w:num w:numId="36">
    <w:abstractNumId w:val="17"/>
  </w:num>
  <w:num w:numId="37">
    <w:abstractNumId w:val="13"/>
  </w:num>
  <w:num w:numId="38">
    <w:abstractNumId w:val="13"/>
  </w:num>
  <w:num w:numId="39">
    <w:abstractNumId w:val="13"/>
  </w:num>
  <w:num w:numId="40">
    <w:abstractNumId w:val="13"/>
  </w:num>
  <w:num w:numId="41">
    <w:abstractNumId w:val="1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trackRevisio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16"/>
    <w:rsid w:val="00010689"/>
    <w:rsid w:val="00011725"/>
    <w:rsid w:val="00012C62"/>
    <w:rsid w:val="00021A82"/>
    <w:rsid w:val="0002544D"/>
    <w:rsid w:val="00025D83"/>
    <w:rsid w:val="00033CEC"/>
    <w:rsid w:val="0004274D"/>
    <w:rsid w:val="00043348"/>
    <w:rsid w:val="0004483F"/>
    <w:rsid w:val="000470BD"/>
    <w:rsid w:val="0005138B"/>
    <w:rsid w:val="000522B7"/>
    <w:rsid w:val="00056880"/>
    <w:rsid w:val="000675D1"/>
    <w:rsid w:val="00073521"/>
    <w:rsid w:val="00073879"/>
    <w:rsid w:val="000775DE"/>
    <w:rsid w:val="00087FAF"/>
    <w:rsid w:val="0009146B"/>
    <w:rsid w:val="00091F1E"/>
    <w:rsid w:val="000A74B4"/>
    <w:rsid w:val="000B4067"/>
    <w:rsid w:val="000B67CC"/>
    <w:rsid w:val="000B7289"/>
    <w:rsid w:val="000C571D"/>
    <w:rsid w:val="000C5F40"/>
    <w:rsid w:val="000C70D4"/>
    <w:rsid w:val="000C73CC"/>
    <w:rsid w:val="000E0B74"/>
    <w:rsid w:val="000E7901"/>
    <w:rsid w:val="000F092E"/>
    <w:rsid w:val="00107176"/>
    <w:rsid w:val="00111A24"/>
    <w:rsid w:val="00131DC3"/>
    <w:rsid w:val="00135E4C"/>
    <w:rsid w:val="001373F5"/>
    <w:rsid w:val="00143C3A"/>
    <w:rsid w:val="0015362C"/>
    <w:rsid w:val="001606CF"/>
    <w:rsid w:val="0016128D"/>
    <w:rsid w:val="0017089D"/>
    <w:rsid w:val="00182D7A"/>
    <w:rsid w:val="0018375D"/>
    <w:rsid w:val="0018749E"/>
    <w:rsid w:val="0019101A"/>
    <w:rsid w:val="001921A5"/>
    <w:rsid w:val="00192756"/>
    <w:rsid w:val="001972D2"/>
    <w:rsid w:val="001B12C4"/>
    <w:rsid w:val="001B6299"/>
    <w:rsid w:val="001C358D"/>
    <w:rsid w:val="001C6C5E"/>
    <w:rsid w:val="001D18A9"/>
    <w:rsid w:val="001D51F5"/>
    <w:rsid w:val="001E51DB"/>
    <w:rsid w:val="001F1B27"/>
    <w:rsid w:val="001F5C13"/>
    <w:rsid w:val="002021A4"/>
    <w:rsid w:val="002116C2"/>
    <w:rsid w:val="00221EC0"/>
    <w:rsid w:val="00227254"/>
    <w:rsid w:val="00231049"/>
    <w:rsid w:val="002314D2"/>
    <w:rsid w:val="00231E45"/>
    <w:rsid w:val="0023305C"/>
    <w:rsid w:val="00233953"/>
    <w:rsid w:val="0024078B"/>
    <w:rsid w:val="002414A5"/>
    <w:rsid w:val="00241881"/>
    <w:rsid w:val="0024294C"/>
    <w:rsid w:val="00242F34"/>
    <w:rsid w:val="002465A3"/>
    <w:rsid w:val="002552FA"/>
    <w:rsid w:val="0025652F"/>
    <w:rsid w:val="00257F3F"/>
    <w:rsid w:val="00263B6C"/>
    <w:rsid w:val="00267A11"/>
    <w:rsid w:val="00272939"/>
    <w:rsid w:val="00274F6E"/>
    <w:rsid w:val="0027590B"/>
    <w:rsid w:val="00277E2E"/>
    <w:rsid w:val="0028363B"/>
    <w:rsid w:val="00283DA5"/>
    <w:rsid w:val="00285969"/>
    <w:rsid w:val="002A74EF"/>
    <w:rsid w:val="002B3829"/>
    <w:rsid w:val="002B40D3"/>
    <w:rsid w:val="002B4EF7"/>
    <w:rsid w:val="002C22EF"/>
    <w:rsid w:val="002C703E"/>
    <w:rsid w:val="002D1762"/>
    <w:rsid w:val="002D2F27"/>
    <w:rsid w:val="002E3EB1"/>
    <w:rsid w:val="002E454C"/>
    <w:rsid w:val="002E7ACB"/>
    <w:rsid w:val="002F617F"/>
    <w:rsid w:val="002F6446"/>
    <w:rsid w:val="00300109"/>
    <w:rsid w:val="003004F4"/>
    <w:rsid w:val="003066EF"/>
    <w:rsid w:val="00306894"/>
    <w:rsid w:val="003122F4"/>
    <w:rsid w:val="003268D5"/>
    <w:rsid w:val="00333441"/>
    <w:rsid w:val="003448F6"/>
    <w:rsid w:val="00350759"/>
    <w:rsid w:val="00354D27"/>
    <w:rsid w:val="0035738A"/>
    <w:rsid w:val="0037301B"/>
    <w:rsid w:val="00376568"/>
    <w:rsid w:val="003832DF"/>
    <w:rsid w:val="003858A6"/>
    <w:rsid w:val="00392DCC"/>
    <w:rsid w:val="003A4D12"/>
    <w:rsid w:val="003A567E"/>
    <w:rsid w:val="003A5791"/>
    <w:rsid w:val="003A5B36"/>
    <w:rsid w:val="003B1B1B"/>
    <w:rsid w:val="003B683B"/>
    <w:rsid w:val="003C1FF8"/>
    <w:rsid w:val="003C24B4"/>
    <w:rsid w:val="003D16D5"/>
    <w:rsid w:val="003E1AB4"/>
    <w:rsid w:val="003E20D6"/>
    <w:rsid w:val="003E4D87"/>
    <w:rsid w:val="00401082"/>
    <w:rsid w:val="00403736"/>
    <w:rsid w:val="00404295"/>
    <w:rsid w:val="00411DA0"/>
    <w:rsid w:val="004134B7"/>
    <w:rsid w:val="00416762"/>
    <w:rsid w:val="00416B05"/>
    <w:rsid w:val="00416E55"/>
    <w:rsid w:val="0042518A"/>
    <w:rsid w:val="0043062C"/>
    <w:rsid w:val="00431E56"/>
    <w:rsid w:val="00432998"/>
    <w:rsid w:val="004426AC"/>
    <w:rsid w:val="00445265"/>
    <w:rsid w:val="00447661"/>
    <w:rsid w:val="004559CE"/>
    <w:rsid w:val="00460E1A"/>
    <w:rsid w:val="00463DF8"/>
    <w:rsid w:val="00475085"/>
    <w:rsid w:val="00476CF6"/>
    <w:rsid w:val="00477AA8"/>
    <w:rsid w:val="00486AA9"/>
    <w:rsid w:val="00492F89"/>
    <w:rsid w:val="00492FCB"/>
    <w:rsid w:val="004A00B0"/>
    <w:rsid w:val="004A0F11"/>
    <w:rsid w:val="004A2F7E"/>
    <w:rsid w:val="004A3EAA"/>
    <w:rsid w:val="004A3F2B"/>
    <w:rsid w:val="004A7D97"/>
    <w:rsid w:val="004B1561"/>
    <w:rsid w:val="004B5133"/>
    <w:rsid w:val="004C2E55"/>
    <w:rsid w:val="004C41B6"/>
    <w:rsid w:val="004C553E"/>
    <w:rsid w:val="004D1D06"/>
    <w:rsid w:val="004D5986"/>
    <w:rsid w:val="004D6E37"/>
    <w:rsid w:val="004D6EAA"/>
    <w:rsid w:val="004E00EA"/>
    <w:rsid w:val="004F4B92"/>
    <w:rsid w:val="004F52CA"/>
    <w:rsid w:val="00503FA0"/>
    <w:rsid w:val="00505A30"/>
    <w:rsid w:val="00516061"/>
    <w:rsid w:val="00516785"/>
    <w:rsid w:val="005235C0"/>
    <w:rsid w:val="0052419D"/>
    <w:rsid w:val="005301F8"/>
    <w:rsid w:val="005312FC"/>
    <w:rsid w:val="0053569E"/>
    <w:rsid w:val="0053603D"/>
    <w:rsid w:val="0053742A"/>
    <w:rsid w:val="00537C85"/>
    <w:rsid w:val="00541D29"/>
    <w:rsid w:val="00553D2C"/>
    <w:rsid w:val="00556007"/>
    <w:rsid w:val="005579FD"/>
    <w:rsid w:val="00562F17"/>
    <w:rsid w:val="00564BCD"/>
    <w:rsid w:val="00564FE7"/>
    <w:rsid w:val="0056582C"/>
    <w:rsid w:val="00574894"/>
    <w:rsid w:val="00574DB5"/>
    <w:rsid w:val="0058529E"/>
    <w:rsid w:val="005868DE"/>
    <w:rsid w:val="00594E35"/>
    <w:rsid w:val="005966B7"/>
    <w:rsid w:val="005A3129"/>
    <w:rsid w:val="005B5E2A"/>
    <w:rsid w:val="005C02A4"/>
    <w:rsid w:val="005C20D2"/>
    <w:rsid w:val="005C32FE"/>
    <w:rsid w:val="005C34A1"/>
    <w:rsid w:val="005C4771"/>
    <w:rsid w:val="005D024A"/>
    <w:rsid w:val="005D1002"/>
    <w:rsid w:val="005D4FD4"/>
    <w:rsid w:val="005D6D64"/>
    <w:rsid w:val="005E4086"/>
    <w:rsid w:val="005F55B5"/>
    <w:rsid w:val="005F600A"/>
    <w:rsid w:val="00601650"/>
    <w:rsid w:val="00605AFD"/>
    <w:rsid w:val="006123D4"/>
    <w:rsid w:val="0061445B"/>
    <w:rsid w:val="00624C4B"/>
    <w:rsid w:val="00630D08"/>
    <w:rsid w:val="00643411"/>
    <w:rsid w:val="00650016"/>
    <w:rsid w:val="006514DD"/>
    <w:rsid w:val="00651786"/>
    <w:rsid w:val="00652A9E"/>
    <w:rsid w:val="00654786"/>
    <w:rsid w:val="00660664"/>
    <w:rsid w:val="00663047"/>
    <w:rsid w:val="00663170"/>
    <w:rsid w:val="00663962"/>
    <w:rsid w:val="0068466B"/>
    <w:rsid w:val="00685CF7"/>
    <w:rsid w:val="00686165"/>
    <w:rsid w:val="00691CB5"/>
    <w:rsid w:val="006A1AC0"/>
    <w:rsid w:val="006A37F5"/>
    <w:rsid w:val="006A3E4E"/>
    <w:rsid w:val="006B4E10"/>
    <w:rsid w:val="006C1892"/>
    <w:rsid w:val="006C5B73"/>
    <w:rsid w:val="006C645D"/>
    <w:rsid w:val="006D2E24"/>
    <w:rsid w:val="006D609F"/>
    <w:rsid w:val="006E0890"/>
    <w:rsid w:val="006E3CC3"/>
    <w:rsid w:val="006F4757"/>
    <w:rsid w:val="00706E8E"/>
    <w:rsid w:val="00707B76"/>
    <w:rsid w:val="00710C1C"/>
    <w:rsid w:val="007129E2"/>
    <w:rsid w:val="00712C88"/>
    <w:rsid w:val="00716C01"/>
    <w:rsid w:val="00721D6A"/>
    <w:rsid w:val="00722B53"/>
    <w:rsid w:val="00736516"/>
    <w:rsid w:val="007407AD"/>
    <w:rsid w:val="007452E6"/>
    <w:rsid w:val="007509DD"/>
    <w:rsid w:val="00763474"/>
    <w:rsid w:val="007673B3"/>
    <w:rsid w:val="00770450"/>
    <w:rsid w:val="00774F89"/>
    <w:rsid w:val="00775DBC"/>
    <w:rsid w:val="00784C0A"/>
    <w:rsid w:val="007856FF"/>
    <w:rsid w:val="00794B40"/>
    <w:rsid w:val="00794E23"/>
    <w:rsid w:val="007A1079"/>
    <w:rsid w:val="007B7334"/>
    <w:rsid w:val="007B76AB"/>
    <w:rsid w:val="007C487F"/>
    <w:rsid w:val="007D50E0"/>
    <w:rsid w:val="007D592B"/>
    <w:rsid w:val="007D5AA6"/>
    <w:rsid w:val="007D7A91"/>
    <w:rsid w:val="007D7BCD"/>
    <w:rsid w:val="007E6456"/>
    <w:rsid w:val="007F10D2"/>
    <w:rsid w:val="007F1871"/>
    <w:rsid w:val="00811943"/>
    <w:rsid w:val="0081776C"/>
    <w:rsid w:val="008311B8"/>
    <w:rsid w:val="00834243"/>
    <w:rsid w:val="0085668A"/>
    <w:rsid w:val="00857969"/>
    <w:rsid w:val="00875201"/>
    <w:rsid w:val="00876188"/>
    <w:rsid w:val="00882CC4"/>
    <w:rsid w:val="00885489"/>
    <w:rsid w:val="008919A4"/>
    <w:rsid w:val="00896549"/>
    <w:rsid w:val="008A2806"/>
    <w:rsid w:val="008B30D5"/>
    <w:rsid w:val="008B4F25"/>
    <w:rsid w:val="008C60E2"/>
    <w:rsid w:val="008C6E32"/>
    <w:rsid w:val="008C7F71"/>
    <w:rsid w:val="008D339F"/>
    <w:rsid w:val="008D427F"/>
    <w:rsid w:val="008E4A03"/>
    <w:rsid w:val="008E6292"/>
    <w:rsid w:val="00922B6E"/>
    <w:rsid w:val="00925AA5"/>
    <w:rsid w:val="0092738D"/>
    <w:rsid w:val="0093191E"/>
    <w:rsid w:val="0093540D"/>
    <w:rsid w:val="0094019D"/>
    <w:rsid w:val="0094043E"/>
    <w:rsid w:val="00942C11"/>
    <w:rsid w:val="0094351F"/>
    <w:rsid w:val="0094655D"/>
    <w:rsid w:val="009547F8"/>
    <w:rsid w:val="0097093E"/>
    <w:rsid w:val="009729D4"/>
    <w:rsid w:val="009817B0"/>
    <w:rsid w:val="009821CE"/>
    <w:rsid w:val="00984A32"/>
    <w:rsid w:val="00984F35"/>
    <w:rsid w:val="00994EDE"/>
    <w:rsid w:val="0099635D"/>
    <w:rsid w:val="009A277C"/>
    <w:rsid w:val="009A5EC2"/>
    <w:rsid w:val="009A658F"/>
    <w:rsid w:val="009A66C9"/>
    <w:rsid w:val="009B24E4"/>
    <w:rsid w:val="009B5A77"/>
    <w:rsid w:val="009C4407"/>
    <w:rsid w:val="009D680D"/>
    <w:rsid w:val="009E171B"/>
    <w:rsid w:val="009E4008"/>
    <w:rsid w:val="009E4687"/>
    <w:rsid w:val="009F6587"/>
    <w:rsid w:val="00A00596"/>
    <w:rsid w:val="00A015E8"/>
    <w:rsid w:val="00A07D47"/>
    <w:rsid w:val="00A12F62"/>
    <w:rsid w:val="00A14FE9"/>
    <w:rsid w:val="00A3563C"/>
    <w:rsid w:val="00A3749B"/>
    <w:rsid w:val="00A37D87"/>
    <w:rsid w:val="00A44558"/>
    <w:rsid w:val="00A46F73"/>
    <w:rsid w:val="00A50D88"/>
    <w:rsid w:val="00A5460B"/>
    <w:rsid w:val="00A56923"/>
    <w:rsid w:val="00A62E42"/>
    <w:rsid w:val="00A64A71"/>
    <w:rsid w:val="00A72960"/>
    <w:rsid w:val="00A72D8F"/>
    <w:rsid w:val="00A80CFA"/>
    <w:rsid w:val="00A87179"/>
    <w:rsid w:val="00A93401"/>
    <w:rsid w:val="00A97B36"/>
    <w:rsid w:val="00AC3196"/>
    <w:rsid w:val="00AC4C0A"/>
    <w:rsid w:val="00AC7B58"/>
    <w:rsid w:val="00AD4087"/>
    <w:rsid w:val="00AD5347"/>
    <w:rsid w:val="00AE1971"/>
    <w:rsid w:val="00AE2F90"/>
    <w:rsid w:val="00AE7002"/>
    <w:rsid w:val="00AE7CEC"/>
    <w:rsid w:val="00B03DD6"/>
    <w:rsid w:val="00B046D5"/>
    <w:rsid w:val="00B13E54"/>
    <w:rsid w:val="00B3583B"/>
    <w:rsid w:val="00B37A8F"/>
    <w:rsid w:val="00B456A6"/>
    <w:rsid w:val="00B51AA5"/>
    <w:rsid w:val="00B53DCB"/>
    <w:rsid w:val="00B56BC4"/>
    <w:rsid w:val="00B65347"/>
    <w:rsid w:val="00B65825"/>
    <w:rsid w:val="00B87927"/>
    <w:rsid w:val="00B9155D"/>
    <w:rsid w:val="00B96036"/>
    <w:rsid w:val="00BA3E5B"/>
    <w:rsid w:val="00BB18EC"/>
    <w:rsid w:val="00BD053F"/>
    <w:rsid w:val="00BD26AA"/>
    <w:rsid w:val="00BD454F"/>
    <w:rsid w:val="00BD7CD3"/>
    <w:rsid w:val="00BF55F7"/>
    <w:rsid w:val="00C01DCC"/>
    <w:rsid w:val="00C124A4"/>
    <w:rsid w:val="00C13906"/>
    <w:rsid w:val="00C202B3"/>
    <w:rsid w:val="00C21D65"/>
    <w:rsid w:val="00C21EE0"/>
    <w:rsid w:val="00C254CC"/>
    <w:rsid w:val="00C30297"/>
    <w:rsid w:val="00C35FBC"/>
    <w:rsid w:val="00C41F6C"/>
    <w:rsid w:val="00C53BE2"/>
    <w:rsid w:val="00C56414"/>
    <w:rsid w:val="00C670AD"/>
    <w:rsid w:val="00C72239"/>
    <w:rsid w:val="00C72318"/>
    <w:rsid w:val="00C724E6"/>
    <w:rsid w:val="00C747A5"/>
    <w:rsid w:val="00C758A6"/>
    <w:rsid w:val="00C76E94"/>
    <w:rsid w:val="00C85314"/>
    <w:rsid w:val="00C85E7D"/>
    <w:rsid w:val="00C86846"/>
    <w:rsid w:val="00C90D0E"/>
    <w:rsid w:val="00C96D2E"/>
    <w:rsid w:val="00CA0116"/>
    <w:rsid w:val="00CA120A"/>
    <w:rsid w:val="00CA3350"/>
    <w:rsid w:val="00CA4BC0"/>
    <w:rsid w:val="00CA5CA8"/>
    <w:rsid w:val="00CB0157"/>
    <w:rsid w:val="00CB334A"/>
    <w:rsid w:val="00CB5205"/>
    <w:rsid w:val="00CC12DF"/>
    <w:rsid w:val="00CC2EC6"/>
    <w:rsid w:val="00CC559D"/>
    <w:rsid w:val="00CD654B"/>
    <w:rsid w:val="00CE0D9F"/>
    <w:rsid w:val="00CE223E"/>
    <w:rsid w:val="00CE3124"/>
    <w:rsid w:val="00CE68DD"/>
    <w:rsid w:val="00CF3F0D"/>
    <w:rsid w:val="00D01EF8"/>
    <w:rsid w:val="00D04AA8"/>
    <w:rsid w:val="00D06657"/>
    <w:rsid w:val="00D11F94"/>
    <w:rsid w:val="00D145F5"/>
    <w:rsid w:val="00D26A46"/>
    <w:rsid w:val="00D3463C"/>
    <w:rsid w:val="00D355F0"/>
    <w:rsid w:val="00D43AC8"/>
    <w:rsid w:val="00D545AD"/>
    <w:rsid w:val="00D55744"/>
    <w:rsid w:val="00D56113"/>
    <w:rsid w:val="00D67356"/>
    <w:rsid w:val="00D816E3"/>
    <w:rsid w:val="00D833D9"/>
    <w:rsid w:val="00D83BD9"/>
    <w:rsid w:val="00D844E5"/>
    <w:rsid w:val="00D93479"/>
    <w:rsid w:val="00D94DCF"/>
    <w:rsid w:val="00D94EAE"/>
    <w:rsid w:val="00DA586F"/>
    <w:rsid w:val="00DB08DA"/>
    <w:rsid w:val="00DB1432"/>
    <w:rsid w:val="00DB620D"/>
    <w:rsid w:val="00DB7B31"/>
    <w:rsid w:val="00DB7F09"/>
    <w:rsid w:val="00DC00E8"/>
    <w:rsid w:val="00DC1C56"/>
    <w:rsid w:val="00DC4756"/>
    <w:rsid w:val="00DC6379"/>
    <w:rsid w:val="00DC7663"/>
    <w:rsid w:val="00DD4F04"/>
    <w:rsid w:val="00DD626A"/>
    <w:rsid w:val="00DE0A28"/>
    <w:rsid w:val="00DE3C77"/>
    <w:rsid w:val="00DF6F61"/>
    <w:rsid w:val="00E06CE6"/>
    <w:rsid w:val="00E101C6"/>
    <w:rsid w:val="00E10C65"/>
    <w:rsid w:val="00E2180F"/>
    <w:rsid w:val="00E22D51"/>
    <w:rsid w:val="00E314F0"/>
    <w:rsid w:val="00E35425"/>
    <w:rsid w:val="00E375B9"/>
    <w:rsid w:val="00E50E7C"/>
    <w:rsid w:val="00E51545"/>
    <w:rsid w:val="00E51D9E"/>
    <w:rsid w:val="00E537D1"/>
    <w:rsid w:val="00E567E6"/>
    <w:rsid w:val="00E56971"/>
    <w:rsid w:val="00E61484"/>
    <w:rsid w:val="00E701E6"/>
    <w:rsid w:val="00E711D7"/>
    <w:rsid w:val="00E815E1"/>
    <w:rsid w:val="00E902B0"/>
    <w:rsid w:val="00E902E8"/>
    <w:rsid w:val="00E95730"/>
    <w:rsid w:val="00EA1802"/>
    <w:rsid w:val="00EA23AC"/>
    <w:rsid w:val="00EA7C3D"/>
    <w:rsid w:val="00EB350C"/>
    <w:rsid w:val="00EB6878"/>
    <w:rsid w:val="00EC1E0E"/>
    <w:rsid w:val="00EC236D"/>
    <w:rsid w:val="00EC6B16"/>
    <w:rsid w:val="00ED1C87"/>
    <w:rsid w:val="00ED4761"/>
    <w:rsid w:val="00EE1447"/>
    <w:rsid w:val="00EE16B6"/>
    <w:rsid w:val="00EF145E"/>
    <w:rsid w:val="00EF2BBB"/>
    <w:rsid w:val="00F0082D"/>
    <w:rsid w:val="00F015AB"/>
    <w:rsid w:val="00F02705"/>
    <w:rsid w:val="00F03AE7"/>
    <w:rsid w:val="00F0452D"/>
    <w:rsid w:val="00F07C90"/>
    <w:rsid w:val="00F11D92"/>
    <w:rsid w:val="00F16C6A"/>
    <w:rsid w:val="00F17A60"/>
    <w:rsid w:val="00F30811"/>
    <w:rsid w:val="00F5375E"/>
    <w:rsid w:val="00F54630"/>
    <w:rsid w:val="00F57BED"/>
    <w:rsid w:val="00F641C1"/>
    <w:rsid w:val="00F74D7E"/>
    <w:rsid w:val="00F75901"/>
    <w:rsid w:val="00F7613A"/>
    <w:rsid w:val="00F82746"/>
    <w:rsid w:val="00F831A4"/>
    <w:rsid w:val="00F836F9"/>
    <w:rsid w:val="00F845D7"/>
    <w:rsid w:val="00F859CE"/>
    <w:rsid w:val="00F92279"/>
    <w:rsid w:val="00F95273"/>
    <w:rsid w:val="00FA2B17"/>
    <w:rsid w:val="00FB2751"/>
    <w:rsid w:val="00FB3D79"/>
    <w:rsid w:val="00FB4D21"/>
    <w:rsid w:val="00FB762B"/>
    <w:rsid w:val="00FC6ADA"/>
    <w:rsid w:val="00FD4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478810-F698-405B-892C-93FA26D8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iPriority w:val="99"/>
    <w:unhideWhenUsed/>
    <w:rsid w:val="002B40D3"/>
    <w:rPr>
      <w:sz w:val="20"/>
    </w:rPr>
  </w:style>
  <w:style w:type="character" w:customStyle="1" w:styleId="CommentTextChar">
    <w:name w:val="Comment Text Char"/>
    <w:basedOn w:val="DefaultParagraphFont"/>
    <w:link w:val="CommentText"/>
    <w:uiPriority w:val="99"/>
    <w:rsid w:val="002B40D3"/>
    <w:rPr>
      <w:rFonts w:ascii="Calibri" w:eastAsia="Times New Roman" w:hAnsi="Calibri" w:cs="Times New Roman"/>
      <w:sz w:val="20"/>
      <w:szCs w:val="20"/>
      <w:lang w:eastAsia="en-AU"/>
    </w:rPr>
  </w:style>
  <w:style w:type="paragraph" w:styleId="NormalWeb">
    <w:name w:val="Normal (Web)"/>
    <w:basedOn w:val="Normal"/>
    <w:uiPriority w:val="99"/>
    <w:semiHidden/>
    <w:unhideWhenUsed/>
    <w:rsid w:val="003B1B1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A3F2B"/>
  </w:style>
  <w:style w:type="paragraph" w:styleId="CommentSubject">
    <w:name w:val="annotation subject"/>
    <w:basedOn w:val="CommentText"/>
    <w:next w:val="CommentText"/>
    <w:link w:val="CommentSubjectChar"/>
    <w:uiPriority w:val="99"/>
    <w:semiHidden/>
    <w:unhideWhenUsed/>
    <w:rsid w:val="00721D6A"/>
    <w:rPr>
      <w:b/>
      <w:bCs/>
    </w:rPr>
  </w:style>
  <w:style w:type="character" w:customStyle="1" w:styleId="CommentSubjectChar">
    <w:name w:val="Comment Subject Char"/>
    <w:basedOn w:val="CommentTextChar"/>
    <w:link w:val="CommentSubject"/>
    <w:uiPriority w:val="99"/>
    <w:semiHidden/>
    <w:rsid w:val="00721D6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CE68DD"/>
    <w:pPr>
      <w:ind w:left="720"/>
      <w:contextualSpacing/>
    </w:pPr>
  </w:style>
  <w:style w:type="paragraph" w:styleId="Revision">
    <w:name w:val="Revision"/>
    <w:hidden/>
    <w:uiPriority w:val="99"/>
    <w:semiHidden/>
    <w:rsid w:val="00707B76"/>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5875986">
      <w:bodyDiv w:val="1"/>
      <w:marLeft w:val="0"/>
      <w:marRight w:val="0"/>
      <w:marTop w:val="0"/>
      <w:marBottom w:val="0"/>
      <w:divBdr>
        <w:top w:val="none" w:sz="0" w:space="0" w:color="auto"/>
        <w:left w:val="none" w:sz="0" w:space="0" w:color="auto"/>
        <w:bottom w:val="none" w:sz="0" w:space="0" w:color="auto"/>
        <w:right w:val="none" w:sz="0" w:space="0" w:color="auto"/>
      </w:divBdr>
    </w:div>
    <w:div w:id="662045226">
      <w:bodyDiv w:val="1"/>
      <w:marLeft w:val="0"/>
      <w:marRight w:val="0"/>
      <w:marTop w:val="0"/>
      <w:marBottom w:val="0"/>
      <w:divBdr>
        <w:top w:val="none" w:sz="0" w:space="0" w:color="auto"/>
        <w:left w:val="none" w:sz="0" w:space="0" w:color="auto"/>
        <w:bottom w:val="none" w:sz="0" w:space="0" w:color="auto"/>
        <w:right w:val="none" w:sz="0" w:space="0" w:color="auto"/>
      </w:divBdr>
      <w:divsChild>
        <w:div w:id="1543443585">
          <w:marLeft w:val="0"/>
          <w:marRight w:val="0"/>
          <w:marTop w:val="0"/>
          <w:marBottom w:val="0"/>
          <w:divBdr>
            <w:top w:val="none" w:sz="0" w:space="0" w:color="auto"/>
            <w:left w:val="none" w:sz="0" w:space="0" w:color="auto"/>
            <w:bottom w:val="none" w:sz="0" w:space="0" w:color="auto"/>
            <w:right w:val="none" w:sz="0" w:space="0" w:color="auto"/>
          </w:divBdr>
          <w:divsChild>
            <w:div w:id="1530606881">
              <w:marLeft w:val="0"/>
              <w:marRight w:val="0"/>
              <w:marTop w:val="0"/>
              <w:marBottom w:val="0"/>
              <w:divBdr>
                <w:top w:val="none" w:sz="0" w:space="0" w:color="auto"/>
                <w:left w:val="none" w:sz="0" w:space="0" w:color="auto"/>
                <w:bottom w:val="none" w:sz="0" w:space="0" w:color="auto"/>
                <w:right w:val="none" w:sz="0" w:space="0" w:color="auto"/>
              </w:divBdr>
              <w:divsChild>
                <w:div w:id="357512174">
                  <w:marLeft w:val="0"/>
                  <w:marRight w:val="0"/>
                  <w:marTop w:val="0"/>
                  <w:marBottom w:val="0"/>
                  <w:divBdr>
                    <w:top w:val="none" w:sz="0" w:space="0" w:color="auto"/>
                    <w:left w:val="none" w:sz="0" w:space="0" w:color="auto"/>
                    <w:bottom w:val="none" w:sz="0" w:space="0" w:color="auto"/>
                    <w:right w:val="none" w:sz="0" w:space="0" w:color="auto"/>
                  </w:divBdr>
                  <w:divsChild>
                    <w:div w:id="168326510">
                      <w:marLeft w:val="0"/>
                      <w:marRight w:val="0"/>
                      <w:marTop w:val="0"/>
                      <w:marBottom w:val="0"/>
                      <w:divBdr>
                        <w:top w:val="none" w:sz="0" w:space="0" w:color="auto"/>
                        <w:left w:val="none" w:sz="0" w:space="0" w:color="auto"/>
                        <w:bottom w:val="none" w:sz="0" w:space="0" w:color="auto"/>
                        <w:right w:val="none" w:sz="0" w:space="0" w:color="auto"/>
                      </w:divBdr>
                      <w:divsChild>
                        <w:div w:id="1455709374">
                          <w:marLeft w:val="0"/>
                          <w:marRight w:val="0"/>
                          <w:marTop w:val="0"/>
                          <w:marBottom w:val="0"/>
                          <w:divBdr>
                            <w:top w:val="none" w:sz="0" w:space="0" w:color="auto"/>
                            <w:left w:val="none" w:sz="0" w:space="0" w:color="auto"/>
                            <w:bottom w:val="none" w:sz="0" w:space="0" w:color="auto"/>
                            <w:right w:val="none" w:sz="0" w:space="0" w:color="auto"/>
                          </w:divBdr>
                          <w:divsChild>
                            <w:div w:id="1038042766">
                              <w:marLeft w:val="-225"/>
                              <w:marRight w:val="-225"/>
                              <w:marTop w:val="0"/>
                              <w:marBottom w:val="0"/>
                              <w:divBdr>
                                <w:top w:val="none" w:sz="0" w:space="0" w:color="auto"/>
                                <w:left w:val="none" w:sz="0" w:space="0" w:color="auto"/>
                                <w:bottom w:val="none" w:sz="0" w:space="0" w:color="auto"/>
                                <w:right w:val="none" w:sz="0" w:space="0" w:color="auto"/>
                              </w:divBdr>
                              <w:divsChild>
                                <w:div w:id="1302420114">
                                  <w:marLeft w:val="0"/>
                                  <w:marRight w:val="0"/>
                                  <w:marTop w:val="0"/>
                                  <w:marBottom w:val="0"/>
                                  <w:divBdr>
                                    <w:top w:val="none" w:sz="0" w:space="0" w:color="auto"/>
                                    <w:left w:val="none" w:sz="0" w:space="0" w:color="auto"/>
                                    <w:bottom w:val="none" w:sz="0" w:space="0" w:color="auto"/>
                                    <w:right w:val="none" w:sz="0" w:space="0" w:color="auto"/>
                                  </w:divBdr>
                                  <w:divsChild>
                                    <w:div w:id="506988423">
                                      <w:marLeft w:val="0"/>
                                      <w:marRight w:val="0"/>
                                      <w:marTop w:val="0"/>
                                      <w:marBottom w:val="0"/>
                                      <w:divBdr>
                                        <w:top w:val="none" w:sz="0" w:space="0" w:color="auto"/>
                                        <w:left w:val="none" w:sz="0" w:space="0" w:color="auto"/>
                                        <w:bottom w:val="none" w:sz="0" w:space="0" w:color="auto"/>
                                        <w:right w:val="none" w:sz="0" w:space="0" w:color="auto"/>
                                      </w:divBdr>
                                      <w:divsChild>
                                        <w:div w:id="402070467">
                                          <w:marLeft w:val="0"/>
                                          <w:marRight w:val="0"/>
                                          <w:marTop w:val="150"/>
                                          <w:marBottom w:val="0"/>
                                          <w:divBdr>
                                            <w:top w:val="none" w:sz="0" w:space="0" w:color="auto"/>
                                            <w:left w:val="none" w:sz="0" w:space="0" w:color="auto"/>
                                            <w:bottom w:val="none" w:sz="0" w:space="0" w:color="auto"/>
                                            <w:right w:val="none" w:sz="0" w:space="0" w:color="auto"/>
                                          </w:divBdr>
                                          <w:divsChild>
                                            <w:div w:id="769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09225">
      <w:bodyDiv w:val="1"/>
      <w:marLeft w:val="0"/>
      <w:marRight w:val="0"/>
      <w:marTop w:val="0"/>
      <w:marBottom w:val="0"/>
      <w:divBdr>
        <w:top w:val="none" w:sz="0" w:space="0" w:color="auto"/>
        <w:left w:val="none" w:sz="0" w:space="0" w:color="auto"/>
        <w:bottom w:val="none" w:sz="0" w:space="0" w:color="auto"/>
        <w:right w:val="none" w:sz="0" w:space="0" w:color="auto"/>
      </w:divBdr>
      <w:divsChild>
        <w:div w:id="135880698">
          <w:marLeft w:val="0"/>
          <w:marRight w:val="0"/>
          <w:marTop w:val="0"/>
          <w:marBottom w:val="0"/>
          <w:divBdr>
            <w:top w:val="none" w:sz="0" w:space="0" w:color="auto"/>
            <w:left w:val="none" w:sz="0" w:space="0" w:color="auto"/>
            <w:bottom w:val="none" w:sz="0" w:space="0" w:color="auto"/>
            <w:right w:val="none" w:sz="0" w:space="0" w:color="auto"/>
          </w:divBdr>
          <w:divsChild>
            <w:div w:id="2089040473">
              <w:marLeft w:val="0"/>
              <w:marRight w:val="0"/>
              <w:marTop w:val="0"/>
              <w:marBottom w:val="0"/>
              <w:divBdr>
                <w:top w:val="none" w:sz="0" w:space="0" w:color="auto"/>
                <w:left w:val="none" w:sz="0" w:space="0" w:color="auto"/>
                <w:bottom w:val="none" w:sz="0" w:space="0" w:color="auto"/>
                <w:right w:val="none" w:sz="0" w:space="0" w:color="auto"/>
              </w:divBdr>
              <w:divsChild>
                <w:div w:id="353121377">
                  <w:marLeft w:val="-225"/>
                  <w:marRight w:val="-225"/>
                  <w:marTop w:val="0"/>
                  <w:marBottom w:val="0"/>
                  <w:divBdr>
                    <w:top w:val="none" w:sz="0" w:space="0" w:color="auto"/>
                    <w:left w:val="none" w:sz="0" w:space="0" w:color="auto"/>
                    <w:bottom w:val="none" w:sz="0" w:space="0" w:color="auto"/>
                    <w:right w:val="none" w:sz="0" w:space="0" w:color="auto"/>
                  </w:divBdr>
                  <w:divsChild>
                    <w:div w:id="2024670149">
                      <w:marLeft w:val="0"/>
                      <w:marRight w:val="0"/>
                      <w:marTop w:val="0"/>
                      <w:marBottom w:val="0"/>
                      <w:divBdr>
                        <w:top w:val="none" w:sz="0" w:space="0" w:color="auto"/>
                        <w:left w:val="none" w:sz="0" w:space="0" w:color="auto"/>
                        <w:bottom w:val="none" w:sz="0" w:space="0" w:color="auto"/>
                        <w:right w:val="none" w:sz="0" w:space="0" w:color="auto"/>
                      </w:divBdr>
                      <w:divsChild>
                        <w:div w:id="1604265476">
                          <w:marLeft w:val="0"/>
                          <w:marRight w:val="0"/>
                          <w:marTop w:val="0"/>
                          <w:marBottom w:val="0"/>
                          <w:divBdr>
                            <w:top w:val="none" w:sz="0" w:space="0" w:color="auto"/>
                            <w:left w:val="none" w:sz="0" w:space="0" w:color="auto"/>
                            <w:bottom w:val="none" w:sz="0" w:space="0" w:color="auto"/>
                            <w:right w:val="none" w:sz="0" w:space="0" w:color="auto"/>
                          </w:divBdr>
                          <w:divsChild>
                            <w:div w:id="205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6258">
      <w:bodyDiv w:val="1"/>
      <w:marLeft w:val="0"/>
      <w:marRight w:val="0"/>
      <w:marTop w:val="0"/>
      <w:marBottom w:val="0"/>
      <w:divBdr>
        <w:top w:val="none" w:sz="0" w:space="0" w:color="auto"/>
        <w:left w:val="none" w:sz="0" w:space="0" w:color="auto"/>
        <w:bottom w:val="none" w:sz="0" w:space="0" w:color="auto"/>
        <w:right w:val="none" w:sz="0" w:space="0" w:color="auto"/>
      </w:divBdr>
    </w:div>
    <w:div w:id="1151483122">
      <w:bodyDiv w:val="1"/>
      <w:marLeft w:val="0"/>
      <w:marRight w:val="0"/>
      <w:marTop w:val="0"/>
      <w:marBottom w:val="0"/>
      <w:divBdr>
        <w:top w:val="none" w:sz="0" w:space="0" w:color="auto"/>
        <w:left w:val="none" w:sz="0" w:space="0" w:color="auto"/>
        <w:bottom w:val="none" w:sz="0" w:space="0" w:color="auto"/>
        <w:right w:val="none" w:sz="0" w:space="0" w:color="auto"/>
      </w:divBdr>
    </w:div>
    <w:div w:id="1167549318">
      <w:bodyDiv w:val="1"/>
      <w:marLeft w:val="0"/>
      <w:marRight w:val="0"/>
      <w:marTop w:val="0"/>
      <w:marBottom w:val="0"/>
      <w:divBdr>
        <w:top w:val="none" w:sz="0" w:space="0" w:color="auto"/>
        <w:left w:val="none" w:sz="0" w:space="0" w:color="auto"/>
        <w:bottom w:val="none" w:sz="0" w:space="0" w:color="auto"/>
        <w:right w:val="none" w:sz="0" w:space="0" w:color="auto"/>
      </w:divBdr>
    </w:div>
    <w:div w:id="1230074991">
      <w:bodyDiv w:val="1"/>
      <w:marLeft w:val="0"/>
      <w:marRight w:val="0"/>
      <w:marTop w:val="0"/>
      <w:marBottom w:val="0"/>
      <w:divBdr>
        <w:top w:val="none" w:sz="0" w:space="0" w:color="auto"/>
        <w:left w:val="none" w:sz="0" w:space="0" w:color="auto"/>
        <w:bottom w:val="none" w:sz="0" w:space="0" w:color="auto"/>
        <w:right w:val="none" w:sz="0" w:space="0" w:color="auto"/>
      </w:divBdr>
    </w:div>
    <w:div w:id="1244148700">
      <w:bodyDiv w:val="1"/>
      <w:marLeft w:val="0"/>
      <w:marRight w:val="0"/>
      <w:marTop w:val="0"/>
      <w:marBottom w:val="0"/>
      <w:divBdr>
        <w:top w:val="none" w:sz="0" w:space="0" w:color="auto"/>
        <w:left w:val="none" w:sz="0" w:space="0" w:color="auto"/>
        <w:bottom w:val="none" w:sz="0" w:space="0" w:color="auto"/>
        <w:right w:val="none" w:sz="0" w:space="0" w:color="auto"/>
      </w:divBdr>
    </w:div>
    <w:div w:id="1675955458">
      <w:bodyDiv w:val="1"/>
      <w:marLeft w:val="0"/>
      <w:marRight w:val="0"/>
      <w:marTop w:val="0"/>
      <w:marBottom w:val="0"/>
      <w:divBdr>
        <w:top w:val="none" w:sz="0" w:space="0" w:color="auto"/>
        <w:left w:val="none" w:sz="0" w:space="0" w:color="auto"/>
        <w:bottom w:val="none" w:sz="0" w:space="0" w:color="auto"/>
        <w:right w:val="none" w:sz="0" w:space="0" w:color="auto"/>
      </w:divBdr>
      <w:divsChild>
        <w:div w:id="1203904673">
          <w:marLeft w:val="0"/>
          <w:marRight w:val="0"/>
          <w:marTop w:val="0"/>
          <w:marBottom w:val="0"/>
          <w:divBdr>
            <w:top w:val="none" w:sz="0" w:space="0" w:color="auto"/>
            <w:left w:val="none" w:sz="0" w:space="0" w:color="auto"/>
            <w:bottom w:val="none" w:sz="0" w:space="0" w:color="auto"/>
            <w:right w:val="none" w:sz="0" w:space="0" w:color="auto"/>
          </w:divBdr>
          <w:divsChild>
            <w:div w:id="1291518097">
              <w:marLeft w:val="0"/>
              <w:marRight w:val="0"/>
              <w:marTop w:val="0"/>
              <w:marBottom w:val="0"/>
              <w:divBdr>
                <w:top w:val="none" w:sz="0" w:space="0" w:color="auto"/>
                <w:left w:val="none" w:sz="0" w:space="0" w:color="auto"/>
                <w:bottom w:val="none" w:sz="0" w:space="0" w:color="auto"/>
                <w:right w:val="none" w:sz="0" w:space="0" w:color="auto"/>
              </w:divBdr>
              <w:divsChild>
                <w:div w:id="1594121014">
                  <w:marLeft w:val="-225"/>
                  <w:marRight w:val="-225"/>
                  <w:marTop w:val="0"/>
                  <w:marBottom w:val="0"/>
                  <w:divBdr>
                    <w:top w:val="none" w:sz="0" w:space="0" w:color="auto"/>
                    <w:left w:val="none" w:sz="0" w:space="0" w:color="auto"/>
                    <w:bottom w:val="none" w:sz="0" w:space="0" w:color="auto"/>
                    <w:right w:val="none" w:sz="0" w:space="0" w:color="auto"/>
                  </w:divBdr>
                  <w:divsChild>
                    <w:div w:id="1077941385">
                      <w:marLeft w:val="0"/>
                      <w:marRight w:val="0"/>
                      <w:marTop w:val="0"/>
                      <w:marBottom w:val="0"/>
                      <w:divBdr>
                        <w:top w:val="none" w:sz="0" w:space="0" w:color="auto"/>
                        <w:left w:val="none" w:sz="0" w:space="0" w:color="auto"/>
                        <w:bottom w:val="none" w:sz="0" w:space="0" w:color="auto"/>
                        <w:right w:val="none" w:sz="0" w:space="0" w:color="auto"/>
                      </w:divBdr>
                      <w:divsChild>
                        <w:div w:id="1646592782">
                          <w:marLeft w:val="0"/>
                          <w:marRight w:val="0"/>
                          <w:marTop w:val="0"/>
                          <w:marBottom w:val="0"/>
                          <w:divBdr>
                            <w:top w:val="none" w:sz="0" w:space="0" w:color="auto"/>
                            <w:left w:val="none" w:sz="0" w:space="0" w:color="auto"/>
                            <w:bottom w:val="none" w:sz="0" w:space="0" w:color="auto"/>
                            <w:right w:val="none" w:sz="0" w:space="0" w:color="auto"/>
                          </w:divBdr>
                          <w:divsChild>
                            <w:div w:id="184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4593">
      <w:bodyDiv w:val="1"/>
      <w:marLeft w:val="0"/>
      <w:marRight w:val="0"/>
      <w:marTop w:val="0"/>
      <w:marBottom w:val="0"/>
      <w:divBdr>
        <w:top w:val="none" w:sz="0" w:space="0" w:color="auto"/>
        <w:left w:val="none" w:sz="0" w:space="0" w:color="auto"/>
        <w:bottom w:val="none" w:sz="0" w:space="0" w:color="auto"/>
        <w:right w:val="none" w:sz="0" w:space="0" w:color="auto"/>
      </w:divBdr>
    </w:div>
    <w:div w:id="1853102426">
      <w:bodyDiv w:val="1"/>
      <w:marLeft w:val="0"/>
      <w:marRight w:val="0"/>
      <w:marTop w:val="0"/>
      <w:marBottom w:val="0"/>
      <w:divBdr>
        <w:top w:val="none" w:sz="0" w:space="0" w:color="auto"/>
        <w:left w:val="none" w:sz="0" w:space="0" w:color="auto"/>
        <w:bottom w:val="none" w:sz="0" w:space="0" w:color="auto"/>
        <w:right w:val="none" w:sz="0" w:space="0" w:color="auto"/>
      </w:divBdr>
    </w:div>
    <w:div w:id="1906523533">
      <w:bodyDiv w:val="1"/>
      <w:marLeft w:val="0"/>
      <w:marRight w:val="0"/>
      <w:marTop w:val="0"/>
      <w:marBottom w:val="0"/>
      <w:divBdr>
        <w:top w:val="none" w:sz="0" w:space="0" w:color="auto"/>
        <w:left w:val="none" w:sz="0" w:space="0" w:color="auto"/>
        <w:bottom w:val="none" w:sz="0" w:space="0" w:color="auto"/>
        <w:right w:val="none" w:sz="0" w:space="0" w:color="auto"/>
      </w:divBdr>
      <w:divsChild>
        <w:div w:id="69424947">
          <w:marLeft w:val="331"/>
          <w:marRight w:val="0"/>
          <w:marTop w:val="120"/>
          <w:marBottom w:val="79"/>
          <w:divBdr>
            <w:top w:val="none" w:sz="0" w:space="0" w:color="auto"/>
            <w:left w:val="none" w:sz="0" w:space="0" w:color="auto"/>
            <w:bottom w:val="none" w:sz="0" w:space="0" w:color="auto"/>
            <w:right w:val="none" w:sz="0" w:space="0" w:color="auto"/>
          </w:divBdr>
        </w:div>
        <w:div w:id="626475591">
          <w:marLeft w:val="331"/>
          <w:marRight w:val="0"/>
          <w:marTop w:val="120"/>
          <w:marBottom w:val="79"/>
          <w:divBdr>
            <w:top w:val="none" w:sz="0" w:space="0" w:color="auto"/>
            <w:left w:val="none" w:sz="0" w:space="0" w:color="auto"/>
            <w:bottom w:val="none" w:sz="0" w:space="0" w:color="auto"/>
            <w:right w:val="none" w:sz="0" w:space="0" w:color="auto"/>
          </w:divBdr>
        </w:div>
        <w:div w:id="1025398393">
          <w:marLeft w:val="331"/>
          <w:marRight w:val="0"/>
          <w:marTop w:val="120"/>
          <w:marBottom w:val="79"/>
          <w:divBdr>
            <w:top w:val="none" w:sz="0" w:space="0" w:color="auto"/>
            <w:left w:val="none" w:sz="0" w:space="0" w:color="auto"/>
            <w:bottom w:val="none" w:sz="0" w:space="0" w:color="auto"/>
            <w:right w:val="none" w:sz="0" w:space="0" w:color="auto"/>
          </w:divBdr>
        </w:div>
        <w:div w:id="1295410977">
          <w:marLeft w:val="331"/>
          <w:marRight w:val="0"/>
          <w:marTop w:val="120"/>
          <w:marBottom w:val="79"/>
          <w:divBdr>
            <w:top w:val="none" w:sz="0" w:space="0" w:color="auto"/>
            <w:left w:val="none" w:sz="0" w:space="0" w:color="auto"/>
            <w:bottom w:val="none" w:sz="0" w:space="0" w:color="auto"/>
            <w:right w:val="none" w:sz="0" w:space="0" w:color="auto"/>
          </w:divBdr>
        </w:div>
        <w:div w:id="1333528320">
          <w:marLeft w:val="331"/>
          <w:marRight w:val="0"/>
          <w:marTop w:val="120"/>
          <w:marBottom w:val="79"/>
          <w:divBdr>
            <w:top w:val="none" w:sz="0" w:space="0" w:color="auto"/>
            <w:left w:val="none" w:sz="0" w:space="0" w:color="auto"/>
            <w:bottom w:val="none" w:sz="0" w:space="0" w:color="auto"/>
            <w:right w:val="none" w:sz="0" w:space="0" w:color="auto"/>
          </w:divBdr>
        </w:div>
        <w:div w:id="1466504738">
          <w:marLeft w:val="331"/>
          <w:marRight w:val="0"/>
          <w:marTop w:val="12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nc.gov.au/for-charities/start-charity/apply-n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nc.gov.au/contact-u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br.busines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2020RG-286-6507</_dlc_DocId>
    <_dlc_DocIdUrl xmlns="0f563589-9cf9-4143-b1eb-fb0534803d38">
      <Url>http://tweb/sites/rg/iitd/nfp/_layouts/15/DocIdRedir.aspx?ID=2020RG-286-6507</Url>
      <Description>2020RG-286-6507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32544" ma:contentTypeDescription="" ma:contentTypeScope="" ma:versionID="fa2ea667881803685dd317ea74bb1ed9">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6449-81AB-4021-A0BA-C3E0F00F85A6}">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D240CC3A-9FF3-45F7-A3BC-227273891862}">
  <ds:schemaRefs>
    <ds:schemaRef ds:uri="http://schemas.microsoft.com/sharepoint/events"/>
  </ds:schemaRefs>
</ds:datastoreItem>
</file>

<file path=customXml/itemProps3.xml><?xml version="1.0" encoding="utf-8"?>
<ds:datastoreItem xmlns:ds="http://schemas.openxmlformats.org/officeDocument/2006/customXml" ds:itemID="{4FF44E78-D033-4533-B448-32D40A47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CFC04-BC81-4C8C-AC60-BA764DCF5037}">
  <ds:schemaRefs>
    <ds:schemaRef ds:uri="http://schemas.microsoft.com/sharepoint/v3/contenttype/forms"/>
  </ds:schemaRefs>
</ds:datastoreItem>
</file>

<file path=customXml/itemProps5.xml><?xml version="1.0" encoding="utf-8"?>
<ds:datastoreItem xmlns:ds="http://schemas.openxmlformats.org/officeDocument/2006/customXml" ds:itemID="{D0D842F4-D8BA-486C-B137-385D31476978}">
  <ds:schemaRefs>
    <ds:schemaRef ds:uri="office.server.policy"/>
  </ds:schemaRefs>
</ds:datastoreItem>
</file>

<file path=customXml/itemProps6.xml><?xml version="1.0" encoding="utf-8"?>
<ds:datastoreItem xmlns:ds="http://schemas.openxmlformats.org/officeDocument/2006/customXml" ds:itemID="{0101E6EA-A926-4163-A729-6EDEABE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147</TotalTime>
  <Pages>5</Pages>
  <Words>1387</Words>
  <Characters>7678</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Deductible Gift Recipient (DGR) Reform - Requiring DGRs to be registered as charities - FAQ</vt:lpstr>
    </vt:vector>
  </TitlesOfParts>
  <Company>Australian Government - The Treasury</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Deductible Gift Recipient (DGR) Reform - Requiring DGRs to be registered as charities - FAQ</dc:title>
  <dc:subject/>
  <dc:creator>Treasury </dc:creator>
  <cp:keywords/>
  <dc:description/>
  <cp:lastModifiedBy>Hill, Christine</cp:lastModifiedBy>
  <cp:revision>6</cp:revision>
  <cp:lastPrinted>2020-01-14T02:28:00Z</cp:lastPrinted>
  <dcterms:created xsi:type="dcterms:W3CDTF">2020-09-21T03:44:00Z</dcterms:created>
  <dcterms:modified xsi:type="dcterms:W3CDTF">2020-10-08T00:26:00Z</dcterms:modified>
</cp:coreProperties>
</file>