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86646A" w14:paraId="054300B1" w14:textId="77777777" w:rsidTr="0086646A">
        <w:tc>
          <w:tcPr>
            <w:tcW w:w="5000" w:type="pct"/>
            <w:shd w:val="clear" w:color="auto" w:fill="auto"/>
          </w:tcPr>
          <w:p w14:paraId="054300AF" w14:textId="77777777" w:rsidR="0086646A" w:rsidRDefault="0086646A" w:rsidP="0086646A">
            <w:pPr>
              <w:jc w:val="center"/>
              <w:rPr>
                <w:b/>
                <w:sz w:val="26"/>
              </w:rPr>
            </w:pPr>
            <w:bookmarkStart w:id="0" w:name="_GoBack"/>
            <w:bookmarkEnd w:id="0"/>
            <w:r>
              <w:rPr>
                <w:b/>
                <w:sz w:val="26"/>
              </w:rPr>
              <w:t>EXPOSURE DRAFT</w:t>
            </w:r>
          </w:p>
          <w:p w14:paraId="054300B0" w14:textId="77777777" w:rsidR="0086646A" w:rsidRPr="0086646A" w:rsidRDefault="0086646A" w:rsidP="0086646A">
            <w:pPr>
              <w:rPr>
                <w:b/>
                <w:sz w:val="20"/>
              </w:rPr>
            </w:pPr>
          </w:p>
        </w:tc>
      </w:tr>
    </w:tbl>
    <w:p w14:paraId="054300B2" w14:textId="77777777" w:rsidR="0086646A" w:rsidRDefault="0086646A" w:rsidP="00EF468E">
      <w:pPr>
        <w:rPr>
          <w:sz w:val="32"/>
          <w:szCs w:val="32"/>
        </w:rPr>
      </w:pPr>
    </w:p>
    <w:p w14:paraId="054300B3" w14:textId="77777777" w:rsidR="00664C63" w:rsidRPr="00AA7A1C" w:rsidRDefault="00664C63" w:rsidP="00EF468E">
      <w:pPr>
        <w:rPr>
          <w:sz w:val="32"/>
          <w:szCs w:val="32"/>
        </w:rPr>
      </w:pPr>
      <w:r w:rsidRPr="00AA7A1C">
        <w:rPr>
          <w:sz w:val="32"/>
          <w:szCs w:val="32"/>
        </w:rPr>
        <w:t>Inserts for</w:t>
      </w:r>
    </w:p>
    <w:p w14:paraId="054300B4" w14:textId="77777777" w:rsidR="00664C63" w:rsidRPr="00AA7A1C" w:rsidRDefault="00CE0E88" w:rsidP="00EF468E">
      <w:pPr>
        <w:pStyle w:val="ShortT"/>
      </w:pPr>
      <w:r w:rsidRPr="00AA7A1C">
        <w:t>Treasury Laws Amendment (Measures for a later sitting) Bill 2020:</w:t>
      </w:r>
      <w:r w:rsidR="00A31D9E" w:rsidRPr="00AA7A1C">
        <w:t xml:space="preserve"> </w:t>
      </w:r>
      <w:r w:rsidRPr="00AA7A1C">
        <w:t>Minor and Technical Amendments</w:t>
      </w:r>
    </w:p>
    <w:p w14:paraId="054300B5" w14:textId="77777777" w:rsidR="00664C63" w:rsidRPr="00AA7A1C" w:rsidRDefault="00664C63" w:rsidP="00EF468E">
      <w:pPr>
        <w:jc w:val="center"/>
      </w:pPr>
    </w:p>
    <w:p w14:paraId="054300B6" w14:textId="77777777" w:rsidR="00664C63" w:rsidRPr="00AA7A1C" w:rsidRDefault="00664C63" w:rsidP="00EF468E">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AA7A1C" w14:paraId="054300B8" w14:textId="77777777" w:rsidTr="002F08B3">
        <w:trPr>
          <w:tblHeader/>
        </w:trPr>
        <w:tc>
          <w:tcPr>
            <w:tcW w:w="7111" w:type="dxa"/>
            <w:gridSpan w:val="3"/>
            <w:tcBorders>
              <w:top w:val="single" w:sz="12" w:space="0" w:color="auto"/>
              <w:bottom w:val="single" w:sz="6" w:space="0" w:color="auto"/>
            </w:tcBorders>
            <w:shd w:val="clear" w:color="auto" w:fill="auto"/>
          </w:tcPr>
          <w:p w14:paraId="054300B7" w14:textId="77777777" w:rsidR="00664C63" w:rsidRPr="00AA7A1C" w:rsidRDefault="00664C63" w:rsidP="00EF468E">
            <w:pPr>
              <w:pStyle w:val="TableHeading"/>
            </w:pPr>
            <w:r w:rsidRPr="00AA7A1C">
              <w:t>Commencement information</w:t>
            </w:r>
          </w:p>
        </w:tc>
      </w:tr>
      <w:tr w:rsidR="00664C63" w:rsidRPr="00AA7A1C" w14:paraId="054300BC" w14:textId="77777777" w:rsidTr="002F08B3">
        <w:trPr>
          <w:tblHeader/>
        </w:trPr>
        <w:tc>
          <w:tcPr>
            <w:tcW w:w="1701" w:type="dxa"/>
            <w:tcBorders>
              <w:top w:val="single" w:sz="6" w:space="0" w:color="auto"/>
              <w:bottom w:val="single" w:sz="6" w:space="0" w:color="auto"/>
            </w:tcBorders>
            <w:shd w:val="clear" w:color="auto" w:fill="auto"/>
          </w:tcPr>
          <w:p w14:paraId="054300B9" w14:textId="77777777" w:rsidR="00664C63" w:rsidRPr="00AA7A1C" w:rsidRDefault="00664C63" w:rsidP="00EF468E">
            <w:pPr>
              <w:pStyle w:val="TableHeading"/>
            </w:pPr>
            <w:r w:rsidRPr="00AA7A1C">
              <w:t>Column 1</w:t>
            </w:r>
          </w:p>
        </w:tc>
        <w:tc>
          <w:tcPr>
            <w:tcW w:w="3828" w:type="dxa"/>
            <w:tcBorders>
              <w:top w:val="single" w:sz="6" w:space="0" w:color="auto"/>
              <w:bottom w:val="single" w:sz="6" w:space="0" w:color="auto"/>
            </w:tcBorders>
            <w:shd w:val="clear" w:color="auto" w:fill="auto"/>
          </w:tcPr>
          <w:p w14:paraId="054300BA" w14:textId="77777777" w:rsidR="00664C63" w:rsidRPr="00AA7A1C" w:rsidRDefault="00664C63" w:rsidP="00EF468E">
            <w:pPr>
              <w:pStyle w:val="TableHeading"/>
            </w:pPr>
            <w:r w:rsidRPr="00AA7A1C">
              <w:t>Column 2</w:t>
            </w:r>
          </w:p>
        </w:tc>
        <w:tc>
          <w:tcPr>
            <w:tcW w:w="1582" w:type="dxa"/>
            <w:tcBorders>
              <w:top w:val="single" w:sz="6" w:space="0" w:color="auto"/>
              <w:bottom w:val="single" w:sz="6" w:space="0" w:color="auto"/>
            </w:tcBorders>
            <w:shd w:val="clear" w:color="auto" w:fill="auto"/>
          </w:tcPr>
          <w:p w14:paraId="054300BB" w14:textId="77777777" w:rsidR="00664C63" w:rsidRPr="00AA7A1C" w:rsidRDefault="00664C63" w:rsidP="00EF468E">
            <w:pPr>
              <w:pStyle w:val="TableHeading"/>
            </w:pPr>
            <w:r w:rsidRPr="00AA7A1C">
              <w:t>Column 3</w:t>
            </w:r>
          </w:p>
        </w:tc>
      </w:tr>
      <w:tr w:rsidR="00664C63" w:rsidRPr="00AA7A1C" w14:paraId="054300C0" w14:textId="77777777" w:rsidTr="002F08B3">
        <w:trPr>
          <w:tblHeader/>
        </w:trPr>
        <w:tc>
          <w:tcPr>
            <w:tcW w:w="1701" w:type="dxa"/>
            <w:tcBorders>
              <w:top w:val="single" w:sz="6" w:space="0" w:color="auto"/>
              <w:bottom w:val="single" w:sz="12" w:space="0" w:color="auto"/>
            </w:tcBorders>
            <w:shd w:val="clear" w:color="auto" w:fill="auto"/>
          </w:tcPr>
          <w:p w14:paraId="054300BD" w14:textId="77777777" w:rsidR="00664C63" w:rsidRPr="00AA7A1C" w:rsidRDefault="00664C63" w:rsidP="00EF468E">
            <w:pPr>
              <w:pStyle w:val="TableHeading"/>
            </w:pPr>
            <w:r w:rsidRPr="00AA7A1C">
              <w:t>Provisions</w:t>
            </w:r>
          </w:p>
        </w:tc>
        <w:tc>
          <w:tcPr>
            <w:tcW w:w="3828" w:type="dxa"/>
            <w:tcBorders>
              <w:top w:val="single" w:sz="6" w:space="0" w:color="auto"/>
              <w:bottom w:val="single" w:sz="12" w:space="0" w:color="auto"/>
            </w:tcBorders>
            <w:shd w:val="clear" w:color="auto" w:fill="auto"/>
          </w:tcPr>
          <w:p w14:paraId="054300BE" w14:textId="77777777" w:rsidR="00664C63" w:rsidRPr="00AA7A1C" w:rsidRDefault="00664C63" w:rsidP="00EF468E">
            <w:pPr>
              <w:pStyle w:val="TableHeading"/>
            </w:pPr>
            <w:r w:rsidRPr="00AA7A1C">
              <w:t>Commencement</w:t>
            </w:r>
          </w:p>
        </w:tc>
        <w:tc>
          <w:tcPr>
            <w:tcW w:w="1582" w:type="dxa"/>
            <w:tcBorders>
              <w:top w:val="single" w:sz="6" w:space="0" w:color="auto"/>
              <w:bottom w:val="single" w:sz="12" w:space="0" w:color="auto"/>
            </w:tcBorders>
            <w:shd w:val="clear" w:color="auto" w:fill="auto"/>
          </w:tcPr>
          <w:p w14:paraId="054300BF" w14:textId="77777777" w:rsidR="00664C63" w:rsidRPr="00AA7A1C" w:rsidRDefault="00664C63" w:rsidP="00EF468E">
            <w:pPr>
              <w:pStyle w:val="TableHeading"/>
            </w:pPr>
            <w:r w:rsidRPr="00AA7A1C">
              <w:t>Date/Details</w:t>
            </w:r>
          </w:p>
        </w:tc>
      </w:tr>
      <w:tr w:rsidR="00664C63" w:rsidRPr="00AA7A1C" w14:paraId="054300C4" w14:textId="77777777" w:rsidTr="002F08B3">
        <w:tc>
          <w:tcPr>
            <w:tcW w:w="1701" w:type="dxa"/>
            <w:tcBorders>
              <w:top w:val="single" w:sz="12" w:space="0" w:color="auto"/>
            </w:tcBorders>
            <w:shd w:val="clear" w:color="auto" w:fill="auto"/>
          </w:tcPr>
          <w:p w14:paraId="054300C1" w14:textId="77777777" w:rsidR="00664C63" w:rsidRPr="00AA7A1C" w:rsidRDefault="00664C63" w:rsidP="00EF468E">
            <w:pPr>
              <w:pStyle w:val="Tabletext"/>
            </w:pPr>
            <w:r w:rsidRPr="00AA7A1C">
              <w:t xml:space="preserve">1.  </w:t>
            </w:r>
            <w:r w:rsidR="000B73B0" w:rsidRPr="00AA7A1C">
              <w:t>Schedule #</w:t>
            </w:r>
            <w:r w:rsidR="00F07777" w:rsidRPr="00AA7A1C">
              <w:t xml:space="preserve">, </w:t>
            </w:r>
            <w:r w:rsidR="00AA7A1C" w:rsidRPr="00AA7A1C">
              <w:t>Part 1</w:t>
            </w:r>
          </w:p>
        </w:tc>
        <w:tc>
          <w:tcPr>
            <w:tcW w:w="3828" w:type="dxa"/>
            <w:tcBorders>
              <w:top w:val="single" w:sz="12" w:space="0" w:color="auto"/>
            </w:tcBorders>
            <w:shd w:val="clear" w:color="auto" w:fill="auto"/>
          </w:tcPr>
          <w:p w14:paraId="054300C2" w14:textId="77777777" w:rsidR="00664C63" w:rsidRPr="00AA7A1C" w:rsidRDefault="00F07777" w:rsidP="00EF468E">
            <w:pPr>
              <w:pStyle w:val="Tabletext"/>
            </w:pPr>
            <w:r w:rsidRPr="00AA7A1C">
              <w:t>The day after this Act receives the Royal Assent.</w:t>
            </w:r>
          </w:p>
        </w:tc>
        <w:tc>
          <w:tcPr>
            <w:tcW w:w="1582" w:type="dxa"/>
            <w:tcBorders>
              <w:top w:val="single" w:sz="12" w:space="0" w:color="auto"/>
            </w:tcBorders>
            <w:shd w:val="clear" w:color="auto" w:fill="auto"/>
          </w:tcPr>
          <w:p w14:paraId="054300C3" w14:textId="77777777" w:rsidR="00664C63" w:rsidRPr="00AA7A1C" w:rsidRDefault="00664C63" w:rsidP="00EF468E">
            <w:pPr>
              <w:pStyle w:val="Tabletext"/>
            </w:pPr>
          </w:p>
        </w:tc>
      </w:tr>
      <w:tr w:rsidR="00664C63" w:rsidRPr="00AA7A1C" w14:paraId="054300C8" w14:textId="77777777" w:rsidTr="002F08B3">
        <w:tc>
          <w:tcPr>
            <w:tcW w:w="1701" w:type="dxa"/>
            <w:tcBorders>
              <w:bottom w:val="single" w:sz="4" w:space="0" w:color="auto"/>
            </w:tcBorders>
            <w:shd w:val="clear" w:color="auto" w:fill="auto"/>
          </w:tcPr>
          <w:p w14:paraId="054300C5" w14:textId="77777777" w:rsidR="00664C63" w:rsidRPr="00AA7A1C" w:rsidRDefault="00664C63" w:rsidP="00EF468E">
            <w:pPr>
              <w:pStyle w:val="Tabletext"/>
            </w:pPr>
            <w:r w:rsidRPr="00AA7A1C">
              <w:t xml:space="preserve">2.  </w:t>
            </w:r>
            <w:r w:rsidR="000B73B0" w:rsidRPr="00AA7A1C">
              <w:t>Schedule #</w:t>
            </w:r>
            <w:r w:rsidR="00F07777" w:rsidRPr="00AA7A1C">
              <w:t xml:space="preserve">, </w:t>
            </w:r>
            <w:r w:rsidR="00AA7A1C" w:rsidRPr="00AA7A1C">
              <w:t>Part 2</w:t>
            </w:r>
          </w:p>
        </w:tc>
        <w:tc>
          <w:tcPr>
            <w:tcW w:w="3828" w:type="dxa"/>
            <w:tcBorders>
              <w:bottom w:val="single" w:sz="4" w:space="0" w:color="auto"/>
            </w:tcBorders>
            <w:shd w:val="clear" w:color="auto" w:fill="auto"/>
          </w:tcPr>
          <w:p w14:paraId="054300C6" w14:textId="77777777" w:rsidR="00664C63" w:rsidRPr="00AA7A1C" w:rsidRDefault="00F07777" w:rsidP="00EF468E">
            <w:pPr>
              <w:pStyle w:val="Tabletext"/>
            </w:pPr>
            <w:r w:rsidRPr="00AA7A1C">
              <w:t xml:space="preserve">The first </w:t>
            </w:r>
            <w:r w:rsidR="00AA7A1C" w:rsidRPr="00AA7A1C">
              <w:t>1 January</w:t>
            </w:r>
            <w:r w:rsidRPr="00AA7A1C">
              <w:t xml:space="preserve">, </w:t>
            </w:r>
            <w:r w:rsidR="00AA7A1C" w:rsidRPr="00AA7A1C">
              <w:t>1 April</w:t>
            </w:r>
            <w:r w:rsidRPr="00AA7A1C">
              <w:t xml:space="preserve">, </w:t>
            </w:r>
            <w:r w:rsidR="00AA7A1C" w:rsidRPr="00AA7A1C">
              <w:t>1 July</w:t>
            </w:r>
            <w:r w:rsidRPr="00AA7A1C">
              <w:t xml:space="preserve"> or </w:t>
            </w:r>
            <w:r w:rsidR="00AA7A1C" w:rsidRPr="00AA7A1C">
              <w:t>1 October</w:t>
            </w:r>
            <w:r w:rsidRPr="00AA7A1C">
              <w:t xml:space="preserve"> to occur after the day this Act receives the Royal Assent.</w:t>
            </w:r>
          </w:p>
        </w:tc>
        <w:tc>
          <w:tcPr>
            <w:tcW w:w="1582" w:type="dxa"/>
            <w:tcBorders>
              <w:bottom w:val="single" w:sz="4" w:space="0" w:color="auto"/>
            </w:tcBorders>
            <w:shd w:val="clear" w:color="auto" w:fill="auto"/>
          </w:tcPr>
          <w:p w14:paraId="054300C7" w14:textId="77777777" w:rsidR="00664C63" w:rsidRPr="00AA7A1C" w:rsidRDefault="00664C63" w:rsidP="00EF468E">
            <w:pPr>
              <w:pStyle w:val="Tabletext"/>
            </w:pPr>
          </w:p>
        </w:tc>
      </w:tr>
      <w:tr w:rsidR="003618E8" w:rsidRPr="00AA7A1C" w14:paraId="054300CE" w14:textId="77777777" w:rsidTr="002F08B3">
        <w:tc>
          <w:tcPr>
            <w:tcW w:w="1701" w:type="dxa"/>
            <w:tcBorders>
              <w:bottom w:val="single" w:sz="4" w:space="0" w:color="auto"/>
            </w:tcBorders>
            <w:shd w:val="clear" w:color="auto" w:fill="auto"/>
          </w:tcPr>
          <w:p w14:paraId="054300C9" w14:textId="77777777" w:rsidR="003618E8" w:rsidRPr="00AA7A1C" w:rsidRDefault="00350B34" w:rsidP="00EF468E">
            <w:pPr>
              <w:pStyle w:val="Tabletext"/>
            </w:pPr>
            <w:r>
              <w:t>3</w:t>
            </w:r>
            <w:r w:rsidR="003618E8">
              <w:t xml:space="preserve">.  </w:t>
            </w:r>
            <w:r w:rsidR="003618E8" w:rsidRPr="00AA7A1C">
              <w:t>Schedule #, item 1</w:t>
            </w:r>
            <w:r>
              <w:t>10</w:t>
            </w:r>
          </w:p>
        </w:tc>
        <w:tc>
          <w:tcPr>
            <w:tcW w:w="3828" w:type="dxa"/>
            <w:tcBorders>
              <w:bottom w:val="single" w:sz="4" w:space="0" w:color="auto"/>
            </w:tcBorders>
            <w:shd w:val="clear" w:color="auto" w:fill="auto"/>
          </w:tcPr>
          <w:p w14:paraId="054300CA" w14:textId="77777777" w:rsidR="003618E8" w:rsidRPr="00AA7A1C" w:rsidRDefault="003618E8" w:rsidP="00EF468E">
            <w:pPr>
              <w:pStyle w:val="Tabletext"/>
            </w:pPr>
            <w:r w:rsidRPr="00AA7A1C">
              <w:t>The later of:</w:t>
            </w:r>
          </w:p>
          <w:p w14:paraId="054300CB" w14:textId="77777777" w:rsidR="003618E8" w:rsidRPr="00AA7A1C" w:rsidRDefault="003618E8" w:rsidP="00EF468E">
            <w:pPr>
              <w:pStyle w:val="Tablea"/>
            </w:pPr>
            <w:r w:rsidRPr="00AA7A1C">
              <w:t>(a) the day after this Act receives the Royal Assent; and</w:t>
            </w:r>
          </w:p>
          <w:p w14:paraId="054300CC" w14:textId="77777777" w:rsidR="003618E8" w:rsidRPr="003618E8" w:rsidRDefault="003618E8" w:rsidP="00EF468E">
            <w:pPr>
              <w:pStyle w:val="Tablea"/>
            </w:pPr>
            <w:r w:rsidRPr="003618E8">
              <w:t xml:space="preserve">(b) immediately after the commencement of </w:t>
            </w:r>
            <w:r w:rsidR="000571FE">
              <w:t>item 3</w:t>
            </w:r>
            <w:r w:rsidRPr="003618E8">
              <w:t xml:space="preserve">81 of Schedule 1 to the </w:t>
            </w:r>
            <w:r w:rsidRPr="003618E8">
              <w:rPr>
                <w:i/>
              </w:rPr>
              <w:t>Treasury Laws Amendment (Registries Modernisation and Other Measures) Act 2020</w:t>
            </w:r>
            <w:r w:rsidRPr="003618E8">
              <w:t>.</w:t>
            </w:r>
          </w:p>
        </w:tc>
        <w:tc>
          <w:tcPr>
            <w:tcW w:w="1582" w:type="dxa"/>
            <w:tcBorders>
              <w:bottom w:val="single" w:sz="4" w:space="0" w:color="auto"/>
            </w:tcBorders>
            <w:shd w:val="clear" w:color="auto" w:fill="auto"/>
          </w:tcPr>
          <w:p w14:paraId="054300CD" w14:textId="77777777" w:rsidR="003618E8" w:rsidRPr="00AA7A1C" w:rsidRDefault="003618E8" w:rsidP="00EF468E">
            <w:pPr>
              <w:pStyle w:val="Tabletext"/>
            </w:pPr>
          </w:p>
        </w:tc>
      </w:tr>
      <w:tr w:rsidR="0060687E" w:rsidRPr="00AA7A1C" w14:paraId="054300D4" w14:textId="77777777" w:rsidTr="002F08B3">
        <w:tc>
          <w:tcPr>
            <w:tcW w:w="1701" w:type="dxa"/>
            <w:tcBorders>
              <w:bottom w:val="single" w:sz="4" w:space="0" w:color="auto"/>
            </w:tcBorders>
            <w:shd w:val="clear" w:color="auto" w:fill="auto"/>
          </w:tcPr>
          <w:p w14:paraId="054300CF" w14:textId="77777777" w:rsidR="0060687E" w:rsidRPr="00AA7A1C" w:rsidRDefault="00350B34" w:rsidP="00EF468E">
            <w:pPr>
              <w:pStyle w:val="Tabletext"/>
            </w:pPr>
            <w:r>
              <w:t>4</w:t>
            </w:r>
            <w:r w:rsidR="0060687E" w:rsidRPr="00AA7A1C">
              <w:t xml:space="preserve">.  </w:t>
            </w:r>
            <w:r w:rsidR="000B73B0" w:rsidRPr="00AA7A1C">
              <w:t>Schedule #</w:t>
            </w:r>
            <w:r w:rsidR="0060687E" w:rsidRPr="00AA7A1C">
              <w:t xml:space="preserve">, </w:t>
            </w:r>
            <w:r w:rsidR="00AA7A1C" w:rsidRPr="00AA7A1C">
              <w:t>items 1</w:t>
            </w:r>
            <w:r>
              <w:t>11</w:t>
            </w:r>
            <w:r w:rsidR="0060687E" w:rsidRPr="00AA7A1C">
              <w:t xml:space="preserve"> to 11</w:t>
            </w:r>
            <w:r>
              <w:t>6</w:t>
            </w:r>
          </w:p>
        </w:tc>
        <w:tc>
          <w:tcPr>
            <w:tcW w:w="3828" w:type="dxa"/>
            <w:tcBorders>
              <w:bottom w:val="single" w:sz="4" w:space="0" w:color="auto"/>
            </w:tcBorders>
            <w:shd w:val="clear" w:color="auto" w:fill="auto"/>
          </w:tcPr>
          <w:p w14:paraId="054300D0" w14:textId="77777777" w:rsidR="0060687E" w:rsidRPr="00AA7A1C" w:rsidRDefault="0060687E" w:rsidP="00EF468E">
            <w:pPr>
              <w:pStyle w:val="Tabletext"/>
            </w:pPr>
            <w:r w:rsidRPr="00AA7A1C">
              <w:t>The later of:</w:t>
            </w:r>
          </w:p>
          <w:p w14:paraId="054300D1" w14:textId="77777777" w:rsidR="0060687E" w:rsidRPr="00AA7A1C" w:rsidRDefault="0060687E" w:rsidP="00EF468E">
            <w:pPr>
              <w:pStyle w:val="Tablea"/>
            </w:pPr>
            <w:r w:rsidRPr="00AA7A1C">
              <w:t>(a) the day after this Act receives the Royal Assent; and</w:t>
            </w:r>
          </w:p>
          <w:p w14:paraId="054300D2" w14:textId="77777777" w:rsidR="0060687E" w:rsidRPr="00AA7A1C" w:rsidRDefault="0060687E" w:rsidP="00EF468E">
            <w:pPr>
              <w:pStyle w:val="Tablea"/>
            </w:pPr>
            <w:r w:rsidRPr="00AA7A1C">
              <w:t xml:space="preserve">(b) </w:t>
            </w:r>
            <w:r w:rsidR="00CD3227">
              <w:t>the day</w:t>
            </w:r>
            <w:r w:rsidRPr="00AA7A1C">
              <w:t xml:space="preserve"> </w:t>
            </w:r>
            <w:r w:rsidR="00AA7A1C" w:rsidRPr="00AA7A1C">
              <w:rPr>
                <w:shd w:val="clear" w:color="auto" w:fill="FFFFFF"/>
              </w:rPr>
              <w:t>items 1</w:t>
            </w:r>
            <w:r w:rsidRPr="00AA7A1C">
              <w:rPr>
                <w:shd w:val="clear" w:color="auto" w:fill="FFFFFF"/>
              </w:rPr>
              <w:t xml:space="preserve"> to 1258</w:t>
            </w:r>
            <w:r w:rsidRPr="00AA7A1C">
              <w:t xml:space="preserve"> of </w:t>
            </w:r>
            <w:r w:rsidR="00AA7A1C" w:rsidRPr="00AA7A1C">
              <w:t>Schedule 1</w:t>
            </w:r>
            <w:r w:rsidRPr="00AA7A1C">
              <w:t xml:space="preserve"> to the </w:t>
            </w:r>
            <w:r w:rsidRPr="00AA7A1C">
              <w:rPr>
                <w:i/>
                <w:shd w:val="clear" w:color="auto" w:fill="FFFFFF"/>
              </w:rPr>
              <w:t>Treasury Laws Amendment (Registries Modernisation and Other Measures) Act 2020</w:t>
            </w:r>
            <w:r w:rsidRPr="00AA7A1C">
              <w:t xml:space="preserve"> commence.</w:t>
            </w:r>
          </w:p>
        </w:tc>
        <w:tc>
          <w:tcPr>
            <w:tcW w:w="1582" w:type="dxa"/>
            <w:tcBorders>
              <w:bottom w:val="single" w:sz="4" w:space="0" w:color="auto"/>
            </w:tcBorders>
            <w:shd w:val="clear" w:color="auto" w:fill="auto"/>
          </w:tcPr>
          <w:p w14:paraId="054300D3" w14:textId="77777777" w:rsidR="0060687E" w:rsidRPr="00AA7A1C" w:rsidRDefault="0060687E" w:rsidP="00EF468E">
            <w:pPr>
              <w:pStyle w:val="Tabletext"/>
            </w:pPr>
          </w:p>
        </w:tc>
      </w:tr>
      <w:tr w:rsidR="00664C63" w:rsidRPr="00AA7A1C" w14:paraId="054300DA" w14:textId="77777777" w:rsidTr="00F07777">
        <w:tc>
          <w:tcPr>
            <w:tcW w:w="1701" w:type="dxa"/>
            <w:shd w:val="clear" w:color="auto" w:fill="auto"/>
          </w:tcPr>
          <w:p w14:paraId="054300D5" w14:textId="77777777" w:rsidR="00664C63" w:rsidRPr="00AA7A1C" w:rsidRDefault="00350B34" w:rsidP="00EF468E">
            <w:pPr>
              <w:pStyle w:val="Tabletext"/>
            </w:pPr>
            <w:r>
              <w:t>5</w:t>
            </w:r>
            <w:r w:rsidR="00664C63" w:rsidRPr="00AA7A1C">
              <w:t xml:space="preserve">.  </w:t>
            </w:r>
            <w:r w:rsidR="000B73B0" w:rsidRPr="00AA7A1C">
              <w:t>Schedule #</w:t>
            </w:r>
            <w:r w:rsidR="00F07777" w:rsidRPr="00AA7A1C">
              <w:t xml:space="preserve">, </w:t>
            </w:r>
            <w:r w:rsidR="00AA7A1C" w:rsidRPr="00AA7A1C">
              <w:t>item 1</w:t>
            </w:r>
            <w:r w:rsidR="00E23831">
              <w:t>17</w:t>
            </w:r>
          </w:p>
        </w:tc>
        <w:tc>
          <w:tcPr>
            <w:tcW w:w="3828" w:type="dxa"/>
            <w:shd w:val="clear" w:color="auto" w:fill="auto"/>
          </w:tcPr>
          <w:p w14:paraId="054300D6" w14:textId="77777777" w:rsidR="003C2EBD" w:rsidRPr="00AA7A1C" w:rsidRDefault="003C2EBD" w:rsidP="00EF468E">
            <w:pPr>
              <w:pStyle w:val="Tabletext"/>
            </w:pPr>
            <w:r w:rsidRPr="00AA7A1C">
              <w:t>The later of:</w:t>
            </w:r>
          </w:p>
          <w:p w14:paraId="054300D7" w14:textId="77777777" w:rsidR="003C2EBD" w:rsidRPr="00AA7A1C" w:rsidRDefault="003C2EBD" w:rsidP="00EF468E">
            <w:pPr>
              <w:pStyle w:val="Tablea"/>
            </w:pPr>
            <w:r w:rsidRPr="00AA7A1C">
              <w:t>(a) the day after this Act receives the Royal Assent; and</w:t>
            </w:r>
          </w:p>
          <w:p w14:paraId="054300D8" w14:textId="77777777" w:rsidR="00664C63" w:rsidRPr="00AA7A1C" w:rsidRDefault="003C2EBD" w:rsidP="00EF468E">
            <w:pPr>
              <w:pStyle w:val="Tablea"/>
            </w:pPr>
            <w:r w:rsidRPr="00AA7A1C">
              <w:t xml:space="preserve">(b) immediately after the commencement of </w:t>
            </w:r>
            <w:r w:rsidR="00AA7A1C" w:rsidRPr="00AA7A1C">
              <w:t>Schedule 1</w:t>
            </w:r>
            <w:r w:rsidRPr="00AA7A1C">
              <w:t xml:space="preserve"> to the </w:t>
            </w:r>
            <w:r w:rsidRPr="00AA7A1C">
              <w:rPr>
                <w:i/>
                <w:shd w:val="clear" w:color="auto" w:fill="FFFFFF"/>
              </w:rPr>
              <w:t xml:space="preserve">Treasury Laws Amendment (Design and Distribution </w:t>
            </w:r>
            <w:r w:rsidRPr="00AA7A1C">
              <w:rPr>
                <w:i/>
                <w:shd w:val="clear" w:color="auto" w:fill="FFFFFF"/>
              </w:rPr>
              <w:lastRenderedPageBreak/>
              <w:t>Obligations and Product Intervention Powers) Act 2019</w:t>
            </w:r>
            <w:r w:rsidRPr="00AA7A1C">
              <w:rPr>
                <w:shd w:val="clear" w:color="auto" w:fill="FFFFFF"/>
              </w:rPr>
              <w:t>.</w:t>
            </w:r>
          </w:p>
        </w:tc>
        <w:tc>
          <w:tcPr>
            <w:tcW w:w="1582" w:type="dxa"/>
            <w:shd w:val="clear" w:color="auto" w:fill="auto"/>
          </w:tcPr>
          <w:p w14:paraId="054300D9" w14:textId="77777777" w:rsidR="00664C63" w:rsidRPr="00AA7A1C" w:rsidRDefault="00664C63" w:rsidP="00EF468E">
            <w:pPr>
              <w:pStyle w:val="Tabletext"/>
            </w:pPr>
          </w:p>
        </w:tc>
      </w:tr>
      <w:tr w:rsidR="00F07777" w:rsidRPr="00AA7A1C" w14:paraId="054300E1" w14:textId="77777777" w:rsidTr="00765416">
        <w:tc>
          <w:tcPr>
            <w:tcW w:w="1701" w:type="dxa"/>
            <w:shd w:val="clear" w:color="auto" w:fill="auto"/>
          </w:tcPr>
          <w:p w14:paraId="054300DB" w14:textId="77777777" w:rsidR="00F07777" w:rsidRPr="00AA7A1C" w:rsidRDefault="00350B34" w:rsidP="00EF468E">
            <w:pPr>
              <w:pStyle w:val="Tabletext"/>
            </w:pPr>
            <w:r>
              <w:t>6</w:t>
            </w:r>
            <w:r w:rsidR="00F07777" w:rsidRPr="00AA7A1C">
              <w:t xml:space="preserve">.  </w:t>
            </w:r>
            <w:r w:rsidR="000B73B0" w:rsidRPr="00AA7A1C">
              <w:t>Schedule #</w:t>
            </w:r>
            <w:r w:rsidR="00F07777" w:rsidRPr="00AA7A1C">
              <w:t xml:space="preserve">, </w:t>
            </w:r>
            <w:r w:rsidR="00AA7A1C" w:rsidRPr="00AA7A1C">
              <w:t>item 1</w:t>
            </w:r>
            <w:r w:rsidR="00E23831">
              <w:t>18</w:t>
            </w:r>
          </w:p>
        </w:tc>
        <w:tc>
          <w:tcPr>
            <w:tcW w:w="3828" w:type="dxa"/>
            <w:shd w:val="clear" w:color="auto" w:fill="auto"/>
          </w:tcPr>
          <w:p w14:paraId="054300DC" w14:textId="77777777" w:rsidR="00F07777" w:rsidRPr="00AA7A1C" w:rsidRDefault="00F07777" w:rsidP="00EF468E">
            <w:pPr>
              <w:pStyle w:val="Tabletext"/>
            </w:pPr>
            <w:r w:rsidRPr="00AA7A1C">
              <w:t>The later of:</w:t>
            </w:r>
          </w:p>
          <w:p w14:paraId="054300DD" w14:textId="77777777" w:rsidR="00F07777" w:rsidRPr="00AA7A1C" w:rsidRDefault="00F07777" w:rsidP="00EF468E">
            <w:pPr>
              <w:pStyle w:val="Tablea"/>
            </w:pPr>
            <w:r w:rsidRPr="00AA7A1C">
              <w:t>(a) the day after this Act receives the Royal Assent; and</w:t>
            </w:r>
          </w:p>
          <w:p w14:paraId="054300DE" w14:textId="77777777" w:rsidR="00F07777" w:rsidRPr="00AA7A1C" w:rsidRDefault="00F07777" w:rsidP="00EF468E">
            <w:pPr>
              <w:pStyle w:val="Tablea"/>
            </w:pPr>
            <w:r w:rsidRPr="00AA7A1C">
              <w:t xml:space="preserve">(b) </w:t>
            </w:r>
            <w:r w:rsidR="00765416" w:rsidRPr="00AA7A1C">
              <w:t xml:space="preserve">immediately after the commencement of the </w:t>
            </w:r>
            <w:r w:rsidR="00765416" w:rsidRPr="00AA7A1C">
              <w:rPr>
                <w:i/>
              </w:rPr>
              <w:t>Family Law Amendment (Western Australia De Facto Superannuation Splitting and Bankruptcy) Act 2020</w:t>
            </w:r>
            <w:r w:rsidRPr="00AA7A1C">
              <w:t>.</w:t>
            </w:r>
          </w:p>
          <w:p w14:paraId="054300DF" w14:textId="77777777" w:rsidR="00F07777" w:rsidRPr="00AA7A1C" w:rsidRDefault="00F07777" w:rsidP="00EF468E">
            <w:pPr>
              <w:pStyle w:val="Tabletext"/>
            </w:pPr>
            <w:r w:rsidRPr="00AA7A1C">
              <w:t xml:space="preserve">However, the provisions do not commence at all if the event mentioned in </w:t>
            </w:r>
            <w:r w:rsidR="00AA7A1C" w:rsidRPr="00AA7A1C">
              <w:t>paragraph (</w:t>
            </w:r>
            <w:r w:rsidRPr="00AA7A1C">
              <w:t>b) does not occur.</w:t>
            </w:r>
          </w:p>
        </w:tc>
        <w:tc>
          <w:tcPr>
            <w:tcW w:w="1582" w:type="dxa"/>
            <w:shd w:val="clear" w:color="auto" w:fill="auto"/>
          </w:tcPr>
          <w:p w14:paraId="054300E0" w14:textId="77777777" w:rsidR="00F07777" w:rsidRPr="00AA7A1C" w:rsidRDefault="00F07777" w:rsidP="00EF468E">
            <w:pPr>
              <w:pStyle w:val="Tabletext"/>
            </w:pPr>
          </w:p>
        </w:tc>
      </w:tr>
      <w:tr w:rsidR="00765416" w:rsidRPr="00AA7A1C" w14:paraId="054300E7" w14:textId="77777777" w:rsidTr="0060687E">
        <w:tc>
          <w:tcPr>
            <w:tcW w:w="1701" w:type="dxa"/>
            <w:shd w:val="clear" w:color="auto" w:fill="auto"/>
          </w:tcPr>
          <w:p w14:paraId="054300E2" w14:textId="77777777" w:rsidR="00765416" w:rsidRPr="00AA7A1C" w:rsidRDefault="00350B34" w:rsidP="00EF468E">
            <w:pPr>
              <w:pStyle w:val="Tabletext"/>
            </w:pPr>
            <w:r>
              <w:t>7</w:t>
            </w:r>
            <w:r w:rsidR="00765416" w:rsidRPr="00AA7A1C">
              <w:t xml:space="preserve">.  </w:t>
            </w:r>
            <w:r w:rsidR="000B73B0" w:rsidRPr="00AA7A1C">
              <w:t>Schedule #</w:t>
            </w:r>
            <w:r w:rsidR="00765416" w:rsidRPr="00AA7A1C">
              <w:t xml:space="preserve">, </w:t>
            </w:r>
            <w:r w:rsidR="00AA7A1C" w:rsidRPr="00AA7A1C">
              <w:t>item 1</w:t>
            </w:r>
            <w:r w:rsidR="00E23831">
              <w:t>19</w:t>
            </w:r>
          </w:p>
        </w:tc>
        <w:tc>
          <w:tcPr>
            <w:tcW w:w="3828" w:type="dxa"/>
            <w:shd w:val="clear" w:color="auto" w:fill="auto"/>
          </w:tcPr>
          <w:p w14:paraId="054300E3" w14:textId="77777777" w:rsidR="007B3FF0" w:rsidRPr="00AA7A1C" w:rsidRDefault="007B3FF0" w:rsidP="00EF468E">
            <w:pPr>
              <w:pStyle w:val="Tabletext"/>
            </w:pPr>
            <w:r w:rsidRPr="00AA7A1C">
              <w:t>The later of:</w:t>
            </w:r>
          </w:p>
          <w:p w14:paraId="054300E4" w14:textId="77777777" w:rsidR="007B3FF0" w:rsidRPr="00AA7A1C" w:rsidRDefault="007B3FF0" w:rsidP="00EF468E">
            <w:pPr>
              <w:pStyle w:val="Tablea"/>
            </w:pPr>
            <w:r w:rsidRPr="00AA7A1C">
              <w:t>(a) the day after this Act receives the Royal Assent; and</w:t>
            </w:r>
          </w:p>
          <w:p w14:paraId="054300E5" w14:textId="77777777" w:rsidR="00765416" w:rsidRPr="00AA7A1C" w:rsidRDefault="007B3FF0" w:rsidP="00EF468E">
            <w:pPr>
              <w:pStyle w:val="Tablea"/>
            </w:pPr>
            <w:r w:rsidRPr="00AA7A1C">
              <w:t xml:space="preserve">(b) immediately after the commencement of </w:t>
            </w:r>
            <w:r w:rsidR="00AA7A1C" w:rsidRPr="00AA7A1C">
              <w:t>Schedule 2</w:t>
            </w:r>
            <w:r w:rsidRPr="00AA7A1C">
              <w:t xml:space="preserve"> to the </w:t>
            </w:r>
            <w:r w:rsidRPr="00AA7A1C">
              <w:rPr>
                <w:i/>
                <w:shd w:val="clear" w:color="auto" w:fill="FFFFFF"/>
              </w:rPr>
              <w:t>Treasury Laws Amendment (Registries Modernisation and Other Measures) Act 2020</w:t>
            </w:r>
            <w:r w:rsidRPr="00AA7A1C">
              <w:t>.</w:t>
            </w:r>
          </w:p>
        </w:tc>
        <w:tc>
          <w:tcPr>
            <w:tcW w:w="1582" w:type="dxa"/>
            <w:shd w:val="clear" w:color="auto" w:fill="auto"/>
          </w:tcPr>
          <w:p w14:paraId="054300E6" w14:textId="77777777" w:rsidR="00765416" w:rsidRPr="00AA7A1C" w:rsidRDefault="00765416" w:rsidP="00EF468E">
            <w:pPr>
              <w:pStyle w:val="Tabletext"/>
            </w:pPr>
          </w:p>
        </w:tc>
      </w:tr>
      <w:tr w:rsidR="0060687E" w:rsidRPr="00AA7A1C" w14:paraId="054300ED" w14:textId="77777777" w:rsidTr="000B73B0">
        <w:tc>
          <w:tcPr>
            <w:tcW w:w="1701" w:type="dxa"/>
            <w:shd w:val="clear" w:color="auto" w:fill="auto"/>
          </w:tcPr>
          <w:p w14:paraId="054300E8" w14:textId="77777777" w:rsidR="0060687E" w:rsidRPr="00AA7A1C" w:rsidRDefault="00350B34" w:rsidP="00EF468E">
            <w:pPr>
              <w:pStyle w:val="Tabletext"/>
            </w:pPr>
            <w:r>
              <w:t>8</w:t>
            </w:r>
            <w:r w:rsidR="000B73B0" w:rsidRPr="00AA7A1C">
              <w:t>.  Schedule #</w:t>
            </w:r>
            <w:r w:rsidR="0060687E" w:rsidRPr="00AA7A1C">
              <w:t xml:space="preserve">, </w:t>
            </w:r>
            <w:r w:rsidR="00AA7A1C" w:rsidRPr="00AA7A1C">
              <w:t>items 1</w:t>
            </w:r>
            <w:r w:rsidR="00E23831">
              <w:t>20 to 13</w:t>
            </w:r>
            <w:r w:rsidR="000571FE">
              <w:t>5</w:t>
            </w:r>
          </w:p>
        </w:tc>
        <w:tc>
          <w:tcPr>
            <w:tcW w:w="3828" w:type="dxa"/>
            <w:shd w:val="clear" w:color="auto" w:fill="auto"/>
          </w:tcPr>
          <w:p w14:paraId="054300E9" w14:textId="77777777" w:rsidR="00CD3227" w:rsidRPr="00AA7A1C" w:rsidRDefault="00CD3227" w:rsidP="00EF468E">
            <w:pPr>
              <w:pStyle w:val="Tabletext"/>
            </w:pPr>
            <w:r w:rsidRPr="00AA7A1C">
              <w:t>The later of:</w:t>
            </w:r>
          </w:p>
          <w:p w14:paraId="054300EA" w14:textId="77777777" w:rsidR="00CD3227" w:rsidRPr="00AA7A1C" w:rsidRDefault="00CD3227" w:rsidP="00EF468E">
            <w:pPr>
              <w:pStyle w:val="Tablea"/>
            </w:pPr>
            <w:r w:rsidRPr="00AA7A1C">
              <w:t>(a) the day after this Act receives the Royal Assent; and</w:t>
            </w:r>
          </w:p>
          <w:p w14:paraId="054300EB" w14:textId="77777777" w:rsidR="0060687E" w:rsidRPr="00CD3227" w:rsidRDefault="00CD3227" w:rsidP="00EF468E">
            <w:pPr>
              <w:pStyle w:val="Tablea"/>
            </w:pPr>
            <w:r w:rsidRPr="00CD3227">
              <w:t xml:space="preserve">(b) the day items 1 to 1258 of Schedule 1 to the </w:t>
            </w:r>
            <w:r w:rsidRPr="00CD3227">
              <w:rPr>
                <w:i/>
              </w:rPr>
              <w:t>Treasury Laws Amendment (Registries Modernisation and Other Measures) Act 2020</w:t>
            </w:r>
            <w:r w:rsidRPr="00CD3227">
              <w:t xml:space="preserve"> commence.</w:t>
            </w:r>
          </w:p>
        </w:tc>
        <w:tc>
          <w:tcPr>
            <w:tcW w:w="1582" w:type="dxa"/>
            <w:shd w:val="clear" w:color="auto" w:fill="auto"/>
          </w:tcPr>
          <w:p w14:paraId="054300EC" w14:textId="77777777" w:rsidR="0060687E" w:rsidRPr="00AA7A1C" w:rsidRDefault="0060687E" w:rsidP="00EF468E">
            <w:pPr>
              <w:pStyle w:val="Tabletext"/>
            </w:pPr>
          </w:p>
        </w:tc>
      </w:tr>
      <w:tr w:rsidR="000B73B0" w:rsidRPr="00AA7A1C" w14:paraId="054300F1" w14:textId="77777777" w:rsidTr="002F08B3">
        <w:tc>
          <w:tcPr>
            <w:tcW w:w="1701" w:type="dxa"/>
            <w:tcBorders>
              <w:bottom w:val="single" w:sz="12" w:space="0" w:color="auto"/>
            </w:tcBorders>
            <w:shd w:val="clear" w:color="auto" w:fill="auto"/>
          </w:tcPr>
          <w:p w14:paraId="054300EE" w14:textId="77777777" w:rsidR="000B73B0" w:rsidRPr="00AA7A1C" w:rsidRDefault="00350B34" w:rsidP="00EF468E">
            <w:pPr>
              <w:pStyle w:val="Tabletext"/>
            </w:pPr>
            <w:r>
              <w:t>9</w:t>
            </w:r>
            <w:r w:rsidR="000B73B0" w:rsidRPr="00AA7A1C">
              <w:t xml:space="preserve">.  Schedule #, </w:t>
            </w:r>
            <w:r w:rsidR="00AA7A1C" w:rsidRPr="00AA7A1C">
              <w:t>Part 4</w:t>
            </w:r>
          </w:p>
        </w:tc>
        <w:tc>
          <w:tcPr>
            <w:tcW w:w="3828" w:type="dxa"/>
            <w:tcBorders>
              <w:bottom w:val="single" w:sz="12" w:space="0" w:color="auto"/>
            </w:tcBorders>
            <w:shd w:val="clear" w:color="auto" w:fill="auto"/>
          </w:tcPr>
          <w:p w14:paraId="054300EF" w14:textId="77777777" w:rsidR="000B73B0" w:rsidRPr="00AA7A1C" w:rsidRDefault="00CD3227" w:rsidP="00EF468E">
            <w:pPr>
              <w:pStyle w:val="Tabletext"/>
            </w:pPr>
            <w:r w:rsidRPr="00AA7A1C">
              <w:t>The day after this Act receives the Royal Assent.</w:t>
            </w:r>
          </w:p>
        </w:tc>
        <w:tc>
          <w:tcPr>
            <w:tcW w:w="1582" w:type="dxa"/>
            <w:tcBorders>
              <w:bottom w:val="single" w:sz="12" w:space="0" w:color="auto"/>
            </w:tcBorders>
            <w:shd w:val="clear" w:color="auto" w:fill="auto"/>
          </w:tcPr>
          <w:p w14:paraId="054300F0" w14:textId="77777777" w:rsidR="000B73B0" w:rsidRPr="00AA7A1C" w:rsidRDefault="000B73B0" w:rsidP="00EF468E">
            <w:pPr>
              <w:pStyle w:val="Tabletext"/>
            </w:pPr>
          </w:p>
        </w:tc>
      </w:tr>
    </w:tbl>
    <w:p w14:paraId="054300F2" w14:textId="77777777" w:rsidR="0033411C" w:rsidRPr="00AA7A1C" w:rsidRDefault="000B73B0" w:rsidP="00EF468E">
      <w:pPr>
        <w:pStyle w:val="ActHead6"/>
        <w:pageBreakBefore/>
      </w:pPr>
      <w:bookmarkStart w:id="1" w:name="_Toc53568989"/>
      <w:bookmarkStart w:id="2" w:name="opcAmSched"/>
      <w:bookmarkStart w:id="3" w:name="opcCurrentFind"/>
      <w:r w:rsidRPr="0086646A">
        <w:rPr>
          <w:rStyle w:val="CharAmSchNo"/>
        </w:rPr>
        <w:lastRenderedPageBreak/>
        <w:t>Schedule #</w:t>
      </w:r>
      <w:r w:rsidR="00B44B40" w:rsidRPr="00AA7A1C">
        <w:t>—</w:t>
      </w:r>
      <w:r w:rsidR="001A4129" w:rsidRPr="0086646A">
        <w:rPr>
          <w:rStyle w:val="CharAmSchText"/>
        </w:rPr>
        <w:t>Minor and technical a</w:t>
      </w:r>
      <w:r w:rsidR="00B44B40" w:rsidRPr="0086646A">
        <w:rPr>
          <w:rStyle w:val="CharAmSchText"/>
        </w:rPr>
        <w:t>mendments</w:t>
      </w:r>
      <w:bookmarkEnd w:id="1"/>
    </w:p>
    <w:p w14:paraId="054300F3" w14:textId="77777777" w:rsidR="006B296B" w:rsidRPr="00AA7A1C" w:rsidRDefault="00AA7A1C" w:rsidP="00EF468E">
      <w:pPr>
        <w:pStyle w:val="ActHead7"/>
      </w:pPr>
      <w:bookmarkStart w:id="4" w:name="_Toc53568990"/>
      <w:bookmarkEnd w:id="2"/>
      <w:bookmarkEnd w:id="3"/>
      <w:r w:rsidRPr="0086646A">
        <w:rPr>
          <w:rStyle w:val="CharAmPartNo"/>
        </w:rPr>
        <w:t>Part 1</w:t>
      </w:r>
      <w:r w:rsidR="006B296B" w:rsidRPr="00AA7A1C">
        <w:t>—</w:t>
      </w:r>
      <w:r w:rsidR="006B296B" w:rsidRPr="0086646A">
        <w:rPr>
          <w:rStyle w:val="CharAmPartText"/>
        </w:rPr>
        <w:t>Amendments commencing day after Royal Assent</w:t>
      </w:r>
      <w:bookmarkEnd w:id="4"/>
    </w:p>
    <w:p w14:paraId="054300F4" w14:textId="77777777" w:rsidR="00626ED3" w:rsidRPr="00AA7A1C" w:rsidRDefault="00AA7A1C" w:rsidP="00EF468E">
      <w:pPr>
        <w:pStyle w:val="ActHead8"/>
      </w:pPr>
      <w:bookmarkStart w:id="5" w:name="_Toc53568991"/>
      <w:r w:rsidRPr="00AA7A1C">
        <w:t>Division 1</w:t>
      </w:r>
      <w:r w:rsidR="00626ED3" w:rsidRPr="00AA7A1C">
        <w:t>—Amendments</w:t>
      </w:r>
      <w:bookmarkEnd w:id="5"/>
    </w:p>
    <w:p w14:paraId="054300F5" w14:textId="77777777" w:rsidR="002B703C" w:rsidRPr="00AA7A1C" w:rsidRDefault="002B703C" w:rsidP="00EF468E">
      <w:pPr>
        <w:pStyle w:val="ActHead9"/>
        <w:rPr>
          <w:i w:val="0"/>
        </w:rPr>
      </w:pPr>
      <w:bookmarkStart w:id="6" w:name="_Toc53568992"/>
      <w:r w:rsidRPr="00AA7A1C">
        <w:t>Australian Charities and Not</w:t>
      </w:r>
      <w:r w:rsidR="00EF468E">
        <w:noBreakHyphen/>
      </w:r>
      <w:r w:rsidRPr="00AA7A1C">
        <w:t>for</w:t>
      </w:r>
      <w:r w:rsidR="00EF468E">
        <w:noBreakHyphen/>
      </w:r>
      <w:r w:rsidRPr="00AA7A1C">
        <w:t>profits Commission Act 2012</w:t>
      </w:r>
      <w:bookmarkEnd w:id="6"/>
    </w:p>
    <w:p w14:paraId="054300F6" w14:textId="77777777" w:rsidR="002B703C" w:rsidRPr="00AA7A1C" w:rsidRDefault="00777190" w:rsidP="00EF468E">
      <w:pPr>
        <w:pStyle w:val="ItemHead"/>
      </w:pPr>
      <w:r>
        <w:t>1</w:t>
      </w:r>
      <w:r w:rsidR="002B703C" w:rsidRPr="00AA7A1C">
        <w:t xml:space="preserve">  At the end of </w:t>
      </w:r>
      <w:r w:rsidR="00AA7A1C" w:rsidRPr="00AA7A1C">
        <w:t>section 6</w:t>
      </w:r>
      <w:r w:rsidR="002B703C" w:rsidRPr="00AA7A1C">
        <w:t>0</w:t>
      </w:r>
      <w:r w:rsidR="00EF468E">
        <w:noBreakHyphen/>
      </w:r>
      <w:r w:rsidR="002B703C" w:rsidRPr="00AA7A1C">
        <w:t>65</w:t>
      </w:r>
    </w:p>
    <w:p w14:paraId="054300F7" w14:textId="77777777" w:rsidR="002B703C" w:rsidRPr="00AA7A1C" w:rsidRDefault="002B703C" w:rsidP="00EF468E">
      <w:pPr>
        <w:pStyle w:val="Item"/>
      </w:pPr>
      <w:r w:rsidRPr="00AA7A1C">
        <w:t>Add:</w:t>
      </w:r>
    </w:p>
    <w:p w14:paraId="054300F8" w14:textId="77777777" w:rsidR="002B703C" w:rsidRPr="00AA7A1C" w:rsidRDefault="002B703C" w:rsidP="00EF468E">
      <w:pPr>
        <w:pStyle w:val="notetext"/>
      </w:pPr>
      <w:r w:rsidRPr="00AA7A1C">
        <w:t>Note:</w:t>
      </w:r>
      <w:r w:rsidRPr="00AA7A1C">
        <w:tab/>
      </w:r>
      <w:r w:rsidR="000571FE">
        <w:t>Section 1</w:t>
      </w:r>
      <w:r w:rsidRPr="00AA7A1C">
        <w:t>75</w:t>
      </w:r>
      <w:r w:rsidR="00EF468E">
        <w:noBreakHyphen/>
      </w:r>
      <w:r w:rsidRPr="00AA7A1C">
        <w:t>35 provides for an administrative penalty for failing to give the Commissioner a statement required by this Act within the required time.</w:t>
      </w:r>
    </w:p>
    <w:p w14:paraId="054300F9" w14:textId="77777777" w:rsidR="006B296B" w:rsidRPr="00AA7A1C" w:rsidRDefault="006B296B" w:rsidP="00EF468E">
      <w:pPr>
        <w:pStyle w:val="ActHead9"/>
        <w:rPr>
          <w:i w:val="0"/>
        </w:rPr>
      </w:pPr>
      <w:bookmarkStart w:id="7" w:name="_Toc53568993"/>
      <w:r w:rsidRPr="00AA7A1C">
        <w:t>Australian Securities and Investments Commission Act 2001</w:t>
      </w:r>
      <w:bookmarkEnd w:id="7"/>
    </w:p>
    <w:p w14:paraId="054300FA" w14:textId="77777777" w:rsidR="006B296B" w:rsidRPr="00AA7A1C" w:rsidRDefault="00777190" w:rsidP="00EF468E">
      <w:pPr>
        <w:pStyle w:val="ItemHead"/>
      </w:pPr>
      <w:r>
        <w:t>2</w:t>
      </w:r>
      <w:r w:rsidR="006B296B" w:rsidRPr="00AA7A1C">
        <w:t xml:space="preserve">  </w:t>
      </w:r>
      <w:r w:rsidR="00AA7A1C" w:rsidRPr="00AA7A1C">
        <w:t>Subsection 1</w:t>
      </w:r>
      <w:r w:rsidR="006B296B" w:rsidRPr="00AA7A1C">
        <w:t>2(1)</w:t>
      </w:r>
    </w:p>
    <w:p w14:paraId="054300FB" w14:textId="77777777" w:rsidR="006B296B" w:rsidRPr="00AA7A1C" w:rsidRDefault="006B296B" w:rsidP="00EF468E">
      <w:pPr>
        <w:pStyle w:val="Item"/>
      </w:pPr>
      <w:r w:rsidRPr="00AA7A1C">
        <w:t>Omit “may give ASIC a written direction”, substitute “may, by legislative instrument, give ASIC a direction”.</w:t>
      </w:r>
    </w:p>
    <w:p w14:paraId="054300FC" w14:textId="77777777" w:rsidR="006B296B" w:rsidRPr="00AA7A1C" w:rsidRDefault="00777190" w:rsidP="00EF468E">
      <w:pPr>
        <w:pStyle w:val="ItemHead"/>
      </w:pPr>
      <w:r>
        <w:t>3</w:t>
      </w:r>
      <w:r w:rsidR="006B296B" w:rsidRPr="00AA7A1C">
        <w:t xml:space="preserve">  </w:t>
      </w:r>
      <w:r w:rsidR="00AA7A1C" w:rsidRPr="00AA7A1C">
        <w:t>Subsection 1</w:t>
      </w:r>
      <w:r w:rsidR="006B296B" w:rsidRPr="00AA7A1C">
        <w:t>2(5)</w:t>
      </w:r>
    </w:p>
    <w:p w14:paraId="054300FD" w14:textId="77777777" w:rsidR="006B296B" w:rsidRPr="00AA7A1C" w:rsidRDefault="006B296B" w:rsidP="00EF468E">
      <w:pPr>
        <w:pStyle w:val="Item"/>
      </w:pPr>
      <w:r w:rsidRPr="00AA7A1C">
        <w:t>Repeal the subsection.</w:t>
      </w:r>
    </w:p>
    <w:p w14:paraId="054300FE" w14:textId="77777777" w:rsidR="006B296B" w:rsidRPr="00AA7A1C" w:rsidRDefault="00777190" w:rsidP="00EF468E">
      <w:pPr>
        <w:pStyle w:val="ItemHead"/>
      </w:pPr>
      <w:r>
        <w:t>4</w:t>
      </w:r>
      <w:r w:rsidR="006B296B" w:rsidRPr="00AA7A1C">
        <w:t xml:space="preserve">  In the appropriate position</w:t>
      </w:r>
    </w:p>
    <w:p w14:paraId="054300FF" w14:textId="77777777" w:rsidR="006B296B" w:rsidRPr="00AA7A1C" w:rsidRDefault="006B296B" w:rsidP="00EF468E">
      <w:pPr>
        <w:pStyle w:val="Item"/>
      </w:pPr>
      <w:r w:rsidRPr="00AA7A1C">
        <w:t>Insert:</w:t>
      </w:r>
    </w:p>
    <w:p w14:paraId="05430100" w14:textId="77777777" w:rsidR="006B296B" w:rsidRPr="000571FE" w:rsidRDefault="00AA7A1C" w:rsidP="00EF468E">
      <w:pPr>
        <w:pStyle w:val="ActHead2"/>
      </w:pPr>
      <w:bookmarkStart w:id="8" w:name="f_Check_Lines_above"/>
      <w:bookmarkStart w:id="9" w:name="_Toc53568994"/>
      <w:bookmarkEnd w:id="8"/>
      <w:r w:rsidRPr="0086646A">
        <w:rPr>
          <w:rStyle w:val="CharPartNo"/>
        </w:rPr>
        <w:t>Part X</w:t>
      </w:r>
      <w:r w:rsidR="006B296B" w:rsidRPr="0086646A">
        <w:rPr>
          <w:rStyle w:val="CharPartNo"/>
        </w:rPr>
        <w:t>X</w:t>
      </w:r>
      <w:r w:rsidR="006B296B" w:rsidRPr="00AA7A1C">
        <w:t>—</w:t>
      </w:r>
      <w:r w:rsidR="006B296B" w:rsidRPr="0086646A">
        <w:rPr>
          <w:rStyle w:val="CharPartText"/>
        </w:rPr>
        <w:t>Transitional provision relating to the [</w:t>
      </w:r>
      <w:r w:rsidR="00B859CD" w:rsidRPr="0086646A">
        <w:rPr>
          <w:rStyle w:val="CharPartText"/>
        </w:rPr>
        <w:t>name of</w:t>
      </w:r>
      <w:r w:rsidR="006B296B" w:rsidRPr="0086646A">
        <w:rPr>
          <w:rStyle w:val="CharPartText"/>
        </w:rPr>
        <w:t xml:space="preserve"> Act]</w:t>
      </w:r>
      <w:bookmarkEnd w:id="9"/>
    </w:p>
    <w:p w14:paraId="05430101" w14:textId="77777777" w:rsidR="00CD3227" w:rsidRPr="0086646A" w:rsidRDefault="00CD3227" w:rsidP="00EF468E">
      <w:pPr>
        <w:pStyle w:val="Header"/>
      </w:pPr>
      <w:r w:rsidRPr="0086646A">
        <w:rPr>
          <w:rStyle w:val="CharDivNo"/>
        </w:rPr>
        <w:t xml:space="preserve"> </w:t>
      </w:r>
      <w:r w:rsidRPr="0086646A">
        <w:rPr>
          <w:rStyle w:val="CharDivText"/>
        </w:rPr>
        <w:t xml:space="preserve"> </w:t>
      </w:r>
    </w:p>
    <w:p w14:paraId="05430102" w14:textId="77777777" w:rsidR="006B296B" w:rsidRPr="00AA7A1C" w:rsidRDefault="00FC154F" w:rsidP="00EF468E">
      <w:pPr>
        <w:pStyle w:val="ActHead5"/>
      </w:pPr>
      <w:bookmarkStart w:id="10" w:name="_Toc53568995"/>
      <w:r w:rsidRPr="0086646A">
        <w:rPr>
          <w:rStyle w:val="CharSectno"/>
        </w:rPr>
        <w:t>XX</w:t>
      </w:r>
      <w:r w:rsidR="006B296B" w:rsidRPr="00AA7A1C">
        <w:t xml:space="preserve">  Transitional—directions by Minister</w:t>
      </w:r>
      <w:bookmarkEnd w:id="10"/>
    </w:p>
    <w:p w14:paraId="05430103" w14:textId="77777777" w:rsidR="006B296B" w:rsidRPr="00AA7A1C" w:rsidRDefault="00FC154F" w:rsidP="00EF468E">
      <w:pPr>
        <w:pStyle w:val="subsection"/>
      </w:pPr>
      <w:r w:rsidRPr="00AA7A1C">
        <w:tab/>
      </w:r>
      <w:r w:rsidRPr="00AA7A1C">
        <w:tab/>
      </w:r>
      <w:r w:rsidR="006B296B" w:rsidRPr="00AA7A1C">
        <w:t xml:space="preserve">A direction given under </w:t>
      </w:r>
      <w:r w:rsidR="00AA7A1C" w:rsidRPr="00AA7A1C">
        <w:t>subsection 1</w:t>
      </w:r>
      <w:r w:rsidR="006B296B" w:rsidRPr="00AA7A1C">
        <w:t>2(1) of this Act that is in force immediately before the commencement of [</w:t>
      </w:r>
      <w:r w:rsidR="00461773" w:rsidRPr="00AA7A1C">
        <w:rPr>
          <w:i/>
        </w:rPr>
        <w:t xml:space="preserve">item XX of </w:t>
      </w:r>
      <w:r w:rsidR="006B296B" w:rsidRPr="00AA7A1C">
        <w:rPr>
          <w:i/>
        </w:rPr>
        <w:t xml:space="preserve">Schedule XX to </w:t>
      </w:r>
      <w:r w:rsidR="00B859CD" w:rsidRPr="00AA7A1C">
        <w:rPr>
          <w:i/>
        </w:rPr>
        <w:t>XX</w:t>
      </w:r>
      <w:r w:rsidR="006B296B" w:rsidRPr="00AA7A1C">
        <w:rPr>
          <w:i/>
        </w:rPr>
        <w:t xml:space="preserve"> Act</w:t>
      </w:r>
      <w:r w:rsidR="006B296B" w:rsidRPr="00AA7A1C">
        <w:t>] continues in force (and may be dealt with) as if it had been given under that subsection as amended by [</w:t>
      </w:r>
      <w:r w:rsidR="006B296B" w:rsidRPr="00AA7A1C">
        <w:rPr>
          <w:i/>
        </w:rPr>
        <w:t>that Schedule</w:t>
      </w:r>
      <w:r w:rsidR="006B296B" w:rsidRPr="00AA7A1C">
        <w:t>].</w:t>
      </w:r>
    </w:p>
    <w:p w14:paraId="05430104" w14:textId="77777777" w:rsidR="003D3E4C" w:rsidRPr="00AA7A1C" w:rsidRDefault="003D3E4C" w:rsidP="00EF468E">
      <w:pPr>
        <w:pStyle w:val="ActHead9"/>
        <w:rPr>
          <w:i w:val="0"/>
        </w:rPr>
      </w:pPr>
      <w:bookmarkStart w:id="11" w:name="_Toc53568996"/>
      <w:r w:rsidRPr="00AA7A1C">
        <w:lastRenderedPageBreak/>
        <w:t>Business Names Registration Act 2011</w:t>
      </w:r>
      <w:bookmarkEnd w:id="11"/>
    </w:p>
    <w:p w14:paraId="05430105" w14:textId="77777777" w:rsidR="003D3E4C" w:rsidRPr="00AA7A1C" w:rsidRDefault="00777190" w:rsidP="00EF468E">
      <w:pPr>
        <w:pStyle w:val="ItemHead"/>
      </w:pPr>
      <w:r>
        <w:t>5</w:t>
      </w:r>
      <w:r w:rsidR="003D3E4C" w:rsidRPr="00AA7A1C">
        <w:t xml:space="preserve">  </w:t>
      </w:r>
      <w:r w:rsidR="00AA7A1C" w:rsidRPr="00AA7A1C">
        <w:t>Section 8</w:t>
      </w:r>
      <w:r w:rsidR="003D3E4C" w:rsidRPr="00AA7A1C">
        <w:t>8</w:t>
      </w:r>
    </w:p>
    <w:p w14:paraId="05430106" w14:textId="77777777" w:rsidR="003D3E4C" w:rsidRPr="00AA7A1C" w:rsidRDefault="003D3E4C" w:rsidP="00EF468E">
      <w:pPr>
        <w:pStyle w:val="Item"/>
      </w:pPr>
      <w:r w:rsidRPr="00AA7A1C">
        <w:t>Repeal the section.</w:t>
      </w:r>
    </w:p>
    <w:p w14:paraId="05430107" w14:textId="77777777" w:rsidR="00F11882" w:rsidRPr="00AA7A1C" w:rsidRDefault="00777190" w:rsidP="00EF468E">
      <w:pPr>
        <w:pStyle w:val="ItemHead"/>
      </w:pPr>
      <w:r>
        <w:t>6</w:t>
      </w:r>
      <w:r w:rsidR="00F11882" w:rsidRPr="00AA7A1C">
        <w:t xml:space="preserve">  </w:t>
      </w:r>
      <w:r w:rsidR="00AA7A1C" w:rsidRPr="00AA7A1C">
        <w:t>Paragraph 1</w:t>
      </w:r>
      <w:r w:rsidR="00F11882" w:rsidRPr="00AA7A1C">
        <w:t xml:space="preserve">(a) of </w:t>
      </w:r>
      <w:r w:rsidR="00AA7A1C" w:rsidRPr="00AA7A1C">
        <w:t>Schedule 1</w:t>
      </w:r>
    </w:p>
    <w:p w14:paraId="05430108" w14:textId="77777777" w:rsidR="00F11882" w:rsidRPr="00AA7A1C" w:rsidRDefault="00F11882" w:rsidP="00EF468E">
      <w:pPr>
        <w:pStyle w:val="Item"/>
      </w:pPr>
      <w:r w:rsidRPr="00AA7A1C">
        <w:t>Omit “</w:t>
      </w:r>
      <w:r w:rsidRPr="00AA7A1C">
        <w:rPr>
          <w:i/>
        </w:rPr>
        <w:t>Co</w:t>
      </w:r>
      <w:r w:rsidR="00EF468E">
        <w:rPr>
          <w:i/>
        </w:rPr>
        <w:noBreakHyphen/>
      </w:r>
      <w:r w:rsidRPr="00AA7A1C">
        <w:rPr>
          <w:i/>
        </w:rPr>
        <w:t>operatives Act 1992</w:t>
      </w:r>
      <w:r w:rsidRPr="00AA7A1C">
        <w:t>”, substitute “</w:t>
      </w:r>
      <w:r w:rsidRPr="00AA7A1C">
        <w:rPr>
          <w:i/>
        </w:rPr>
        <w:t>Co</w:t>
      </w:r>
      <w:r w:rsidR="00EF468E">
        <w:rPr>
          <w:i/>
        </w:rPr>
        <w:noBreakHyphen/>
      </w:r>
      <w:r w:rsidRPr="00AA7A1C">
        <w:rPr>
          <w:i/>
        </w:rPr>
        <w:t>operatives (Adoption of National Law) Act 2012</w:t>
      </w:r>
      <w:r w:rsidRPr="00AA7A1C">
        <w:t>”.</w:t>
      </w:r>
    </w:p>
    <w:p w14:paraId="05430109" w14:textId="77777777" w:rsidR="00F11882" w:rsidRPr="00AA7A1C" w:rsidRDefault="00777190" w:rsidP="00EF468E">
      <w:pPr>
        <w:pStyle w:val="ItemHead"/>
      </w:pPr>
      <w:r>
        <w:t>7</w:t>
      </w:r>
      <w:r w:rsidR="00F11882" w:rsidRPr="00AA7A1C">
        <w:t xml:space="preserve">  </w:t>
      </w:r>
      <w:r w:rsidR="00AA7A1C" w:rsidRPr="00AA7A1C">
        <w:t>Paragraph 2</w:t>
      </w:r>
      <w:r w:rsidR="00F11882" w:rsidRPr="00AA7A1C">
        <w:t xml:space="preserve">(a) of </w:t>
      </w:r>
      <w:r w:rsidR="00AA7A1C" w:rsidRPr="00AA7A1C">
        <w:t>Schedule 1</w:t>
      </w:r>
    </w:p>
    <w:p w14:paraId="0543010A" w14:textId="77777777" w:rsidR="00F11882" w:rsidRPr="00AA7A1C" w:rsidRDefault="00F11882" w:rsidP="00EF468E">
      <w:pPr>
        <w:pStyle w:val="Item"/>
      </w:pPr>
      <w:r w:rsidRPr="00AA7A1C">
        <w:t>Omit “</w:t>
      </w:r>
      <w:r w:rsidRPr="00AA7A1C">
        <w:rPr>
          <w:i/>
        </w:rPr>
        <w:t>Co</w:t>
      </w:r>
      <w:r w:rsidR="00EF468E">
        <w:rPr>
          <w:i/>
        </w:rPr>
        <w:noBreakHyphen/>
      </w:r>
      <w:r w:rsidRPr="00AA7A1C">
        <w:rPr>
          <w:i/>
        </w:rPr>
        <w:t>operatives Act 1996</w:t>
      </w:r>
      <w:r w:rsidRPr="00AA7A1C">
        <w:t>”, substitute “</w:t>
      </w:r>
      <w:r w:rsidRPr="00AA7A1C">
        <w:rPr>
          <w:i/>
        </w:rPr>
        <w:t>Co</w:t>
      </w:r>
      <w:r w:rsidR="00EF468E">
        <w:rPr>
          <w:i/>
        </w:rPr>
        <w:noBreakHyphen/>
      </w:r>
      <w:r w:rsidRPr="00AA7A1C">
        <w:rPr>
          <w:i/>
        </w:rPr>
        <w:t>operatives National Law Application Act 2013</w:t>
      </w:r>
      <w:r w:rsidRPr="00AA7A1C">
        <w:t>”.</w:t>
      </w:r>
    </w:p>
    <w:p w14:paraId="0543010B" w14:textId="77777777" w:rsidR="00F11882" w:rsidRPr="00AA7A1C" w:rsidRDefault="00777190" w:rsidP="00EF468E">
      <w:pPr>
        <w:pStyle w:val="ItemHead"/>
      </w:pPr>
      <w:r>
        <w:t>8</w:t>
      </w:r>
      <w:r w:rsidR="00F11882" w:rsidRPr="00AA7A1C">
        <w:t xml:space="preserve">  </w:t>
      </w:r>
      <w:r w:rsidR="00AA7A1C" w:rsidRPr="00AA7A1C">
        <w:t>Paragraph 5</w:t>
      </w:r>
      <w:r w:rsidR="00F11882" w:rsidRPr="00AA7A1C">
        <w:t xml:space="preserve">(a) of </w:t>
      </w:r>
      <w:r w:rsidR="00AA7A1C" w:rsidRPr="00AA7A1C">
        <w:t>Schedule 1</w:t>
      </w:r>
    </w:p>
    <w:p w14:paraId="0543010C" w14:textId="77777777" w:rsidR="00F11882" w:rsidRPr="00AA7A1C" w:rsidRDefault="00F11882" w:rsidP="00EF468E">
      <w:pPr>
        <w:pStyle w:val="Item"/>
      </w:pPr>
      <w:r w:rsidRPr="00AA7A1C">
        <w:t>Repeal the paragraph, substitute:</w:t>
      </w:r>
    </w:p>
    <w:p w14:paraId="0543010D" w14:textId="77777777" w:rsidR="00F11882" w:rsidRPr="00AA7A1C" w:rsidRDefault="00F11882" w:rsidP="00EF468E">
      <w:pPr>
        <w:pStyle w:val="paragraph"/>
      </w:pPr>
      <w:r w:rsidRPr="00AA7A1C">
        <w:tab/>
        <w:t>(a)</w:t>
      </w:r>
      <w:r w:rsidRPr="00AA7A1C">
        <w:tab/>
        <w:t>the register of co</w:t>
      </w:r>
      <w:r w:rsidR="00EF468E">
        <w:noBreakHyphen/>
      </w:r>
      <w:r w:rsidRPr="00AA7A1C">
        <w:t xml:space="preserve">operatives established under the </w:t>
      </w:r>
      <w:r w:rsidRPr="00AA7A1C">
        <w:rPr>
          <w:i/>
          <w:szCs w:val="22"/>
        </w:rPr>
        <w:t>Co</w:t>
      </w:r>
      <w:r w:rsidR="00EF468E">
        <w:rPr>
          <w:i/>
          <w:szCs w:val="22"/>
        </w:rPr>
        <w:noBreakHyphen/>
      </w:r>
      <w:r w:rsidRPr="00AA7A1C">
        <w:rPr>
          <w:i/>
          <w:szCs w:val="22"/>
        </w:rPr>
        <w:t xml:space="preserve">operatives National Law (South Australia) Act 2013 </w:t>
      </w:r>
      <w:r w:rsidRPr="00AA7A1C">
        <w:t>of South Australia;</w:t>
      </w:r>
    </w:p>
    <w:p w14:paraId="0543010E" w14:textId="77777777" w:rsidR="00F11882" w:rsidRPr="00AA7A1C" w:rsidRDefault="00777190" w:rsidP="00EF468E">
      <w:pPr>
        <w:pStyle w:val="ItemHead"/>
      </w:pPr>
      <w:r>
        <w:t>9</w:t>
      </w:r>
      <w:r w:rsidR="00F11882" w:rsidRPr="00AA7A1C">
        <w:t xml:space="preserve">  </w:t>
      </w:r>
      <w:r w:rsidR="00AA7A1C" w:rsidRPr="00AA7A1C">
        <w:t>Paragraph 6</w:t>
      </w:r>
      <w:r w:rsidR="00F11882" w:rsidRPr="00AA7A1C">
        <w:t xml:space="preserve">(a) of </w:t>
      </w:r>
      <w:r w:rsidR="00AA7A1C" w:rsidRPr="00AA7A1C">
        <w:t>Schedule 1</w:t>
      </w:r>
    </w:p>
    <w:p w14:paraId="0543010F" w14:textId="77777777" w:rsidR="00F11882" w:rsidRPr="00AA7A1C" w:rsidRDefault="00F11882" w:rsidP="00EF468E">
      <w:pPr>
        <w:pStyle w:val="Item"/>
      </w:pPr>
      <w:r w:rsidRPr="00AA7A1C">
        <w:t>Omit “</w:t>
      </w:r>
      <w:r w:rsidRPr="00AA7A1C">
        <w:rPr>
          <w:i/>
        </w:rPr>
        <w:t>Cooperatives Act 1999</w:t>
      </w:r>
      <w:r w:rsidRPr="00AA7A1C">
        <w:t>”, substitute “</w:t>
      </w:r>
      <w:r w:rsidRPr="00AA7A1C">
        <w:rPr>
          <w:i/>
          <w:szCs w:val="22"/>
        </w:rPr>
        <w:t>Co</w:t>
      </w:r>
      <w:r w:rsidR="00EF468E">
        <w:rPr>
          <w:i/>
          <w:szCs w:val="22"/>
        </w:rPr>
        <w:noBreakHyphen/>
      </w:r>
      <w:r w:rsidRPr="00AA7A1C">
        <w:rPr>
          <w:i/>
          <w:szCs w:val="22"/>
        </w:rPr>
        <w:t>operatives National Law (Tasmania) Act 2015</w:t>
      </w:r>
      <w:r w:rsidRPr="00AA7A1C">
        <w:t>”.</w:t>
      </w:r>
    </w:p>
    <w:p w14:paraId="05430110" w14:textId="77777777" w:rsidR="00F11882" w:rsidRPr="00AA7A1C" w:rsidRDefault="00777190" w:rsidP="00EF468E">
      <w:pPr>
        <w:pStyle w:val="ItemHead"/>
      </w:pPr>
      <w:r>
        <w:t>10</w:t>
      </w:r>
      <w:r w:rsidR="00F11882" w:rsidRPr="00AA7A1C">
        <w:t xml:space="preserve">  </w:t>
      </w:r>
      <w:r w:rsidR="00AA7A1C" w:rsidRPr="00AA7A1C">
        <w:t>Paragraph 7</w:t>
      </w:r>
      <w:r w:rsidR="00F11882" w:rsidRPr="00AA7A1C">
        <w:t xml:space="preserve">(a) of </w:t>
      </w:r>
      <w:r w:rsidR="00AA7A1C" w:rsidRPr="00AA7A1C">
        <w:t>Schedule 1</w:t>
      </w:r>
    </w:p>
    <w:p w14:paraId="05430111" w14:textId="77777777" w:rsidR="00F11882" w:rsidRPr="00AA7A1C" w:rsidRDefault="00F11882" w:rsidP="00EF468E">
      <w:pPr>
        <w:pStyle w:val="Item"/>
      </w:pPr>
      <w:r w:rsidRPr="00AA7A1C">
        <w:t>Repeal the paragraph, substitute:</w:t>
      </w:r>
    </w:p>
    <w:p w14:paraId="05430112" w14:textId="77777777" w:rsidR="00F11882" w:rsidRPr="00AA7A1C" w:rsidRDefault="00F11882" w:rsidP="00EF468E">
      <w:pPr>
        <w:pStyle w:val="paragraph"/>
      </w:pPr>
      <w:r w:rsidRPr="00AA7A1C">
        <w:tab/>
        <w:t>(a)</w:t>
      </w:r>
      <w:r w:rsidRPr="00AA7A1C">
        <w:tab/>
        <w:t>the register of co</w:t>
      </w:r>
      <w:r w:rsidR="00EF468E">
        <w:noBreakHyphen/>
      </w:r>
      <w:r w:rsidRPr="00AA7A1C">
        <w:t xml:space="preserve">operatives established under the </w:t>
      </w:r>
      <w:r w:rsidRPr="00AA7A1C">
        <w:rPr>
          <w:bCs/>
          <w:i/>
          <w:szCs w:val="22"/>
        </w:rPr>
        <w:t>Co</w:t>
      </w:r>
      <w:r w:rsidR="00EF468E">
        <w:rPr>
          <w:bCs/>
          <w:i/>
          <w:szCs w:val="22"/>
        </w:rPr>
        <w:noBreakHyphen/>
      </w:r>
      <w:r w:rsidRPr="00AA7A1C">
        <w:rPr>
          <w:bCs/>
          <w:i/>
          <w:szCs w:val="22"/>
        </w:rPr>
        <w:t xml:space="preserve">operatives National Law (ACT) Act 2017 </w:t>
      </w:r>
      <w:r w:rsidRPr="00AA7A1C">
        <w:t>of the Australian Capital Territory;</w:t>
      </w:r>
    </w:p>
    <w:p w14:paraId="05430113" w14:textId="77777777" w:rsidR="00F11882" w:rsidRPr="00AA7A1C" w:rsidRDefault="00777190" w:rsidP="00EF468E">
      <w:pPr>
        <w:pStyle w:val="ItemHead"/>
      </w:pPr>
      <w:r>
        <w:t>11</w:t>
      </w:r>
      <w:r w:rsidR="00F11882" w:rsidRPr="00AA7A1C">
        <w:t xml:space="preserve">  </w:t>
      </w:r>
      <w:r w:rsidR="00AA7A1C" w:rsidRPr="00AA7A1C">
        <w:t>Paragraph 8</w:t>
      </w:r>
      <w:r w:rsidR="00F11882" w:rsidRPr="00AA7A1C">
        <w:t xml:space="preserve">(a) of </w:t>
      </w:r>
      <w:r w:rsidR="00AA7A1C" w:rsidRPr="00AA7A1C">
        <w:t>Schedule 1</w:t>
      </w:r>
    </w:p>
    <w:p w14:paraId="05430114" w14:textId="77777777" w:rsidR="00F11882" w:rsidRPr="00AA7A1C" w:rsidRDefault="00F11882" w:rsidP="00EF468E">
      <w:pPr>
        <w:pStyle w:val="Item"/>
      </w:pPr>
      <w:r w:rsidRPr="00AA7A1C">
        <w:t>Omit “</w:t>
      </w:r>
      <w:r w:rsidRPr="00AA7A1C">
        <w:rPr>
          <w:i/>
        </w:rPr>
        <w:t>Co</w:t>
      </w:r>
      <w:r w:rsidR="00EF468E">
        <w:rPr>
          <w:i/>
        </w:rPr>
        <w:noBreakHyphen/>
      </w:r>
      <w:r w:rsidRPr="00AA7A1C">
        <w:rPr>
          <w:i/>
        </w:rPr>
        <w:t>operatives Act</w:t>
      </w:r>
      <w:r w:rsidRPr="00AA7A1C">
        <w:t>”, substitute “</w:t>
      </w:r>
      <w:r w:rsidRPr="00AA7A1C">
        <w:rPr>
          <w:i/>
        </w:rPr>
        <w:t>Co</w:t>
      </w:r>
      <w:r w:rsidR="00EF468E">
        <w:rPr>
          <w:i/>
        </w:rPr>
        <w:noBreakHyphen/>
      </w:r>
      <w:r w:rsidRPr="00AA7A1C">
        <w:rPr>
          <w:i/>
        </w:rPr>
        <w:t>operatives (National Uniform Legislation) Act 2015</w:t>
      </w:r>
      <w:r w:rsidRPr="00AA7A1C">
        <w:t>”.</w:t>
      </w:r>
    </w:p>
    <w:p w14:paraId="05430115" w14:textId="77777777" w:rsidR="00533F6D" w:rsidRPr="00AA7A1C" w:rsidRDefault="00533F6D" w:rsidP="00EF468E">
      <w:pPr>
        <w:pStyle w:val="ActHead9"/>
        <w:rPr>
          <w:i w:val="0"/>
        </w:rPr>
      </w:pPr>
      <w:bookmarkStart w:id="12" w:name="_Toc53568997"/>
      <w:r w:rsidRPr="00AA7A1C">
        <w:t>Commonwealth Grants Commission Act 1973</w:t>
      </w:r>
      <w:bookmarkEnd w:id="12"/>
    </w:p>
    <w:p w14:paraId="05430116" w14:textId="77777777" w:rsidR="00FB658C" w:rsidRPr="00AA7A1C" w:rsidRDefault="00777190" w:rsidP="00EF468E">
      <w:pPr>
        <w:pStyle w:val="ItemHead"/>
      </w:pPr>
      <w:r>
        <w:t>12</w:t>
      </w:r>
      <w:r w:rsidR="00FB658C" w:rsidRPr="00AA7A1C">
        <w:t xml:space="preserve">  </w:t>
      </w:r>
      <w:r w:rsidR="00AA7A1C" w:rsidRPr="00AA7A1C">
        <w:t>Subsection 5</w:t>
      </w:r>
      <w:r w:rsidR="00FB658C" w:rsidRPr="00AA7A1C">
        <w:t>(2)</w:t>
      </w:r>
    </w:p>
    <w:p w14:paraId="05430117" w14:textId="77777777" w:rsidR="00FB658C" w:rsidRPr="00AA7A1C" w:rsidRDefault="00FB658C" w:rsidP="00EF468E">
      <w:pPr>
        <w:pStyle w:val="Item"/>
      </w:pPr>
      <w:r w:rsidRPr="00AA7A1C">
        <w:t>Omit “the Northern Territory” (second and third occurring), substitute “that Territory”.</w:t>
      </w:r>
    </w:p>
    <w:p w14:paraId="05430118" w14:textId="77777777" w:rsidR="00533F6D" w:rsidRPr="00AA7A1C" w:rsidRDefault="00777190" w:rsidP="00EF468E">
      <w:pPr>
        <w:pStyle w:val="ItemHead"/>
      </w:pPr>
      <w:r>
        <w:lastRenderedPageBreak/>
        <w:t>13</w:t>
      </w:r>
      <w:r w:rsidR="00533F6D" w:rsidRPr="00AA7A1C">
        <w:t xml:space="preserve">  </w:t>
      </w:r>
      <w:r w:rsidR="00AA7A1C" w:rsidRPr="00AA7A1C">
        <w:t>Subsection 8</w:t>
      </w:r>
      <w:r w:rsidR="00533F6D" w:rsidRPr="00AA7A1C">
        <w:t>(3)</w:t>
      </w:r>
    </w:p>
    <w:p w14:paraId="05430119" w14:textId="77777777" w:rsidR="00533F6D" w:rsidRPr="00AA7A1C" w:rsidRDefault="00533F6D" w:rsidP="00EF468E">
      <w:pPr>
        <w:pStyle w:val="Item"/>
      </w:pPr>
      <w:r w:rsidRPr="00AA7A1C">
        <w:t>Omit “his or her”, substitute “the member’s”.</w:t>
      </w:r>
    </w:p>
    <w:p w14:paraId="0543011A" w14:textId="77777777" w:rsidR="00533F6D" w:rsidRPr="00AA7A1C" w:rsidRDefault="00777190" w:rsidP="00EF468E">
      <w:pPr>
        <w:pStyle w:val="ItemHead"/>
      </w:pPr>
      <w:r>
        <w:t>14</w:t>
      </w:r>
      <w:r w:rsidR="00533F6D" w:rsidRPr="00AA7A1C">
        <w:t xml:space="preserve">  </w:t>
      </w:r>
      <w:r w:rsidR="00AA7A1C" w:rsidRPr="00AA7A1C">
        <w:t>Subsection 8</w:t>
      </w:r>
      <w:r w:rsidR="00533F6D" w:rsidRPr="00AA7A1C">
        <w:t>(6A)</w:t>
      </w:r>
    </w:p>
    <w:p w14:paraId="0543011B" w14:textId="77777777" w:rsidR="00533F6D" w:rsidRPr="00AA7A1C" w:rsidRDefault="00533F6D" w:rsidP="00EF468E">
      <w:pPr>
        <w:pStyle w:val="Item"/>
      </w:pPr>
      <w:r w:rsidRPr="00AA7A1C">
        <w:t>Omit “his or her”, substitute “the Chairperson’s”.</w:t>
      </w:r>
    </w:p>
    <w:p w14:paraId="0543011C" w14:textId="77777777" w:rsidR="00533F6D" w:rsidRPr="00AA7A1C" w:rsidRDefault="00777190" w:rsidP="00EF468E">
      <w:pPr>
        <w:pStyle w:val="ItemHead"/>
      </w:pPr>
      <w:r>
        <w:t>15</w:t>
      </w:r>
      <w:r w:rsidR="00533F6D" w:rsidRPr="00AA7A1C">
        <w:t xml:space="preserve">  </w:t>
      </w:r>
      <w:r w:rsidR="00AA7A1C" w:rsidRPr="00AA7A1C">
        <w:t>Subsection 8</w:t>
      </w:r>
      <w:r w:rsidR="00533F6D" w:rsidRPr="00AA7A1C">
        <w:t>(6A)</w:t>
      </w:r>
      <w:r w:rsidR="00FB658C" w:rsidRPr="00AA7A1C">
        <w:t xml:space="preserve"> and </w:t>
      </w:r>
      <w:r w:rsidR="00AA7A1C" w:rsidRPr="00AA7A1C">
        <w:t>section 9</w:t>
      </w:r>
    </w:p>
    <w:p w14:paraId="0543011D" w14:textId="77777777" w:rsidR="00533F6D" w:rsidRPr="00AA7A1C" w:rsidRDefault="00533F6D" w:rsidP="00EF468E">
      <w:pPr>
        <w:pStyle w:val="Item"/>
      </w:pPr>
      <w:r w:rsidRPr="00AA7A1C">
        <w:t>Omit “he or she</w:t>
      </w:r>
      <w:r w:rsidR="00CB7A00" w:rsidRPr="00AA7A1C">
        <w:t xml:space="preserve"> shall</w:t>
      </w:r>
      <w:r w:rsidRPr="00AA7A1C">
        <w:t>”, substitute “the Chairperson</w:t>
      </w:r>
      <w:r w:rsidR="00CB7A00" w:rsidRPr="00AA7A1C">
        <w:t xml:space="preserve"> is to</w:t>
      </w:r>
      <w:r w:rsidRPr="00AA7A1C">
        <w:t>”.</w:t>
      </w:r>
    </w:p>
    <w:p w14:paraId="0543011E" w14:textId="77777777" w:rsidR="00533F6D" w:rsidRPr="00AA7A1C" w:rsidRDefault="00777190" w:rsidP="00EF468E">
      <w:pPr>
        <w:pStyle w:val="ItemHead"/>
      </w:pPr>
      <w:r>
        <w:t>16</w:t>
      </w:r>
      <w:r w:rsidR="00533F6D" w:rsidRPr="00AA7A1C">
        <w:t xml:space="preserve">  </w:t>
      </w:r>
      <w:r w:rsidR="00AA7A1C" w:rsidRPr="00AA7A1C">
        <w:t>Subsection 9</w:t>
      </w:r>
      <w:r w:rsidR="00533F6D" w:rsidRPr="00AA7A1C">
        <w:t>A(1)</w:t>
      </w:r>
    </w:p>
    <w:p w14:paraId="0543011F" w14:textId="77777777" w:rsidR="00533F6D" w:rsidRPr="00AA7A1C" w:rsidRDefault="00533F6D" w:rsidP="00EF468E">
      <w:pPr>
        <w:pStyle w:val="Item"/>
      </w:pPr>
      <w:r w:rsidRPr="00AA7A1C">
        <w:t>Omit “he or she</w:t>
      </w:r>
      <w:r w:rsidR="00CB7A00" w:rsidRPr="00AA7A1C">
        <w:t xml:space="preserve"> shall</w:t>
      </w:r>
      <w:r w:rsidRPr="00AA7A1C">
        <w:t>”, substitute “the member</w:t>
      </w:r>
      <w:r w:rsidR="00CB7A00" w:rsidRPr="00AA7A1C">
        <w:t xml:space="preserve"> is to</w:t>
      </w:r>
      <w:r w:rsidRPr="00AA7A1C">
        <w:t>”.</w:t>
      </w:r>
    </w:p>
    <w:p w14:paraId="05430120" w14:textId="77777777" w:rsidR="00533F6D" w:rsidRPr="00AA7A1C" w:rsidRDefault="00777190" w:rsidP="00EF468E">
      <w:pPr>
        <w:pStyle w:val="ItemHead"/>
      </w:pPr>
      <w:r>
        <w:t>17</w:t>
      </w:r>
      <w:r w:rsidR="00533F6D" w:rsidRPr="00AA7A1C">
        <w:t xml:space="preserve">  </w:t>
      </w:r>
      <w:r w:rsidR="00AA7A1C" w:rsidRPr="00AA7A1C">
        <w:t>Subsection 1</w:t>
      </w:r>
      <w:r w:rsidR="00533F6D" w:rsidRPr="00AA7A1C">
        <w:t>1(1)</w:t>
      </w:r>
    </w:p>
    <w:p w14:paraId="05430121" w14:textId="77777777" w:rsidR="00533F6D" w:rsidRPr="00AA7A1C" w:rsidRDefault="00533F6D" w:rsidP="00EF468E">
      <w:pPr>
        <w:pStyle w:val="Item"/>
      </w:pPr>
      <w:r w:rsidRPr="00AA7A1C">
        <w:t>Repeal the subsection, substitute:</w:t>
      </w:r>
    </w:p>
    <w:p w14:paraId="05430122" w14:textId="77777777" w:rsidR="00533F6D" w:rsidRPr="00AA7A1C" w:rsidRDefault="00533F6D" w:rsidP="00EF468E">
      <w:pPr>
        <w:pStyle w:val="subsection"/>
      </w:pPr>
      <w:r w:rsidRPr="00AA7A1C">
        <w:tab/>
        <w:t>(1)</w:t>
      </w:r>
      <w:r w:rsidRPr="00AA7A1C">
        <w:tab/>
        <w:t>A member may resign the member’s appointment by giving the Governor</w:t>
      </w:r>
      <w:r w:rsidR="00EF468E">
        <w:noBreakHyphen/>
      </w:r>
      <w:r w:rsidRPr="00AA7A1C">
        <w:t>General a written resignation.</w:t>
      </w:r>
    </w:p>
    <w:p w14:paraId="05430123" w14:textId="77777777" w:rsidR="00533F6D" w:rsidRPr="00AA7A1C" w:rsidRDefault="00533F6D" w:rsidP="00EF468E">
      <w:pPr>
        <w:pStyle w:val="subsection"/>
      </w:pPr>
      <w:r w:rsidRPr="00AA7A1C">
        <w:tab/>
        <w:t>(1A)</w:t>
      </w:r>
      <w:r w:rsidRPr="00AA7A1C">
        <w:tab/>
        <w:t>The resignation takes effect on the day it is received by the Governor</w:t>
      </w:r>
      <w:r w:rsidR="00EF468E">
        <w:noBreakHyphen/>
      </w:r>
      <w:r w:rsidRPr="00AA7A1C">
        <w:t>General or, if a later day is specified in the resignation, on that later day.</w:t>
      </w:r>
    </w:p>
    <w:p w14:paraId="05430124" w14:textId="77777777" w:rsidR="00533F6D" w:rsidRPr="00AA7A1C" w:rsidRDefault="00777190" w:rsidP="00EF468E">
      <w:pPr>
        <w:pStyle w:val="ItemHead"/>
      </w:pPr>
      <w:r>
        <w:t>18</w:t>
      </w:r>
      <w:r w:rsidR="00533F6D" w:rsidRPr="00AA7A1C">
        <w:t xml:space="preserve">  </w:t>
      </w:r>
      <w:r w:rsidR="00AA7A1C" w:rsidRPr="00AA7A1C">
        <w:t>Subsection 1</w:t>
      </w:r>
      <w:r w:rsidR="00533F6D" w:rsidRPr="00AA7A1C">
        <w:t>2(7)</w:t>
      </w:r>
    </w:p>
    <w:p w14:paraId="05430125" w14:textId="77777777" w:rsidR="00533F6D" w:rsidRPr="00AA7A1C" w:rsidRDefault="00533F6D" w:rsidP="00EF468E">
      <w:pPr>
        <w:pStyle w:val="Item"/>
      </w:pPr>
      <w:r w:rsidRPr="00AA7A1C">
        <w:t>Omit “his or her”, substitute “the member’s”.</w:t>
      </w:r>
    </w:p>
    <w:p w14:paraId="05430126" w14:textId="77777777" w:rsidR="00533F6D" w:rsidRPr="00AA7A1C" w:rsidRDefault="00777190" w:rsidP="00EF468E">
      <w:pPr>
        <w:pStyle w:val="ItemHead"/>
      </w:pPr>
      <w:r>
        <w:t>19</w:t>
      </w:r>
      <w:r w:rsidR="00533F6D" w:rsidRPr="00AA7A1C">
        <w:t xml:space="preserve">  </w:t>
      </w:r>
      <w:r w:rsidR="00AA7A1C" w:rsidRPr="00AA7A1C">
        <w:t>Subsection 1</w:t>
      </w:r>
      <w:r w:rsidR="00533F6D" w:rsidRPr="00AA7A1C">
        <w:t>2(7)</w:t>
      </w:r>
    </w:p>
    <w:p w14:paraId="05430127" w14:textId="77777777" w:rsidR="00533F6D" w:rsidRPr="00AA7A1C" w:rsidRDefault="00533F6D" w:rsidP="00EF468E">
      <w:pPr>
        <w:pStyle w:val="Item"/>
      </w:pPr>
      <w:r w:rsidRPr="00AA7A1C">
        <w:t>Omit “he or she”, substitute “the member”.</w:t>
      </w:r>
    </w:p>
    <w:p w14:paraId="05430128" w14:textId="77777777" w:rsidR="00533F6D" w:rsidRPr="00AA7A1C" w:rsidRDefault="00777190" w:rsidP="00EF468E">
      <w:pPr>
        <w:pStyle w:val="ItemHead"/>
      </w:pPr>
      <w:r>
        <w:t>20</w:t>
      </w:r>
      <w:r w:rsidR="00953A5D" w:rsidRPr="00AA7A1C">
        <w:t xml:space="preserve">  </w:t>
      </w:r>
      <w:r w:rsidR="00AA7A1C" w:rsidRPr="00AA7A1C">
        <w:t>Paragraph 1</w:t>
      </w:r>
      <w:r w:rsidR="00953A5D" w:rsidRPr="00AA7A1C">
        <w:t>3(1)(c)</w:t>
      </w:r>
    </w:p>
    <w:p w14:paraId="05430129" w14:textId="77777777" w:rsidR="00953A5D" w:rsidRPr="00AA7A1C" w:rsidRDefault="00953A5D" w:rsidP="00EF468E">
      <w:pPr>
        <w:pStyle w:val="Item"/>
      </w:pPr>
      <w:r w:rsidRPr="00AA7A1C">
        <w:t>Omit “his or her”, substitute “the Chairperson’s”.</w:t>
      </w:r>
    </w:p>
    <w:p w14:paraId="0543012A" w14:textId="77777777" w:rsidR="00953A5D" w:rsidRPr="00AA7A1C" w:rsidRDefault="00777190" w:rsidP="00EF468E">
      <w:pPr>
        <w:pStyle w:val="ItemHead"/>
      </w:pPr>
      <w:r>
        <w:t>21</w:t>
      </w:r>
      <w:r w:rsidR="00953A5D" w:rsidRPr="00AA7A1C">
        <w:t xml:space="preserve">  </w:t>
      </w:r>
      <w:r w:rsidR="00AA7A1C" w:rsidRPr="00AA7A1C">
        <w:t>Paragraph 1</w:t>
      </w:r>
      <w:r w:rsidR="00953A5D" w:rsidRPr="00AA7A1C">
        <w:t>3(2)(c)</w:t>
      </w:r>
    </w:p>
    <w:p w14:paraId="0543012B" w14:textId="77777777" w:rsidR="00953A5D" w:rsidRPr="00AA7A1C" w:rsidRDefault="00953A5D" w:rsidP="00EF468E">
      <w:pPr>
        <w:pStyle w:val="Item"/>
      </w:pPr>
      <w:r w:rsidRPr="00AA7A1C">
        <w:t>Omit “his or her”, substitute “the part</w:t>
      </w:r>
      <w:r w:rsidR="00EF468E">
        <w:noBreakHyphen/>
      </w:r>
      <w:r w:rsidRPr="00AA7A1C">
        <w:t>time member’s”.</w:t>
      </w:r>
    </w:p>
    <w:p w14:paraId="0543012C" w14:textId="77777777" w:rsidR="00953A5D" w:rsidRPr="00AA7A1C" w:rsidRDefault="00777190" w:rsidP="00EF468E">
      <w:pPr>
        <w:pStyle w:val="ItemHead"/>
      </w:pPr>
      <w:r>
        <w:t>22</w:t>
      </w:r>
      <w:r w:rsidR="00953A5D" w:rsidRPr="00AA7A1C">
        <w:t xml:space="preserve">  </w:t>
      </w:r>
      <w:r w:rsidR="00AA7A1C" w:rsidRPr="00AA7A1C">
        <w:t>Subsections 1</w:t>
      </w:r>
      <w:r w:rsidR="00953A5D" w:rsidRPr="00AA7A1C">
        <w:t>4(5)</w:t>
      </w:r>
      <w:r w:rsidR="00FB658C" w:rsidRPr="00AA7A1C">
        <w:t xml:space="preserve"> and 15(1)</w:t>
      </w:r>
    </w:p>
    <w:p w14:paraId="0543012D" w14:textId="77777777" w:rsidR="00953A5D" w:rsidRPr="00AA7A1C" w:rsidRDefault="00953A5D" w:rsidP="00EF468E">
      <w:pPr>
        <w:pStyle w:val="Item"/>
      </w:pPr>
      <w:r w:rsidRPr="00AA7A1C">
        <w:t>Omit “he or she”, substitute “the Chairperson”.</w:t>
      </w:r>
    </w:p>
    <w:p w14:paraId="0543012E" w14:textId="77777777" w:rsidR="00D81BF6" w:rsidRPr="00AA7A1C" w:rsidRDefault="00777190" w:rsidP="00EF468E">
      <w:pPr>
        <w:pStyle w:val="ItemHead"/>
      </w:pPr>
      <w:r>
        <w:t>23</w:t>
      </w:r>
      <w:r w:rsidR="00D81BF6" w:rsidRPr="00AA7A1C">
        <w:t xml:space="preserve">  </w:t>
      </w:r>
      <w:r w:rsidR="000571FE">
        <w:t>Section 1</w:t>
      </w:r>
      <w:r w:rsidR="00D81BF6" w:rsidRPr="00AA7A1C">
        <w:t>6AA (heading)</w:t>
      </w:r>
    </w:p>
    <w:p w14:paraId="0543012F" w14:textId="77777777" w:rsidR="00D81BF6" w:rsidRPr="00AA7A1C" w:rsidRDefault="00D81BF6" w:rsidP="00EF468E">
      <w:pPr>
        <w:pStyle w:val="Item"/>
      </w:pPr>
      <w:r w:rsidRPr="00AA7A1C">
        <w:t>Omit “</w:t>
      </w:r>
      <w:r w:rsidRPr="00AA7A1C">
        <w:rPr>
          <w:b/>
        </w:rPr>
        <w:t>Inquiries</w:t>
      </w:r>
      <w:r w:rsidR="004D070B" w:rsidRPr="00AA7A1C">
        <w:rPr>
          <w:b/>
        </w:rPr>
        <w:t xml:space="preserve"> relating</w:t>
      </w:r>
      <w:r w:rsidRPr="00AA7A1C">
        <w:t>”, substitute “</w:t>
      </w:r>
      <w:r w:rsidRPr="00AA7A1C">
        <w:rPr>
          <w:b/>
        </w:rPr>
        <w:t>Assistance</w:t>
      </w:r>
      <w:r w:rsidRPr="00AA7A1C">
        <w:t>”.</w:t>
      </w:r>
    </w:p>
    <w:p w14:paraId="05430130" w14:textId="77777777" w:rsidR="00953A5D" w:rsidRPr="00AA7A1C" w:rsidRDefault="00777190" w:rsidP="00EF468E">
      <w:pPr>
        <w:pStyle w:val="ItemHead"/>
      </w:pPr>
      <w:r>
        <w:lastRenderedPageBreak/>
        <w:t>24</w:t>
      </w:r>
      <w:r w:rsidR="00953A5D" w:rsidRPr="00AA7A1C">
        <w:t xml:space="preserve">  </w:t>
      </w:r>
      <w:r w:rsidR="00AA7A1C" w:rsidRPr="00AA7A1C">
        <w:t>Subsection 1</w:t>
      </w:r>
      <w:r w:rsidR="001D07EB" w:rsidRPr="00AA7A1C">
        <w:t>9(1)</w:t>
      </w:r>
    </w:p>
    <w:p w14:paraId="05430131" w14:textId="77777777" w:rsidR="001D07EB" w:rsidRPr="00AA7A1C" w:rsidRDefault="001D07EB" w:rsidP="00EF468E">
      <w:pPr>
        <w:pStyle w:val="Item"/>
      </w:pPr>
      <w:r w:rsidRPr="00AA7A1C">
        <w:t>Omit “may, by writing under his or her hand, determine”, substitute “</w:t>
      </w:r>
      <w:r w:rsidR="00CB7A00" w:rsidRPr="00AA7A1C">
        <w:t xml:space="preserve">may </w:t>
      </w:r>
      <w:r w:rsidRPr="00AA7A1C">
        <w:t>determine in writing”.</w:t>
      </w:r>
    </w:p>
    <w:p w14:paraId="05430132" w14:textId="77777777" w:rsidR="001D07EB" w:rsidRPr="00AA7A1C" w:rsidRDefault="00777190" w:rsidP="00EF468E">
      <w:pPr>
        <w:pStyle w:val="ItemHead"/>
      </w:pPr>
      <w:r>
        <w:t>25</w:t>
      </w:r>
      <w:r w:rsidR="001D07EB" w:rsidRPr="00AA7A1C">
        <w:t xml:space="preserve">  </w:t>
      </w:r>
      <w:r w:rsidR="00AA7A1C" w:rsidRPr="00AA7A1C">
        <w:t>Subsection 1</w:t>
      </w:r>
      <w:r w:rsidR="001D07EB" w:rsidRPr="00AA7A1C">
        <w:t>9(2)</w:t>
      </w:r>
    </w:p>
    <w:p w14:paraId="05430133" w14:textId="77777777" w:rsidR="001D07EB" w:rsidRPr="00AA7A1C" w:rsidRDefault="001D07EB" w:rsidP="00EF468E">
      <w:pPr>
        <w:pStyle w:val="Item"/>
      </w:pPr>
      <w:r w:rsidRPr="00AA7A1C">
        <w:t>Omit “he or she may, by writing under his or her hand”, substitute “the Chairperson may</w:t>
      </w:r>
      <w:r w:rsidR="00CB7A00" w:rsidRPr="00AA7A1C">
        <w:t>, in writing</w:t>
      </w:r>
      <w:r w:rsidRPr="00AA7A1C">
        <w:t>”.</w:t>
      </w:r>
    </w:p>
    <w:p w14:paraId="05430134" w14:textId="77777777" w:rsidR="001D07EB" w:rsidRPr="00AA7A1C" w:rsidRDefault="00777190" w:rsidP="00EF468E">
      <w:pPr>
        <w:pStyle w:val="ItemHead"/>
      </w:pPr>
      <w:r>
        <w:t>26</w:t>
      </w:r>
      <w:r w:rsidR="001D07EB" w:rsidRPr="00AA7A1C">
        <w:t xml:space="preserve">  After </w:t>
      </w:r>
      <w:r w:rsidR="00AA7A1C" w:rsidRPr="00AA7A1C">
        <w:t>subsection 1</w:t>
      </w:r>
      <w:r w:rsidR="001D07EB" w:rsidRPr="00AA7A1C">
        <w:t>9(2)</w:t>
      </w:r>
    </w:p>
    <w:p w14:paraId="05430135" w14:textId="77777777" w:rsidR="001D07EB" w:rsidRPr="00AA7A1C" w:rsidRDefault="001D07EB" w:rsidP="00EF468E">
      <w:pPr>
        <w:pStyle w:val="Item"/>
      </w:pPr>
      <w:r w:rsidRPr="00AA7A1C">
        <w:t>Insert:</w:t>
      </w:r>
    </w:p>
    <w:p w14:paraId="05430136" w14:textId="77777777" w:rsidR="001D07EB" w:rsidRPr="00AA7A1C" w:rsidRDefault="001D07EB" w:rsidP="00EF468E">
      <w:pPr>
        <w:pStyle w:val="subsection"/>
      </w:pPr>
      <w:r w:rsidRPr="00AA7A1C">
        <w:tab/>
        <w:t>(2A)</w:t>
      </w:r>
      <w:r w:rsidRPr="00AA7A1C">
        <w:tab/>
        <w:t xml:space="preserve">A determination made under </w:t>
      </w:r>
      <w:r w:rsidR="000571FE">
        <w:t>subsection (</w:t>
      </w:r>
      <w:r w:rsidRPr="00AA7A1C">
        <w:t>1) is not a legislative instrument.</w:t>
      </w:r>
    </w:p>
    <w:p w14:paraId="05430137" w14:textId="77777777" w:rsidR="002758DA" w:rsidRPr="00AA7A1C" w:rsidRDefault="00777190" w:rsidP="00EF468E">
      <w:pPr>
        <w:pStyle w:val="ItemHead"/>
      </w:pPr>
      <w:r>
        <w:t>27</w:t>
      </w:r>
      <w:r w:rsidR="002758DA" w:rsidRPr="00AA7A1C">
        <w:t xml:space="preserve">  </w:t>
      </w:r>
      <w:r w:rsidR="00AA7A1C" w:rsidRPr="00AA7A1C">
        <w:t>Subsection 2</w:t>
      </w:r>
      <w:r w:rsidR="002758DA" w:rsidRPr="00AA7A1C">
        <w:t>3(1)</w:t>
      </w:r>
    </w:p>
    <w:p w14:paraId="05430138" w14:textId="77777777" w:rsidR="002758DA" w:rsidRPr="00AA7A1C" w:rsidRDefault="002758DA" w:rsidP="00EF468E">
      <w:pPr>
        <w:pStyle w:val="Item"/>
      </w:pPr>
      <w:r w:rsidRPr="00AA7A1C">
        <w:t>Omit “him or her”, substitute “the person”.</w:t>
      </w:r>
    </w:p>
    <w:p w14:paraId="05430139" w14:textId="77777777" w:rsidR="001D07EB" w:rsidRPr="00AA7A1C" w:rsidRDefault="00777190" w:rsidP="00EF468E">
      <w:pPr>
        <w:pStyle w:val="ItemHead"/>
      </w:pPr>
      <w:r>
        <w:t>28</w:t>
      </w:r>
      <w:r w:rsidR="001D07EB" w:rsidRPr="00AA7A1C">
        <w:t xml:space="preserve">  </w:t>
      </w:r>
      <w:r w:rsidR="00AA7A1C" w:rsidRPr="00AA7A1C">
        <w:t>Section 2</w:t>
      </w:r>
      <w:r w:rsidR="001D07EB" w:rsidRPr="00AA7A1C">
        <w:t>4</w:t>
      </w:r>
    </w:p>
    <w:p w14:paraId="0543013A" w14:textId="77777777" w:rsidR="001D07EB" w:rsidRPr="00AA7A1C" w:rsidRDefault="001D07EB" w:rsidP="00EF468E">
      <w:pPr>
        <w:pStyle w:val="Item"/>
      </w:pPr>
      <w:r w:rsidRPr="00AA7A1C">
        <w:t>Omit “he or she”, substitute “the person”.</w:t>
      </w:r>
    </w:p>
    <w:p w14:paraId="0543013B" w14:textId="77777777" w:rsidR="001D07EB" w:rsidRPr="00AA7A1C" w:rsidRDefault="00777190" w:rsidP="00EF468E">
      <w:pPr>
        <w:pStyle w:val="ItemHead"/>
      </w:pPr>
      <w:r>
        <w:t>29</w:t>
      </w:r>
      <w:r w:rsidR="001D07EB" w:rsidRPr="00AA7A1C">
        <w:t xml:space="preserve">  </w:t>
      </w:r>
      <w:r w:rsidR="00AA7A1C" w:rsidRPr="00AA7A1C">
        <w:t>Subsection 2</w:t>
      </w:r>
      <w:r w:rsidR="001D07EB" w:rsidRPr="00AA7A1C">
        <w:t>5(3)</w:t>
      </w:r>
    </w:p>
    <w:p w14:paraId="0543013C" w14:textId="77777777" w:rsidR="001D07EB" w:rsidRPr="00AA7A1C" w:rsidRDefault="001D07EB" w:rsidP="00EF468E">
      <w:pPr>
        <w:pStyle w:val="Item"/>
      </w:pPr>
      <w:r w:rsidRPr="00AA7A1C">
        <w:t>Omit “him or her as he or she”, substitute “the Minister as the Minister”.</w:t>
      </w:r>
    </w:p>
    <w:p w14:paraId="0543013D" w14:textId="77777777" w:rsidR="00A15D65" w:rsidRPr="00AA7A1C" w:rsidRDefault="00A15D65" w:rsidP="00EF468E">
      <w:pPr>
        <w:pStyle w:val="ActHead9"/>
        <w:rPr>
          <w:i w:val="0"/>
        </w:rPr>
      </w:pPr>
      <w:bookmarkStart w:id="13" w:name="_Toc53568998"/>
      <w:r w:rsidRPr="00AA7A1C">
        <w:t>Competition and Consumer Act 2010</w:t>
      </w:r>
      <w:bookmarkEnd w:id="13"/>
    </w:p>
    <w:p w14:paraId="0543013E" w14:textId="77777777" w:rsidR="00F11882" w:rsidRPr="00AA7A1C" w:rsidRDefault="00777190" w:rsidP="00EF468E">
      <w:pPr>
        <w:pStyle w:val="ItemHead"/>
      </w:pPr>
      <w:r>
        <w:t>30</w:t>
      </w:r>
      <w:r w:rsidR="00F11882" w:rsidRPr="00AA7A1C">
        <w:t xml:space="preserve">  </w:t>
      </w:r>
      <w:r w:rsidR="00AA7A1C" w:rsidRPr="00AA7A1C">
        <w:t>Section 4</w:t>
      </w:r>
      <w:r w:rsidR="00F11882" w:rsidRPr="00AA7A1C">
        <w:t>B</w:t>
      </w:r>
    </w:p>
    <w:p w14:paraId="0543013F" w14:textId="77777777" w:rsidR="00F11882" w:rsidRPr="00AA7A1C" w:rsidRDefault="00F11882" w:rsidP="00EF468E">
      <w:pPr>
        <w:pStyle w:val="Item"/>
      </w:pPr>
      <w:r w:rsidRPr="00AA7A1C">
        <w:t>Repeal the section, substitute:</w:t>
      </w:r>
    </w:p>
    <w:p w14:paraId="05430140" w14:textId="77777777" w:rsidR="00F11882" w:rsidRPr="00AA7A1C" w:rsidRDefault="00F11882" w:rsidP="00EF468E">
      <w:pPr>
        <w:pStyle w:val="ActHead5"/>
      </w:pPr>
      <w:bookmarkStart w:id="14" w:name="_Toc53568999"/>
      <w:r w:rsidRPr="0086646A">
        <w:rPr>
          <w:rStyle w:val="CharSectno"/>
        </w:rPr>
        <w:t>4B</w:t>
      </w:r>
      <w:r w:rsidRPr="00AA7A1C">
        <w:t xml:space="preserve">  Consumers</w:t>
      </w:r>
      <w:bookmarkEnd w:id="14"/>
    </w:p>
    <w:p w14:paraId="05430141" w14:textId="77777777" w:rsidR="00F11882" w:rsidRPr="00AA7A1C" w:rsidRDefault="00F11882" w:rsidP="00EF468E">
      <w:pPr>
        <w:pStyle w:val="subsection"/>
      </w:pPr>
      <w:r w:rsidRPr="00AA7A1C">
        <w:tab/>
      </w:r>
      <w:r w:rsidRPr="00AA7A1C">
        <w:tab/>
        <w:t xml:space="preserve">For the purposes of this Act, unless the contrary intention appears, a person is taken to have acquired particular goods or services as a </w:t>
      </w:r>
      <w:r w:rsidRPr="00AA7A1C">
        <w:rPr>
          <w:b/>
          <w:i/>
        </w:rPr>
        <w:t>consumer</w:t>
      </w:r>
      <w:r w:rsidRPr="00AA7A1C">
        <w:t xml:space="preserve"> if the person would be taken to have acquired the goods or services as a consumer under </w:t>
      </w:r>
      <w:r w:rsidR="00AA7A1C" w:rsidRPr="00AA7A1C">
        <w:t>section 3</w:t>
      </w:r>
      <w:r w:rsidRPr="00AA7A1C">
        <w:t xml:space="preserve"> of the Australian Consumer Law.</w:t>
      </w:r>
    </w:p>
    <w:p w14:paraId="05430142" w14:textId="77777777" w:rsidR="00F11882" w:rsidRPr="00AA7A1C" w:rsidRDefault="00777190" w:rsidP="00EF468E">
      <w:pPr>
        <w:pStyle w:val="ItemHead"/>
      </w:pPr>
      <w:r>
        <w:t>31</w:t>
      </w:r>
      <w:r w:rsidR="00F11882" w:rsidRPr="00AA7A1C">
        <w:t xml:space="preserve">  </w:t>
      </w:r>
      <w:r w:rsidR="00AA7A1C" w:rsidRPr="00AA7A1C">
        <w:t>Subsection 5</w:t>
      </w:r>
      <w:r w:rsidR="00F11882" w:rsidRPr="00AA7A1C">
        <w:t>6AI(4)</w:t>
      </w:r>
    </w:p>
    <w:p w14:paraId="05430143" w14:textId="77777777" w:rsidR="00F11882" w:rsidRPr="00AA7A1C" w:rsidRDefault="00F11882" w:rsidP="00EF468E">
      <w:pPr>
        <w:pStyle w:val="Item"/>
      </w:pPr>
      <w:r w:rsidRPr="00AA7A1C">
        <w:t>Omit “</w:t>
      </w:r>
      <w:r w:rsidR="00AA7A1C" w:rsidRPr="00AA7A1C">
        <w:t>Subsection 4</w:t>
      </w:r>
      <w:r w:rsidRPr="00AA7A1C">
        <w:t>B(1)”, substitute “</w:t>
      </w:r>
      <w:r w:rsidR="00AA7A1C" w:rsidRPr="00AA7A1C">
        <w:t>Section 4</w:t>
      </w:r>
      <w:r w:rsidRPr="00AA7A1C">
        <w:t>B”.</w:t>
      </w:r>
    </w:p>
    <w:p w14:paraId="05430144" w14:textId="77777777" w:rsidR="00A5530A" w:rsidRPr="00AA7A1C" w:rsidRDefault="00777190" w:rsidP="00EF468E">
      <w:pPr>
        <w:pStyle w:val="ItemHead"/>
      </w:pPr>
      <w:r>
        <w:lastRenderedPageBreak/>
        <w:t>32</w:t>
      </w:r>
      <w:r w:rsidR="00A5530A" w:rsidRPr="00AA7A1C">
        <w:t xml:space="preserve">  </w:t>
      </w:r>
      <w:r w:rsidR="00AA7A1C" w:rsidRPr="00AA7A1C">
        <w:t>Subsection 9</w:t>
      </w:r>
      <w:r w:rsidR="00A5530A" w:rsidRPr="00AA7A1C">
        <w:t>0(8)</w:t>
      </w:r>
    </w:p>
    <w:p w14:paraId="05430145" w14:textId="77777777" w:rsidR="00A5530A" w:rsidRPr="00AA7A1C" w:rsidRDefault="00A5530A" w:rsidP="00EF468E">
      <w:pPr>
        <w:pStyle w:val="Item"/>
      </w:pPr>
      <w:r w:rsidRPr="00AA7A1C">
        <w:t>Omit “to the extent that”, substitute “if”.</w:t>
      </w:r>
    </w:p>
    <w:p w14:paraId="05430146" w14:textId="77777777" w:rsidR="009F2240" w:rsidRPr="00AA7A1C" w:rsidRDefault="00777190" w:rsidP="00EF468E">
      <w:pPr>
        <w:pStyle w:val="ItemHead"/>
      </w:pPr>
      <w:r>
        <w:t>33</w:t>
      </w:r>
      <w:r w:rsidR="009F2240" w:rsidRPr="00AA7A1C">
        <w:t xml:space="preserve">  </w:t>
      </w:r>
      <w:r w:rsidR="00AA7A1C" w:rsidRPr="00AA7A1C">
        <w:t>Paragraph 1</w:t>
      </w:r>
      <w:r w:rsidR="009F2240" w:rsidRPr="00AA7A1C">
        <w:t>54G(1)(d)</w:t>
      </w:r>
    </w:p>
    <w:p w14:paraId="05430147" w14:textId="77777777" w:rsidR="009F2240" w:rsidRPr="00AA7A1C" w:rsidRDefault="009F2240" w:rsidP="00EF468E">
      <w:pPr>
        <w:pStyle w:val="Item"/>
      </w:pPr>
      <w:r w:rsidRPr="00AA7A1C">
        <w:t>After “accessible by doing so”, insert “(including evidential material not held at the premises)”.</w:t>
      </w:r>
    </w:p>
    <w:p w14:paraId="05430148" w14:textId="77777777" w:rsidR="00F11882" w:rsidRPr="00AA7A1C" w:rsidRDefault="00777190" w:rsidP="00EF468E">
      <w:pPr>
        <w:pStyle w:val="ItemHead"/>
      </w:pPr>
      <w:r>
        <w:t>34</w:t>
      </w:r>
      <w:r w:rsidR="00F11882" w:rsidRPr="00AA7A1C">
        <w:t xml:space="preserve">  </w:t>
      </w:r>
      <w:r w:rsidR="00AA7A1C" w:rsidRPr="00AA7A1C">
        <w:t>Subsection 1</w:t>
      </w:r>
      <w:r w:rsidR="00F11882" w:rsidRPr="00AA7A1C">
        <w:t>54V(3) (heading)</w:t>
      </w:r>
    </w:p>
    <w:p w14:paraId="05430149" w14:textId="77777777" w:rsidR="00F11882" w:rsidRPr="00AA7A1C" w:rsidRDefault="00F11882" w:rsidP="00EF468E">
      <w:pPr>
        <w:pStyle w:val="Item"/>
      </w:pPr>
      <w:r w:rsidRPr="00AA7A1C">
        <w:t>Omit “</w:t>
      </w:r>
      <w:r w:rsidRPr="00AA7A1C">
        <w:rPr>
          <w:i/>
        </w:rPr>
        <w:t>Affect</w:t>
      </w:r>
      <w:r w:rsidRPr="00AA7A1C">
        <w:t>”, substitute “</w:t>
      </w:r>
      <w:r w:rsidRPr="00AA7A1C">
        <w:rPr>
          <w:i/>
        </w:rPr>
        <w:t>Effect</w:t>
      </w:r>
      <w:r w:rsidRPr="00AA7A1C">
        <w:t>”.</w:t>
      </w:r>
    </w:p>
    <w:p w14:paraId="0543014A" w14:textId="77777777" w:rsidR="00F11882" w:rsidRPr="00AA7A1C" w:rsidRDefault="00F11882" w:rsidP="00EF468E">
      <w:pPr>
        <w:pStyle w:val="notemargin"/>
      </w:pPr>
      <w:r w:rsidRPr="00AA7A1C">
        <w:t>Note:</w:t>
      </w:r>
      <w:r w:rsidRPr="00AA7A1C">
        <w:tab/>
        <w:t>This item fixes a grammatical error.</w:t>
      </w:r>
    </w:p>
    <w:p w14:paraId="0543014B" w14:textId="77777777" w:rsidR="00A15D65" w:rsidRPr="00AA7A1C" w:rsidRDefault="00777190" w:rsidP="00EF468E">
      <w:pPr>
        <w:pStyle w:val="ItemHead"/>
      </w:pPr>
      <w:r>
        <w:t>35</w:t>
      </w:r>
      <w:r w:rsidR="00A15D65" w:rsidRPr="00AA7A1C">
        <w:t xml:space="preserve">  </w:t>
      </w:r>
      <w:r w:rsidR="00AA7A1C" w:rsidRPr="00AA7A1C">
        <w:t>Section 2</w:t>
      </w:r>
      <w:r w:rsidR="00A15D65" w:rsidRPr="00AA7A1C">
        <w:t xml:space="preserve">60 of </w:t>
      </w:r>
      <w:r w:rsidR="00AA7A1C" w:rsidRPr="00AA7A1C">
        <w:t>Schedule 2</w:t>
      </w:r>
    </w:p>
    <w:p w14:paraId="0543014C" w14:textId="77777777" w:rsidR="00A15D65" w:rsidRPr="00AA7A1C" w:rsidRDefault="00A15D65" w:rsidP="00EF468E">
      <w:pPr>
        <w:pStyle w:val="Item"/>
      </w:pPr>
      <w:r w:rsidRPr="00AA7A1C">
        <w:t>Before “A failure”, insert “(1)”.</w:t>
      </w:r>
    </w:p>
    <w:p w14:paraId="0543014D" w14:textId="77777777" w:rsidR="00A15D65" w:rsidRPr="00AA7A1C" w:rsidRDefault="00777190" w:rsidP="00EF468E">
      <w:pPr>
        <w:pStyle w:val="ItemHead"/>
      </w:pPr>
      <w:r>
        <w:t>36</w:t>
      </w:r>
      <w:r w:rsidR="00A15D65" w:rsidRPr="00AA7A1C">
        <w:t xml:space="preserve">  At the end of </w:t>
      </w:r>
      <w:r w:rsidR="00AA7A1C" w:rsidRPr="00AA7A1C">
        <w:t>section 2</w:t>
      </w:r>
      <w:r w:rsidR="00A15D65" w:rsidRPr="00AA7A1C">
        <w:t xml:space="preserve">60 of </w:t>
      </w:r>
      <w:r w:rsidR="00AA7A1C" w:rsidRPr="00AA7A1C">
        <w:t>Schedule 2</w:t>
      </w:r>
    </w:p>
    <w:p w14:paraId="0543014E" w14:textId="77777777" w:rsidR="00A15D65" w:rsidRPr="00AA7A1C" w:rsidRDefault="00A15D65" w:rsidP="00EF468E">
      <w:pPr>
        <w:pStyle w:val="Item"/>
      </w:pPr>
      <w:r w:rsidRPr="00AA7A1C">
        <w:t>Add:</w:t>
      </w:r>
    </w:p>
    <w:p w14:paraId="0543014F" w14:textId="77777777" w:rsidR="00A15D65" w:rsidRPr="00AA7A1C" w:rsidRDefault="00A15D65" w:rsidP="00EF468E">
      <w:pPr>
        <w:pStyle w:val="subsection"/>
      </w:pPr>
      <w:r w:rsidRPr="00AA7A1C">
        <w:tab/>
        <w:t>(2)</w:t>
      </w:r>
      <w:r w:rsidRPr="00AA7A1C">
        <w:tab/>
        <w:t xml:space="preserve">A failure to comply with a guarantee referred to in </w:t>
      </w:r>
      <w:r w:rsidR="00AA7A1C" w:rsidRPr="00AA7A1C">
        <w:t>section 2</w:t>
      </w:r>
      <w:r w:rsidRPr="00AA7A1C">
        <w:t xml:space="preserve">59(1)(b) that applies to a supply of goods is also a </w:t>
      </w:r>
      <w:r w:rsidRPr="00AA7A1C">
        <w:rPr>
          <w:b/>
          <w:i/>
        </w:rPr>
        <w:t>major failure</w:t>
      </w:r>
      <w:r w:rsidRPr="00AA7A1C">
        <w:t xml:space="preserve"> if:</w:t>
      </w:r>
    </w:p>
    <w:p w14:paraId="05430150" w14:textId="77777777" w:rsidR="00A15D65" w:rsidRPr="00AA7A1C" w:rsidRDefault="00A15D65" w:rsidP="00EF468E">
      <w:pPr>
        <w:pStyle w:val="paragraph"/>
      </w:pPr>
      <w:r w:rsidRPr="00AA7A1C">
        <w:tab/>
        <w:t>(a)</w:t>
      </w:r>
      <w:r w:rsidRPr="00AA7A1C">
        <w:tab/>
        <w:t xml:space="preserve">the failure is one of 2 or more failures to comply with a guarantee referred to in </w:t>
      </w:r>
      <w:r w:rsidR="00AA7A1C" w:rsidRPr="00AA7A1C">
        <w:t>section 2</w:t>
      </w:r>
      <w:r w:rsidRPr="00AA7A1C">
        <w:t>59(1)(b) that apply to the supply; and</w:t>
      </w:r>
    </w:p>
    <w:p w14:paraId="05430151" w14:textId="77777777" w:rsidR="00A15D65" w:rsidRPr="00AA7A1C" w:rsidRDefault="00A15D65" w:rsidP="00EF468E">
      <w:pPr>
        <w:pStyle w:val="paragraph"/>
      </w:pPr>
      <w:r w:rsidRPr="00AA7A1C">
        <w:tab/>
        <w:t>(b)</w:t>
      </w:r>
      <w:r w:rsidRPr="00AA7A1C">
        <w:tab/>
        <w:t>the goods would not have been acquired by a reasonable consumer fully acquainted with the nature and extent of those failures, taken as a whole.</w:t>
      </w:r>
    </w:p>
    <w:p w14:paraId="05430152" w14:textId="77777777" w:rsidR="00A15D65" w:rsidRPr="00AA7A1C" w:rsidRDefault="00A15D65" w:rsidP="00EF468E">
      <w:pPr>
        <w:pStyle w:val="notetext"/>
      </w:pPr>
      <w:r w:rsidRPr="00AA7A1C">
        <w:t>Note:</w:t>
      </w:r>
      <w:r w:rsidRPr="00AA7A1C">
        <w:tab/>
        <w:t>The multiple failures do not need to relate to the same guarantee.</w:t>
      </w:r>
    </w:p>
    <w:p w14:paraId="05430153" w14:textId="77777777" w:rsidR="00A15D65" w:rsidRPr="00AA7A1C" w:rsidRDefault="00A15D65" w:rsidP="00EF468E">
      <w:pPr>
        <w:pStyle w:val="subsection"/>
      </w:pPr>
      <w:r w:rsidRPr="00AA7A1C">
        <w:tab/>
        <w:t>(3)</w:t>
      </w:r>
      <w:r w:rsidRPr="00AA7A1C">
        <w:tab/>
        <w:t xml:space="preserve">Subsection (2) applies regardless of whether the consumer has taken action under </w:t>
      </w:r>
      <w:r w:rsidR="00AA7A1C" w:rsidRPr="00AA7A1C">
        <w:t>section 2</w:t>
      </w:r>
      <w:r w:rsidRPr="00AA7A1C">
        <w:t>59 in relation to any of the failures.</w:t>
      </w:r>
    </w:p>
    <w:p w14:paraId="05430154" w14:textId="77777777" w:rsidR="00A15D65" w:rsidRPr="00AA7A1C" w:rsidRDefault="00777190" w:rsidP="00EF468E">
      <w:pPr>
        <w:pStyle w:val="ItemHead"/>
      </w:pPr>
      <w:r>
        <w:t>37</w:t>
      </w:r>
      <w:r w:rsidR="00A15D65" w:rsidRPr="00AA7A1C">
        <w:t xml:space="preserve">  </w:t>
      </w:r>
      <w:r w:rsidR="00AA7A1C" w:rsidRPr="00AA7A1C">
        <w:t>Section 2</w:t>
      </w:r>
      <w:r w:rsidR="00A15D65" w:rsidRPr="00AA7A1C">
        <w:t xml:space="preserve">68 of </w:t>
      </w:r>
      <w:r w:rsidR="00AA7A1C" w:rsidRPr="00AA7A1C">
        <w:t>Schedule 2</w:t>
      </w:r>
    </w:p>
    <w:p w14:paraId="05430155" w14:textId="77777777" w:rsidR="00A15D65" w:rsidRPr="00AA7A1C" w:rsidRDefault="00A15D65" w:rsidP="00EF468E">
      <w:pPr>
        <w:pStyle w:val="Item"/>
      </w:pPr>
      <w:r w:rsidRPr="00AA7A1C">
        <w:t>Before “A failure”, insert “(1)”.</w:t>
      </w:r>
    </w:p>
    <w:p w14:paraId="05430156" w14:textId="77777777" w:rsidR="00A15D65" w:rsidRPr="00AA7A1C" w:rsidRDefault="00777190" w:rsidP="00EF468E">
      <w:pPr>
        <w:pStyle w:val="ItemHead"/>
      </w:pPr>
      <w:r>
        <w:t>38</w:t>
      </w:r>
      <w:r w:rsidR="00A15D65" w:rsidRPr="00AA7A1C">
        <w:t xml:space="preserve">  At the end of </w:t>
      </w:r>
      <w:r w:rsidR="00AA7A1C" w:rsidRPr="00AA7A1C">
        <w:t>section 2</w:t>
      </w:r>
      <w:r w:rsidR="00A15D65" w:rsidRPr="00AA7A1C">
        <w:t xml:space="preserve">68 of </w:t>
      </w:r>
      <w:r w:rsidR="00AA7A1C" w:rsidRPr="00AA7A1C">
        <w:t>Schedule 2</w:t>
      </w:r>
    </w:p>
    <w:p w14:paraId="05430157" w14:textId="77777777" w:rsidR="00A15D65" w:rsidRPr="00AA7A1C" w:rsidRDefault="00A15D65" w:rsidP="00EF468E">
      <w:pPr>
        <w:pStyle w:val="Item"/>
      </w:pPr>
      <w:r w:rsidRPr="00AA7A1C">
        <w:t>Add:</w:t>
      </w:r>
    </w:p>
    <w:p w14:paraId="05430158" w14:textId="77777777" w:rsidR="00A15D65" w:rsidRPr="00AA7A1C" w:rsidRDefault="00A15D65" w:rsidP="00EF468E">
      <w:pPr>
        <w:pStyle w:val="subsection"/>
      </w:pPr>
      <w:r w:rsidRPr="00AA7A1C">
        <w:tab/>
        <w:t>(2)</w:t>
      </w:r>
      <w:r w:rsidRPr="00AA7A1C">
        <w:tab/>
        <w:t xml:space="preserve">A failure to comply with a guarantee referred to in </w:t>
      </w:r>
      <w:r w:rsidR="00AA7A1C" w:rsidRPr="00AA7A1C">
        <w:t>section 2</w:t>
      </w:r>
      <w:r w:rsidRPr="00AA7A1C">
        <w:t xml:space="preserve">67(1)(b) that applies to a supply of services is also a </w:t>
      </w:r>
      <w:r w:rsidRPr="00AA7A1C">
        <w:rPr>
          <w:b/>
          <w:i/>
        </w:rPr>
        <w:t>major failure</w:t>
      </w:r>
      <w:r w:rsidRPr="00AA7A1C">
        <w:t xml:space="preserve"> if:</w:t>
      </w:r>
    </w:p>
    <w:p w14:paraId="05430159" w14:textId="77777777" w:rsidR="00A15D65" w:rsidRPr="00AA7A1C" w:rsidRDefault="00A15D65" w:rsidP="00EF468E">
      <w:pPr>
        <w:pStyle w:val="paragraph"/>
      </w:pPr>
      <w:r w:rsidRPr="00AA7A1C">
        <w:lastRenderedPageBreak/>
        <w:tab/>
        <w:t>(a)</w:t>
      </w:r>
      <w:r w:rsidRPr="00AA7A1C">
        <w:tab/>
        <w:t xml:space="preserve">the failure is one of 2 or more failures to comply with a guarantee referred to in </w:t>
      </w:r>
      <w:r w:rsidR="00AA7A1C" w:rsidRPr="00AA7A1C">
        <w:t>section 2</w:t>
      </w:r>
      <w:r w:rsidRPr="00AA7A1C">
        <w:t>67(1)(b) that apply to the supply; and</w:t>
      </w:r>
    </w:p>
    <w:p w14:paraId="0543015A" w14:textId="77777777" w:rsidR="00A15D65" w:rsidRPr="00AA7A1C" w:rsidRDefault="00A15D65" w:rsidP="00EF468E">
      <w:pPr>
        <w:pStyle w:val="paragraph"/>
      </w:pPr>
      <w:r w:rsidRPr="00AA7A1C">
        <w:tab/>
        <w:t>(b)</w:t>
      </w:r>
      <w:r w:rsidRPr="00AA7A1C">
        <w:tab/>
        <w:t>the services would not have been acquired by a reasonable consumer fully acquainted with the nature and extent of those failures, taken as a whole.</w:t>
      </w:r>
    </w:p>
    <w:p w14:paraId="0543015B" w14:textId="77777777" w:rsidR="00A15D65" w:rsidRPr="00AA7A1C" w:rsidRDefault="00A15D65" w:rsidP="00EF468E">
      <w:pPr>
        <w:pStyle w:val="notetext"/>
      </w:pPr>
      <w:r w:rsidRPr="00AA7A1C">
        <w:t>Note:</w:t>
      </w:r>
      <w:r w:rsidRPr="00AA7A1C">
        <w:tab/>
        <w:t>The multiple failures do not need to relate to the same guarantee.</w:t>
      </w:r>
    </w:p>
    <w:p w14:paraId="0543015C" w14:textId="77777777" w:rsidR="00A15D65" w:rsidRPr="00AA7A1C" w:rsidRDefault="00A15D65" w:rsidP="00EF468E">
      <w:pPr>
        <w:pStyle w:val="subsection"/>
      </w:pPr>
      <w:r w:rsidRPr="00AA7A1C">
        <w:tab/>
        <w:t>(3)</w:t>
      </w:r>
      <w:r w:rsidRPr="00AA7A1C">
        <w:tab/>
        <w:t xml:space="preserve">Subsection (2) applies regardless of whether the consumer has taken action under </w:t>
      </w:r>
      <w:r w:rsidR="00AA7A1C" w:rsidRPr="00AA7A1C">
        <w:t>section 2</w:t>
      </w:r>
      <w:r w:rsidRPr="00AA7A1C">
        <w:t>67 in relation to any of the failures.</w:t>
      </w:r>
    </w:p>
    <w:p w14:paraId="0543015D" w14:textId="77777777" w:rsidR="00A15D65" w:rsidRPr="00AA7A1C" w:rsidRDefault="00777190" w:rsidP="00EF468E">
      <w:pPr>
        <w:pStyle w:val="ItemHead"/>
      </w:pPr>
      <w:r>
        <w:t>39</w:t>
      </w:r>
      <w:r w:rsidR="00A15D65" w:rsidRPr="00AA7A1C">
        <w:t xml:space="preserve">  In the appropriate position in Chapter 6 of </w:t>
      </w:r>
      <w:r w:rsidR="00AA7A1C" w:rsidRPr="00AA7A1C">
        <w:t>Schedule 2</w:t>
      </w:r>
    </w:p>
    <w:p w14:paraId="0543015E" w14:textId="77777777" w:rsidR="00A15D65" w:rsidRPr="00AA7A1C" w:rsidRDefault="00A15D65" w:rsidP="00EF468E">
      <w:pPr>
        <w:pStyle w:val="Item"/>
      </w:pPr>
      <w:r w:rsidRPr="00AA7A1C">
        <w:t>Insert:</w:t>
      </w:r>
    </w:p>
    <w:p w14:paraId="0543015F" w14:textId="77777777" w:rsidR="00A15D65" w:rsidRPr="00AA7A1C" w:rsidRDefault="00A15D65" w:rsidP="00EF468E">
      <w:pPr>
        <w:pStyle w:val="ActHead2"/>
      </w:pPr>
      <w:bookmarkStart w:id="15" w:name="_Toc53569000"/>
      <w:r w:rsidRPr="0086646A">
        <w:rPr>
          <w:rStyle w:val="CharPartNo"/>
        </w:rPr>
        <w:t>Part 6</w:t>
      </w:r>
      <w:r w:rsidRPr="00AA7A1C">
        <w:t>—</w:t>
      </w:r>
      <w:r w:rsidRPr="0086646A">
        <w:rPr>
          <w:rStyle w:val="CharPartText"/>
        </w:rPr>
        <w:t xml:space="preserve">Application and transitional provisions relating to the </w:t>
      </w:r>
      <w:r w:rsidR="002A123E" w:rsidRPr="0086646A">
        <w:rPr>
          <w:rStyle w:val="CharPartText"/>
        </w:rPr>
        <w:t>[name of Act]</w:t>
      </w:r>
      <w:bookmarkEnd w:id="15"/>
    </w:p>
    <w:p w14:paraId="05430160" w14:textId="77777777" w:rsidR="00A15D65" w:rsidRPr="0086646A" w:rsidRDefault="00A15D65" w:rsidP="00EF468E">
      <w:pPr>
        <w:pStyle w:val="Header"/>
      </w:pPr>
      <w:r w:rsidRPr="0086646A">
        <w:rPr>
          <w:rStyle w:val="CharDivNo"/>
        </w:rPr>
        <w:t xml:space="preserve"> </w:t>
      </w:r>
      <w:r w:rsidRPr="0086646A">
        <w:rPr>
          <w:rStyle w:val="CharDivText"/>
        </w:rPr>
        <w:t xml:space="preserve"> </w:t>
      </w:r>
    </w:p>
    <w:p w14:paraId="05430161" w14:textId="77777777" w:rsidR="00A15D65" w:rsidRPr="00AA7A1C" w:rsidRDefault="00A15D65" w:rsidP="00EF468E">
      <w:pPr>
        <w:pStyle w:val="ActHead5"/>
      </w:pPr>
      <w:bookmarkStart w:id="16" w:name="_Toc53569001"/>
      <w:r w:rsidRPr="0086646A">
        <w:rPr>
          <w:rStyle w:val="CharSectno"/>
        </w:rPr>
        <w:t>303</w:t>
      </w:r>
      <w:r w:rsidRPr="00AA7A1C">
        <w:t xml:space="preserve">  Application of amendments relating to multiple non</w:t>
      </w:r>
      <w:r w:rsidR="00EF468E">
        <w:noBreakHyphen/>
      </w:r>
      <w:r w:rsidRPr="00AA7A1C">
        <w:t>major consumer guarantee failures</w:t>
      </w:r>
      <w:bookmarkEnd w:id="16"/>
    </w:p>
    <w:p w14:paraId="05430162" w14:textId="77777777" w:rsidR="00A15D65" w:rsidRPr="00AA7A1C" w:rsidRDefault="00A15D65" w:rsidP="00EF468E">
      <w:pPr>
        <w:pStyle w:val="subsection"/>
      </w:pPr>
      <w:r w:rsidRPr="00AA7A1C">
        <w:tab/>
        <w:t>(1</w:t>
      </w:r>
      <w:r w:rsidR="002A123E" w:rsidRPr="00AA7A1C">
        <w:t>)</w:t>
      </w:r>
      <w:r w:rsidR="002A123E" w:rsidRPr="00AA7A1C">
        <w:tab/>
        <w:t>The amendments made by [</w:t>
      </w:r>
      <w:r w:rsidR="002A123E" w:rsidRPr="00AA7A1C">
        <w:rPr>
          <w:i/>
        </w:rPr>
        <w:t>items XX</w:t>
      </w:r>
      <w:r w:rsidRPr="00AA7A1C">
        <w:rPr>
          <w:i/>
        </w:rPr>
        <w:t xml:space="preserve"> and </w:t>
      </w:r>
      <w:r w:rsidR="002A123E" w:rsidRPr="00AA7A1C">
        <w:rPr>
          <w:i/>
        </w:rPr>
        <w:t>XX</w:t>
      </w:r>
      <w:r w:rsidRPr="00AA7A1C">
        <w:rPr>
          <w:i/>
        </w:rPr>
        <w:t xml:space="preserve"> of Schedule </w:t>
      </w:r>
      <w:r w:rsidR="002A123E" w:rsidRPr="00AA7A1C">
        <w:rPr>
          <w:i/>
        </w:rPr>
        <w:t>X</w:t>
      </w:r>
      <w:r w:rsidRPr="00AA7A1C">
        <w:rPr>
          <w:i/>
        </w:rPr>
        <w:t xml:space="preserve"> to </w:t>
      </w:r>
      <w:r w:rsidR="002A123E" w:rsidRPr="00AA7A1C">
        <w:rPr>
          <w:i/>
        </w:rPr>
        <w:t>XX Act</w:t>
      </w:r>
      <w:r w:rsidR="002A123E" w:rsidRPr="00AA7A1C">
        <w:t>]</w:t>
      </w:r>
      <w:r w:rsidRPr="00AA7A1C">
        <w:t xml:space="preserve"> apply in relation to goods supplied under a contract entered into on or after the day that Schedule commences.</w:t>
      </w:r>
    </w:p>
    <w:p w14:paraId="05430163" w14:textId="77777777" w:rsidR="00A15D65" w:rsidRPr="00AA7A1C" w:rsidRDefault="00A15D65" w:rsidP="00EF468E">
      <w:pPr>
        <w:pStyle w:val="subsection"/>
      </w:pPr>
      <w:r w:rsidRPr="00AA7A1C">
        <w:tab/>
        <w:t>(2)</w:t>
      </w:r>
      <w:r w:rsidRPr="00AA7A1C">
        <w:tab/>
        <w:t xml:space="preserve">The amendments made by </w:t>
      </w:r>
      <w:r w:rsidR="002A123E" w:rsidRPr="00AA7A1C">
        <w:t>[</w:t>
      </w:r>
      <w:r w:rsidR="002A123E" w:rsidRPr="00AA7A1C">
        <w:rPr>
          <w:i/>
        </w:rPr>
        <w:t>items XX and XX of Schedule X to XX Act</w:t>
      </w:r>
      <w:r w:rsidR="002A123E" w:rsidRPr="00AA7A1C">
        <w:t>]</w:t>
      </w:r>
      <w:r w:rsidRPr="00AA7A1C">
        <w:t xml:space="preserve"> apply in relation to a services supplied under a contract entered into on or after the day that Schedule commences.</w:t>
      </w:r>
    </w:p>
    <w:p w14:paraId="05430164" w14:textId="77777777" w:rsidR="00AA5E7B" w:rsidRPr="00AA7A1C" w:rsidRDefault="00AA5E7B" w:rsidP="00EF468E">
      <w:pPr>
        <w:pStyle w:val="ActHead9"/>
        <w:rPr>
          <w:i w:val="0"/>
        </w:rPr>
      </w:pPr>
      <w:bookmarkStart w:id="17" w:name="_Toc53569002"/>
      <w:r w:rsidRPr="00AA7A1C">
        <w:t>Corporations Act 2001</w:t>
      </w:r>
      <w:bookmarkEnd w:id="17"/>
    </w:p>
    <w:p w14:paraId="05430165" w14:textId="77777777" w:rsidR="00AA5E7B" w:rsidRPr="00AA7A1C" w:rsidRDefault="00777190" w:rsidP="00EF468E">
      <w:pPr>
        <w:pStyle w:val="ItemHead"/>
      </w:pPr>
      <w:r>
        <w:t>40</w:t>
      </w:r>
      <w:r w:rsidR="00AA5E7B" w:rsidRPr="00AA7A1C">
        <w:t xml:space="preserve">  </w:t>
      </w:r>
      <w:r w:rsidR="00AA7A1C" w:rsidRPr="00AA7A1C">
        <w:t>Section 9</w:t>
      </w:r>
    </w:p>
    <w:p w14:paraId="05430166" w14:textId="77777777" w:rsidR="00AA5E7B" w:rsidRPr="00AA7A1C" w:rsidRDefault="00AA5E7B" w:rsidP="00EF468E">
      <w:pPr>
        <w:pStyle w:val="Item"/>
      </w:pPr>
      <w:r w:rsidRPr="00AA7A1C">
        <w:t>Insert:</w:t>
      </w:r>
    </w:p>
    <w:p w14:paraId="05430167" w14:textId="77777777" w:rsidR="00AA5E7B" w:rsidRPr="00AA7A1C" w:rsidRDefault="00AA5E7B" w:rsidP="00EF468E">
      <w:pPr>
        <w:pStyle w:val="Definition"/>
      </w:pPr>
      <w:r w:rsidRPr="00AA7A1C">
        <w:rPr>
          <w:b/>
          <w:i/>
        </w:rPr>
        <w:t>ASIC delegate</w:t>
      </w:r>
      <w:r w:rsidRPr="00AA7A1C">
        <w:t xml:space="preserve"> has the same meaning as in the ASIC Act.</w:t>
      </w:r>
    </w:p>
    <w:p w14:paraId="05430168" w14:textId="77777777" w:rsidR="00AA5E7B" w:rsidRPr="00AA7A1C" w:rsidRDefault="00777190" w:rsidP="00EF468E">
      <w:pPr>
        <w:pStyle w:val="ItemHead"/>
      </w:pPr>
      <w:r>
        <w:t>41</w:t>
      </w:r>
      <w:r w:rsidR="00AA5E7B" w:rsidRPr="00AA7A1C">
        <w:t xml:space="preserve">  </w:t>
      </w:r>
      <w:r w:rsidR="00AA7A1C" w:rsidRPr="00AA7A1C">
        <w:t>Section 9</w:t>
      </w:r>
      <w:r w:rsidR="00AA5E7B" w:rsidRPr="00AA7A1C">
        <w:t xml:space="preserve"> (definition of </w:t>
      </w:r>
      <w:r w:rsidR="00AA5E7B" w:rsidRPr="00AA7A1C">
        <w:rPr>
          <w:i/>
        </w:rPr>
        <w:t>Commission delegate</w:t>
      </w:r>
      <w:r w:rsidR="00AA5E7B" w:rsidRPr="00AA7A1C">
        <w:t>)</w:t>
      </w:r>
    </w:p>
    <w:p w14:paraId="05430169" w14:textId="77777777" w:rsidR="00AA5E7B" w:rsidRPr="00AA7A1C" w:rsidRDefault="00AA5E7B" w:rsidP="00EF468E">
      <w:pPr>
        <w:pStyle w:val="Item"/>
      </w:pPr>
      <w:r w:rsidRPr="00AA7A1C">
        <w:t>Repeal the definition.</w:t>
      </w:r>
    </w:p>
    <w:p w14:paraId="0543016A" w14:textId="77777777" w:rsidR="00F11882" w:rsidRPr="00AA7A1C" w:rsidRDefault="00777190" w:rsidP="00EF468E">
      <w:pPr>
        <w:pStyle w:val="ItemHead"/>
      </w:pPr>
      <w:r>
        <w:t>42</w:t>
      </w:r>
      <w:r w:rsidR="00F11882" w:rsidRPr="00AA7A1C">
        <w:t xml:space="preserve">  </w:t>
      </w:r>
      <w:r w:rsidR="00AA7A1C" w:rsidRPr="00AA7A1C">
        <w:t>Section 9</w:t>
      </w:r>
      <w:r w:rsidR="00F11882" w:rsidRPr="00AA7A1C">
        <w:t xml:space="preserve"> (</w:t>
      </w:r>
      <w:r w:rsidR="00AA7A1C" w:rsidRPr="00AA7A1C">
        <w:t>paragraph (</w:t>
      </w:r>
      <w:r w:rsidR="00F11882" w:rsidRPr="00AA7A1C">
        <w:t xml:space="preserve">c) of the definition of </w:t>
      </w:r>
      <w:r w:rsidR="00F11882" w:rsidRPr="00AA7A1C">
        <w:rPr>
          <w:i/>
        </w:rPr>
        <w:t>professional investor</w:t>
      </w:r>
      <w:r w:rsidR="00F11882" w:rsidRPr="00AA7A1C">
        <w:t>)</w:t>
      </w:r>
    </w:p>
    <w:p w14:paraId="0543016B" w14:textId="77777777" w:rsidR="00F11882" w:rsidRPr="00AA7A1C" w:rsidRDefault="00F11882" w:rsidP="00EF468E">
      <w:pPr>
        <w:pStyle w:val="Item"/>
      </w:pPr>
      <w:r w:rsidRPr="00AA7A1C">
        <w:t>Repeal the paragraph, substitute:</w:t>
      </w:r>
    </w:p>
    <w:p w14:paraId="0543016C" w14:textId="77777777" w:rsidR="00F11882" w:rsidRPr="00AA7A1C" w:rsidRDefault="00F11882" w:rsidP="00EF468E">
      <w:pPr>
        <w:pStyle w:val="paragraph"/>
      </w:pPr>
      <w:r w:rsidRPr="00AA7A1C">
        <w:lastRenderedPageBreak/>
        <w:tab/>
        <w:t>(c)</w:t>
      </w:r>
      <w:r w:rsidRPr="00AA7A1C">
        <w:tab/>
        <w:t xml:space="preserve">the person is a registered entity within the meaning of the </w:t>
      </w:r>
      <w:r w:rsidRPr="00AA7A1C">
        <w:rPr>
          <w:i/>
        </w:rPr>
        <w:t>Financial Sector (Collection of Data) Act 2001</w:t>
      </w:r>
      <w:r w:rsidRPr="00AA7A1C">
        <w:t>;</w:t>
      </w:r>
    </w:p>
    <w:p w14:paraId="0543016D" w14:textId="77777777" w:rsidR="00AA5E7B" w:rsidRPr="00AA7A1C" w:rsidRDefault="00777190" w:rsidP="00EF468E">
      <w:pPr>
        <w:pStyle w:val="ItemHead"/>
      </w:pPr>
      <w:r>
        <w:t>43</w:t>
      </w:r>
      <w:r w:rsidR="00AA5E7B" w:rsidRPr="00AA7A1C">
        <w:t xml:space="preserve">  </w:t>
      </w:r>
      <w:r w:rsidR="000571FE">
        <w:t>Section 1</w:t>
      </w:r>
      <w:r w:rsidR="00AA5E7B" w:rsidRPr="00AA7A1C">
        <w:t>06</w:t>
      </w:r>
    </w:p>
    <w:p w14:paraId="0543016E" w14:textId="77777777" w:rsidR="00AA5E7B" w:rsidRPr="00AA7A1C" w:rsidRDefault="00AA5E7B" w:rsidP="00EF468E">
      <w:pPr>
        <w:pStyle w:val="Item"/>
      </w:pPr>
      <w:r w:rsidRPr="00AA7A1C">
        <w:t>Omit “a Commission”, substitute “an ASIC”.</w:t>
      </w:r>
    </w:p>
    <w:p w14:paraId="0543016F" w14:textId="77777777" w:rsidR="00AA5E7B" w:rsidRPr="00AA7A1C" w:rsidRDefault="00777190" w:rsidP="00EF468E">
      <w:pPr>
        <w:pStyle w:val="ItemHead"/>
      </w:pPr>
      <w:r>
        <w:t>44</w:t>
      </w:r>
      <w:r w:rsidR="00AA5E7B" w:rsidRPr="00AA7A1C">
        <w:t xml:space="preserve">  </w:t>
      </w:r>
      <w:r w:rsidR="000571FE">
        <w:t>Section 1</w:t>
      </w:r>
      <w:r w:rsidR="00AA5E7B" w:rsidRPr="00AA7A1C">
        <w:t>06</w:t>
      </w:r>
    </w:p>
    <w:p w14:paraId="05430170" w14:textId="77777777" w:rsidR="00AA5E7B" w:rsidRPr="00AA7A1C" w:rsidRDefault="00AA5E7B" w:rsidP="00EF468E">
      <w:pPr>
        <w:pStyle w:val="Item"/>
      </w:pPr>
      <w:r w:rsidRPr="00AA7A1C">
        <w:t>Omit “the Commission”, substitute “the ASIC”.</w:t>
      </w:r>
    </w:p>
    <w:p w14:paraId="05430171" w14:textId="77777777" w:rsidR="00F11882" w:rsidRPr="00AA7A1C" w:rsidRDefault="00777190" w:rsidP="00EF468E">
      <w:pPr>
        <w:pStyle w:val="ItemHead"/>
      </w:pPr>
      <w:r>
        <w:t>45</w:t>
      </w:r>
      <w:r w:rsidR="00F11882" w:rsidRPr="00AA7A1C">
        <w:t xml:space="preserve">  </w:t>
      </w:r>
      <w:r w:rsidR="00AA7A1C" w:rsidRPr="00AA7A1C">
        <w:t>Paragraph 7</w:t>
      </w:r>
      <w:r w:rsidR="00F11882" w:rsidRPr="00AA7A1C">
        <w:t>61EA(10)(b)</w:t>
      </w:r>
    </w:p>
    <w:p w14:paraId="05430172" w14:textId="77777777" w:rsidR="00F11882" w:rsidRPr="00AA7A1C" w:rsidRDefault="00F11882" w:rsidP="00EF468E">
      <w:pPr>
        <w:pStyle w:val="Item"/>
      </w:pPr>
      <w:r w:rsidRPr="00AA7A1C">
        <w:t xml:space="preserve">Omit “for the purposes of the </w:t>
      </w:r>
      <w:r w:rsidRPr="00AA7A1C">
        <w:rPr>
          <w:i/>
          <w:iCs/>
        </w:rPr>
        <w:t>Legislative Instruments Act 2003</w:t>
      </w:r>
      <w:r w:rsidRPr="00AA7A1C">
        <w:t>”.</w:t>
      </w:r>
    </w:p>
    <w:p w14:paraId="05430173" w14:textId="77777777" w:rsidR="00F11882" w:rsidRPr="00AA7A1C" w:rsidRDefault="00F11882" w:rsidP="00EF468E">
      <w:pPr>
        <w:pStyle w:val="notemargin"/>
      </w:pPr>
      <w:r w:rsidRPr="00AA7A1C">
        <w:t>Note:</w:t>
      </w:r>
      <w:r w:rsidRPr="00AA7A1C">
        <w:tab/>
        <w:t>This item removes an incorrect and redundant citation of a short title of an Act.</w:t>
      </w:r>
    </w:p>
    <w:p w14:paraId="05430174" w14:textId="77777777" w:rsidR="00F11882" w:rsidRPr="00AA7A1C" w:rsidRDefault="00777190" w:rsidP="00EF468E">
      <w:pPr>
        <w:pStyle w:val="ItemHead"/>
      </w:pPr>
      <w:r>
        <w:t>46</w:t>
      </w:r>
      <w:r w:rsidR="00F11882" w:rsidRPr="00AA7A1C">
        <w:t xml:space="preserve">  </w:t>
      </w:r>
      <w:r w:rsidR="00AA7A1C" w:rsidRPr="00AA7A1C">
        <w:t>Subsection 8</w:t>
      </w:r>
      <w:r w:rsidR="00F11882" w:rsidRPr="00AA7A1C">
        <w:t>50B(2)</w:t>
      </w:r>
    </w:p>
    <w:p w14:paraId="05430175" w14:textId="77777777" w:rsidR="00F11882" w:rsidRPr="00AA7A1C" w:rsidRDefault="00F11882" w:rsidP="00EF468E">
      <w:pPr>
        <w:pStyle w:val="Item"/>
      </w:pPr>
      <w:r w:rsidRPr="00AA7A1C">
        <w:t xml:space="preserve">Omit “earlier than the day after the last day on which the regulations may be disallowed under Part 5 of the </w:t>
      </w:r>
      <w:r w:rsidRPr="00AA7A1C">
        <w:rPr>
          <w:i/>
          <w:iCs/>
        </w:rPr>
        <w:t>Legislative Instruments Act 2003</w:t>
      </w:r>
      <w:r w:rsidRPr="00AA7A1C">
        <w:t xml:space="preserve">”, substitute “before the first day those regulations are no longer liable to be disallowed, or to be taken to have been disallowed, under </w:t>
      </w:r>
      <w:r w:rsidR="00AA7A1C" w:rsidRPr="00AA7A1C">
        <w:t>section 4</w:t>
      </w:r>
      <w:r w:rsidRPr="00AA7A1C">
        <w:t xml:space="preserve">2 of the </w:t>
      </w:r>
      <w:r w:rsidRPr="00AA7A1C">
        <w:rPr>
          <w:i/>
          <w:iCs/>
        </w:rPr>
        <w:t>Legislation Act 2003</w:t>
      </w:r>
      <w:r w:rsidRPr="00AA7A1C">
        <w:t>”.</w:t>
      </w:r>
    </w:p>
    <w:p w14:paraId="05430176" w14:textId="77777777" w:rsidR="00F11882" w:rsidRPr="00AA7A1C" w:rsidRDefault="00F11882" w:rsidP="00EF468E">
      <w:pPr>
        <w:pStyle w:val="notemargin"/>
      </w:pPr>
      <w:r w:rsidRPr="00AA7A1C">
        <w:t>Note:</w:t>
      </w:r>
      <w:r w:rsidRPr="00AA7A1C">
        <w:tab/>
        <w:t>This item fixes an incorrect cross</w:t>
      </w:r>
      <w:r w:rsidR="00EF468E">
        <w:noBreakHyphen/>
      </w:r>
      <w:r w:rsidRPr="00AA7A1C">
        <w:t>reference and an incorrect citation of a short title of an Act.</w:t>
      </w:r>
    </w:p>
    <w:p w14:paraId="05430177" w14:textId="77777777" w:rsidR="00F11882" w:rsidRPr="00AA7A1C" w:rsidRDefault="00777190" w:rsidP="00EF468E">
      <w:pPr>
        <w:pStyle w:val="ItemHead"/>
      </w:pPr>
      <w:r>
        <w:t>47</w:t>
      </w:r>
      <w:r w:rsidR="00F11882" w:rsidRPr="00AA7A1C">
        <w:t xml:space="preserve">  </w:t>
      </w:r>
      <w:r w:rsidR="00AA7A1C" w:rsidRPr="00AA7A1C">
        <w:t>Paragraph 9</w:t>
      </w:r>
      <w:r w:rsidR="00F11882" w:rsidRPr="00AA7A1C">
        <w:t>85M(6)(b)</w:t>
      </w:r>
    </w:p>
    <w:p w14:paraId="05430178" w14:textId="77777777" w:rsidR="00F11882" w:rsidRPr="00AA7A1C" w:rsidRDefault="00F11882" w:rsidP="00EF468E">
      <w:pPr>
        <w:pStyle w:val="Item"/>
      </w:pPr>
      <w:r w:rsidRPr="00AA7A1C">
        <w:t xml:space="preserve">Omit “for the purposes of the </w:t>
      </w:r>
      <w:r w:rsidRPr="00AA7A1C">
        <w:rPr>
          <w:i/>
          <w:iCs/>
        </w:rPr>
        <w:t>Legislative Instruments Act 2003</w:t>
      </w:r>
      <w:r w:rsidRPr="00AA7A1C">
        <w:t>”.</w:t>
      </w:r>
    </w:p>
    <w:p w14:paraId="05430179" w14:textId="77777777" w:rsidR="00F11882" w:rsidRPr="00AA7A1C" w:rsidRDefault="00F11882" w:rsidP="00EF468E">
      <w:pPr>
        <w:pStyle w:val="notemargin"/>
      </w:pPr>
      <w:r w:rsidRPr="00AA7A1C">
        <w:t>Note:</w:t>
      </w:r>
      <w:r w:rsidRPr="00AA7A1C">
        <w:tab/>
        <w:t>This item removes an incorrect and redundant citation of a short title of an Act.</w:t>
      </w:r>
    </w:p>
    <w:p w14:paraId="0543017A" w14:textId="77777777" w:rsidR="00F11882" w:rsidRPr="00AA7A1C" w:rsidRDefault="00777190" w:rsidP="00EF468E">
      <w:pPr>
        <w:pStyle w:val="ItemHead"/>
      </w:pPr>
      <w:r>
        <w:t>48</w:t>
      </w:r>
      <w:r w:rsidR="00F11882" w:rsidRPr="00AA7A1C">
        <w:t xml:space="preserve">  </w:t>
      </w:r>
      <w:r w:rsidR="00AA7A1C" w:rsidRPr="00AA7A1C">
        <w:t>Subsection 1</w:t>
      </w:r>
      <w:r w:rsidR="00F11882" w:rsidRPr="00AA7A1C">
        <w:t>017BB(5AA) (heading)</w:t>
      </w:r>
    </w:p>
    <w:p w14:paraId="0543017B" w14:textId="77777777" w:rsidR="00F11882" w:rsidRPr="00AA7A1C" w:rsidRDefault="00F11882" w:rsidP="00EF468E">
      <w:pPr>
        <w:pStyle w:val="Item"/>
      </w:pPr>
      <w:r w:rsidRPr="00AA7A1C">
        <w:t>Repeal the heading.</w:t>
      </w:r>
    </w:p>
    <w:p w14:paraId="0543017C" w14:textId="77777777" w:rsidR="00F11882" w:rsidRPr="00AA7A1C" w:rsidRDefault="00F11882" w:rsidP="00EF468E">
      <w:pPr>
        <w:pStyle w:val="notemargin"/>
      </w:pPr>
      <w:r w:rsidRPr="00AA7A1C">
        <w:t>Note:</w:t>
      </w:r>
      <w:r w:rsidRPr="00AA7A1C">
        <w:tab/>
        <w:t xml:space="preserve">This item and </w:t>
      </w:r>
      <w:r w:rsidR="00AA7A1C" w:rsidRPr="00AA7A1C">
        <w:t>item 5</w:t>
      </w:r>
      <w:r w:rsidR="00C51124" w:rsidRPr="00AA7A1C">
        <w:rPr>
          <w:iCs/>
        </w:rPr>
        <w:t>0</w:t>
      </w:r>
      <w:r w:rsidRPr="00AA7A1C">
        <w:t xml:space="preserve"> relocate a subsection heading to its appropriate position.</w:t>
      </w:r>
    </w:p>
    <w:p w14:paraId="0543017D" w14:textId="77777777" w:rsidR="00F11882" w:rsidRPr="00AA7A1C" w:rsidRDefault="00777190" w:rsidP="00EF468E">
      <w:pPr>
        <w:pStyle w:val="ItemHead"/>
      </w:pPr>
      <w:r>
        <w:t>49</w:t>
      </w:r>
      <w:r w:rsidR="00F11882" w:rsidRPr="00AA7A1C">
        <w:t xml:space="preserve">  Before </w:t>
      </w:r>
      <w:r w:rsidR="00AA7A1C" w:rsidRPr="00AA7A1C">
        <w:t>subsection 1</w:t>
      </w:r>
      <w:r w:rsidR="00F11882" w:rsidRPr="00AA7A1C">
        <w:t>017BB(6)</w:t>
      </w:r>
    </w:p>
    <w:p w14:paraId="0543017E" w14:textId="77777777" w:rsidR="00F11882" w:rsidRPr="00AA7A1C" w:rsidRDefault="00F11882" w:rsidP="00EF468E">
      <w:pPr>
        <w:pStyle w:val="Item"/>
      </w:pPr>
      <w:r w:rsidRPr="00AA7A1C">
        <w:t>Insert:</w:t>
      </w:r>
    </w:p>
    <w:p w14:paraId="0543017F" w14:textId="77777777" w:rsidR="00F11882" w:rsidRPr="00AA7A1C" w:rsidRDefault="00F11882" w:rsidP="00EF468E">
      <w:pPr>
        <w:pStyle w:val="SubsectionHead"/>
      </w:pPr>
      <w:r w:rsidRPr="00AA7A1C">
        <w:t>Definitions</w:t>
      </w:r>
    </w:p>
    <w:p w14:paraId="05430180" w14:textId="77777777" w:rsidR="00F11882" w:rsidRPr="00AA7A1C" w:rsidRDefault="00F11882" w:rsidP="00EF468E">
      <w:pPr>
        <w:pStyle w:val="notemargin"/>
      </w:pPr>
      <w:r w:rsidRPr="00AA7A1C">
        <w:t>Note:</w:t>
      </w:r>
      <w:r w:rsidRPr="00AA7A1C">
        <w:tab/>
        <w:t xml:space="preserve">This item and </w:t>
      </w:r>
      <w:r w:rsidR="00AA7A1C" w:rsidRPr="00AA7A1C">
        <w:t>item 4</w:t>
      </w:r>
      <w:r w:rsidR="00C51124" w:rsidRPr="00AA7A1C">
        <w:rPr>
          <w:iCs/>
        </w:rPr>
        <w:t>9</w:t>
      </w:r>
      <w:r w:rsidRPr="00AA7A1C">
        <w:t xml:space="preserve"> relocate a subsection heading to its appropriate position.</w:t>
      </w:r>
    </w:p>
    <w:p w14:paraId="05430181" w14:textId="77777777" w:rsidR="00AA5E7B" w:rsidRPr="00AA7A1C" w:rsidRDefault="00777190" w:rsidP="00EF468E">
      <w:pPr>
        <w:pStyle w:val="ItemHead"/>
      </w:pPr>
      <w:r>
        <w:t>50</w:t>
      </w:r>
      <w:r w:rsidR="00AA5E7B" w:rsidRPr="00AA7A1C">
        <w:t xml:space="preserve">  </w:t>
      </w:r>
      <w:r w:rsidR="00AA7A1C" w:rsidRPr="00AA7A1C">
        <w:t>Paragraph 1</w:t>
      </w:r>
      <w:r w:rsidR="00AA5E7B" w:rsidRPr="00AA7A1C">
        <w:t>315(1)(b)</w:t>
      </w:r>
    </w:p>
    <w:p w14:paraId="05430182" w14:textId="77777777" w:rsidR="00AA5E7B" w:rsidRPr="00AA7A1C" w:rsidRDefault="00AA5E7B" w:rsidP="00EF468E">
      <w:pPr>
        <w:pStyle w:val="Item"/>
      </w:pPr>
      <w:r w:rsidRPr="00AA7A1C">
        <w:t>Omit “a Commission”, substitute “an ASIC”.</w:t>
      </w:r>
    </w:p>
    <w:p w14:paraId="05430183" w14:textId="77777777" w:rsidR="00F11882" w:rsidRPr="00AA7A1C" w:rsidRDefault="00777190" w:rsidP="00EF468E">
      <w:pPr>
        <w:pStyle w:val="ItemHead"/>
      </w:pPr>
      <w:r>
        <w:lastRenderedPageBreak/>
        <w:t>51</w:t>
      </w:r>
      <w:r w:rsidR="00F11882" w:rsidRPr="00AA7A1C">
        <w:t xml:space="preserve">  </w:t>
      </w:r>
      <w:r w:rsidR="00AA7A1C" w:rsidRPr="00AA7A1C">
        <w:t>Subsection 1</w:t>
      </w:r>
      <w:r w:rsidR="00F11882" w:rsidRPr="00AA7A1C">
        <w:t>317E(3) (table item dealing with subsection 588GAB(2))</w:t>
      </w:r>
    </w:p>
    <w:p w14:paraId="05430184" w14:textId="77777777" w:rsidR="00F11882" w:rsidRPr="00AA7A1C" w:rsidRDefault="00F11882" w:rsidP="00EF468E">
      <w:pPr>
        <w:pStyle w:val="Item"/>
      </w:pPr>
      <w:r w:rsidRPr="00AA7A1C">
        <w:t>Omit “Subsection”, substitute “subsection”.</w:t>
      </w:r>
    </w:p>
    <w:p w14:paraId="05430185" w14:textId="77777777" w:rsidR="00F11882" w:rsidRPr="00AA7A1C" w:rsidRDefault="00F11882" w:rsidP="00EF468E">
      <w:pPr>
        <w:pStyle w:val="notemargin"/>
      </w:pPr>
      <w:r w:rsidRPr="00AA7A1C">
        <w:t>Note:</w:t>
      </w:r>
      <w:r w:rsidRPr="00AA7A1C">
        <w:tab/>
        <w:t>This item changes the capitalisation of the first word in a table item, for consistency with current drafting practice in that table.</w:t>
      </w:r>
    </w:p>
    <w:p w14:paraId="05430186" w14:textId="77777777" w:rsidR="00F11882" w:rsidRPr="00AA7A1C" w:rsidRDefault="00777190" w:rsidP="00EF468E">
      <w:pPr>
        <w:pStyle w:val="ItemHead"/>
      </w:pPr>
      <w:r>
        <w:t>52</w:t>
      </w:r>
      <w:r w:rsidR="00F11882" w:rsidRPr="00AA7A1C">
        <w:t xml:space="preserve">  </w:t>
      </w:r>
      <w:r w:rsidR="00AA7A1C" w:rsidRPr="00AA7A1C">
        <w:t>Subsection 1</w:t>
      </w:r>
      <w:r w:rsidR="00F11882" w:rsidRPr="00AA7A1C">
        <w:t>317E(3) (table item dealing with subsection 588GAC(2))</w:t>
      </w:r>
    </w:p>
    <w:p w14:paraId="05430187" w14:textId="77777777" w:rsidR="00F11882" w:rsidRPr="00AA7A1C" w:rsidRDefault="00F11882" w:rsidP="00EF468E">
      <w:pPr>
        <w:pStyle w:val="Item"/>
      </w:pPr>
      <w:r w:rsidRPr="00AA7A1C">
        <w:t>Omit “Subsection”, substitute “subsection”.</w:t>
      </w:r>
    </w:p>
    <w:p w14:paraId="05430188" w14:textId="77777777" w:rsidR="00F11882" w:rsidRPr="00AA7A1C" w:rsidRDefault="00F11882" w:rsidP="00EF468E">
      <w:pPr>
        <w:pStyle w:val="notemargin"/>
      </w:pPr>
      <w:r w:rsidRPr="00AA7A1C">
        <w:t>Note:</w:t>
      </w:r>
      <w:r w:rsidRPr="00AA7A1C">
        <w:tab/>
        <w:t>This item changes the capitalisation of the first word in a table item, for consistency with current drafting practice in that table.</w:t>
      </w:r>
    </w:p>
    <w:p w14:paraId="05430189" w14:textId="77777777" w:rsidR="00F11882" w:rsidRPr="00AA7A1C" w:rsidRDefault="00777190" w:rsidP="00EF468E">
      <w:pPr>
        <w:pStyle w:val="ItemHead"/>
      </w:pPr>
      <w:r>
        <w:t>53</w:t>
      </w:r>
      <w:r w:rsidR="00F11882" w:rsidRPr="00AA7A1C">
        <w:t xml:space="preserve">  </w:t>
      </w:r>
      <w:r w:rsidR="00AA7A1C" w:rsidRPr="00AA7A1C">
        <w:t>Subsection 1</w:t>
      </w:r>
      <w:r w:rsidR="00F11882" w:rsidRPr="00AA7A1C">
        <w:t xml:space="preserve">317E(3) (table item dealing with </w:t>
      </w:r>
      <w:r w:rsidR="00AA7A1C" w:rsidRPr="00AA7A1C">
        <w:t>subsection 1</w:t>
      </w:r>
      <w:r w:rsidR="00F11882" w:rsidRPr="00AA7A1C">
        <w:t>317AAE(1))</w:t>
      </w:r>
    </w:p>
    <w:p w14:paraId="0543018A" w14:textId="77777777" w:rsidR="00F11882" w:rsidRPr="00AA7A1C" w:rsidRDefault="00F11882" w:rsidP="00EF468E">
      <w:pPr>
        <w:pStyle w:val="Item"/>
      </w:pPr>
      <w:r w:rsidRPr="00AA7A1C">
        <w:t>Omit “Subsection”, substitute “subsection”.</w:t>
      </w:r>
    </w:p>
    <w:p w14:paraId="0543018B" w14:textId="77777777" w:rsidR="00F11882" w:rsidRPr="00AA7A1C" w:rsidRDefault="00F11882" w:rsidP="00EF468E">
      <w:pPr>
        <w:pStyle w:val="notemargin"/>
      </w:pPr>
      <w:r w:rsidRPr="00AA7A1C">
        <w:t>Note:</w:t>
      </w:r>
      <w:r w:rsidRPr="00AA7A1C">
        <w:tab/>
        <w:t>This item changes the capitalisation of the first word in a table item, for consistency with current drafting practice in that table.</w:t>
      </w:r>
    </w:p>
    <w:p w14:paraId="0543018C" w14:textId="77777777" w:rsidR="00F11882" w:rsidRPr="00AA7A1C" w:rsidRDefault="00777190" w:rsidP="00EF468E">
      <w:pPr>
        <w:pStyle w:val="ItemHead"/>
      </w:pPr>
      <w:r>
        <w:t>54</w:t>
      </w:r>
      <w:r w:rsidR="00F11882" w:rsidRPr="00AA7A1C">
        <w:t xml:space="preserve">  </w:t>
      </w:r>
      <w:r w:rsidR="00AA7A1C" w:rsidRPr="00AA7A1C">
        <w:t>Subsection 1</w:t>
      </w:r>
      <w:r w:rsidR="00F11882" w:rsidRPr="00AA7A1C">
        <w:t>317E(3) (table item dealing with subsections 1317AC(1), (2) and (3))</w:t>
      </w:r>
    </w:p>
    <w:p w14:paraId="0543018D" w14:textId="77777777" w:rsidR="00F11882" w:rsidRPr="00AA7A1C" w:rsidRDefault="00F11882" w:rsidP="00EF468E">
      <w:pPr>
        <w:pStyle w:val="Item"/>
      </w:pPr>
      <w:r w:rsidRPr="00AA7A1C">
        <w:t>Omit “Subsections”, substitute “subsections”.</w:t>
      </w:r>
    </w:p>
    <w:p w14:paraId="0543018E" w14:textId="77777777" w:rsidR="00F11882" w:rsidRPr="00AA7A1C" w:rsidRDefault="00F11882" w:rsidP="00EF468E">
      <w:pPr>
        <w:pStyle w:val="notemargin"/>
      </w:pPr>
      <w:r w:rsidRPr="00AA7A1C">
        <w:t>Note:</w:t>
      </w:r>
      <w:r w:rsidRPr="00AA7A1C">
        <w:tab/>
        <w:t>This item changes the capitalisation of the first word in a table item, for consistency with current drafting practice in that table.</w:t>
      </w:r>
    </w:p>
    <w:p w14:paraId="0543018F" w14:textId="77777777" w:rsidR="00F11882" w:rsidRPr="00AA7A1C" w:rsidRDefault="00777190" w:rsidP="00EF468E">
      <w:pPr>
        <w:pStyle w:val="ItemHead"/>
      </w:pPr>
      <w:r>
        <w:t>55</w:t>
      </w:r>
      <w:r w:rsidR="00F11882" w:rsidRPr="00AA7A1C">
        <w:t xml:space="preserve">  At the end of paragraphs 32(1)(a) to (j) of Schedule 4</w:t>
      </w:r>
    </w:p>
    <w:p w14:paraId="05430190" w14:textId="77777777" w:rsidR="00F11882" w:rsidRPr="00AA7A1C" w:rsidRDefault="00F11882" w:rsidP="00EF468E">
      <w:pPr>
        <w:pStyle w:val="Item"/>
      </w:pPr>
      <w:r w:rsidRPr="00AA7A1C">
        <w:t>Add “;”.</w:t>
      </w:r>
    </w:p>
    <w:p w14:paraId="05430191" w14:textId="77777777" w:rsidR="00F11882" w:rsidRPr="00AA7A1C" w:rsidRDefault="00F11882" w:rsidP="00EF468E">
      <w:pPr>
        <w:pStyle w:val="notemargin"/>
      </w:pPr>
      <w:r w:rsidRPr="00AA7A1C">
        <w:t>Note:</w:t>
      </w:r>
      <w:r w:rsidRPr="00AA7A1C">
        <w:tab/>
        <w:t>This item adds semi</w:t>
      </w:r>
      <w:r w:rsidR="00EF468E">
        <w:noBreakHyphen/>
      </w:r>
      <w:r w:rsidRPr="00AA7A1C">
        <w:t>colons at the end of paragraphs, for consistency with current drafting practice.</w:t>
      </w:r>
    </w:p>
    <w:p w14:paraId="05430192" w14:textId="77777777" w:rsidR="00F11882" w:rsidRPr="00AA7A1C" w:rsidRDefault="00F11882" w:rsidP="00EF468E">
      <w:pPr>
        <w:pStyle w:val="ActHead9"/>
        <w:rPr>
          <w:i w:val="0"/>
        </w:rPr>
      </w:pPr>
      <w:bookmarkStart w:id="18" w:name="_Toc53569003"/>
      <w:r w:rsidRPr="00AA7A1C">
        <w:t>Life Insurance Act 1995</w:t>
      </w:r>
      <w:bookmarkEnd w:id="18"/>
    </w:p>
    <w:p w14:paraId="05430193" w14:textId="77777777" w:rsidR="00F11882" w:rsidRPr="00AA7A1C" w:rsidRDefault="00777190" w:rsidP="00EF468E">
      <w:pPr>
        <w:pStyle w:val="ItemHead"/>
      </w:pPr>
      <w:r>
        <w:t>56</w:t>
      </w:r>
      <w:r w:rsidR="00F11882" w:rsidRPr="00AA7A1C">
        <w:t xml:space="preserve">  </w:t>
      </w:r>
      <w:r w:rsidR="00AA7A1C" w:rsidRPr="00AA7A1C">
        <w:t>Paragraph 2</w:t>
      </w:r>
      <w:r w:rsidR="00F11882" w:rsidRPr="00AA7A1C">
        <w:t>00(2)(b)</w:t>
      </w:r>
    </w:p>
    <w:p w14:paraId="05430194" w14:textId="77777777" w:rsidR="00F11882" w:rsidRPr="00AA7A1C" w:rsidRDefault="00F11882" w:rsidP="00EF468E">
      <w:pPr>
        <w:pStyle w:val="Item"/>
      </w:pPr>
      <w:r w:rsidRPr="00AA7A1C">
        <w:t>After “endorsed”, insert “(including by electronic means)”.</w:t>
      </w:r>
    </w:p>
    <w:p w14:paraId="05430195" w14:textId="77777777" w:rsidR="00F11882" w:rsidRPr="00AA7A1C" w:rsidRDefault="00777190" w:rsidP="00EF468E">
      <w:pPr>
        <w:pStyle w:val="ItemHead"/>
      </w:pPr>
      <w:r>
        <w:t>57</w:t>
      </w:r>
      <w:r w:rsidR="00F11882" w:rsidRPr="00AA7A1C">
        <w:t xml:space="preserve">  Paragraphs 211(1)(b) and 212(1)(b)</w:t>
      </w:r>
    </w:p>
    <w:p w14:paraId="05430196" w14:textId="77777777" w:rsidR="00F11882" w:rsidRPr="00AA7A1C" w:rsidRDefault="00F11882" w:rsidP="00EF468E">
      <w:pPr>
        <w:pStyle w:val="Item"/>
      </w:pPr>
      <w:r w:rsidRPr="00AA7A1C">
        <w:t>Omit “$50,000”, substitute “$100,000”.</w:t>
      </w:r>
    </w:p>
    <w:p w14:paraId="05430197" w14:textId="77777777" w:rsidR="00F11882" w:rsidRPr="00AA7A1C" w:rsidRDefault="00777190" w:rsidP="00EF468E">
      <w:pPr>
        <w:pStyle w:val="ItemHead"/>
      </w:pPr>
      <w:r>
        <w:t>58</w:t>
      </w:r>
      <w:r w:rsidR="00F11882" w:rsidRPr="00AA7A1C">
        <w:t xml:space="preserve">  </w:t>
      </w:r>
      <w:r w:rsidR="00AA7A1C" w:rsidRPr="00AA7A1C">
        <w:t>Subsection 2</w:t>
      </w:r>
      <w:r w:rsidR="00F11882" w:rsidRPr="00AA7A1C">
        <w:t>13(7)</w:t>
      </w:r>
    </w:p>
    <w:p w14:paraId="05430198" w14:textId="77777777" w:rsidR="00F11882" w:rsidRPr="00AA7A1C" w:rsidRDefault="00F11882" w:rsidP="00EF468E">
      <w:pPr>
        <w:pStyle w:val="Item"/>
      </w:pPr>
      <w:r w:rsidRPr="00AA7A1C">
        <w:t>Omit “$25,000”, substitute “$50,000”.</w:t>
      </w:r>
    </w:p>
    <w:p w14:paraId="05430199" w14:textId="77777777" w:rsidR="00F11882" w:rsidRPr="00AA7A1C" w:rsidRDefault="00F11882" w:rsidP="00EF468E">
      <w:pPr>
        <w:pStyle w:val="ActHead9"/>
        <w:rPr>
          <w:i w:val="0"/>
        </w:rPr>
      </w:pPr>
      <w:bookmarkStart w:id="19" w:name="_Toc53569004"/>
      <w:r w:rsidRPr="00AA7A1C">
        <w:lastRenderedPageBreak/>
        <w:t>National Consumer Credit Protection Act 2009</w:t>
      </w:r>
      <w:bookmarkEnd w:id="19"/>
    </w:p>
    <w:p w14:paraId="0543019A" w14:textId="77777777" w:rsidR="00F11882" w:rsidRPr="00AA7A1C" w:rsidRDefault="00777190" w:rsidP="00EF468E">
      <w:pPr>
        <w:pStyle w:val="ItemHead"/>
      </w:pPr>
      <w:r>
        <w:t>59</w:t>
      </w:r>
      <w:r w:rsidR="00F11882" w:rsidRPr="00AA7A1C">
        <w:t xml:space="preserve">  </w:t>
      </w:r>
      <w:r w:rsidR="00AA7A1C" w:rsidRPr="00AA7A1C">
        <w:t>Paragraph 1</w:t>
      </w:r>
      <w:r w:rsidR="00F11882" w:rsidRPr="00AA7A1C">
        <w:t>67(3)(d)</w:t>
      </w:r>
    </w:p>
    <w:p w14:paraId="0543019B" w14:textId="77777777" w:rsidR="00F11882" w:rsidRPr="00AA7A1C" w:rsidRDefault="00F11882" w:rsidP="00EF468E">
      <w:pPr>
        <w:pStyle w:val="Item"/>
      </w:pPr>
      <w:r w:rsidRPr="00AA7A1C">
        <w:t>Omit “court in foreign country”, substitute “court in a foreign country”.</w:t>
      </w:r>
    </w:p>
    <w:p w14:paraId="0543019C" w14:textId="77777777" w:rsidR="00F11882" w:rsidRPr="00AA7A1C" w:rsidRDefault="00F11882" w:rsidP="00EF468E">
      <w:pPr>
        <w:pStyle w:val="notemargin"/>
      </w:pPr>
      <w:r w:rsidRPr="00AA7A1C">
        <w:t>Note:</w:t>
      </w:r>
      <w:r w:rsidRPr="00AA7A1C">
        <w:tab/>
        <w:t>This item fixes a grammatical error.</w:t>
      </w:r>
    </w:p>
    <w:p w14:paraId="0543019D" w14:textId="77777777" w:rsidR="00F11882" w:rsidRPr="00AA7A1C" w:rsidRDefault="00777190" w:rsidP="00EF468E">
      <w:pPr>
        <w:pStyle w:val="ItemHead"/>
      </w:pPr>
      <w:r>
        <w:t>60</w:t>
      </w:r>
      <w:r w:rsidR="00F11882" w:rsidRPr="00AA7A1C">
        <w:t xml:space="preserve">  </w:t>
      </w:r>
      <w:r w:rsidR="00AA7A1C" w:rsidRPr="00AA7A1C">
        <w:t>Subsections 1</w:t>
      </w:r>
      <w:r w:rsidR="00F11882" w:rsidRPr="00AA7A1C">
        <w:t xml:space="preserve">94(3), (4) and (5) of the </w:t>
      </w:r>
      <w:r w:rsidR="00F11882" w:rsidRPr="00EB653B">
        <w:rPr>
          <w:i/>
        </w:rPr>
        <w:t>National Credit Code</w:t>
      </w:r>
      <w:r w:rsidR="00F11882" w:rsidRPr="00AA7A1C">
        <w:t xml:space="preserve"> (headings)</w:t>
      </w:r>
    </w:p>
    <w:p w14:paraId="0543019E" w14:textId="77777777" w:rsidR="00F11882" w:rsidRPr="00AA7A1C" w:rsidRDefault="00F11882" w:rsidP="00EF468E">
      <w:pPr>
        <w:pStyle w:val="Item"/>
      </w:pPr>
      <w:r w:rsidRPr="00AA7A1C">
        <w:t>Omit “</w:t>
      </w:r>
      <w:r w:rsidRPr="00AA7A1C">
        <w:rPr>
          <w:i/>
        </w:rPr>
        <w:t>etc</w:t>
      </w:r>
      <w:r w:rsidRPr="00AA7A1C">
        <w:t>”, substitute “</w:t>
      </w:r>
      <w:r w:rsidRPr="00AA7A1C">
        <w:rPr>
          <w:i/>
        </w:rPr>
        <w:t>etc.</w:t>
      </w:r>
      <w:r w:rsidRPr="00AA7A1C">
        <w:t>”.</w:t>
      </w:r>
    </w:p>
    <w:p w14:paraId="0543019F" w14:textId="77777777" w:rsidR="00F11882" w:rsidRPr="00AA7A1C" w:rsidRDefault="00F11882" w:rsidP="00EF468E">
      <w:pPr>
        <w:pStyle w:val="notemargin"/>
      </w:pPr>
      <w:r w:rsidRPr="00AA7A1C">
        <w:t>Note:</w:t>
      </w:r>
      <w:r w:rsidRPr="00AA7A1C">
        <w:tab/>
        <w:t>This item fixes a spelling error.</w:t>
      </w:r>
    </w:p>
    <w:p w14:paraId="054301A0" w14:textId="77777777" w:rsidR="00F11882" w:rsidRPr="00AA7A1C" w:rsidRDefault="00F11882" w:rsidP="00EF468E">
      <w:pPr>
        <w:pStyle w:val="ActHead9"/>
        <w:rPr>
          <w:i w:val="0"/>
        </w:rPr>
      </w:pPr>
      <w:bookmarkStart w:id="20" w:name="_Toc53569005"/>
      <w:r w:rsidRPr="00AA7A1C">
        <w:t>National Consumer Credit Protection (Transitional and Consequential Provisions) Act 2009</w:t>
      </w:r>
      <w:bookmarkEnd w:id="20"/>
    </w:p>
    <w:p w14:paraId="054301A1" w14:textId="77777777" w:rsidR="00F11882" w:rsidRPr="00AA7A1C" w:rsidRDefault="00777190" w:rsidP="00EF468E">
      <w:pPr>
        <w:pStyle w:val="ItemHead"/>
      </w:pPr>
      <w:r>
        <w:t>61</w:t>
      </w:r>
      <w:r w:rsidR="00F11882" w:rsidRPr="00AA7A1C">
        <w:t xml:space="preserve">  Sub</w:t>
      </w:r>
      <w:r w:rsidR="00AA7A1C" w:rsidRPr="00AA7A1C">
        <w:t>item 4</w:t>
      </w:r>
      <w:r w:rsidR="00F11882" w:rsidRPr="00AA7A1C">
        <w:t>(2) of Schedule 8</w:t>
      </w:r>
    </w:p>
    <w:p w14:paraId="054301A2" w14:textId="77777777" w:rsidR="00F11882" w:rsidRPr="00AA7A1C" w:rsidRDefault="00F11882" w:rsidP="00EF468E">
      <w:pPr>
        <w:pStyle w:val="Item"/>
      </w:pPr>
      <w:r w:rsidRPr="00AA7A1C">
        <w:t>Omit “National Consumer and Credit Protection Act 2009”, substitute “</w:t>
      </w:r>
      <w:r w:rsidRPr="00AA7A1C">
        <w:rPr>
          <w:i/>
        </w:rPr>
        <w:t>National Consumer Credit Protection Act 2009</w:t>
      </w:r>
      <w:r w:rsidRPr="00AA7A1C">
        <w:t>”.</w:t>
      </w:r>
    </w:p>
    <w:p w14:paraId="054301A3" w14:textId="77777777" w:rsidR="00F11882" w:rsidRPr="00AA7A1C" w:rsidRDefault="00F11882" w:rsidP="00EF468E">
      <w:pPr>
        <w:pStyle w:val="notemargin"/>
      </w:pPr>
      <w:r w:rsidRPr="00AA7A1C">
        <w:t>Note:</w:t>
      </w:r>
      <w:r w:rsidRPr="00AA7A1C">
        <w:tab/>
        <w:t>This item fixes an incorrect citation of a short title of an Act.</w:t>
      </w:r>
    </w:p>
    <w:p w14:paraId="054301A4" w14:textId="77777777" w:rsidR="000F7A50" w:rsidRPr="00AA7A1C" w:rsidRDefault="000F7A50" w:rsidP="00EF468E">
      <w:pPr>
        <w:pStyle w:val="ActHead9"/>
        <w:rPr>
          <w:i w:val="0"/>
        </w:rPr>
      </w:pPr>
      <w:bookmarkStart w:id="21" w:name="_Toc53569006"/>
      <w:r w:rsidRPr="00AA7A1C">
        <w:t>Superannuation Guarantee (Administration) Act 1992</w:t>
      </w:r>
      <w:bookmarkEnd w:id="21"/>
    </w:p>
    <w:p w14:paraId="054301A5" w14:textId="77777777" w:rsidR="000F7A50" w:rsidRPr="00AA7A1C" w:rsidRDefault="00777190" w:rsidP="00EF468E">
      <w:pPr>
        <w:pStyle w:val="ItemHead"/>
      </w:pPr>
      <w:r>
        <w:t>62</w:t>
      </w:r>
      <w:r w:rsidR="000F7A50" w:rsidRPr="00AA7A1C">
        <w:t xml:space="preserve">  </w:t>
      </w:r>
      <w:r w:rsidR="00AA7A1C" w:rsidRPr="00AA7A1C">
        <w:t>Subsection 2</w:t>
      </w:r>
      <w:r w:rsidR="000F7A50" w:rsidRPr="00AA7A1C">
        <w:t>3(12)</w:t>
      </w:r>
    </w:p>
    <w:p w14:paraId="054301A6" w14:textId="77777777" w:rsidR="00C26CC8" w:rsidRPr="00AA7A1C" w:rsidRDefault="00C26CC8" w:rsidP="00EF468E">
      <w:pPr>
        <w:pStyle w:val="Item"/>
      </w:pPr>
      <w:r w:rsidRPr="00AA7A1C">
        <w:t>Repeal the subsection, substitute:</w:t>
      </w:r>
    </w:p>
    <w:p w14:paraId="054301A7" w14:textId="77777777" w:rsidR="00C26CC8" w:rsidRPr="00AA7A1C" w:rsidRDefault="00C26CC8" w:rsidP="00EF468E">
      <w:pPr>
        <w:pStyle w:val="SubsectionHead"/>
      </w:pPr>
      <w:r w:rsidRPr="00AA7A1C">
        <w:t>Reduction of ordinary time earnings base if amount excluded from employee’s salary or wages</w:t>
      </w:r>
    </w:p>
    <w:p w14:paraId="054301A8" w14:textId="77777777" w:rsidR="00C26CC8" w:rsidRPr="00AA7A1C" w:rsidRDefault="00C26CC8" w:rsidP="00EF468E">
      <w:pPr>
        <w:pStyle w:val="subsection"/>
      </w:pPr>
      <w:r w:rsidRPr="00AA7A1C">
        <w:tab/>
        <w:t>(12)</w:t>
      </w:r>
      <w:r w:rsidRPr="00AA7A1C">
        <w:tab/>
        <w:t>If:</w:t>
      </w:r>
    </w:p>
    <w:p w14:paraId="054301A9" w14:textId="77777777" w:rsidR="00C26CC8" w:rsidRPr="00AA7A1C" w:rsidRDefault="00C26CC8" w:rsidP="00EF468E">
      <w:pPr>
        <w:pStyle w:val="paragraph"/>
      </w:pPr>
      <w:r w:rsidRPr="00AA7A1C">
        <w:tab/>
        <w:t>(a)</w:t>
      </w:r>
      <w:r w:rsidRPr="00AA7A1C">
        <w:tab/>
        <w:t xml:space="preserve">because of </w:t>
      </w:r>
      <w:r w:rsidR="00AA7A1C" w:rsidRPr="00AA7A1C">
        <w:t>section 2</w:t>
      </w:r>
      <w:r w:rsidRPr="00AA7A1C">
        <w:t xml:space="preserve">7 or 28, an amount of an employee’s salary or wages is not taken into account for the purpose of making a calculation under </w:t>
      </w:r>
      <w:r w:rsidR="00AA7A1C" w:rsidRPr="00AA7A1C">
        <w:t>section 1</w:t>
      </w:r>
      <w:r w:rsidRPr="00AA7A1C">
        <w:t>9; and</w:t>
      </w:r>
    </w:p>
    <w:p w14:paraId="054301AA" w14:textId="77777777" w:rsidR="00C26CC8" w:rsidRPr="00AA7A1C" w:rsidRDefault="00C26CC8" w:rsidP="00EF468E">
      <w:pPr>
        <w:pStyle w:val="paragraph"/>
      </w:pPr>
      <w:r w:rsidRPr="00AA7A1C">
        <w:tab/>
        <w:t>(b)</w:t>
      </w:r>
      <w:r w:rsidRPr="00AA7A1C">
        <w:tab/>
        <w:t>a portion of that amount (which could be all of it) is included in the employee’s ordinary time earnings base for the quarter in respect of the employer;</w:t>
      </w:r>
    </w:p>
    <w:p w14:paraId="054301AB" w14:textId="77777777" w:rsidR="00C26CC8" w:rsidRPr="00AA7A1C" w:rsidRDefault="00C26CC8" w:rsidP="00EF468E">
      <w:pPr>
        <w:pStyle w:val="subsection2"/>
      </w:pPr>
      <w:r w:rsidRPr="00AA7A1C">
        <w:t>for the purposes of this section, the employee’s ordinary time earnings base for the quarter in respect of the employer is taken to be reduced by an amount equal to that portion.</w:t>
      </w:r>
    </w:p>
    <w:p w14:paraId="054301AC" w14:textId="77777777" w:rsidR="000F7A50" w:rsidRPr="00AA7A1C" w:rsidRDefault="00777190" w:rsidP="00EF468E">
      <w:pPr>
        <w:pStyle w:val="ItemHead"/>
      </w:pPr>
      <w:r>
        <w:lastRenderedPageBreak/>
        <w:t>63</w:t>
      </w:r>
      <w:r w:rsidR="00AD45E9" w:rsidRPr="00AA7A1C">
        <w:t xml:space="preserve">  </w:t>
      </w:r>
      <w:r w:rsidR="00AA7A1C" w:rsidRPr="00AA7A1C">
        <w:t>Subsection 2</w:t>
      </w:r>
      <w:r w:rsidR="00AD45E9" w:rsidRPr="00AA7A1C">
        <w:t>6(1)</w:t>
      </w:r>
    </w:p>
    <w:p w14:paraId="054301AD" w14:textId="77777777" w:rsidR="00AD45E9" w:rsidRPr="00AA7A1C" w:rsidRDefault="00AD45E9" w:rsidP="00EF468E">
      <w:pPr>
        <w:pStyle w:val="Item"/>
      </w:pPr>
      <w:r w:rsidRPr="00AA7A1C">
        <w:t>Omit “excluded salary or wages are paid by an employer to an employee”, substitute “the only salary or wages paid by an employer to an employee are excluded salary or wages”.</w:t>
      </w:r>
    </w:p>
    <w:p w14:paraId="054301AE" w14:textId="77777777" w:rsidR="00C26CC8" w:rsidRPr="00AA7A1C" w:rsidRDefault="00777190" w:rsidP="00EF468E">
      <w:pPr>
        <w:pStyle w:val="ItemHead"/>
      </w:pPr>
      <w:r>
        <w:t>64</w:t>
      </w:r>
      <w:r w:rsidR="00C26CC8" w:rsidRPr="00AA7A1C">
        <w:t xml:space="preserve">  </w:t>
      </w:r>
      <w:r w:rsidR="00AA7A1C" w:rsidRPr="00AA7A1C">
        <w:t>Subsection 2</w:t>
      </w:r>
      <w:r w:rsidR="00C26CC8" w:rsidRPr="00AA7A1C">
        <w:t>7(2)</w:t>
      </w:r>
    </w:p>
    <w:p w14:paraId="054301AF" w14:textId="77777777" w:rsidR="00C26CC8" w:rsidRPr="00AA7A1C" w:rsidRDefault="00C26CC8" w:rsidP="00EF468E">
      <w:pPr>
        <w:pStyle w:val="Item"/>
      </w:pPr>
      <w:r w:rsidRPr="00AA7A1C">
        <w:t>Repeal the subsection, substitute:</w:t>
      </w:r>
    </w:p>
    <w:p w14:paraId="054301B0" w14:textId="77777777" w:rsidR="00C26CC8" w:rsidRPr="00AA7A1C" w:rsidRDefault="00C26CC8" w:rsidP="00EF468E">
      <w:pPr>
        <w:pStyle w:val="subsection"/>
      </w:pPr>
      <w:r w:rsidRPr="00AA7A1C">
        <w:tab/>
        <w:t>(2)</w:t>
      </w:r>
      <w:r w:rsidRPr="00AA7A1C">
        <w:tab/>
        <w:t>If:</w:t>
      </w:r>
    </w:p>
    <w:p w14:paraId="054301B1" w14:textId="77777777" w:rsidR="00C26CC8" w:rsidRPr="00AA7A1C" w:rsidRDefault="00C26CC8" w:rsidP="00EF468E">
      <w:pPr>
        <w:pStyle w:val="paragraph"/>
      </w:pPr>
      <w:r w:rsidRPr="00AA7A1C">
        <w:tab/>
        <w:t>(a)</w:t>
      </w:r>
      <w:r w:rsidRPr="00AA7A1C">
        <w:tab/>
        <w:t>an employer pays an employee salary or wages in a calendar month; and</w:t>
      </w:r>
    </w:p>
    <w:p w14:paraId="054301B2" w14:textId="77777777" w:rsidR="00C26CC8" w:rsidRPr="00AA7A1C" w:rsidRDefault="00C26CC8" w:rsidP="00EF468E">
      <w:pPr>
        <w:pStyle w:val="paragraph"/>
      </w:pPr>
      <w:r w:rsidRPr="00AA7A1C">
        <w:tab/>
        <w:t>(b)</w:t>
      </w:r>
      <w:r w:rsidRPr="00AA7A1C">
        <w:tab/>
        <w:t>th</w:t>
      </w:r>
      <w:r w:rsidR="00325AE3" w:rsidRPr="00AA7A1C">
        <w:t>e portion of those salary or wa</w:t>
      </w:r>
      <w:r w:rsidRPr="00AA7A1C">
        <w:t xml:space="preserve">ges that is not covered by </w:t>
      </w:r>
      <w:r w:rsidR="000571FE">
        <w:t>subsection (</w:t>
      </w:r>
      <w:r w:rsidRPr="00AA7A1C">
        <w:t>1) is less than $450;</w:t>
      </w:r>
    </w:p>
    <w:p w14:paraId="054301B3" w14:textId="77777777" w:rsidR="00C26CC8" w:rsidRPr="00AA7A1C" w:rsidRDefault="00C26CC8" w:rsidP="00EF468E">
      <w:pPr>
        <w:pStyle w:val="subsection2"/>
      </w:pPr>
      <w:r w:rsidRPr="00AA7A1C">
        <w:t xml:space="preserve">that portion of those salary or wages is not to be taken into account for the purpose of making a calculation, in relation to the employer and the employee, under </w:t>
      </w:r>
      <w:r w:rsidR="00AA7A1C" w:rsidRPr="00AA7A1C">
        <w:t>section 1</w:t>
      </w:r>
      <w:r w:rsidRPr="00AA7A1C">
        <w:t>9.</w:t>
      </w:r>
    </w:p>
    <w:p w14:paraId="054301B4" w14:textId="77777777" w:rsidR="006B296B" w:rsidRPr="00AA7A1C" w:rsidRDefault="006B296B" w:rsidP="00EF468E">
      <w:pPr>
        <w:pStyle w:val="ActHead9"/>
        <w:rPr>
          <w:i w:val="0"/>
        </w:rPr>
      </w:pPr>
      <w:bookmarkStart w:id="22" w:name="_Toc53569007"/>
      <w:r w:rsidRPr="00AA7A1C">
        <w:t>Superannuation Industry (Supervision) Act 1993</w:t>
      </w:r>
      <w:bookmarkEnd w:id="22"/>
    </w:p>
    <w:p w14:paraId="054301B5" w14:textId="77777777" w:rsidR="006B296B" w:rsidRPr="00AA7A1C" w:rsidRDefault="00777190" w:rsidP="00EF468E">
      <w:pPr>
        <w:pStyle w:val="ItemHead"/>
      </w:pPr>
      <w:r>
        <w:t>65</w:t>
      </w:r>
      <w:r w:rsidR="006B296B" w:rsidRPr="00AA7A1C">
        <w:t xml:space="preserve">  </w:t>
      </w:r>
      <w:r w:rsidR="00AA7A1C" w:rsidRPr="00AA7A1C">
        <w:t>Subsection 1</w:t>
      </w:r>
      <w:r w:rsidR="006B296B" w:rsidRPr="00AA7A1C">
        <w:t>0(1)</w:t>
      </w:r>
    </w:p>
    <w:p w14:paraId="054301B6" w14:textId="77777777" w:rsidR="006B296B" w:rsidRPr="00AA7A1C" w:rsidRDefault="006B296B" w:rsidP="00EF468E">
      <w:pPr>
        <w:pStyle w:val="Item"/>
      </w:pPr>
      <w:r w:rsidRPr="00AA7A1C">
        <w:t>Insert:</w:t>
      </w:r>
    </w:p>
    <w:p w14:paraId="054301B7" w14:textId="77777777" w:rsidR="006B296B" w:rsidRPr="00AA7A1C" w:rsidRDefault="006B296B" w:rsidP="00EF468E">
      <w:pPr>
        <w:pStyle w:val="Definition"/>
      </w:pPr>
      <w:r w:rsidRPr="00AA7A1C">
        <w:rPr>
          <w:b/>
          <w:i/>
        </w:rPr>
        <w:t>lifecycle exception</w:t>
      </w:r>
      <w:r w:rsidRPr="00AA7A1C">
        <w:t xml:space="preserve"> has the meaning given by </w:t>
      </w:r>
      <w:r w:rsidR="00AA7A1C" w:rsidRPr="00AA7A1C">
        <w:t>subsection 2</w:t>
      </w:r>
      <w:r w:rsidRPr="00AA7A1C">
        <w:t>9TC(2).</w:t>
      </w:r>
    </w:p>
    <w:p w14:paraId="054301B8" w14:textId="77777777" w:rsidR="006B296B" w:rsidRPr="00AA7A1C" w:rsidRDefault="00777190" w:rsidP="00EF468E">
      <w:pPr>
        <w:pStyle w:val="ItemHead"/>
      </w:pPr>
      <w:r>
        <w:t>66</w:t>
      </w:r>
      <w:r w:rsidR="006B296B" w:rsidRPr="00AA7A1C">
        <w:t xml:space="preserve">  </w:t>
      </w:r>
      <w:r w:rsidR="00AA7A1C" w:rsidRPr="00AA7A1C">
        <w:t>Paragraph 2</w:t>
      </w:r>
      <w:r w:rsidR="006B296B" w:rsidRPr="00AA7A1C">
        <w:t>9TC(1)(c)</w:t>
      </w:r>
    </w:p>
    <w:p w14:paraId="054301B9" w14:textId="77777777" w:rsidR="006B296B" w:rsidRPr="00AA7A1C" w:rsidRDefault="006B296B" w:rsidP="00EF468E">
      <w:pPr>
        <w:pStyle w:val="Item"/>
      </w:pPr>
      <w:r w:rsidRPr="00AA7A1C">
        <w:t xml:space="preserve">Omit “(see </w:t>
      </w:r>
      <w:r w:rsidR="000571FE">
        <w:t>subsection (</w:t>
      </w:r>
      <w:r w:rsidRPr="00AA7A1C">
        <w:t>2))”.</w:t>
      </w:r>
    </w:p>
    <w:p w14:paraId="054301BA" w14:textId="77777777" w:rsidR="006B296B" w:rsidRPr="00AA7A1C" w:rsidRDefault="00777190" w:rsidP="00EF468E">
      <w:pPr>
        <w:pStyle w:val="ItemHead"/>
      </w:pPr>
      <w:r>
        <w:t>67</w:t>
      </w:r>
      <w:r w:rsidR="006B296B" w:rsidRPr="00AA7A1C">
        <w:t xml:space="preserve">  </w:t>
      </w:r>
      <w:r w:rsidR="00AA7A1C" w:rsidRPr="00AA7A1C">
        <w:t>Paragraph 2</w:t>
      </w:r>
      <w:r w:rsidR="006B296B" w:rsidRPr="00AA7A1C">
        <w:t>9VA(9)(b)</w:t>
      </w:r>
    </w:p>
    <w:p w14:paraId="054301BB" w14:textId="77777777" w:rsidR="006B296B" w:rsidRPr="00AA7A1C" w:rsidRDefault="006B296B" w:rsidP="00EF468E">
      <w:pPr>
        <w:pStyle w:val="Item"/>
      </w:pPr>
      <w:r w:rsidRPr="00AA7A1C">
        <w:t>Omit “an age cohort identified in the governing rules in relation to the MySuper product for the purposes of this subsection”, substitute “a subclass of the members of the fund who hold the MySuper product to whom gains and losses from different classes of asset of the fund may be streamed in accordance with a lifecycle exception”.</w:t>
      </w:r>
    </w:p>
    <w:p w14:paraId="054301BC" w14:textId="77777777" w:rsidR="006B296B" w:rsidRPr="00AA7A1C" w:rsidRDefault="00777190" w:rsidP="00EF468E">
      <w:pPr>
        <w:pStyle w:val="ItemHead"/>
      </w:pPr>
      <w:r>
        <w:t>68</w:t>
      </w:r>
      <w:r w:rsidR="006B296B" w:rsidRPr="00AA7A1C">
        <w:t xml:space="preserve">  </w:t>
      </w:r>
      <w:r w:rsidR="00AA7A1C" w:rsidRPr="00AA7A1C">
        <w:t>Paragraph 2</w:t>
      </w:r>
      <w:r w:rsidR="006B296B" w:rsidRPr="00AA7A1C">
        <w:t>9VA(9)(c)</w:t>
      </w:r>
    </w:p>
    <w:p w14:paraId="054301BD" w14:textId="77777777" w:rsidR="006B296B" w:rsidRPr="00AA7A1C" w:rsidRDefault="006B296B" w:rsidP="00EF468E">
      <w:pPr>
        <w:pStyle w:val="Item"/>
      </w:pPr>
      <w:r w:rsidRPr="00AA7A1C">
        <w:t>Repeal the paragraph.</w:t>
      </w:r>
    </w:p>
    <w:p w14:paraId="054301BE" w14:textId="77777777" w:rsidR="006B296B" w:rsidRPr="00AA7A1C" w:rsidRDefault="00777190" w:rsidP="00EF468E">
      <w:pPr>
        <w:pStyle w:val="ItemHead"/>
      </w:pPr>
      <w:r>
        <w:t>69</w:t>
      </w:r>
      <w:r w:rsidR="006B296B" w:rsidRPr="00AA7A1C">
        <w:t xml:space="preserve">  </w:t>
      </w:r>
      <w:r w:rsidR="00AA7A1C" w:rsidRPr="00AA7A1C">
        <w:t>Paragraph 2</w:t>
      </w:r>
      <w:r w:rsidR="006B296B" w:rsidRPr="00AA7A1C">
        <w:t>9VA(9)(d)</w:t>
      </w:r>
    </w:p>
    <w:p w14:paraId="054301BF" w14:textId="77777777" w:rsidR="006B296B" w:rsidRPr="00AA7A1C" w:rsidRDefault="006B296B" w:rsidP="00EF468E">
      <w:pPr>
        <w:pStyle w:val="Item"/>
      </w:pPr>
      <w:r w:rsidRPr="00AA7A1C">
        <w:t>Repeal the paragraph, substitute:</w:t>
      </w:r>
    </w:p>
    <w:p w14:paraId="054301C0" w14:textId="77777777" w:rsidR="006B296B" w:rsidRPr="00AA7A1C" w:rsidRDefault="006B296B" w:rsidP="00EF468E">
      <w:pPr>
        <w:pStyle w:val="paragraph"/>
      </w:pPr>
      <w:r w:rsidRPr="00AA7A1C">
        <w:lastRenderedPageBreak/>
        <w:tab/>
        <w:t>(d)</w:t>
      </w:r>
      <w:r w:rsidRPr="00AA7A1C">
        <w:tab/>
        <w:t>the investment fees for each such subclass reflect a fair and reasonable attribution of the investment costs of the fund between all such subclasses.</w:t>
      </w:r>
    </w:p>
    <w:p w14:paraId="054301C1" w14:textId="77777777" w:rsidR="009F2240" w:rsidRPr="00AA7A1C" w:rsidRDefault="00777190" w:rsidP="00EF468E">
      <w:pPr>
        <w:pStyle w:val="ItemHead"/>
      </w:pPr>
      <w:r>
        <w:t>70</w:t>
      </w:r>
      <w:r w:rsidR="009F2240" w:rsidRPr="00AA7A1C">
        <w:t xml:space="preserve">  After sub</w:t>
      </w:r>
      <w:r w:rsidR="00AA7A1C" w:rsidRPr="00AA7A1C">
        <w:t>section 6</w:t>
      </w:r>
      <w:r w:rsidR="009F2240" w:rsidRPr="00AA7A1C">
        <w:t>8AAA(2)</w:t>
      </w:r>
    </w:p>
    <w:p w14:paraId="054301C2" w14:textId="77777777" w:rsidR="009F2240" w:rsidRPr="00AA7A1C" w:rsidRDefault="009F2240" w:rsidP="00EF468E">
      <w:pPr>
        <w:pStyle w:val="Item"/>
      </w:pPr>
      <w:r w:rsidRPr="00AA7A1C">
        <w:t>Insert:</w:t>
      </w:r>
    </w:p>
    <w:p w14:paraId="054301C3" w14:textId="77777777" w:rsidR="009F2240" w:rsidRPr="00AA7A1C" w:rsidRDefault="009F2240" w:rsidP="00EF468E">
      <w:pPr>
        <w:pStyle w:val="subsection"/>
      </w:pPr>
      <w:r w:rsidRPr="00AA7A1C">
        <w:tab/>
        <w:t>(2A)</w:t>
      </w:r>
      <w:r w:rsidRPr="00AA7A1C">
        <w:tab/>
        <w:t>A member’s election:</w:t>
      </w:r>
    </w:p>
    <w:p w14:paraId="054301C4" w14:textId="77777777" w:rsidR="009F2240" w:rsidRPr="00AA7A1C" w:rsidRDefault="009F2240" w:rsidP="00EF468E">
      <w:pPr>
        <w:pStyle w:val="paragraph"/>
      </w:pPr>
      <w:r w:rsidRPr="00AA7A1C">
        <w:tab/>
        <w:t>(a)</w:t>
      </w:r>
      <w:r w:rsidRPr="00AA7A1C">
        <w:tab/>
        <w:t>that:</w:t>
      </w:r>
    </w:p>
    <w:p w14:paraId="054301C5" w14:textId="77777777" w:rsidR="009F2240" w:rsidRPr="00AA7A1C" w:rsidRDefault="009F2240" w:rsidP="00EF468E">
      <w:pPr>
        <w:pStyle w:val="paragraphsub"/>
      </w:pPr>
      <w:r w:rsidRPr="00AA7A1C">
        <w:tab/>
        <w:t>(i)</w:t>
      </w:r>
      <w:r w:rsidRPr="00AA7A1C">
        <w:tab/>
        <w:t xml:space="preserve">is given under </w:t>
      </w:r>
      <w:r w:rsidR="000571FE">
        <w:t>subsection (</w:t>
      </w:r>
      <w:r w:rsidRPr="00AA7A1C">
        <w:t>2); or</w:t>
      </w:r>
    </w:p>
    <w:p w14:paraId="054301C6" w14:textId="77777777" w:rsidR="009F2240" w:rsidRPr="00AA7A1C" w:rsidRDefault="009F2240" w:rsidP="00EF468E">
      <w:pPr>
        <w:pStyle w:val="paragraphsub"/>
      </w:pPr>
      <w:r w:rsidRPr="00AA7A1C">
        <w:tab/>
        <w:t>(ii)</w:t>
      </w:r>
      <w:r w:rsidRPr="00AA7A1C">
        <w:tab/>
        <w:t xml:space="preserve">because of a previous application of this subsection, is taken to have been given under </w:t>
      </w:r>
      <w:r w:rsidR="000571FE">
        <w:t>subsection (</w:t>
      </w:r>
      <w:r w:rsidRPr="00AA7A1C">
        <w:t>2);</w:t>
      </w:r>
    </w:p>
    <w:p w14:paraId="054301C7" w14:textId="77777777" w:rsidR="009F2240" w:rsidRPr="00AA7A1C" w:rsidRDefault="009F2240" w:rsidP="00EF468E">
      <w:pPr>
        <w:pStyle w:val="paragraph"/>
      </w:pPr>
      <w:r w:rsidRPr="00AA7A1C">
        <w:tab/>
      </w:r>
      <w:r w:rsidRPr="00AA7A1C">
        <w:tab/>
        <w:t xml:space="preserve">to the trustee of a regulated superannuation fund (the </w:t>
      </w:r>
      <w:r w:rsidRPr="00AA7A1C">
        <w:rPr>
          <w:b/>
          <w:i/>
        </w:rPr>
        <w:t>original fund</w:t>
      </w:r>
      <w:r w:rsidRPr="00AA7A1C">
        <w:t>); and</w:t>
      </w:r>
    </w:p>
    <w:p w14:paraId="054301C8" w14:textId="77777777" w:rsidR="009F2240" w:rsidRPr="00AA7A1C" w:rsidRDefault="009F2240" w:rsidP="00EF468E">
      <w:pPr>
        <w:pStyle w:val="paragraph"/>
      </w:pPr>
      <w:r w:rsidRPr="00AA7A1C">
        <w:tab/>
        <w:t>(b)</w:t>
      </w:r>
      <w:r w:rsidRPr="00AA7A1C">
        <w:tab/>
        <w:t xml:space="preserve">that is in force immediately before the transfer of the benefits of the member from the original fund to another regulated superannuation fund (the </w:t>
      </w:r>
      <w:r w:rsidRPr="00AA7A1C">
        <w:rPr>
          <w:b/>
          <w:i/>
        </w:rPr>
        <w:t>successor fund</w:t>
      </w:r>
      <w:r w:rsidRPr="00AA7A1C">
        <w:t>);</w:t>
      </w:r>
    </w:p>
    <w:p w14:paraId="054301C9" w14:textId="77777777" w:rsidR="009F2240" w:rsidRPr="00AA7A1C" w:rsidRDefault="009F2240" w:rsidP="00EF468E">
      <w:pPr>
        <w:pStyle w:val="subsection2"/>
      </w:pPr>
      <w:r w:rsidRPr="00AA7A1C">
        <w:t xml:space="preserve">continues in force (and may be dealt with) as if it had been given under </w:t>
      </w:r>
      <w:r w:rsidR="000571FE">
        <w:t>subsection (</w:t>
      </w:r>
      <w:r w:rsidRPr="00AA7A1C">
        <w:t>2) to the trustee of the successor fund, if:</w:t>
      </w:r>
    </w:p>
    <w:p w14:paraId="054301CA" w14:textId="77777777" w:rsidR="009F2240" w:rsidRPr="00AA7A1C" w:rsidRDefault="009F2240" w:rsidP="00EF468E">
      <w:pPr>
        <w:pStyle w:val="paragraph"/>
      </w:pPr>
      <w:r w:rsidRPr="00AA7A1C">
        <w:tab/>
        <w:t>(c)</w:t>
      </w:r>
      <w:r w:rsidRPr="00AA7A1C">
        <w:tab/>
        <w:t>the successor fund confers on the member equivalent rights to the rights the member had under the original fund in respect of the benefits; and</w:t>
      </w:r>
    </w:p>
    <w:p w14:paraId="054301CB" w14:textId="77777777" w:rsidR="009F2240" w:rsidRPr="00AA7A1C" w:rsidRDefault="009F2240" w:rsidP="00EF468E">
      <w:pPr>
        <w:pStyle w:val="paragraph"/>
      </w:pPr>
      <w:r w:rsidRPr="00AA7A1C">
        <w:tab/>
        <w:t>(d)</w:t>
      </w:r>
      <w:r w:rsidRPr="00AA7A1C">
        <w:tab/>
        <w:t>before the transfer, the trustee of the successor fund had agreed with the trustee of the original fund that the successor fund will confer such equivalent rights on the member.</w:t>
      </w:r>
    </w:p>
    <w:p w14:paraId="054301CC" w14:textId="77777777" w:rsidR="009F2240" w:rsidRPr="00AA7A1C" w:rsidRDefault="00777190" w:rsidP="00EF468E">
      <w:pPr>
        <w:pStyle w:val="ItemHead"/>
      </w:pPr>
      <w:r>
        <w:t>71</w:t>
      </w:r>
      <w:r w:rsidR="009F2240" w:rsidRPr="00AA7A1C">
        <w:t xml:space="preserve">  After sub</w:t>
      </w:r>
      <w:r w:rsidR="00AA7A1C" w:rsidRPr="00AA7A1C">
        <w:t>section 6</w:t>
      </w:r>
      <w:r w:rsidR="009F2240" w:rsidRPr="00AA7A1C">
        <w:t>8AAB(3)</w:t>
      </w:r>
    </w:p>
    <w:p w14:paraId="054301CD" w14:textId="77777777" w:rsidR="009F2240" w:rsidRPr="00AA7A1C" w:rsidRDefault="009F2240" w:rsidP="00EF468E">
      <w:pPr>
        <w:pStyle w:val="Item"/>
      </w:pPr>
      <w:r w:rsidRPr="00AA7A1C">
        <w:t>Insert:</w:t>
      </w:r>
    </w:p>
    <w:p w14:paraId="054301CE" w14:textId="77777777" w:rsidR="009F2240" w:rsidRPr="00AA7A1C" w:rsidRDefault="009F2240" w:rsidP="00EF468E">
      <w:pPr>
        <w:pStyle w:val="subsection"/>
      </w:pPr>
      <w:r w:rsidRPr="00AA7A1C">
        <w:tab/>
        <w:t>(3A)</w:t>
      </w:r>
      <w:r w:rsidRPr="00AA7A1C">
        <w:tab/>
        <w:t>A member’s election:</w:t>
      </w:r>
    </w:p>
    <w:p w14:paraId="054301CF" w14:textId="77777777" w:rsidR="009F2240" w:rsidRPr="00AA7A1C" w:rsidRDefault="009F2240" w:rsidP="00EF468E">
      <w:pPr>
        <w:pStyle w:val="paragraph"/>
      </w:pPr>
      <w:r w:rsidRPr="00AA7A1C">
        <w:tab/>
        <w:t>(a)</w:t>
      </w:r>
      <w:r w:rsidRPr="00AA7A1C">
        <w:tab/>
        <w:t>that:</w:t>
      </w:r>
    </w:p>
    <w:p w14:paraId="054301D0" w14:textId="77777777" w:rsidR="009F2240" w:rsidRPr="00AA7A1C" w:rsidRDefault="009F2240" w:rsidP="00EF468E">
      <w:pPr>
        <w:pStyle w:val="paragraphsub"/>
      </w:pPr>
      <w:r w:rsidRPr="00AA7A1C">
        <w:tab/>
        <w:t>(i)</w:t>
      </w:r>
      <w:r w:rsidRPr="00AA7A1C">
        <w:tab/>
        <w:t xml:space="preserve">is given under </w:t>
      </w:r>
      <w:r w:rsidR="000571FE">
        <w:t>subsection (</w:t>
      </w:r>
      <w:r w:rsidRPr="00AA7A1C">
        <w:t>2); or</w:t>
      </w:r>
    </w:p>
    <w:p w14:paraId="054301D1" w14:textId="77777777" w:rsidR="009F2240" w:rsidRPr="00AA7A1C" w:rsidRDefault="009F2240" w:rsidP="00EF468E">
      <w:pPr>
        <w:pStyle w:val="paragraphsub"/>
      </w:pPr>
      <w:r w:rsidRPr="00AA7A1C">
        <w:tab/>
        <w:t>(ii)</w:t>
      </w:r>
      <w:r w:rsidRPr="00AA7A1C">
        <w:tab/>
        <w:t xml:space="preserve">because of a previous application of this subsection, is taken to have been given under </w:t>
      </w:r>
      <w:r w:rsidR="000571FE">
        <w:t>subsection (</w:t>
      </w:r>
      <w:r w:rsidRPr="00AA7A1C">
        <w:t>2);</w:t>
      </w:r>
    </w:p>
    <w:p w14:paraId="054301D2" w14:textId="77777777" w:rsidR="009F2240" w:rsidRPr="00AA7A1C" w:rsidRDefault="009F2240" w:rsidP="00EF468E">
      <w:pPr>
        <w:pStyle w:val="paragraph"/>
      </w:pPr>
      <w:r w:rsidRPr="00AA7A1C">
        <w:tab/>
      </w:r>
      <w:r w:rsidRPr="00AA7A1C">
        <w:tab/>
        <w:t xml:space="preserve">to the trustee of a regulated superannuation fund (the </w:t>
      </w:r>
      <w:r w:rsidRPr="00AA7A1C">
        <w:rPr>
          <w:b/>
          <w:i/>
        </w:rPr>
        <w:t>original fund</w:t>
      </w:r>
      <w:r w:rsidRPr="00AA7A1C">
        <w:t>); and</w:t>
      </w:r>
    </w:p>
    <w:p w14:paraId="054301D3" w14:textId="77777777" w:rsidR="009F2240" w:rsidRPr="00AA7A1C" w:rsidRDefault="009F2240" w:rsidP="00EF468E">
      <w:pPr>
        <w:pStyle w:val="paragraph"/>
      </w:pPr>
      <w:r w:rsidRPr="00AA7A1C">
        <w:tab/>
        <w:t>(b)</w:t>
      </w:r>
      <w:r w:rsidRPr="00AA7A1C">
        <w:tab/>
        <w:t xml:space="preserve">that is in force immediately before the transfer of the benefits of the member from the original fund to another regulated superannuation fund (the </w:t>
      </w:r>
      <w:r w:rsidRPr="00AA7A1C">
        <w:rPr>
          <w:b/>
          <w:i/>
        </w:rPr>
        <w:t>successor fund</w:t>
      </w:r>
      <w:r w:rsidRPr="00AA7A1C">
        <w:t>);</w:t>
      </w:r>
    </w:p>
    <w:p w14:paraId="054301D4" w14:textId="77777777" w:rsidR="009F2240" w:rsidRPr="00AA7A1C" w:rsidRDefault="009F2240" w:rsidP="00EF468E">
      <w:pPr>
        <w:pStyle w:val="subsection2"/>
      </w:pPr>
      <w:r w:rsidRPr="00AA7A1C">
        <w:t xml:space="preserve">continues in force (and may be dealt with) as if it had been given under </w:t>
      </w:r>
      <w:r w:rsidR="000571FE">
        <w:t>subsection (</w:t>
      </w:r>
      <w:r w:rsidRPr="00AA7A1C">
        <w:t>2) to the trustee of the successor fund, if:</w:t>
      </w:r>
    </w:p>
    <w:p w14:paraId="054301D5" w14:textId="77777777" w:rsidR="009F2240" w:rsidRPr="00AA7A1C" w:rsidRDefault="009F2240" w:rsidP="00EF468E">
      <w:pPr>
        <w:pStyle w:val="paragraph"/>
      </w:pPr>
      <w:r w:rsidRPr="00AA7A1C">
        <w:lastRenderedPageBreak/>
        <w:tab/>
        <w:t>(c)</w:t>
      </w:r>
      <w:r w:rsidRPr="00AA7A1C">
        <w:tab/>
        <w:t>the successor fund confers on the member equivalent rights to the rights the member had under the original fund in respect of the benefits; and</w:t>
      </w:r>
    </w:p>
    <w:p w14:paraId="054301D6" w14:textId="77777777" w:rsidR="009F2240" w:rsidRPr="00AA7A1C" w:rsidRDefault="009F2240" w:rsidP="00EF468E">
      <w:pPr>
        <w:pStyle w:val="paragraph"/>
      </w:pPr>
      <w:r w:rsidRPr="00AA7A1C">
        <w:tab/>
        <w:t>(d)</w:t>
      </w:r>
      <w:r w:rsidRPr="00AA7A1C">
        <w:tab/>
        <w:t>before the transfer, the trustee of the successor fund had agreed with the trustee of the original fund that the successor fund will confer such equivalent rights on the member.</w:t>
      </w:r>
    </w:p>
    <w:p w14:paraId="054301D7" w14:textId="77777777" w:rsidR="009F2240" w:rsidRPr="00AA7A1C" w:rsidRDefault="00777190" w:rsidP="00EF468E">
      <w:pPr>
        <w:pStyle w:val="ItemHead"/>
      </w:pPr>
      <w:r>
        <w:t>72</w:t>
      </w:r>
      <w:r w:rsidR="009F2240" w:rsidRPr="00AA7A1C">
        <w:t xml:space="preserve">  After sub</w:t>
      </w:r>
      <w:r w:rsidR="00AA7A1C" w:rsidRPr="00AA7A1C">
        <w:t>section 6</w:t>
      </w:r>
      <w:r w:rsidR="009F2240" w:rsidRPr="00AA7A1C">
        <w:t>8AAC(3)</w:t>
      </w:r>
    </w:p>
    <w:p w14:paraId="054301D8" w14:textId="77777777" w:rsidR="009F2240" w:rsidRPr="00AA7A1C" w:rsidRDefault="009F2240" w:rsidP="00EF468E">
      <w:pPr>
        <w:pStyle w:val="Item"/>
      </w:pPr>
      <w:r w:rsidRPr="00AA7A1C">
        <w:t>Insert:</w:t>
      </w:r>
    </w:p>
    <w:p w14:paraId="054301D9" w14:textId="77777777" w:rsidR="009F2240" w:rsidRPr="00AA7A1C" w:rsidRDefault="009F2240" w:rsidP="00EF468E">
      <w:pPr>
        <w:pStyle w:val="subsection"/>
      </w:pPr>
      <w:r w:rsidRPr="00AA7A1C">
        <w:tab/>
        <w:t>(3A)</w:t>
      </w:r>
      <w:r w:rsidRPr="00AA7A1C">
        <w:tab/>
        <w:t>A member’s election:</w:t>
      </w:r>
    </w:p>
    <w:p w14:paraId="054301DA" w14:textId="77777777" w:rsidR="009F2240" w:rsidRPr="00AA7A1C" w:rsidRDefault="009F2240" w:rsidP="00EF468E">
      <w:pPr>
        <w:pStyle w:val="paragraph"/>
      </w:pPr>
      <w:r w:rsidRPr="00AA7A1C">
        <w:tab/>
        <w:t>(a)</w:t>
      </w:r>
      <w:r w:rsidRPr="00AA7A1C">
        <w:tab/>
        <w:t>that:</w:t>
      </w:r>
    </w:p>
    <w:p w14:paraId="054301DB" w14:textId="77777777" w:rsidR="009F2240" w:rsidRPr="00AA7A1C" w:rsidRDefault="009F2240" w:rsidP="00EF468E">
      <w:pPr>
        <w:pStyle w:val="paragraphsub"/>
      </w:pPr>
      <w:r w:rsidRPr="00AA7A1C">
        <w:tab/>
        <w:t>(i)</w:t>
      </w:r>
      <w:r w:rsidRPr="00AA7A1C">
        <w:tab/>
        <w:t xml:space="preserve">is given under </w:t>
      </w:r>
      <w:r w:rsidR="000571FE">
        <w:t>subsection (</w:t>
      </w:r>
      <w:r w:rsidRPr="00AA7A1C">
        <w:t>2); or</w:t>
      </w:r>
    </w:p>
    <w:p w14:paraId="054301DC" w14:textId="77777777" w:rsidR="009F2240" w:rsidRPr="00AA7A1C" w:rsidRDefault="009F2240" w:rsidP="00EF468E">
      <w:pPr>
        <w:pStyle w:val="paragraphsub"/>
      </w:pPr>
      <w:r w:rsidRPr="00AA7A1C">
        <w:tab/>
        <w:t>(ii)</w:t>
      </w:r>
      <w:r w:rsidRPr="00AA7A1C">
        <w:tab/>
        <w:t xml:space="preserve">because of a previous application of this subsection, is taken to have been given under </w:t>
      </w:r>
      <w:r w:rsidR="000571FE">
        <w:t>subsection (</w:t>
      </w:r>
      <w:r w:rsidRPr="00AA7A1C">
        <w:t>2);</w:t>
      </w:r>
    </w:p>
    <w:p w14:paraId="054301DD" w14:textId="77777777" w:rsidR="009F2240" w:rsidRPr="00AA7A1C" w:rsidRDefault="009F2240" w:rsidP="00EF468E">
      <w:pPr>
        <w:pStyle w:val="paragraph"/>
      </w:pPr>
      <w:r w:rsidRPr="00AA7A1C">
        <w:tab/>
      </w:r>
      <w:r w:rsidRPr="00AA7A1C">
        <w:tab/>
        <w:t xml:space="preserve">to the trustee of a regulated superannuation fund (the </w:t>
      </w:r>
      <w:r w:rsidRPr="00AA7A1C">
        <w:rPr>
          <w:b/>
          <w:i/>
        </w:rPr>
        <w:t>original fund</w:t>
      </w:r>
      <w:r w:rsidRPr="00AA7A1C">
        <w:t>); and</w:t>
      </w:r>
    </w:p>
    <w:p w14:paraId="054301DE" w14:textId="77777777" w:rsidR="009F2240" w:rsidRPr="00AA7A1C" w:rsidRDefault="009F2240" w:rsidP="00EF468E">
      <w:pPr>
        <w:pStyle w:val="paragraph"/>
      </w:pPr>
      <w:r w:rsidRPr="00AA7A1C">
        <w:tab/>
        <w:t>(b)</w:t>
      </w:r>
      <w:r w:rsidRPr="00AA7A1C">
        <w:tab/>
        <w:t xml:space="preserve">that is in force immediately before the transfer of the benefits of the member from the original fund to another regulated superannuation fund (the </w:t>
      </w:r>
      <w:r w:rsidRPr="00AA7A1C">
        <w:rPr>
          <w:b/>
          <w:i/>
        </w:rPr>
        <w:t>successor fund</w:t>
      </w:r>
      <w:r w:rsidRPr="00AA7A1C">
        <w:t>);</w:t>
      </w:r>
    </w:p>
    <w:p w14:paraId="054301DF" w14:textId="77777777" w:rsidR="009F2240" w:rsidRPr="00AA7A1C" w:rsidRDefault="009F2240" w:rsidP="00EF468E">
      <w:pPr>
        <w:pStyle w:val="subsection2"/>
      </w:pPr>
      <w:r w:rsidRPr="00AA7A1C">
        <w:t xml:space="preserve">continues in force (and may be dealt with) as if it had been given under </w:t>
      </w:r>
      <w:r w:rsidR="000571FE">
        <w:t>subsection (</w:t>
      </w:r>
      <w:r w:rsidRPr="00AA7A1C">
        <w:t>2) to the trustee of the successor fund, if:</w:t>
      </w:r>
    </w:p>
    <w:p w14:paraId="054301E0" w14:textId="77777777" w:rsidR="009F2240" w:rsidRPr="00AA7A1C" w:rsidRDefault="009F2240" w:rsidP="00EF468E">
      <w:pPr>
        <w:pStyle w:val="paragraph"/>
      </w:pPr>
      <w:r w:rsidRPr="00AA7A1C">
        <w:tab/>
        <w:t>(c)</w:t>
      </w:r>
      <w:r w:rsidRPr="00AA7A1C">
        <w:tab/>
        <w:t>the successor fund confers on the member equivalent rights to the rights the member had under the original fund in respect of the benefits; and</w:t>
      </w:r>
    </w:p>
    <w:p w14:paraId="054301E1" w14:textId="77777777" w:rsidR="009F2240" w:rsidRPr="00AA7A1C" w:rsidRDefault="009F2240" w:rsidP="00EF468E">
      <w:pPr>
        <w:pStyle w:val="paragraph"/>
      </w:pPr>
      <w:r w:rsidRPr="00AA7A1C">
        <w:tab/>
        <w:t>(d)</w:t>
      </w:r>
      <w:r w:rsidRPr="00AA7A1C">
        <w:tab/>
        <w:t>before the transfer, the trustee of the successor fund had agreed with the trustee of the original fund that the successor fund will confer such equivalent rights on the member.</w:t>
      </w:r>
    </w:p>
    <w:p w14:paraId="054301E2" w14:textId="77777777" w:rsidR="00AE58A8" w:rsidRPr="00AA7A1C" w:rsidRDefault="00777190" w:rsidP="00EF468E">
      <w:pPr>
        <w:pStyle w:val="ItemHead"/>
      </w:pPr>
      <w:r>
        <w:t>73</w:t>
      </w:r>
      <w:r w:rsidR="00AE58A8" w:rsidRPr="00AA7A1C">
        <w:t xml:space="preserve">  </w:t>
      </w:r>
      <w:r w:rsidR="00AA7A1C" w:rsidRPr="00AA7A1C">
        <w:t>Subsection 1</w:t>
      </w:r>
      <w:r w:rsidR="00AE58A8" w:rsidRPr="00AA7A1C">
        <w:t>05(3) (</w:t>
      </w:r>
      <w:r w:rsidR="00AA7A1C" w:rsidRPr="00AA7A1C">
        <w:t>paragraph (</w:t>
      </w:r>
      <w:r w:rsidR="00AE58A8" w:rsidRPr="00AA7A1C">
        <w:t xml:space="preserve">a) of the definition of </w:t>
      </w:r>
      <w:r w:rsidR="00AE58A8" w:rsidRPr="00AA7A1C">
        <w:rPr>
          <w:i/>
        </w:rPr>
        <w:t>member or beneficiary report</w:t>
      </w:r>
      <w:r w:rsidR="00AE58A8" w:rsidRPr="00AA7A1C">
        <w:t>)</w:t>
      </w:r>
    </w:p>
    <w:p w14:paraId="054301E3" w14:textId="77777777" w:rsidR="0058106D" w:rsidRPr="00AA7A1C" w:rsidRDefault="00AE58A8" w:rsidP="00EF468E">
      <w:pPr>
        <w:pStyle w:val="Item"/>
      </w:pPr>
      <w:r w:rsidRPr="00AA7A1C">
        <w:t>Omit “</w:t>
      </w:r>
      <w:r w:rsidRPr="00AA7A1C">
        <w:rPr>
          <w:i/>
        </w:rPr>
        <w:t>Superannuation (Excluded Funds) Taxation Act 1987</w:t>
      </w:r>
      <w:r w:rsidRPr="00AA7A1C">
        <w:t>”, substitute “</w:t>
      </w:r>
      <w:r w:rsidRPr="00AA7A1C">
        <w:rPr>
          <w:i/>
        </w:rPr>
        <w:t>Superannuation (Self Managed Superannuation Funds) Taxation Act 1987</w:t>
      </w:r>
      <w:r w:rsidRPr="00AA7A1C">
        <w:t>”.</w:t>
      </w:r>
    </w:p>
    <w:p w14:paraId="054301E4" w14:textId="77777777" w:rsidR="006B296B" w:rsidRPr="00AA7A1C" w:rsidRDefault="006B296B" w:rsidP="00EF468E">
      <w:pPr>
        <w:pStyle w:val="ActHead9"/>
        <w:rPr>
          <w:i w:val="0"/>
        </w:rPr>
      </w:pPr>
      <w:bookmarkStart w:id="23" w:name="_Toc53569008"/>
      <w:r w:rsidRPr="00AA7A1C">
        <w:t>Superannuation (Unclaimed Money and Lost Members) Act 1999</w:t>
      </w:r>
      <w:bookmarkEnd w:id="23"/>
    </w:p>
    <w:p w14:paraId="054301E5" w14:textId="77777777" w:rsidR="006B296B" w:rsidRPr="00AA7A1C" w:rsidRDefault="00777190" w:rsidP="00EF468E">
      <w:pPr>
        <w:pStyle w:val="ItemHead"/>
      </w:pPr>
      <w:r>
        <w:t>74</w:t>
      </w:r>
      <w:r w:rsidR="006B296B" w:rsidRPr="00AA7A1C">
        <w:t xml:space="preserve">  </w:t>
      </w:r>
      <w:r w:rsidR="00AA7A1C" w:rsidRPr="00AA7A1C">
        <w:t>Subparagraph 2</w:t>
      </w:r>
      <w:r w:rsidR="006B296B" w:rsidRPr="00AA7A1C">
        <w:t>0QA(1)(a)(ix)</w:t>
      </w:r>
    </w:p>
    <w:p w14:paraId="054301E6" w14:textId="77777777" w:rsidR="006B296B" w:rsidRPr="00AA7A1C" w:rsidRDefault="006B296B" w:rsidP="00EF468E">
      <w:pPr>
        <w:pStyle w:val="Item"/>
      </w:pPr>
      <w:r w:rsidRPr="00AA7A1C">
        <w:t>Omit “68AAB(5)”, substitute “68AAB(2), (5)”.</w:t>
      </w:r>
    </w:p>
    <w:p w14:paraId="054301E7" w14:textId="77777777" w:rsidR="006B296B" w:rsidRPr="00AA7A1C" w:rsidRDefault="00777190" w:rsidP="00EF468E">
      <w:pPr>
        <w:pStyle w:val="ItemHead"/>
      </w:pPr>
      <w:r>
        <w:lastRenderedPageBreak/>
        <w:t>75</w:t>
      </w:r>
      <w:r w:rsidR="006B296B" w:rsidRPr="00AA7A1C">
        <w:t xml:space="preserve">  At the end of </w:t>
      </w:r>
      <w:r w:rsidR="00AA7A1C" w:rsidRPr="00AA7A1C">
        <w:t>paragraph 2</w:t>
      </w:r>
      <w:r w:rsidR="006B296B" w:rsidRPr="00AA7A1C">
        <w:t>0QA(1)(a)</w:t>
      </w:r>
    </w:p>
    <w:p w14:paraId="054301E8" w14:textId="77777777" w:rsidR="006B296B" w:rsidRPr="00AA7A1C" w:rsidRDefault="006B296B" w:rsidP="00EF468E">
      <w:pPr>
        <w:pStyle w:val="Item"/>
      </w:pPr>
      <w:r w:rsidRPr="00AA7A1C">
        <w:t>Add:</w:t>
      </w:r>
    </w:p>
    <w:p w14:paraId="054301E9" w14:textId="77777777" w:rsidR="006B296B" w:rsidRPr="00AA7A1C" w:rsidRDefault="006B296B" w:rsidP="00EF468E">
      <w:pPr>
        <w:pStyle w:val="paragraphsub"/>
      </w:pPr>
      <w:r w:rsidRPr="00AA7A1C">
        <w:tab/>
        <w:t>(x)</w:t>
      </w:r>
      <w:r w:rsidRPr="00AA7A1C">
        <w:tab/>
        <w:t xml:space="preserve">no benefit that despite </w:t>
      </w:r>
      <w:r w:rsidR="00AA7A1C" w:rsidRPr="00AA7A1C">
        <w:t>section 6</w:t>
      </w:r>
      <w:r w:rsidRPr="00AA7A1C">
        <w:t>8AAC of the SIS Act could, because of the application of sub</w:t>
      </w:r>
      <w:r w:rsidR="00AA7A1C" w:rsidRPr="00AA7A1C">
        <w:t>section 6</w:t>
      </w:r>
      <w:r w:rsidRPr="00AA7A1C">
        <w:t>8AAC(2) of that Act, be provided to, or in respect of, the member under the product by taking out or maintaining insurance is provided in that way; and</w:t>
      </w:r>
    </w:p>
    <w:p w14:paraId="054301EA" w14:textId="77777777" w:rsidR="006F1D1B" w:rsidRPr="00AA7A1C" w:rsidRDefault="006F1D1B" w:rsidP="00EF468E">
      <w:pPr>
        <w:pStyle w:val="ActHead9"/>
        <w:rPr>
          <w:i w:val="0"/>
        </w:rPr>
      </w:pPr>
      <w:bookmarkStart w:id="24" w:name="_Toc53569009"/>
      <w:r w:rsidRPr="00AA7A1C">
        <w:t>Tax Agent Services Act 2009</w:t>
      </w:r>
      <w:bookmarkEnd w:id="24"/>
    </w:p>
    <w:p w14:paraId="054301EB" w14:textId="77777777" w:rsidR="00047CC3" w:rsidRPr="00AA7A1C" w:rsidRDefault="00777190" w:rsidP="00EF468E">
      <w:pPr>
        <w:pStyle w:val="ItemHead"/>
      </w:pPr>
      <w:r>
        <w:t>76</w:t>
      </w:r>
      <w:r w:rsidR="00047CC3" w:rsidRPr="00AA7A1C">
        <w:t xml:space="preserve">  Paragraphs 20</w:t>
      </w:r>
      <w:r w:rsidR="00EF468E">
        <w:noBreakHyphen/>
      </w:r>
      <w:r w:rsidR="00047CC3" w:rsidRPr="00AA7A1C">
        <w:t>5(1)(c) and (d)</w:t>
      </w:r>
    </w:p>
    <w:p w14:paraId="054301EC" w14:textId="77777777" w:rsidR="00047CC3" w:rsidRPr="00AA7A1C" w:rsidRDefault="00047CC3" w:rsidP="00EF468E">
      <w:pPr>
        <w:pStyle w:val="Item"/>
      </w:pPr>
      <w:r w:rsidRPr="00AA7A1C">
        <w:t>Repeal the paragraphs, substitute:</w:t>
      </w:r>
    </w:p>
    <w:p w14:paraId="054301ED" w14:textId="77777777" w:rsidR="00047CC3" w:rsidRPr="00AA7A1C" w:rsidRDefault="00047CC3" w:rsidP="00EF468E">
      <w:pPr>
        <w:pStyle w:val="paragraph"/>
      </w:pPr>
      <w:r w:rsidRPr="00AA7A1C">
        <w:tab/>
        <w:t>(c)</w:t>
      </w:r>
      <w:r w:rsidRPr="00AA7A1C">
        <w:tab/>
        <w:t>in the case of registration which is not a renewal—the individual maintains, or will be able to maintain, professional indemnity insurance that meets the Board’s requirements; and</w:t>
      </w:r>
    </w:p>
    <w:p w14:paraId="054301EE" w14:textId="77777777" w:rsidR="00047CC3" w:rsidRPr="00AA7A1C" w:rsidRDefault="00047CC3" w:rsidP="00EF468E">
      <w:pPr>
        <w:pStyle w:val="paragraph"/>
      </w:pPr>
      <w:r w:rsidRPr="00AA7A1C">
        <w:tab/>
        <w:t>(d)</w:t>
      </w:r>
      <w:r w:rsidRPr="00AA7A1C">
        <w:tab/>
        <w:t>in the case of a renewal of registration—the individual:</w:t>
      </w:r>
    </w:p>
    <w:p w14:paraId="054301EF" w14:textId="77777777" w:rsidR="00047CC3" w:rsidRPr="00AA7A1C" w:rsidRDefault="00047CC3" w:rsidP="00EF468E">
      <w:pPr>
        <w:pStyle w:val="paragraphsub"/>
      </w:pPr>
      <w:r w:rsidRPr="00AA7A1C">
        <w:tab/>
        <w:t>(i)</w:t>
      </w:r>
      <w:r w:rsidRPr="00AA7A1C">
        <w:tab/>
        <w:t>maintains, at the time of applying for registration, professional indemnity insurance that meets the Board’s requirements; and</w:t>
      </w:r>
    </w:p>
    <w:p w14:paraId="054301F0" w14:textId="77777777" w:rsidR="00047CC3" w:rsidRPr="00AA7A1C" w:rsidRDefault="00047CC3" w:rsidP="00EF468E">
      <w:pPr>
        <w:pStyle w:val="paragraphsub"/>
      </w:pPr>
      <w:r w:rsidRPr="00AA7A1C">
        <w:tab/>
        <w:t>(ii)</w:t>
      </w:r>
      <w:r w:rsidRPr="00AA7A1C">
        <w:tab/>
        <w:t>has completed continuing professional education that meets the Board’s requirements.</w:t>
      </w:r>
    </w:p>
    <w:p w14:paraId="054301F1" w14:textId="77777777" w:rsidR="00047CC3" w:rsidRPr="00AA7A1C" w:rsidRDefault="00777190" w:rsidP="00EF468E">
      <w:pPr>
        <w:pStyle w:val="ItemHead"/>
      </w:pPr>
      <w:r>
        <w:t>77</w:t>
      </w:r>
      <w:r w:rsidR="00047CC3" w:rsidRPr="00AA7A1C">
        <w:t xml:space="preserve">  </w:t>
      </w:r>
      <w:r w:rsidR="00AA7A1C" w:rsidRPr="00AA7A1C">
        <w:t>Paragraph 2</w:t>
      </w:r>
      <w:r w:rsidR="00047CC3" w:rsidRPr="00AA7A1C">
        <w:t>0</w:t>
      </w:r>
      <w:r w:rsidR="00EF468E">
        <w:noBreakHyphen/>
      </w:r>
      <w:r w:rsidR="00047CC3" w:rsidRPr="00AA7A1C">
        <w:t>5(2)(d)</w:t>
      </w:r>
    </w:p>
    <w:p w14:paraId="054301F2" w14:textId="77777777" w:rsidR="00047CC3" w:rsidRPr="00AA7A1C" w:rsidRDefault="00047CC3" w:rsidP="00EF468E">
      <w:pPr>
        <w:pStyle w:val="Item"/>
      </w:pPr>
      <w:r w:rsidRPr="00AA7A1C">
        <w:t>Repeal the paragraph, substitute:</w:t>
      </w:r>
    </w:p>
    <w:p w14:paraId="054301F3" w14:textId="77777777" w:rsidR="00047CC3" w:rsidRPr="00AA7A1C" w:rsidRDefault="00047CC3" w:rsidP="00EF468E">
      <w:pPr>
        <w:pStyle w:val="paragraph"/>
      </w:pPr>
      <w:r w:rsidRPr="00AA7A1C">
        <w:tab/>
        <w:t>(d)</w:t>
      </w:r>
      <w:r w:rsidRPr="00AA7A1C">
        <w:tab/>
        <w:t>in the case of registration which is not a renewal—the partnership maintains, or will be able to maintain, professional indemnity insurance that meets the Board’s requirements; and</w:t>
      </w:r>
    </w:p>
    <w:p w14:paraId="054301F4" w14:textId="77777777" w:rsidR="00047CC3" w:rsidRPr="00AA7A1C" w:rsidRDefault="00047CC3" w:rsidP="00EF468E">
      <w:pPr>
        <w:pStyle w:val="paragraph"/>
      </w:pPr>
      <w:r w:rsidRPr="00AA7A1C">
        <w:tab/>
        <w:t>(e)</w:t>
      </w:r>
      <w:r w:rsidRPr="00AA7A1C">
        <w:tab/>
        <w:t>in the case of a renewal of registration—the partnership maintains, at the time of applying for registration, professional indemnity insurance that meets the Board’s requirements.</w:t>
      </w:r>
    </w:p>
    <w:p w14:paraId="054301F5" w14:textId="77777777" w:rsidR="00047CC3" w:rsidRPr="00AA7A1C" w:rsidRDefault="00777190" w:rsidP="00EF468E">
      <w:pPr>
        <w:pStyle w:val="ItemHead"/>
      </w:pPr>
      <w:r>
        <w:t>78</w:t>
      </w:r>
      <w:r w:rsidR="00047CC3" w:rsidRPr="00AA7A1C">
        <w:t xml:space="preserve">  </w:t>
      </w:r>
      <w:r w:rsidR="00AA7A1C" w:rsidRPr="00AA7A1C">
        <w:t>Paragraph 2</w:t>
      </w:r>
      <w:r w:rsidR="00047CC3" w:rsidRPr="00AA7A1C">
        <w:t>0</w:t>
      </w:r>
      <w:r w:rsidR="00EF468E">
        <w:noBreakHyphen/>
      </w:r>
      <w:r w:rsidR="00047CC3" w:rsidRPr="00AA7A1C">
        <w:t>5(3)(e)</w:t>
      </w:r>
    </w:p>
    <w:p w14:paraId="054301F6" w14:textId="77777777" w:rsidR="00047CC3" w:rsidRPr="00AA7A1C" w:rsidRDefault="00047CC3" w:rsidP="00EF468E">
      <w:pPr>
        <w:pStyle w:val="Item"/>
      </w:pPr>
      <w:r w:rsidRPr="00AA7A1C">
        <w:t>Repeal the paragraph, substitute:</w:t>
      </w:r>
    </w:p>
    <w:p w14:paraId="054301F7" w14:textId="77777777" w:rsidR="00047CC3" w:rsidRPr="00AA7A1C" w:rsidRDefault="00047CC3" w:rsidP="00EF468E">
      <w:pPr>
        <w:pStyle w:val="paragraph"/>
      </w:pPr>
      <w:r w:rsidRPr="00AA7A1C">
        <w:tab/>
        <w:t>(e)</w:t>
      </w:r>
      <w:r w:rsidRPr="00AA7A1C">
        <w:tab/>
        <w:t>in the case of registration which is not a renewal—the company maintains, or will be able to maintain, professional indemnity insurance that meets the Board’s requirements; and</w:t>
      </w:r>
    </w:p>
    <w:p w14:paraId="054301F8" w14:textId="77777777" w:rsidR="00047CC3" w:rsidRPr="00AA7A1C" w:rsidRDefault="00047CC3" w:rsidP="00EF468E">
      <w:pPr>
        <w:pStyle w:val="paragraph"/>
      </w:pPr>
      <w:r w:rsidRPr="00AA7A1C">
        <w:lastRenderedPageBreak/>
        <w:tab/>
        <w:t>(f)</w:t>
      </w:r>
      <w:r w:rsidRPr="00AA7A1C">
        <w:tab/>
        <w:t>in the case of a renewal of registration—the company maintains, at the time of applying for registration, professional indemnity insurance that meets the Board’s requirements.</w:t>
      </w:r>
    </w:p>
    <w:p w14:paraId="054301F9" w14:textId="77777777" w:rsidR="00047CC3" w:rsidRPr="00AA7A1C" w:rsidRDefault="00777190" w:rsidP="00EF468E">
      <w:pPr>
        <w:pStyle w:val="ItemHead"/>
      </w:pPr>
      <w:r>
        <w:t>79</w:t>
      </w:r>
      <w:r w:rsidR="00047CC3" w:rsidRPr="00AA7A1C">
        <w:t xml:space="preserve">  </w:t>
      </w:r>
      <w:r w:rsidR="00AA7A1C" w:rsidRPr="00AA7A1C">
        <w:t>Paragraph 2</w:t>
      </w:r>
      <w:r w:rsidR="00047CC3" w:rsidRPr="00AA7A1C">
        <w:t>0</w:t>
      </w:r>
      <w:r w:rsidR="00EF468E">
        <w:noBreakHyphen/>
      </w:r>
      <w:r w:rsidR="00047CC3" w:rsidRPr="00AA7A1C">
        <w:t>50(1)(a)</w:t>
      </w:r>
    </w:p>
    <w:p w14:paraId="054301FA" w14:textId="77777777" w:rsidR="00047CC3" w:rsidRPr="00AA7A1C" w:rsidRDefault="00047CC3" w:rsidP="00EF468E">
      <w:pPr>
        <w:pStyle w:val="Item"/>
      </w:pPr>
      <w:r w:rsidRPr="00AA7A1C">
        <w:t>After “30 days”, insert “, but not more than 90 days,”.</w:t>
      </w:r>
    </w:p>
    <w:p w14:paraId="054301FB" w14:textId="77777777" w:rsidR="00047CC3" w:rsidRPr="00AA7A1C" w:rsidRDefault="00777190" w:rsidP="00EF468E">
      <w:pPr>
        <w:pStyle w:val="ItemHead"/>
      </w:pPr>
      <w:r>
        <w:t>80</w:t>
      </w:r>
      <w:r w:rsidR="00047CC3" w:rsidRPr="00AA7A1C">
        <w:t xml:space="preserve">  </w:t>
      </w:r>
      <w:r w:rsidR="00AA7A1C" w:rsidRPr="00AA7A1C">
        <w:t>Paragraph 2</w:t>
      </w:r>
      <w:r w:rsidR="00047CC3" w:rsidRPr="00AA7A1C">
        <w:t>0</w:t>
      </w:r>
      <w:r w:rsidR="00EF468E">
        <w:noBreakHyphen/>
      </w:r>
      <w:r w:rsidR="00047CC3" w:rsidRPr="00AA7A1C">
        <w:t>50(1)(b)</w:t>
      </w:r>
    </w:p>
    <w:p w14:paraId="054301FC" w14:textId="77777777" w:rsidR="00047CC3" w:rsidRPr="00AA7A1C" w:rsidRDefault="00047CC3" w:rsidP="00EF468E">
      <w:pPr>
        <w:pStyle w:val="Item"/>
      </w:pPr>
      <w:r w:rsidRPr="00AA7A1C">
        <w:t>Omit “shorter”, substitute “other”.</w:t>
      </w:r>
    </w:p>
    <w:p w14:paraId="054301FD" w14:textId="77777777" w:rsidR="00047CC3" w:rsidRPr="00AA7A1C" w:rsidRDefault="00777190" w:rsidP="00EF468E">
      <w:pPr>
        <w:pStyle w:val="ItemHead"/>
      </w:pPr>
      <w:r>
        <w:t>81</w:t>
      </w:r>
      <w:r w:rsidR="00047CC3" w:rsidRPr="00AA7A1C">
        <w:t xml:space="preserve">  </w:t>
      </w:r>
      <w:r w:rsidR="00AA7A1C" w:rsidRPr="00AA7A1C">
        <w:t>Subsection 2</w:t>
      </w:r>
      <w:r w:rsidR="00047CC3" w:rsidRPr="00AA7A1C">
        <w:t>0</w:t>
      </w:r>
      <w:r w:rsidR="00EF468E">
        <w:noBreakHyphen/>
      </w:r>
      <w:r w:rsidR="00047CC3" w:rsidRPr="00AA7A1C">
        <w:t>50(2)</w:t>
      </w:r>
    </w:p>
    <w:p w14:paraId="054301FE" w14:textId="77777777" w:rsidR="00047CC3" w:rsidRPr="00AA7A1C" w:rsidRDefault="00047CC3" w:rsidP="00EF468E">
      <w:pPr>
        <w:pStyle w:val="Item"/>
      </w:pPr>
      <w:r w:rsidRPr="00AA7A1C">
        <w:t>Repeal the subsection, substitute:</w:t>
      </w:r>
    </w:p>
    <w:p w14:paraId="054301FF" w14:textId="77777777" w:rsidR="00047CC3" w:rsidRPr="00AA7A1C" w:rsidRDefault="00047CC3" w:rsidP="00EF468E">
      <w:pPr>
        <w:pStyle w:val="subsection"/>
      </w:pPr>
      <w:r w:rsidRPr="00AA7A1C">
        <w:tab/>
        <w:t>(2)</w:t>
      </w:r>
      <w:r w:rsidRPr="00AA7A1C">
        <w:tab/>
        <w:t>Your registration is taken to continue until your application is decided, or you withdraw your application, whichever happens first.</w:t>
      </w:r>
    </w:p>
    <w:p w14:paraId="05430200" w14:textId="77777777" w:rsidR="00047CC3" w:rsidRPr="00AA7A1C" w:rsidRDefault="00777190" w:rsidP="00EF468E">
      <w:pPr>
        <w:pStyle w:val="ItemHead"/>
      </w:pPr>
      <w:r>
        <w:t>82</w:t>
      </w:r>
      <w:r w:rsidR="00047CC3" w:rsidRPr="00AA7A1C">
        <w:t xml:space="preserve">  </w:t>
      </w:r>
      <w:r w:rsidR="00AA7A1C" w:rsidRPr="00AA7A1C">
        <w:t>Section 3</w:t>
      </w:r>
      <w:r w:rsidR="00047CC3" w:rsidRPr="00AA7A1C">
        <w:t>0</w:t>
      </w:r>
      <w:r w:rsidR="00EF468E">
        <w:noBreakHyphen/>
      </w:r>
      <w:r w:rsidR="00047CC3" w:rsidRPr="00AA7A1C">
        <w:t>35</w:t>
      </w:r>
    </w:p>
    <w:p w14:paraId="05430201" w14:textId="77777777" w:rsidR="00047CC3" w:rsidRPr="00AA7A1C" w:rsidRDefault="00047CC3" w:rsidP="00EF468E">
      <w:pPr>
        <w:pStyle w:val="Item"/>
      </w:pPr>
      <w:r w:rsidRPr="00AA7A1C">
        <w:t>Omit “business or email address” (wherever occurring), substitute “address for service of notices”.</w:t>
      </w:r>
    </w:p>
    <w:p w14:paraId="05430202" w14:textId="77777777" w:rsidR="006F1D1B" w:rsidRPr="00AA7A1C" w:rsidRDefault="00777190" w:rsidP="00EF468E">
      <w:pPr>
        <w:pStyle w:val="ItemHead"/>
      </w:pPr>
      <w:r>
        <w:t>83</w:t>
      </w:r>
      <w:r w:rsidR="006F1D1B" w:rsidRPr="00AA7A1C">
        <w:t xml:space="preserve">  </w:t>
      </w:r>
      <w:r w:rsidR="00AA7A1C" w:rsidRPr="00AA7A1C">
        <w:t>Paragraph</w:t>
      </w:r>
      <w:r w:rsidR="008063CF">
        <w:t>s</w:t>
      </w:r>
      <w:r w:rsidR="00AA7A1C" w:rsidRPr="00AA7A1C">
        <w:t> 4</w:t>
      </w:r>
      <w:r w:rsidR="006F1D1B" w:rsidRPr="00AA7A1C">
        <w:t>0</w:t>
      </w:r>
      <w:r w:rsidR="00EF468E">
        <w:noBreakHyphen/>
      </w:r>
      <w:r w:rsidR="006F1D1B" w:rsidRPr="00AA7A1C">
        <w:t>5(3)(b)</w:t>
      </w:r>
      <w:r w:rsidR="008063CF">
        <w:t xml:space="preserve">, </w:t>
      </w:r>
      <w:r w:rsidR="008063CF" w:rsidRPr="00AA7A1C">
        <w:t>40</w:t>
      </w:r>
      <w:r w:rsidR="00EF468E">
        <w:noBreakHyphen/>
      </w:r>
      <w:r w:rsidR="008063CF" w:rsidRPr="00AA7A1C">
        <w:t>10(2A)(b)</w:t>
      </w:r>
      <w:r w:rsidR="008063CF">
        <w:t xml:space="preserve"> and </w:t>
      </w:r>
      <w:r w:rsidR="008063CF" w:rsidRPr="00AA7A1C">
        <w:t>40</w:t>
      </w:r>
      <w:r w:rsidR="00EF468E">
        <w:noBreakHyphen/>
      </w:r>
      <w:r w:rsidR="008063CF" w:rsidRPr="00AA7A1C">
        <w:t>15(2A)(b)</w:t>
      </w:r>
    </w:p>
    <w:p w14:paraId="05430203" w14:textId="77777777" w:rsidR="006F1D1B" w:rsidRPr="00AA7A1C" w:rsidRDefault="006F1D1B" w:rsidP="00EF468E">
      <w:pPr>
        <w:pStyle w:val="Item"/>
      </w:pPr>
      <w:r w:rsidRPr="00AA7A1C">
        <w:t>Repeal the paragraph</w:t>
      </w:r>
      <w:r w:rsidR="008063CF">
        <w:t>s</w:t>
      </w:r>
      <w:r w:rsidRPr="00AA7A1C">
        <w:t>, substitute:</w:t>
      </w:r>
    </w:p>
    <w:p w14:paraId="05430204" w14:textId="77777777" w:rsidR="006F1D1B" w:rsidRPr="00AA7A1C" w:rsidRDefault="006F1D1B" w:rsidP="00EF468E">
      <w:pPr>
        <w:pStyle w:val="paragraph"/>
      </w:pPr>
      <w:r w:rsidRPr="00AA7A1C">
        <w:tab/>
        <w:t>(b)</w:t>
      </w:r>
      <w:r w:rsidRPr="00AA7A1C">
        <w:tab/>
        <w:t>either:</w:t>
      </w:r>
    </w:p>
    <w:p w14:paraId="05430205" w14:textId="77777777" w:rsidR="006F1D1B" w:rsidRPr="00AA7A1C" w:rsidRDefault="006F1D1B" w:rsidP="00EF468E">
      <w:pPr>
        <w:pStyle w:val="paragraphsub"/>
      </w:pPr>
      <w:r w:rsidRPr="00AA7A1C">
        <w:tab/>
        <w:t>(i)</w:t>
      </w:r>
      <w:r w:rsidRPr="00AA7A1C">
        <w:tab/>
        <w:t>the Board considers that, due to a current investigation or the outcome of an investigation, it would be inappropriate to terminate your registration; or</w:t>
      </w:r>
    </w:p>
    <w:p w14:paraId="05430206" w14:textId="77777777" w:rsidR="006F1D1B" w:rsidRPr="00AA7A1C" w:rsidRDefault="006F1D1B" w:rsidP="00EF468E">
      <w:pPr>
        <w:pStyle w:val="paragraphsub"/>
      </w:pPr>
      <w:r w:rsidRPr="00AA7A1C">
        <w:tab/>
        <w:t>(ii)</w:t>
      </w:r>
      <w:r w:rsidRPr="00AA7A1C">
        <w:tab/>
        <w:t>the Board starts to investigate you within 30 days after receiving your surrender notice and considers that it would be inappropriate to terminate your registration.</w:t>
      </w:r>
    </w:p>
    <w:p w14:paraId="05430207" w14:textId="77777777" w:rsidR="00047CC3" w:rsidRPr="00AA7A1C" w:rsidRDefault="00777190" w:rsidP="00EF468E">
      <w:pPr>
        <w:pStyle w:val="ItemHead"/>
      </w:pPr>
      <w:r>
        <w:t>84</w:t>
      </w:r>
      <w:r w:rsidR="00047CC3" w:rsidRPr="00AA7A1C">
        <w:t xml:space="preserve">  </w:t>
      </w:r>
      <w:r w:rsidR="00AA7A1C" w:rsidRPr="00AA7A1C">
        <w:t>Paragraph 7</w:t>
      </w:r>
      <w:r w:rsidR="00047CC3" w:rsidRPr="00AA7A1C">
        <w:t>0</w:t>
      </w:r>
      <w:r w:rsidR="00EF468E">
        <w:noBreakHyphen/>
      </w:r>
      <w:r w:rsidR="00047CC3" w:rsidRPr="00AA7A1C">
        <w:t>10(d)</w:t>
      </w:r>
    </w:p>
    <w:p w14:paraId="05430208" w14:textId="77777777" w:rsidR="00047CC3" w:rsidRPr="00AA7A1C" w:rsidRDefault="00047CC3" w:rsidP="00EF468E">
      <w:pPr>
        <w:pStyle w:val="Item"/>
      </w:pPr>
      <w:r w:rsidRPr="00AA7A1C">
        <w:t>Omit “a shorter”, substitute “another”.</w:t>
      </w:r>
    </w:p>
    <w:p w14:paraId="05430209" w14:textId="77777777" w:rsidR="00047CC3" w:rsidRPr="00AA7A1C" w:rsidRDefault="00777190" w:rsidP="00EF468E">
      <w:pPr>
        <w:pStyle w:val="ItemHead"/>
      </w:pPr>
      <w:r>
        <w:t>85</w:t>
      </w:r>
      <w:r w:rsidR="00047CC3" w:rsidRPr="00AA7A1C">
        <w:t xml:space="preserve">  At the end of Division 70</w:t>
      </w:r>
    </w:p>
    <w:p w14:paraId="0543020A" w14:textId="77777777" w:rsidR="00047CC3" w:rsidRPr="00AA7A1C" w:rsidRDefault="00047CC3" w:rsidP="00EF468E">
      <w:pPr>
        <w:pStyle w:val="Item"/>
      </w:pPr>
      <w:r w:rsidRPr="00AA7A1C">
        <w:t>Add:</w:t>
      </w:r>
    </w:p>
    <w:p w14:paraId="0543020B" w14:textId="77777777" w:rsidR="00047CC3" w:rsidRPr="00AA7A1C" w:rsidRDefault="00047CC3" w:rsidP="00EF468E">
      <w:pPr>
        <w:pStyle w:val="ActHead4"/>
      </w:pPr>
      <w:bookmarkStart w:id="25" w:name="_Toc53569010"/>
      <w:r w:rsidRPr="0086646A">
        <w:rPr>
          <w:rStyle w:val="CharSubdNo"/>
        </w:rPr>
        <w:t>Subdivision 70</w:t>
      </w:r>
      <w:r w:rsidR="00EF468E" w:rsidRPr="0086646A">
        <w:rPr>
          <w:rStyle w:val="CharSubdNo"/>
        </w:rPr>
        <w:noBreakHyphen/>
      </w:r>
      <w:r w:rsidRPr="0086646A">
        <w:rPr>
          <w:rStyle w:val="CharSubdNo"/>
        </w:rPr>
        <w:t>F</w:t>
      </w:r>
      <w:r w:rsidRPr="00AA7A1C">
        <w:t>—</w:t>
      </w:r>
      <w:r w:rsidRPr="0086646A">
        <w:rPr>
          <w:rStyle w:val="CharSubdText"/>
        </w:rPr>
        <w:t>Address for service of notices</w:t>
      </w:r>
      <w:bookmarkEnd w:id="25"/>
    </w:p>
    <w:p w14:paraId="0543020C" w14:textId="77777777" w:rsidR="00047CC3" w:rsidRPr="00AA7A1C" w:rsidRDefault="00047CC3" w:rsidP="00EF468E">
      <w:pPr>
        <w:pStyle w:val="TofSectsHeading"/>
      </w:pPr>
      <w:r w:rsidRPr="00AA7A1C">
        <w:t>Table of sections</w:t>
      </w:r>
    </w:p>
    <w:p w14:paraId="0543020D" w14:textId="77777777" w:rsidR="00047CC3" w:rsidRPr="00AA7A1C" w:rsidRDefault="00047CC3" w:rsidP="00EF468E">
      <w:pPr>
        <w:pStyle w:val="TofSectsSection"/>
      </w:pPr>
      <w:r w:rsidRPr="00AA7A1C">
        <w:lastRenderedPageBreak/>
        <w:t>70</w:t>
      </w:r>
      <w:r w:rsidR="00EF468E">
        <w:noBreakHyphen/>
      </w:r>
      <w:r w:rsidRPr="00AA7A1C">
        <w:t>60</w:t>
      </w:r>
      <w:r w:rsidRPr="00AA7A1C">
        <w:tab/>
        <w:t>Address for service of notices</w:t>
      </w:r>
    </w:p>
    <w:p w14:paraId="0543020E" w14:textId="77777777" w:rsidR="00047CC3" w:rsidRPr="00AA7A1C" w:rsidRDefault="00047CC3" w:rsidP="00EF468E">
      <w:pPr>
        <w:pStyle w:val="TofSectsSection"/>
      </w:pPr>
      <w:r w:rsidRPr="00AA7A1C">
        <w:t>70</w:t>
      </w:r>
      <w:r w:rsidR="00EF468E">
        <w:noBreakHyphen/>
      </w:r>
      <w:r w:rsidRPr="00AA7A1C">
        <w:t>65</w:t>
      </w:r>
      <w:r w:rsidRPr="00AA7A1C">
        <w:tab/>
        <w:t>How documents may be given</w:t>
      </w:r>
    </w:p>
    <w:p w14:paraId="0543020F" w14:textId="77777777" w:rsidR="00047CC3" w:rsidRPr="00AA7A1C" w:rsidRDefault="00047CC3" w:rsidP="00EF468E">
      <w:pPr>
        <w:pStyle w:val="ActHead5"/>
      </w:pPr>
      <w:bookmarkStart w:id="26" w:name="_Toc53569011"/>
      <w:r w:rsidRPr="0086646A">
        <w:rPr>
          <w:rStyle w:val="CharSectno"/>
        </w:rPr>
        <w:t>70</w:t>
      </w:r>
      <w:r w:rsidR="00EF468E" w:rsidRPr="0086646A">
        <w:rPr>
          <w:rStyle w:val="CharSectno"/>
        </w:rPr>
        <w:noBreakHyphen/>
      </w:r>
      <w:r w:rsidRPr="0086646A">
        <w:rPr>
          <w:rStyle w:val="CharSectno"/>
        </w:rPr>
        <w:t>60</w:t>
      </w:r>
      <w:r w:rsidRPr="00AA7A1C">
        <w:t xml:space="preserve">  Address for service of notices</w:t>
      </w:r>
      <w:bookmarkEnd w:id="26"/>
    </w:p>
    <w:p w14:paraId="05430210" w14:textId="77777777" w:rsidR="00047CC3" w:rsidRPr="00AA7A1C" w:rsidRDefault="00047CC3" w:rsidP="00EF468E">
      <w:pPr>
        <w:pStyle w:val="subsection"/>
      </w:pPr>
      <w:r w:rsidRPr="00AA7A1C">
        <w:tab/>
        <w:t>(1)</w:t>
      </w:r>
      <w:r w:rsidRPr="00AA7A1C">
        <w:tab/>
        <w:t>An entity’s address for service of notices by the Board for the purposes of this Act is:</w:t>
      </w:r>
    </w:p>
    <w:p w14:paraId="05430211" w14:textId="77777777" w:rsidR="00047CC3" w:rsidRPr="00AA7A1C" w:rsidRDefault="00047CC3" w:rsidP="00EF468E">
      <w:pPr>
        <w:pStyle w:val="paragraph"/>
      </w:pPr>
      <w:r w:rsidRPr="00AA7A1C">
        <w:tab/>
        <w:t>(a)</w:t>
      </w:r>
      <w:r w:rsidRPr="00AA7A1C">
        <w:tab/>
        <w:t>a physical address in Australia; or</w:t>
      </w:r>
    </w:p>
    <w:p w14:paraId="05430212" w14:textId="77777777" w:rsidR="00047CC3" w:rsidRPr="00AA7A1C" w:rsidRDefault="00047CC3" w:rsidP="00EF468E">
      <w:pPr>
        <w:pStyle w:val="paragraph"/>
      </w:pPr>
      <w:r w:rsidRPr="00AA7A1C">
        <w:tab/>
        <w:t>(b)</w:t>
      </w:r>
      <w:r w:rsidRPr="00AA7A1C">
        <w:tab/>
        <w:t>a postal address in Australia; or</w:t>
      </w:r>
    </w:p>
    <w:p w14:paraId="05430213" w14:textId="77777777" w:rsidR="00047CC3" w:rsidRPr="00AA7A1C" w:rsidRDefault="00047CC3" w:rsidP="00EF468E">
      <w:pPr>
        <w:pStyle w:val="paragraph"/>
      </w:pPr>
      <w:r w:rsidRPr="00AA7A1C">
        <w:tab/>
        <w:t>(c)</w:t>
      </w:r>
      <w:r w:rsidRPr="00AA7A1C">
        <w:tab/>
        <w:t>an electronic address;</w:t>
      </w:r>
    </w:p>
    <w:p w14:paraId="05430214" w14:textId="77777777" w:rsidR="00047CC3" w:rsidRPr="00AA7A1C" w:rsidRDefault="00047CC3" w:rsidP="00EF468E">
      <w:pPr>
        <w:pStyle w:val="subsection2"/>
      </w:pPr>
      <w:r w:rsidRPr="00AA7A1C">
        <w:t>that the entity has given the Board as the entity’s address for service for the purposes of this Act.</w:t>
      </w:r>
    </w:p>
    <w:p w14:paraId="05430215" w14:textId="77777777" w:rsidR="00047CC3" w:rsidRPr="00AA7A1C" w:rsidRDefault="00047CC3" w:rsidP="00EF468E">
      <w:pPr>
        <w:pStyle w:val="subsection"/>
      </w:pPr>
      <w:r w:rsidRPr="00AA7A1C">
        <w:tab/>
        <w:t>(2)</w:t>
      </w:r>
      <w:r w:rsidRPr="00AA7A1C">
        <w:tab/>
        <w:t xml:space="preserve">If an entity has given the Board more than one address for service for the purposes of </w:t>
      </w:r>
      <w:r w:rsidR="000571FE">
        <w:t>subsection (</w:t>
      </w:r>
      <w:r w:rsidRPr="00AA7A1C">
        <w:t>1), the entity’s address for service is such of those addresses as the Board considers reasonable in the circumstances.</w:t>
      </w:r>
    </w:p>
    <w:p w14:paraId="05430216" w14:textId="77777777" w:rsidR="00047CC3" w:rsidRPr="00AA7A1C" w:rsidRDefault="00047CC3" w:rsidP="00EF468E">
      <w:pPr>
        <w:pStyle w:val="subsection"/>
      </w:pPr>
      <w:r w:rsidRPr="00AA7A1C">
        <w:tab/>
        <w:t>(3)</w:t>
      </w:r>
      <w:r w:rsidRPr="00AA7A1C">
        <w:tab/>
        <w:t>If an entity has not given the Board an address for service, the entity’s address for service is the address that the Board reasonably believes to be the entity’s address for service for the purposes of this Act.</w:t>
      </w:r>
    </w:p>
    <w:p w14:paraId="05430217" w14:textId="77777777" w:rsidR="00047CC3" w:rsidRPr="00AA7A1C" w:rsidRDefault="00047CC3" w:rsidP="00EF468E">
      <w:pPr>
        <w:pStyle w:val="ActHead5"/>
      </w:pPr>
      <w:bookmarkStart w:id="27" w:name="_Toc53569012"/>
      <w:r w:rsidRPr="0086646A">
        <w:rPr>
          <w:rStyle w:val="CharSectno"/>
        </w:rPr>
        <w:t>70</w:t>
      </w:r>
      <w:r w:rsidR="00EF468E" w:rsidRPr="0086646A">
        <w:rPr>
          <w:rStyle w:val="CharSectno"/>
        </w:rPr>
        <w:noBreakHyphen/>
      </w:r>
      <w:r w:rsidRPr="0086646A">
        <w:rPr>
          <w:rStyle w:val="CharSectno"/>
        </w:rPr>
        <w:t>65</w:t>
      </w:r>
      <w:r w:rsidRPr="00AA7A1C">
        <w:t xml:space="preserve">  How documents may be given</w:t>
      </w:r>
      <w:bookmarkEnd w:id="27"/>
    </w:p>
    <w:p w14:paraId="05430218" w14:textId="77777777" w:rsidR="00047CC3" w:rsidRPr="00AA7A1C" w:rsidRDefault="00047CC3" w:rsidP="00EF468E">
      <w:pPr>
        <w:pStyle w:val="subsection"/>
      </w:pPr>
      <w:r w:rsidRPr="00AA7A1C">
        <w:tab/>
        <w:t>(1)</w:t>
      </w:r>
      <w:r w:rsidRPr="00AA7A1C">
        <w:tab/>
        <w:t>For the purposes of this Act, a document (however described) may be given to an entity:</w:t>
      </w:r>
    </w:p>
    <w:p w14:paraId="05430219" w14:textId="77777777" w:rsidR="00047CC3" w:rsidRPr="00AA7A1C" w:rsidRDefault="00047CC3" w:rsidP="00EF468E">
      <w:pPr>
        <w:pStyle w:val="paragraph"/>
      </w:pPr>
      <w:r w:rsidRPr="00AA7A1C">
        <w:tab/>
        <w:t>(a)</w:t>
      </w:r>
      <w:r w:rsidRPr="00AA7A1C">
        <w:tab/>
        <w:t xml:space="preserve">in the manner specified in </w:t>
      </w:r>
      <w:r w:rsidR="00AA7A1C" w:rsidRPr="00AA7A1C">
        <w:t>section 2</w:t>
      </w:r>
      <w:r w:rsidRPr="00AA7A1C">
        <w:t xml:space="preserve">8A of the </w:t>
      </w:r>
      <w:r w:rsidRPr="00AA7A1C">
        <w:rPr>
          <w:i/>
        </w:rPr>
        <w:t>Acts Interpretation Act 1901</w:t>
      </w:r>
      <w:r w:rsidRPr="00AA7A1C">
        <w:t>; or</w:t>
      </w:r>
    </w:p>
    <w:p w14:paraId="0543021A" w14:textId="77777777" w:rsidR="00047CC3" w:rsidRPr="00AA7A1C" w:rsidRDefault="00047CC3" w:rsidP="00EF468E">
      <w:pPr>
        <w:pStyle w:val="paragraph"/>
      </w:pPr>
      <w:r w:rsidRPr="00AA7A1C">
        <w:tab/>
        <w:t>(b)</w:t>
      </w:r>
      <w:r w:rsidRPr="00AA7A1C">
        <w:tab/>
        <w:t>if the entity’s address for service is an electronic address—by sending it to that address; or</w:t>
      </w:r>
    </w:p>
    <w:p w14:paraId="0543021B" w14:textId="77777777" w:rsidR="00047CC3" w:rsidRPr="00AA7A1C" w:rsidRDefault="00047CC3" w:rsidP="00EF468E">
      <w:pPr>
        <w:pStyle w:val="paragraph"/>
      </w:pPr>
      <w:r w:rsidRPr="00AA7A1C">
        <w:tab/>
        <w:t>(c)</w:t>
      </w:r>
      <w:r w:rsidRPr="00AA7A1C">
        <w:tab/>
        <w:t xml:space="preserve">if the entity is a company and a liquidator of the company has been appointed—by leaving it at, or posting it to, the address of the liquidator’s office in the most recent notice of that address lodged with </w:t>
      </w:r>
      <w:r w:rsidR="00EF468E" w:rsidRPr="00EF468E">
        <w:rPr>
          <w:position w:val="6"/>
          <w:sz w:val="16"/>
        </w:rPr>
        <w:t>*</w:t>
      </w:r>
      <w:r w:rsidRPr="00AA7A1C">
        <w:t>ASIC; or</w:t>
      </w:r>
    </w:p>
    <w:p w14:paraId="0543021C" w14:textId="77777777" w:rsidR="00047CC3" w:rsidRPr="00AA7A1C" w:rsidRDefault="00047CC3" w:rsidP="00EF468E">
      <w:pPr>
        <w:pStyle w:val="paragraph"/>
      </w:pPr>
      <w:r w:rsidRPr="00AA7A1C">
        <w:tab/>
        <w:t>(d)</w:t>
      </w:r>
      <w:r w:rsidRPr="00AA7A1C">
        <w:tab/>
        <w:t>if the entity is a company and an administrator of the company has been appointed—by leaving it at, or posting it to, the address of the administrator in the most recent notice of that address lodged with ASIC.</w:t>
      </w:r>
    </w:p>
    <w:p w14:paraId="0543021D" w14:textId="77777777" w:rsidR="00047CC3" w:rsidRPr="00AA7A1C" w:rsidRDefault="00047CC3" w:rsidP="00EF468E">
      <w:pPr>
        <w:pStyle w:val="subsection"/>
      </w:pPr>
      <w:r w:rsidRPr="00AA7A1C">
        <w:tab/>
        <w:t>(2)</w:t>
      </w:r>
      <w:r w:rsidRPr="00AA7A1C">
        <w:tab/>
        <w:t xml:space="preserve">Despite </w:t>
      </w:r>
      <w:r w:rsidR="00AA7A1C" w:rsidRPr="00AA7A1C">
        <w:t>section 2</w:t>
      </w:r>
      <w:r w:rsidRPr="00AA7A1C">
        <w:t xml:space="preserve">9 of the </w:t>
      </w:r>
      <w:r w:rsidRPr="00AA7A1C">
        <w:rPr>
          <w:i/>
        </w:rPr>
        <w:t>Acts Interpretation Act 1901</w:t>
      </w:r>
      <w:r w:rsidRPr="00AA7A1C">
        <w:t xml:space="preserve">, a document posted under </w:t>
      </w:r>
      <w:r w:rsidR="000571FE">
        <w:t>subsection (</w:t>
      </w:r>
      <w:r w:rsidRPr="00AA7A1C">
        <w:t>1) of this section is taken to be given at the time the Board posts it.</w:t>
      </w:r>
    </w:p>
    <w:p w14:paraId="0543021E" w14:textId="77777777" w:rsidR="00047CC3" w:rsidRPr="00AA7A1C" w:rsidRDefault="00047CC3" w:rsidP="00EF468E">
      <w:pPr>
        <w:pStyle w:val="subsection"/>
      </w:pPr>
      <w:r w:rsidRPr="00AA7A1C">
        <w:lastRenderedPageBreak/>
        <w:tab/>
        <w:t>(3)</w:t>
      </w:r>
      <w:r w:rsidRPr="00AA7A1C">
        <w:tab/>
        <w:t xml:space="preserve">This Subdivision has effect despite paragraphs 9(1)(d) and (2)(d) of the </w:t>
      </w:r>
      <w:r w:rsidRPr="00AA7A1C">
        <w:rPr>
          <w:i/>
        </w:rPr>
        <w:t>Electronic Transactions Act 1999</w:t>
      </w:r>
      <w:r w:rsidRPr="00AA7A1C">
        <w:t>.</w:t>
      </w:r>
    </w:p>
    <w:p w14:paraId="0543021F" w14:textId="77777777" w:rsidR="006B296B" w:rsidRPr="00AA7A1C" w:rsidRDefault="006B296B" w:rsidP="00EF468E">
      <w:pPr>
        <w:pStyle w:val="ActHead9"/>
        <w:rPr>
          <w:i w:val="0"/>
        </w:rPr>
      </w:pPr>
      <w:bookmarkStart w:id="28" w:name="_Toc53569013"/>
      <w:r w:rsidRPr="00AA7A1C">
        <w:t>Taxation Administration Act 1953</w:t>
      </w:r>
      <w:bookmarkEnd w:id="28"/>
    </w:p>
    <w:p w14:paraId="05430220" w14:textId="77777777" w:rsidR="00047CC3" w:rsidRPr="00AA7A1C" w:rsidRDefault="00777190" w:rsidP="00EF468E">
      <w:pPr>
        <w:pStyle w:val="ItemHead"/>
      </w:pPr>
      <w:r>
        <w:t>86</w:t>
      </w:r>
      <w:r w:rsidR="00047CC3" w:rsidRPr="00AA7A1C">
        <w:t xml:space="preserve">  </w:t>
      </w:r>
      <w:r w:rsidR="00AA7A1C" w:rsidRPr="00AA7A1C">
        <w:t>Subsection 1</w:t>
      </w:r>
      <w:r w:rsidR="00047CC3" w:rsidRPr="00AA7A1C">
        <w:t>4ZL(1)</w:t>
      </w:r>
    </w:p>
    <w:p w14:paraId="05430221" w14:textId="77777777" w:rsidR="00047CC3" w:rsidRPr="00AA7A1C" w:rsidRDefault="00047CC3" w:rsidP="00EF468E">
      <w:pPr>
        <w:pStyle w:val="Item"/>
      </w:pPr>
      <w:r w:rsidRPr="00AA7A1C">
        <w:t>Omit “of regulations”, substitute “a legislative instrument”.</w:t>
      </w:r>
    </w:p>
    <w:p w14:paraId="05430222" w14:textId="77777777" w:rsidR="006B296B" w:rsidRPr="00AA7A1C" w:rsidRDefault="00777190" w:rsidP="00EF468E">
      <w:pPr>
        <w:pStyle w:val="ItemHead"/>
      </w:pPr>
      <w:r>
        <w:t>87</w:t>
      </w:r>
      <w:r w:rsidR="006B296B" w:rsidRPr="00AA7A1C">
        <w:t xml:space="preserve">  </w:t>
      </w:r>
      <w:r w:rsidR="00AA7A1C" w:rsidRPr="00AA7A1C">
        <w:t>Subparagraph 2</w:t>
      </w:r>
      <w:r w:rsidR="006B296B" w:rsidRPr="00AA7A1C">
        <w:t>84</w:t>
      </w:r>
      <w:r w:rsidR="00EF468E">
        <w:noBreakHyphen/>
      </w:r>
      <w:r w:rsidR="006B296B" w:rsidRPr="00AA7A1C">
        <w:t xml:space="preserve">75(4)(b)(iii) in </w:t>
      </w:r>
      <w:r w:rsidR="00AA7A1C" w:rsidRPr="00AA7A1C">
        <w:t>Schedule 1</w:t>
      </w:r>
    </w:p>
    <w:p w14:paraId="05430223" w14:textId="77777777" w:rsidR="006B296B" w:rsidRPr="00AA7A1C" w:rsidRDefault="006B296B" w:rsidP="00EF468E">
      <w:pPr>
        <w:pStyle w:val="Item"/>
      </w:pPr>
      <w:r w:rsidRPr="00AA7A1C">
        <w:t>Omit “by you”, substitute “to you”.</w:t>
      </w:r>
    </w:p>
    <w:p w14:paraId="05430224" w14:textId="77777777" w:rsidR="006B296B" w:rsidRPr="00AA7A1C" w:rsidRDefault="00777190" w:rsidP="00EF468E">
      <w:pPr>
        <w:pStyle w:val="ItemHead"/>
      </w:pPr>
      <w:r>
        <w:t>88</w:t>
      </w:r>
      <w:r w:rsidR="006B296B" w:rsidRPr="00AA7A1C">
        <w:t xml:space="preserve">  </w:t>
      </w:r>
      <w:r w:rsidR="000571FE">
        <w:t>Paragraph 3</w:t>
      </w:r>
      <w:r w:rsidR="006B296B" w:rsidRPr="00AA7A1C">
        <w:t>96</w:t>
      </w:r>
      <w:r w:rsidR="00EF468E">
        <w:noBreakHyphen/>
      </w:r>
      <w:r w:rsidR="006B296B" w:rsidRPr="00AA7A1C">
        <w:t xml:space="preserve">115(1)(a) in </w:t>
      </w:r>
      <w:r w:rsidR="00AA7A1C" w:rsidRPr="00AA7A1C">
        <w:t>Schedule 1</w:t>
      </w:r>
    </w:p>
    <w:p w14:paraId="05430225" w14:textId="77777777" w:rsidR="006B296B" w:rsidRPr="00AA7A1C" w:rsidRDefault="006B296B" w:rsidP="00EF468E">
      <w:pPr>
        <w:pStyle w:val="Item"/>
      </w:pPr>
      <w:r w:rsidRPr="00AA7A1C">
        <w:t xml:space="preserve">After “Entity”, insert “(other than a </w:t>
      </w:r>
      <w:r w:rsidR="00EF468E" w:rsidRPr="00EF468E">
        <w:rPr>
          <w:position w:val="6"/>
          <w:sz w:val="16"/>
        </w:rPr>
        <w:t>*</w:t>
      </w:r>
      <w:r w:rsidRPr="00AA7A1C">
        <w:t xml:space="preserve">self managed superannuation fund or a </w:t>
      </w:r>
      <w:r w:rsidR="00EF468E" w:rsidRPr="00EF468E">
        <w:rPr>
          <w:position w:val="6"/>
          <w:sz w:val="16"/>
        </w:rPr>
        <w:t>*</w:t>
      </w:r>
      <w:r w:rsidRPr="00AA7A1C">
        <w:t>small superannuation fund)”.</w:t>
      </w:r>
    </w:p>
    <w:p w14:paraId="05430226" w14:textId="77777777" w:rsidR="006B296B" w:rsidRPr="00AA7A1C" w:rsidRDefault="00777190" w:rsidP="00EF468E">
      <w:pPr>
        <w:pStyle w:val="ItemHead"/>
      </w:pPr>
      <w:r>
        <w:t>89</w:t>
      </w:r>
      <w:r w:rsidR="006B296B" w:rsidRPr="00AA7A1C">
        <w:t xml:space="preserve">  After </w:t>
      </w:r>
      <w:r w:rsidR="00AA7A1C" w:rsidRPr="00AA7A1C">
        <w:t>paragraph 3</w:t>
      </w:r>
      <w:r w:rsidR="006B296B" w:rsidRPr="00AA7A1C">
        <w:t>96</w:t>
      </w:r>
      <w:r w:rsidR="00EF468E">
        <w:noBreakHyphen/>
      </w:r>
      <w:r w:rsidR="006B296B" w:rsidRPr="00AA7A1C">
        <w:t xml:space="preserve">115(3)(a) in </w:t>
      </w:r>
      <w:r w:rsidR="00AA7A1C" w:rsidRPr="00AA7A1C">
        <w:t>Schedule 1</w:t>
      </w:r>
    </w:p>
    <w:p w14:paraId="05430227" w14:textId="77777777" w:rsidR="006B296B" w:rsidRPr="00AA7A1C" w:rsidRDefault="006B296B" w:rsidP="00EF468E">
      <w:pPr>
        <w:pStyle w:val="Item"/>
      </w:pPr>
      <w:r w:rsidRPr="00AA7A1C">
        <w:t>Insert:</w:t>
      </w:r>
    </w:p>
    <w:p w14:paraId="05430228" w14:textId="77777777" w:rsidR="006B296B" w:rsidRPr="00AA7A1C" w:rsidRDefault="006B296B" w:rsidP="00EF468E">
      <w:pPr>
        <w:pStyle w:val="paragraph"/>
      </w:pPr>
      <w:r w:rsidRPr="00AA7A1C">
        <w:tab/>
        <w:t>(aa)</w:t>
      </w:r>
      <w:r w:rsidRPr="00AA7A1C">
        <w:tab/>
      </w:r>
      <w:r w:rsidR="007A2004" w:rsidRPr="00AA7A1C">
        <w:t>a</w:t>
      </w:r>
      <w:r w:rsidRPr="00AA7A1C">
        <w:t xml:space="preserve"> </w:t>
      </w:r>
      <w:r w:rsidR="00EF468E" w:rsidRPr="00EF468E">
        <w:rPr>
          <w:position w:val="6"/>
          <w:sz w:val="16"/>
        </w:rPr>
        <w:t>*</w:t>
      </w:r>
      <w:r w:rsidRPr="00AA7A1C">
        <w:t>self managed superannuation fund</w:t>
      </w:r>
      <w:r w:rsidR="00DC505C" w:rsidRPr="00AA7A1C">
        <w:t xml:space="preserve"> account</w:t>
      </w:r>
      <w:r w:rsidRPr="00AA7A1C">
        <w:t>;</w:t>
      </w:r>
    </w:p>
    <w:p w14:paraId="05430229" w14:textId="77777777" w:rsidR="006B296B" w:rsidRPr="00AA7A1C" w:rsidRDefault="006B296B" w:rsidP="00EF468E">
      <w:pPr>
        <w:pStyle w:val="paragraph"/>
      </w:pPr>
      <w:r w:rsidRPr="00AA7A1C">
        <w:tab/>
        <w:t>(ab)</w:t>
      </w:r>
      <w:r w:rsidRPr="00AA7A1C">
        <w:tab/>
        <w:t xml:space="preserve">a </w:t>
      </w:r>
      <w:r w:rsidR="00EF468E" w:rsidRPr="00EF468E">
        <w:rPr>
          <w:position w:val="6"/>
          <w:sz w:val="16"/>
        </w:rPr>
        <w:t>*</w:t>
      </w:r>
      <w:r w:rsidRPr="00AA7A1C">
        <w:t>small superannuation fund</w:t>
      </w:r>
      <w:r w:rsidR="00DC505C" w:rsidRPr="00AA7A1C">
        <w:t xml:space="preserve"> account</w:t>
      </w:r>
      <w:r w:rsidRPr="00AA7A1C">
        <w:t>;</w:t>
      </w:r>
    </w:p>
    <w:p w14:paraId="0543022A" w14:textId="77777777" w:rsidR="0036475A" w:rsidRDefault="00777190" w:rsidP="00EF468E">
      <w:pPr>
        <w:pStyle w:val="ItemHead"/>
      </w:pPr>
      <w:r>
        <w:t>90</w:t>
      </w:r>
      <w:r w:rsidR="0036475A">
        <w:t xml:space="preserve">  </w:t>
      </w:r>
      <w:r w:rsidR="000571FE">
        <w:t>Paragraph 3</w:t>
      </w:r>
      <w:r w:rsidR="0036475A">
        <w:t>96</w:t>
      </w:r>
      <w:r w:rsidR="00EF468E">
        <w:noBreakHyphen/>
      </w:r>
      <w:r w:rsidR="0036475A">
        <w:t xml:space="preserve">130(1)(d) </w:t>
      </w:r>
      <w:r w:rsidR="0036475A" w:rsidRPr="00AA7A1C">
        <w:t>in Schedule 1</w:t>
      </w:r>
    </w:p>
    <w:p w14:paraId="0543022B" w14:textId="77777777" w:rsidR="0036475A" w:rsidRDefault="0036475A" w:rsidP="00EF468E">
      <w:pPr>
        <w:pStyle w:val="Item"/>
      </w:pPr>
      <w:r>
        <w:t>Repeal the paragraph, substitute:</w:t>
      </w:r>
    </w:p>
    <w:p w14:paraId="0543022C" w14:textId="77777777" w:rsidR="0036475A" w:rsidRDefault="0036475A" w:rsidP="00EF468E">
      <w:pPr>
        <w:pStyle w:val="paragraph"/>
      </w:pPr>
      <w:r>
        <w:tab/>
        <w:t>(d)</w:t>
      </w:r>
      <w:r>
        <w:tab/>
      </w:r>
      <w:r w:rsidRPr="00AA7A1C">
        <w:t>one or more of the following:</w:t>
      </w:r>
    </w:p>
    <w:p w14:paraId="0543022D" w14:textId="77777777" w:rsidR="0036475A" w:rsidRPr="00AA7A1C" w:rsidRDefault="0036475A" w:rsidP="00EF468E">
      <w:pPr>
        <w:pStyle w:val="paragraphsub"/>
      </w:pPr>
      <w:r w:rsidRPr="00AA7A1C">
        <w:tab/>
        <w:t>(ia)</w:t>
      </w:r>
      <w:r w:rsidRPr="00AA7A1C">
        <w:tab/>
        <w:t>the Reporting Financial Institution;</w:t>
      </w:r>
    </w:p>
    <w:p w14:paraId="0543022E" w14:textId="77777777" w:rsidR="0036475A" w:rsidRPr="00AA7A1C" w:rsidRDefault="0036475A" w:rsidP="00EF468E">
      <w:pPr>
        <w:pStyle w:val="paragraphsub"/>
      </w:pPr>
      <w:r w:rsidRPr="00AA7A1C">
        <w:tab/>
        <w:t>(ib)</w:t>
      </w:r>
      <w:r w:rsidRPr="00AA7A1C">
        <w:tab/>
        <w:t>the Account Holder (within the meaning of the CRS);</w:t>
      </w:r>
    </w:p>
    <w:p w14:paraId="0543022F" w14:textId="77777777" w:rsidR="0036475A" w:rsidRPr="00AA7A1C" w:rsidRDefault="0036475A" w:rsidP="00EF468E">
      <w:pPr>
        <w:pStyle w:val="paragraphsub"/>
      </w:pPr>
      <w:r w:rsidRPr="00AA7A1C">
        <w:tab/>
        <w:t>(ic)</w:t>
      </w:r>
      <w:r w:rsidRPr="00AA7A1C">
        <w:tab/>
        <w:t>an intermediary of the Reporting Financial Institution or the Account Holder;</w:t>
      </w:r>
    </w:p>
    <w:p w14:paraId="05430230" w14:textId="77777777" w:rsidR="0036475A" w:rsidRDefault="0036475A" w:rsidP="00EF468E">
      <w:pPr>
        <w:pStyle w:val="paragraphsub"/>
      </w:pPr>
      <w:r w:rsidRPr="00AA7A1C">
        <w:tab/>
        <w:t>(id)</w:t>
      </w:r>
      <w:r w:rsidRPr="00AA7A1C">
        <w:tab/>
        <w:t>any other entity;</w:t>
      </w:r>
    </w:p>
    <w:p w14:paraId="05430231" w14:textId="77777777" w:rsidR="0036475A" w:rsidRDefault="0036475A" w:rsidP="00EF468E">
      <w:pPr>
        <w:pStyle w:val="paragraph"/>
      </w:pPr>
      <w:r>
        <w:tab/>
      </w:r>
      <w:r>
        <w:tab/>
        <w:t xml:space="preserve">undertook a transaction, or entered into an </w:t>
      </w:r>
      <w:r w:rsidR="00EF468E" w:rsidRPr="00EF468E">
        <w:rPr>
          <w:position w:val="6"/>
          <w:sz w:val="16"/>
        </w:rPr>
        <w:t>*</w:t>
      </w:r>
      <w:r>
        <w:t>arrangement:</w:t>
      </w:r>
    </w:p>
    <w:p w14:paraId="05430232" w14:textId="77777777" w:rsidR="0036475A" w:rsidRDefault="0036475A" w:rsidP="00EF468E">
      <w:pPr>
        <w:pStyle w:val="paragraph"/>
      </w:pPr>
      <w:r>
        <w:tab/>
        <w:t>(i)</w:t>
      </w:r>
      <w:r>
        <w:tab/>
        <w:t>for the purpose of causing the account not to be such a Reportable Account; or</w:t>
      </w:r>
    </w:p>
    <w:p w14:paraId="05430233" w14:textId="77777777" w:rsidR="0036475A" w:rsidRPr="0036475A" w:rsidRDefault="0036475A" w:rsidP="00EF468E">
      <w:pPr>
        <w:pStyle w:val="paragraph"/>
      </w:pPr>
      <w:r>
        <w:tab/>
        <w:t>(ii)</w:t>
      </w:r>
      <w:r>
        <w:tab/>
        <w:t>for 2 or more purposes of which that purpose is the dominant purpose.</w:t>
      </w:r>
    </w:p>
    <w:p w14:paraId="05430234" w14:textId="77777777" w:rsidR="00280FC7" w:rsidRPr="00AA7A1C" w:rsidRDefault="00280FC7" w:rsidP="00EF468E">
      <w:pPr>
        <w:pStyle w:val="ActHead8"/>
      </w:pPr>
      <w:bookmarkStart w:id="29" w:name="_Toc53569014"/>
      <w:r w:rsidRPr="00AA7A1C">
        <w:t>Division 2—Repeals of Acts</w:t>
      </w:r>
      <w:bookmarkEnd w:id="29"/>
    </w:p>
    <w:p w14:paraId="05430235" w14:textId="77777777" w:rsidR="00280FC7" w:rsidRPr="00AA7A1C" w:rsidRDefault="00280FC7" w:rsidP="00EF468E">
      <w:pPr>
        <w:pStyle w:val="ItemHead"/>
      </w:pPr>
      <w:r>
        <w:t>91</w:t>
      </w:r>
      <w:r w:rsidRPr="00AA7A1C">
        <w:t xml:space="preserve">  Repeals of Acts</w:t>
      </w:r>
    </w:p>
    <w:p w14:paraId="05430236" w14:textId="77777777" w:rsidR="00280FC7" w:rsidRDefault="00280FC7" w:rsidP="00EF468E">
      <w:pPr>
        <w:pStyle w:val="Item"/>
      </w:pPr>
      <w:r w:rsidRPr="00AA7A1C">
        <w:t>Repeal the following Acts:</w:t>
      </w:r>
    </w:p>
    <w:p w14:paraId="05430237" w14:textId="77777777" w:rsidR="006B296B" w:rsidRPr="00EF468E" w:rsidRDefault="006B296B" w:rsidP="00EF468E">
      <w:pPr>
        <w:pStyle w:val="ActHead9"/>
      </w:pPr>
      <w:bookmarkStart w:id="30" w:name="_Toc53569015"/>
      <w:r w:rsidRPr="00EF468E">
        <w:lastRenderedPageBreak/>
        <w:t>Bills of Exchange Act 1971</w:t>
      </w:r>
      <w:bookmarkEnd w:id="30"/>
    </w:p>
    <w:p w14:paraId="05430238" w14:textId="77777777" w:rsidR="006B296B" w:rsidRPr="000057C0" w:rsidRDefault="006B296B" w:rsidP="00EF468E">
      <w:pPr>
        <w:pStyle w:val="ActHead9"/>
      </w:pPr>
      <w:bookmarkStart w:id="31" w:name="_Toc53569016"/>
      <w:r w:rsidRPr="00AA7A1C">
        <w:t>Census and Statistics Act 1920</w:t>
      </w:r>
      <w:bookmarkEnd w:id="31"/>
    </w:p>
    <w:p w14:paraId="05430239" w14:textId="77777777" w:rsidR="006B296B" w:rsidRPr="000057C0" w:rsidRDefault="006B296B" w:rsidP="00EF468E">
      <w:pPr>
        <w:pStyle w:val="ActHead9"/>
      </w:pPr>
      <w:bookmarkStart w:id="32" w:name="_Toc53569017"/>
      <w:r w:rsidRPr="00AA7A1C">
        <w:t>Census and Statistics Act 1930</w:t>
      </w:r>
      <w:bookmarkEnd w:id="32"/>
    </w:p>
    <w:p w14:paraId="0543023A" w14:textId="77777777" w:rsidR="006B296B" w:rsidRPr="000057C0" w:rsidRDefault="006B296B" w:rsidP="00EF468E">
      <w:pPr>
        <w:pStyle w:val="ActHead9"/>
      </w:pPr>
      <w:bookmarkStart w:id="33" w:name="_Toc53569018"/>
      <w:r w:rsidRPr="00AA7A1C">
        <w:t>Commonwealth Grants Commission Act 1976</w:t>
      </w:r>
      <w:bookmarkEnd w:id="33"/>
    </w:p>
    <w:p w14:paraId="0543023B" w14:textId="77777777" w:rsidR="006B296B" w:rsidRPr="000057C0" w:rsidRDefault="006B296B" w:rsidP="00EF468E">
      <w:pPr>
        <w:pStyle w:val="ActHead9"/>
      </w:pPr>
      <w:bookmarkStart w:id="34" w:name="_Toc53569019"/>
      <w:r w:rsidRPr="00AA7A1C">
        <w:t>Commonwealth Inscribed Stock Act 1913</w:t>
      </w:r>
      <w:bookmarkEnd w:id="34"/>
    </w:p>
    <w:p w14:paraId="0543023C" w14:textId="77777777" w:rsidR="006B296B" w:rsidRPr="000057C0" w:rsidRDefault="006B296B" w:rsidP="00EF468E">
      <w:pPr>
        <w:pStyle w:val="ActHead9"/>
      </w:pPr>
      <w:bookmarkStart w:id="35" w:name="_Toc53569020"/>
      <w:r w:rsidRPr="00AA7A1C">
        <w:t>Excise Act 1962</w:t>
      </w:r>
      <w:bookmarkEnd w:id="35"/>
    </w:p>
    <w:p w14:paraId="0543023D" w14:textId="77777777" w:rsidR="006B296B" w:rsidRPr="000057C0" w:rsidRDefault="006B296B" w:rsidP="00EF468E">
      <w:pPr>
        <w:pStyle w:val="ActHead9"/>
      </w:pPr>
      <w:bookmarkStart w:id="36" w:name="_Toc53569021"/>
      <w:r w:rsidRPr="00AA7A1C">
        <w:t>Income Tax Assessment Act (No. 2) 1969</w:t>
      </w:r>
      <w:bookmarkEnd w:id="36"/>
    </w:p>
    <w:p w14:paraId="0543023E" w14:textId="77777777" w:rsidR="006B296B" w:rsidRPr="000057C0" w:rsidRDefault="006B296B" w:rsidP="00EF468E">
      <w:pPr>
        <w:pStyle w:val="ActHead9"/>
      </w:pPr>
      <w:bookmarkStart w:id="37" w:name="_Toc53569022"/>
      <w:r w:rsidRPr="00AA7A1C">
        <w:t>Income Tax (International Agreements) Act 1960</w:t>
      </w:r>
      <w:bookmarkEnd w:id="37"/>
    </w:p>
    <w:p w14:paraId="0543023F" w14:textId="77777777" w:rsidR="006B296B" w:rsidRPr="000057C0" w:rsidRDefault="006B296B" w:rsidP="00EF468E">
      <w:pPr>
        <w:pStyle w:val="ActHead9"/>
      </w:pPr>
      <w:bookmarkStart w:id="38" w:name="_Toc53569023"/>
      <w:r w:rsidRPr="00AA7A1C">
        <w:t>International Finance Corporation Act 1961</w:t>
      </w:r>
      <w:bookmarkEnd w:id="38"/>
    </w:p>
    <w:p w14:paraId="05430240" w14:textId="77777777" w:rsidR="006B296B" w:rsidRPr="000057C0" w:rsidRDefault="006B296B" w:rsidP="00EF468E">
      <w:pPr>
        <w:pStyle w:val="ActHead9"/>
      </w:pPr>
      <w:bookmarkStart w:id="39" w:name="_Toc53569024"/>
      <w:r w:rsidRPr="00AA7A1C">
        <w:t>International Finance Corporation Act 1963</w:t>
      </w:r>
      <w:bookmarkEnd w:id="39"/>
    </w:p>
    <w:p w14:paraId="05430241" w14:textId="77777777" w:rsidR="006B296B" w:rsidRPr="000057C0" w:rsidRDefault="006B296B" w:rsidP="00EF468E">
      <w:pPr>
        <w:pStyle w:val="ActHead9"/>
      </w:pPr>
      <w:bookmarkStart w:id="40" w:name="_Toc53569025"/>
      <w:r w:rsidRPr="00AA7A1C">
        <w:t>International Finance Corporation Act 1966</w:t>
      </w:r>
      <w:bookmarkEnd w:id="40"/>
    </w:p>
    <w:p w14:paraId="05430242" w14:textId="77777777" w:rsidR="006B296B" w:rsidRPr="000057C0" w:rsidRDefault="006B296B" w:rsidP="00EF468E">
      <w:pPr>
        <w:pStyle w:val="ActHead9"/>
      </w:pPr>
      <w:bookmarkStart w:id="41" w:name="_Toc53569026"/>
      <w:r w:rsidRPr="00AA7A1C">
        <w:t>Sales Tax Assessment Act (No. 1A) 1930</w:t>
      </w:r>
      <w:bookmarkEnd w:id="41"/>
    </w:p>
    <w:p w14:paraId="05430243" w14:textId="77777777" w:rsidR="006B296B" w:rsidRPr="000057C0" w:rsidRDefault="006B296B" w:rsidP="00EF468E">
      <w:pPr>
        <w:pStyle w:val="ActHead9"/>
      </w:pPr>
      <w:bookmarkStart w:id="42" w:name="_Toc53569027"/>
      <w:r w:rsidRPr="00AA7A1C">
        <w:t>Sales Tax (Exemptions and Classifications) Act 1960</w:t>
      </w:r>
      <w:bookmarkEnd w:id="42"/>
    </w:p>
    <w:p w14:paraId="05430244" w14:textId="77777777" w:rsidR="006B296B" w:rsidRPr="000057C0" w:rsidRDefault="006B296B" w:rsidP="00EF468E">
      <w:pPr>
        <w:pStyle w:val="ActHead9"/>
      </w:pPr>
      <w:bookmarkStart w:id="43" w:name="_Toc53569028"/>
      <w:r w:rsidRPr="00AA7A1C">
        <w:t>States Grants (Coal Mining Industry Long Service Leave) Act 1961</w:t>
      </w:r>
      <w:bookmarkEnd w:id="43"/>
    </w:p>
    <w:p w14:paraId="05430245" w14:textId="77777777" w:rsidR="006B296B" w:rsidRPr="000057C0" w:rsidRDefault="006B296B" w:rsidP="00EF468E">
      <w:pPr>
        <w:pStyle w:val="ActHead9"/>
      </w:pPr>
      <w:bookmarkStart w:id="44" w:name="_Toc53569029"/>
      <w:r w:rsidRPr="00AA7A1C">
        <w:t>States Grants (Coal Mining Industry Long Service Leave) Act 1968</w:t>
      </w:r>
      <w:bookmarkEnd w:id="44"/>
    </w:p>
    <w:p w14:paraId="05430246" w14:textId="77777777" w:rsidR="006B296B" w:rsidRPr="000057C0" w:rsidRDefault="006B296B" w:rsidP="00EF468E">
      <w:pPr>
        <w:pStyle w:val="ActHead9"/>
      </w:pPr>
      <w:bookmarkStart w:id="45" w:name="_Toc53569030"/>
      <w:r w:rsidRPr="00AA7A1C">
        <w:t>States Grants (Petroleum Products) Act 1969</w:t>
      </w:r>
      <w:bookmarkEnd w:id="45"/>
    </w:p>
    <w:p w14:paraId="05430247" w14:textId="77777777" w:rsidR="006B296B" w:rsidRPr="000057C0" w:rsidRDefault="006B296B" w:rsidP="00EF468E">
      <w:pPr>
        <w:pStyle w:val="ActHead9"/>
      </w:pPr>
      <w:bookmarkStart w:id="46" w:name="_Toc53569031"/>
      <w:r w:rsidRPr="00AA7A1C">
        <w:t>States Grants (Petroleum Products) Act (No. 2) 1965</w:t>
      </w:r>
      <w:bookmarkEnd w:id="46"/>
    </w:p>
    <w:p w14:paraId="05430248" w14:textId="77777777" w:rsidR="006B296B" w:rsidRPr="00AA7A1C" w:rsidRDefault="006B296B" w:rsidP="00EF468E">
      <w:pPr>
        <w:pStyle w:val="ActHead9"/>
        <w:rPr>
          <w:i w:val="0"/>
        </w:rPr>
      </w:pPr>
      <w:bookmarkStart w:id="47" w:name="_Toc53569032"/>
      <w:r w:rsidRPr="00AA7A1C">
        <w:lastRenderedPageBreak/>
        <w:t>Trade Practices Act 1975</w:t>
      </w:r>
      <w:bookmarkEnd w:id="47"/>
    </w:p>
    <w:p w14:paraId="05430249" w14:textId="77777777" w:rsidR="008B1EDA" w:rsidRPr="00AA7A1C" w:rsidRDefault="00AA7A1C" w:rsidP="00EF468E">
      <w:pPr>
        <w:pStyle w:val="ActHead7"/>
        <w:pageBreakBefore/>
      </w:pPr>
      <w:bookmarkStart w:id="48" w:name="_Toc53569033"/>
      <w:r w:rsidRPr="0086646A">
        <w:rPr>
          <w:rStyle w:val="CharAmPartNo"/>
        </w:rPr>
        <w:lastRenderedPageBreak/>
        <w:t>Part 2</w:t>
      </w:r>
      <w:r w:rsidR="008B1EDA" w:rsidRPr="00AA7A1C">
        <w:t>—</w:t>
      </w:r>
      <w:r w:rsidR="008B1EDA" w:rsidRPr="0086646A">
        <w:rPr>
          <w:rStyle w:val="CharAmPartText"/>
        </w:rPr>
        <w:t>Amendments commencing first day of the next quarter</w:t>
      </w:r>
      <w:bookmarkEnd w:id="48"/>
    </w:p>
    <w:p w14:paraId="0543024A" w14:textId="77777777" w:rsidR="008B1EDA" w:rsidRPr="00AA7A1C" w:rsidRDefault="008B1EDA" w:rsidP="00EF468E">
      <w:pPr>
        <w:pStyle w:val="Header"/>
      </w:pPr>
      <w:r w:rsidRPr="00AA7A1C">
        <w:t xml:space="preserve">  </w:t>
      </w:r>
    </w:p>
    <w:p w14:paraId="0543024B" w14:textId="77777777" w:rsidR="008B1EDA" w:rsidRPr="00AA7A1C" w:rsidRDefault="008B1EDA" w:rsidP="00EF468E">
      <w:pPr>
        <w:pStyle w:val="ActHead9"/>
        <w:rPr>
          <w:i w:val="0"/>
        </w:rPr>
      </w:pPr>
      <w:bookmarkStart w:id="49" w:name="_Toc53569034"/>
      <w:r w:rsidRPr="00AA7A1C">
        <w:t>Income Tax Assessment Act 1997</w:t>
      </w:r>
      <w:bookmarkEnd w:id="49"/>
    </w:p>
    <w:p w14:paraId="0543024C" w14:textId="77777777" w:rsidR="008B1EDA" w:rsidRPr="00AA7A1C" w:rsidRDefault="00777190" w:rsidP="00EF468E">
      <w:pPr>
        <w:pStyle w:val="ItemHead"/>
      </w:pPr>
      <w:r>
        <w:t>92</w:t>
      </w:r>
      <w:r w:rsidR="008B1EDA" w:rsidRPr="00AA7A1C">
        <w:t xml:space="preserve">  </w:t>
      </w:r>
      <w:r w:rsidR="00AA7A1C" w:rsidRPr="00AA7A1C">
        <w:t>Section 4</w:t>
      </w:r>
      <w:r w:rsidR="008B1EDA" w:rsidRPr="00AA7A1C">
        <w:t>0</w:t>
      </w:r>
      <w:r w:rsidR="00EF468E">
        <w:noBreakHyphen/>
      </w:r>
      <w:r w:rsidR="008B1EDA" w:rsidRPr="00AA7A1C">
        <w:t xml:space="preserve">10 (table </w:t>
      </w:r>
      <w:r w:rsidR="00AA7A1C" w:rsidRPr="00AA7A1C">
        <w:t>item 1</w:t>
      </w:r>
      <w:r w:rsidR="008B1EDA" w:rsidRPr="00AA7A1C">
        <w:t>.5</w:t>
      </w:r>
      <w:r w:rsidR="0036475A">
        <w:t>, column headed “Major topic”</w:t>
      </w:r>
      <w:r w:rsidR="008B1EDA" w:rsidRPr="00AA7A1C">
        <w:t>)</w:t>
      </w:r>
    </w:p>
    <w:p w14:paraId="0543024D" w14:textId="77777777" w:rsidR="008B1EDA" w:rsidRPr="00AA7A1C" w:rsidRDefault="008B1EDA" w:rsidP="00EF468E">
      <w:pPr>
        <w:pStyle w:val="Item"/>
      </w:pPr>
      <w:r w:rsidRPr="00AA7A1C">
        <w:t>Omit:</w:t>
      </w:r>
    </w:p>
    <w:p w14:paraId="0543024E" w14:textId="77777777" w:rsidR="008B1EDA" w:rsidRPr="00AA7A1C" w:rsidRDefault="008B1EDA" w:rsidP="00EF468E">
      <w:pPr>
        <w:pStyle w:val="Tabletext"/>
        <w:numPr>
          <w:ilvl w:val="0"/>
          <w:numId w:val="13"/>
        </w:numPr>
      </w:pPr>
      <w:r w:rsidRPr="00AA7A1C">
        <w:rPr>
          <w:b/>
          <w:i/>
        </w:rPr>
        <w:t>fodder storage assets</w:t>
      </w:r>
      <w:r w:rsidRPr="00AA7A1C">
        <w:t xml:space="preserve"> over 3 income years; or</w:t>
      </w:r>
    </w:p>
    <w:p w14:paraId="0543024F" w14:textId="77777777" w:rsidR="008B1EDA" w:rsidRPr="00AA7A1C" w:rsidRDefault="008B1EDA" w:rsidP="00EF468E">
      <w:pPr>
        <w:pStyle w:val="Item"/>
      </w:pPr>
      <w:r w:rsidRPr="00AA7A1C">
        <w:t>substitute:</w:t>
      </w:r>
    </w:p>
    <w:p w14:paraId="05430250" w14:textId="77777777" w:rsidR="008B1EDA" w:rsidRPr="00AA7A1C" w:rsidRDefault="008B1EDA" w:rsidP="00EF468E">
      <w:pPr>
        <w:pStyle w:val="Tabletext"/>
        <w:numPr>
          <w:ilvl w:val="0"/>
          <w:numId w:val="13"/>
        </w:numPr>
      </w:pPr>
      <w:r w:rsidRPr="00AA7A1C">
        <w:rPr>
          <w:b/>
          <w:i/>
        </w:rPr>
        <w:t>fodder storage assets</w:t>
      </w:r>
      <w:r w:rsidRPr="00AA7A1C">
        <w:t xml:space="preserve"> immediately; or</w:t>
      </w:r>
    </w:p>
    <w:p w14:paraId="05430251" w14:textId="77777777" w:rsidR="008B1EDA" w:rsidRPr="00AA7A1C" w:rsidRDefault="00777190" w:rsidP="00EF468E">
      <w:pPr>
        <w:pStyle w:val="ItemHead"/>
      </w:pPr>
      <w:r>
        <w:t>93</w:t>
      </w:r>
      <w:r w:rsidR="008B1EDA" w:rsidRPr="00AA7A1C">
        <w:t xml:space="preserve">  After </w:t>
      </w:r>
      <w:r w:rsidR="00AA7A1C" w:rsidRPr="00AA7A1C">
        <w:t>subsection 1</w:t>
      </w:r>
      <w:r w:rsidR="008B1EDA" w:rsidRPr="00AA7A1C">
        <w:t>16</w:t>
      </w:r>
      <w:r w:rsidR="00EF468E">
        <w:noBreakHyphen/>
      </w:r>
      <w:r w:rsidR="008B1EDA" w:rsidRPr="00AA7A1C">
        <w:t>30(2B)</w:t>
      </w:r>
    </w:p>
    <w:p w14:paraId="05430252" w14:textId="77777777" w:rsidR="008B1EDA" w:rsidRPr="00AA7A1C" w:rsidRDefault="008B1EDA" w:rsidP="00EF468E">
      <w:pPr>
        <w:pStyle w:val="Item"/>
      </w:pPr>
      <w:r w:rsidRPr="00AA7A1C">
        <w:t>Insert:</w:t>
      </w:r>
    </w:p>
    <w:p w14:paraId="05430253" w14:textId="77777777" w:rsidR="008B1EDA" w:rsidRPr="00AA7A1C" w:rsidRDefault="008B1EDA" w:rsidP="00EF468E">
      <w:pPr>
        <w:pStyle w:val="subsection"/>
      </w:pPr>
      <w:r w:rsidRPr="00AA7A1C">
        <w:tab/>
        <w:t>(2C)</w:t>
      </w:r>
      <w:r w:rsidRPr="00AA7A1C">
        <w:tab/>
        <w:t>Subsection (2) does not apply if:</w:t>
      </w:r>
    </w:p>
    <w:p w14:paraId="05430254" w14:textId="77777777" w:rsidR="008B1EDA" w:rsidRPr="00AA7A1C" w:rsidRDefault="008B1EDA" w:rsidP="00EF468E">
      <w:pPr>
        <w:pStyle w:val="paragraph"/>
      </w:pPr>
      <w:r w:rsidRPr="00AA7A1C">
        <w:tab/>
        <w:t>(a)</w:t>
      </w:r>
      <w:r w:rsidRPr="00AA7A1C">
        <w:tab/>
        <w:t xml:space="preserve">you are a </w:t>
      </w:r>
      <w:r w:rsidR="00EF468E" w:rsidRPr="00EF468E">
        <w:rPr>
          <w:position w:val="6"/>
          <w:sz w:val="16"/>
        </w:rPr>
        <w:t>*</w:t>
      </w:r>
      <w:r w:rsidRPr="00AA7A1C">
        <w:t xml:space="preserve">complying superannuation fund, a </w:t>
      </w:r>
      <w:r w:rsidR="00EF468E" w:rsidRPr="00EF468E">
        <w:rPr>
          <w:position w:val="6"/>
          <w:sz w:val="16"/>
        </w:rPr>
        <w:t>*</w:t>
      </w:r>
      <w:r w:rsidRPr="00AA7A1C">
        <w:t xml:space="preserve">complying approved deposit fund or a </w:t>
      </w:r>
      <w:r w:rsidR="00EF468E" w:rsidRPr="00EF468E">
        <w:rPr>
          <w:position w:val="6"/>
          <w:sz w:val="16"/>
        </w:rPr>
        <w:t>*</w:t>
      </w:r>
      <w:r w:rsidRPr="00AA7A1C">
        <w:t>pooled superannuation trust; and</w:t>
      </w:r>
    </w:p>
    <w:p w14:paraId="05430255" w14:textId="77777777" w:rsidR="008B1EDA" w:rsidRPr="00AA7A1C" w:rsidRDefault="008B1EDA" w:rsidP="00EF468E">
      <w:pPr>
        <w:pStyle w:val="paragraph"/>
      </w:pPr>
      <w:r w:rsidRPr="00AA7A1C">
        <w:tab/>
        <w:t>(b)</w:t>
      </w:r>
      <w:r w:rsidRPr="00AA7A1C">
        <w:tab/>
        <w:t xml:space="preserve">the </w:t>
      </w:r>
      <w:r w:rsidR="00EF468E" w:rsidRPr="00EF468E">
        <w:rPr>
          <w:position w:val="6"/>
          <w:sz w:val="16"/>
        </w:rPr>
        <w:t>*</w:t>
      </w:r>
      <w:r w:rsidRPr="00AA7A1C">
        <w:t xml:space="preserve">capital proceeds from the </w:t>
      </w:r>
      <w:r w:rsidR="00EF468E" w:rsidRPr="00EF468E">
        <w:rPr>
          <w:position w:val="6"/>
          <w:sz w:val="16"/>
        </w:rPr>
        <w:t>*</w:t>
      </w:r>
      <w:r w:rsidRPr="00AA7A1C">
        <w:t xml:space="preserve">CGT event exceed the </w:t>
      </w:r>
      <w:r w:rsidR="00EF468E" w:rsidRPr="00EF468E">
        <w:rPr>
          <w:position w:val="6"/>
          <w:sz w:val="16"/>
        </w:rPr>
        <w:t>*</w:t>
      </w:r>
      <w:r w:rsidRPr="00AA7A1C">
        <w:t xml:space="preserve">market value of the </w:t>
      </w:r>
      <w:r w:rsidR="00EF468E" w:rsidRPr="00EF468E">
        <w:rPr>
          <w:position w:val="6"/>
          <w:sz w:val="16"/>
        </w:rPr>
        <w:t>*</w:t>
      </w:r>
      <w:r w:rsidRPr="00AA7A1C">
        <w:t>CGT asset; and</w:t>
      </w:r>
    </w:p>
    <w:p w14:paraId="05430256" w14:textId="77777777" w:rsidR="008B1EDA" w:rsidRPr="00AA7A1C" w:rsidRDefault="008B1EDA" w:rsidP="00EF468E">
      <w:pPr>
        <w:pStyle w:val="paragraph"/>
      </w:pPr>
      <w:r w:rsidRPr="00AA7A1C">
        <w:tab/>
        <w:t>(c)</w:t>
      </w:r>
      <w:r w:rsidRPr="00AA7A1C">
        <w:tab/>
        <w:t xml:space="preserve">assuming the capital proceeds were your </w:t>
      </w:r>
      <w:r w:rsidR="00EF468E" w:rsidRPr="00EF468E">
        <w:rPr>
          <w:position w:val="6"/>
          <w:sz w:val="16"/>
        </w:rPr>
        <w:t>*</w:t>
      </w:r>
      <w:r w:rsidRPr="00AA7A1C">
        <w:t xml:space="preserve">statutory income, the proceeds would be </w:t>
      </w:r>
      <w:r w:rsidR="00EF468E" w:rsidRPr="00EF468E">
        <w:rPr>
          <w:position w:val="6"/>
          <w:sz w:val="16"/>
        </w:rPr>
        <w:t>*</w:t>
      </w:r>
      <w:r w:rsidRPr="00AA7A1C">
        <w:t>non</w:t>
      </w:r>
      <w:r w:rsidR="00EF468E">
        <w:noBreakHyphen/>
      </w:r>
      <w:r w:rsidRPr="00AA7A1C">
        <w:t>arm’s length income.</w:t>
      </w:r>
    </w:p>
    <w:p w14:paraId="05430257" w14:textId="77777777" w:rsidR="008B1EDA" w:rsidRPr="00AA7A1C" w:rsidRDefault="00777190" w:rsidP="00EF468E">
      <w:pPr>
        <w:pStyle w:val="ItemHead"/>
      </w:pPr>
      <w:r>
        <w:t>94</w:t>
      </w:r>
      <w:r w:rsidR="008B1EDA" w:rsidRPr="00AA7A1C">
        <w:t xml:space="preserve">  </w:t>
      </w:r>
      <w:r w:rsidR="000571FE">
        <w:t>Section 1</w:t>
      </w:r>
      <w:r w:rsidR="008B1EDA" w:rsidRPr="00AA7A1C">
        <w:t>18</w:t>
      </w:r>
      <w:r w:rsidR="00EF468E">
        <w:noBreakHyphen/>
      </w:r>
      <w:r w:rsidR="008B1EDA" w:rsidRPr="00AA7A1C">
        <w:t>320</w:t>
      </w:r>
    </w:p>
    <w:p w14:paraId="05430258" w14:textId="77777777" w:rsidR="008B1EDA" w:rsidRPr="00AA7A1C" w:rsidRDefault="008B1EDA" w:rsidP="00EF468E">
      <w:pPr>
        <w:pStyle w:val="Item"/>
      </w:pPr>
      <w:r w:rsidRPr="00AA7A1C">
        <w:t xml:space="preserve">Before “A </w:t>
      </w:r>
      <w:r w:rsidR="00EF468E" w:rsidRPr="00EF468E">
        <w:rPr>
          <w:position w:val="6"/>
          <w:sz w:val="16"/>
        </w:rPr>
        <w:t>*</w:t>
      </w:r>
      <w:r w:rsidRPr="00AA7A1C">
        <w:t>capital gain”, insert “(1)”.</w:t>
      </w:r>
    </w:p>
    <w:p w14:paraId="05430259" w14:textId="77777777" w:rsidR="008B1EDA" w:rsidRPr="00AA7A1C" w:rsidRDefault="00777190" w:rsidP="00EF468E">
      <w:pPr>
        <w:pStyle w:val="ItemHead"/>
      </w:pPr>
      <w:r>
        <w:t>95</w:t>
      </w:r>
      <w:r w:rsidR="008B1EDA" w:rsidRPr="00AA7A1C">
        <w:t xml:space="preserve">  At the end of </w:t>
      </w:r>
      <w:r w:rsidR="00AA7A1C" w:rsidRPr="00AA7A1C">
        <w:t>section 1</w:t>
      </w:r>
      <w:r w:rsidR="008B1EDA" w:rsidRPr="00AA7A1C">
        <w:t>18</w:t>
      </w:r>
      <w:r w:rsidR="00EF468E">
        <w:noBreakHyphen/>
      </w:r>
      <w:r w:rsidR="008B1EDA" w:rsidRPr="00AA7A1C">
        <w:t>320</w:t>
      </w:r>
    </w:p>
    <w:p w14:paraId="0543025A" w14:textId="77777777" w:rsidR="008B1EDA" w:rsidRPr="00AA7A1C" w:rsidRDefault="008B1EDA" w:rsidP="00EF468E">
      <w:pPr>
        <w:pStyle w:val="Item"/>
      </w:pPr>
      <w:r w:rsidRPr="00AA7A1C">
        <w:t>Add:</w:t>
      </w:r>
    </w:p>
    <w:p w14:paraId="0543025B" w14:textId="77777777" w:rsidR="008B1EDA" w:rsidRPr="00AA7A1C" w:rsidRDefault="008B1EDA" w:rsidP="00EF468E">
      <w:pPr>
        <w:pStyle w:val="subsection"/>
      </w:pPr>
      <w:r w:rsidRPr="00AA7A1C">
        <w:tab/>
        <w:t>(2)</w:t>
      </w:r>
      <w:r w:rsidRPr="00AA7A1C">
        <w:tab/>
        <w:t xml:space="preserve">However, </w:t>
      </w:r>
      <w:r w:rsidR="000571FE">
        <w:t>subsection (</w:t>
      </w:r>
      <w:r w:rsidRPr="00AA7A1C">
        <w:t xml:space="preserve">1) does not apply to a </w:t>
      </w:r>
      <w:r w:rsidR="00EF468E" w:rsidRPr="00EF468E">
        <w:rPr>
          <w:position w:val="6"/>
          <w:sz w:val="16"/>
        </w:rPr>
        <w:t>*</w:t>
      </w:r>
      <w:r w:rsidRPr="00AA7A1C">
        <w:t xml:space="preserve">capital gain if the capital gain would, if it were an amount of </w:t>
      </w:r>
      <w:r w:rsidR="00EF468E" w:rsidRPr="00EF468E">
        <w:rPr>
          <w:position w:val="6"/>
          <w:sz w:val="16"/>
        </w:rPr>
        <w:t>*</w:t>
      </w:r>
      <w:r w:rsidRPr="00AA7A1C">
        <w:t xml:space="preserve">ordinary income or </w:t>
      </w:r>
      <w:r w:rsidR="00EF468E" w:rsidRPr="00EF468E">
        <w:rPr>
          <w:position w:val="6"/>
          <w:sz w:val="16"/>
        </w:rPr>
        <w:t>*</w:t>
      </w:r>
      <w:r w:rsidRPr="00AA7A1C">
        <w:t xml:space="preserve">statutory income received by the </w:t>
      </w:r>
      <w:r w:rsidR="00EF468E" w:rsidRPr="00EF468E">
        <w:rPr>
          <w:position w:val="6"/>
          <w:sz w:val="16"/>
        </w:rPr>
        <w:t>*</w:t>
      </w:r>
      <w:r w:rsidRPr="00AA7A1C">
        <w:t xml:space="preserve">complying superannuation fund, be </w:t>
      </w:r>
      <w:r w:rsidR="00EF468E" w:rsidRPr="00EF468E">
        <w:rPr>
          <w:position w:val="6"/>
          <w:sz w:val="16"/>
        </w:rPr>
        <w:t>*</w:t>
      </w:r>
      <w:r w:rsidRPr="00AA7A1C">
        <w:t>non</w:t>
      </w:r>
      <w:r w:rsidR="00EF468E">
        <w:noBreakHyphen/>
      </w:r>
      <w:r w:rsidRPr="00AA7A1C">
        <w:t>arm’s length income.</w:t>
      </w:r>
    </w:p>
    <w:p w14:paraId="0543025C" w14:textId="77777777" w:rsidR="00BA7DD3" w:rsidRPr="00AA7A1C" w:rsidRDefault="00777190" w:rsidP="00EF468E">
      <w:pPr>
        <w:pStyle w:val="ItemHead"/>
      </w:pPr>
      <w:r>
        <w:t>96</w:t>
      </w:r>
      <w:r w:rsidR="00BA7DD3" w:rsidRPr="00AA7A1C">
        <w:t xml:space="preserve">  Paragraphs 230</w:t>
      </w:r>
      <w:r w:rsidR="00EF468E">
        <w:noBreakHyphen/>
      </w:r>
      <w:r w:rsidR="00BA7DD3" w:rsidRPr="00AA7A1C">
        <w:t>365(a) and (d)</w:t>
      </w:r>
    </w:p>
    <w:p w14:paraId="0543025D" w14:textId="77777777" w:rsidR="00BA7DD3" w:rsidRPr="00AA7A1C" w:rsidRDefault="00BA7DD3" w:rsidP="00EF468E">
      <w:pPr>
        <w:pStyle w:val="Item"/>
      </w:pPr>
      <w:r w:rsidRPr="00AA7A1C">
        <w:t>Omit “highly”.</w:t>
      </w:r>
    </w:p>
    <w:p w14:paraId="0543025E" w14:textId="77777777" w:rsidR="00F750AE" w:rsidRPr="00AA7A1C" w:rsidRDefault="00777190" w:rsidP="00EF468E">
      <w:pPr>
        <w:pStyle w:val="ItemHead"/>
      </w:pPr>
      <w:r>
        <w:t>97</w:t>
      </w:r>
      <w:r w:rsidR="00F750AE" w:rsidRPr="00AA7A1C">
        <w:t xml:space="preserve">  </w:t>
      </w:r>
      <w:r w:rsidR="00AA7A1C" w:rsidRPr="00AA7A1C">
        <w:t>Section 2</w:t>
      </w:r>
      <w:r w:rsidR="00F750AE" w:rsidRPr="00AA7A1C">
        <w:t>95</w:t>
      </w:r>
      <w:r w:rsidR="00EF468E">
        <w:noBreakHyphen/>
      </w:r>
      <w:r w:rsidR="00F750AE" w:rsidRPr="00AA7A1C">
        <w:t>495 (at the end of the table)</w:t>
      </w:r>
    </w:p>
    <w:p w14:paraId="0543025F" w14:textId="77777777" w:rsidR="00F750AE" w:rsidRPr="00AA7A1C" w:rsidRDefault="00F750AE" w:rsidP="00EF468E">
      <w:pPr>
        <w:pStyle w:val="Item"/>
      </w:pPr>
      <w:r w:rsidRPr="00AA7A1C">
        <w:t>Add:</w:t>
      </w:r>
    </w:p>
    <w:p w14:paraId="05430260" w14:textId="77777777" w:rsidR="00F750AE" w:rsidRPr="00AA7A1C" w:rsidRDefault="00F750AE" w:rsidP="00EF468E">
      <w:pPr>
        <w:pStyle w:val="Tabletext"/>
      </w:pPr>
    </w:p>
    <w:tbl>
      <w:tblPr>
        <w:tblW w:w="7088" w:type="dxa"/>
        <w:tblInd w:w="108" w:type="dxa"/>
        <w:tblLayout w:type="fixed"/>
        <w:tblLook w:val="0000" w:firstRow="0" w:lastRow="0" w:firstColumn="0" w:lastColumn="0" w:noHBand="0" w:noVBand="0"/>
      </w:tblPr>
      <w:tblGrid>
        <w:gridCol w:w="709"/>
        <w:gridCol w:w="1559"/>
        <w:gridCol w:w="4820"/>
      </w:tblGrid>
      <w:tr w:rsidR="00F750AE" w:rsidRPr="00AA7A1C" w14:paraId="05430266" w14:textId="77777777" w:rsidTr="00AA7A1C">
        <w:tc>
          <w:tcPr>
            <w:tcW w:w="709" w:type="dxa"/>
            <w:shd w:val="clear" w:color="auto" w:fill="auto"/>
          </w:tcPr>
          <w:p w14:paraId="05430261" w14:textId="77777777" w:rsidR="00F750AE" w:rsidRPr="00AA7A1C" w:rsidRDefault="00F750AE" w:rsidP="00EF468E">
            <w:pPr>
              <w:pStyle w:val="Tabletext"/>
            </w:pPr>
            <w:r w:rsidRPr="00AA7A1C">
              <w:t>6</w:t>
            </w:r>
          </w:p>
        </w:tc>
        <w:tc>
          <w:tcPr>
            <w:tcW w:w="1559" w:type="dxa"/>
            <w:shd w:val="clear" w:color="auto" w:fill="auto"/>
          </w:tcPr>
          <w:p w14:paraId="05430262" w14:textId="77777777" w:rsidR="00F750AE" w:rsidRPr="00AA7A1C" w:rsidRDefault="00F750AE" w:rsidP="00EF468E">
            <w:pPr>
              <w:pStyle w:val="Tabletext"/>
            </w:pPr>
            <w:r w:rsidRPr="00AA7A1C">
              <w:t>CSF</w:t>
            </w:r>
          </w:p>
          <w:p w14:paraId="05430263" w14:textId="77777777" w:rsidR="00F750AE" w:rsidRPr="00AA7A1C" w:rsidRDefault="00F750AE" w:rsidP="00EF468E">
            <w:pPr>
              <w:pStyle w:val="Tabletext"/>
            </w:pPr>
            <w:r w:rsidRPr="00AA7A1C">
              <w:t>N</w:t>
            </w:r>
            <w:r w:rsidR="00EF468E">
              <w:noBreakHyphen/>
            </w:r>
            <w:r w:rsidRPr="00AA7A1C">
              <w:t>CSF</w:t>
            </w:r>
          </w:p>
          <w:p w14:paraId="05430264" w14:textId="77777777" w:rsidR="00F750AE" w:rsidRPr="00AA7A1C" w:rsidRDefault="00EF468E" w:rsidP="00EF468E">
            <w:pPr>
              <w:pStyle w:val="Tabletext"/>
            </w:pPr>
            <w:r w:rsidRPr="00EF468E">
              <w:rPr>
                <w:position w:val="6"/>
                <w:sz w:val="16"/>
              </w:rPr>
              <w:t>*</w:t>
            </w:r>
            <w:r w:rsidR="00F750AE" w:rsidRPr="00AA7A1C">
              <w:t>RSA provider</w:t>
            </w:r>
          </w:p>
        </w:tc>
        <w:tc>
          <w:tcPr>
            <w:tcW w:w="4820" w:type="dxa"/>
            <w:shd w:val="clear" w:color="auto" w:fill="auto"/>
          </w:tcPr>
          <w:p w14:paraId="05430265" w14:textId="77777777" w:rsidR="00F750AE" w:rsidRPr="00AA7A1C" w:rsidRDefault="00F750AE" w:rsidP="00EF468E">
            <w:pPr>
              <w:pStyle w:val="Tabletext"/>
            </w:pPr>
            <w:r w:rsidRPr="00AA7A1C">
              <w:t xml:space="preserve">An amount payable to a person under an income stream because of the person’s temporary inability to engage in </w:t>
            </w:r>
            <w:r w:rsidR="00EF468E" w:rsidRPr="00EF468E">
              <w:rPr>
                <w:position w:val="6"/>
                <w:sz w:val="16"/>
              </w:rPr>
              <w:t>*</w:t>
            </w:r>
            <w:r w:rsidRPr="00AA7A1C">
              <w:t>gainful employment</w:t>
            </w:r>
          </w:p>
        </w:tc>
      </w:tr>
    </w:tbl>
    <w:p w14:paraId="05430267" w14:textId="77777777" w:rsidR="00F750AE" w:rsidRPr="00AA7A1C" w:rsidRDefault="00F750AE" w:rsidP="00EF468E">
      <w:pPr>
        <w:pStyle w:val="Tabletext"/>
      </w:pPr>
    </w:p>
    <w:p w14:paraId="05430268" w14:textId="77777777" w:rsidR="00F750AE" w:rsidRPr="00AA7A1C" w:rsidRDefault="00777190" w:rsidP="00EF468E">
      <w:pPr>
        <w:pStyle w:val="ItemHead"/>
      </w:pPr>
      <w:r>
        <w:t>98</w:t>
      </w:r>
      <w:r w:rsidR="00F750AE" w:rsidRPr="00AA7A1C">
        <w:t xml:space="preserve">  At the end of </w:t>
      </w:r>
      <w:r w:rsidR="00AA7A1C" w:rsidRPr="00AA7A1C">
        <w:t>subsection 2</w:t>
      </w:r>
      <w:r w:rsidR="00F750AE" w:rsidRPr="00AA7A1C">
        <w:t>95</w:t>
      </w:r>
      <w:r w:rsidR="00EF468E">
        <w:noBreakHyphen/>
      </w:r>
      <w:r w:rsidR="00F750AE" w:rsidRPr="00AA7A1C">
        <w:t>675(1)</w:t>
      </w:r>
    </w:p>
    <w:p w14:paraId="05430269" w14:textId="77777777" w:rsidR="00F750AE" w:rsidRPr="00AA7A1C" w:rsidRDefault="00F750AE" w:rsidP="00EF468E">
      <w:pPr>
        <w:pStyle w:val="Item"/>
      </w:pPr>
      <w:r w:rsidRPr="00AA7A1C">
        <w:t>Add:</w:t>
      </w:r>
    </w:p>
    <w:p w14:paraId="0543026A" w14:textId="77777777" w:rsidR="00F750AE" w:rsidRPr="00AA7A1C" w:rsidRDefault="00F750AE" w:rsidP="00EF468E">
      <w:pPr>
        <w:pStyle w:val="notetext"/>
      </w:pPr>
      <w:r w:rsidRPr="00AA7A1C">
        <w:t>Note:</w:t>
      </w:r>
      <w:r w:rsidRPr="00AA7A1C">
        <w:tab/>
        <w:t>In certain circumstances the superannuation provider or RSA provider can get a refund of the tax offset under Division 67.</w:t>
      </w:r>
    </w:p>
    <w:p w14:paraId="0543026B" w14:textId="77777777" w:rsidR="00F750AE" w:rsidRPr="00AA7A1C" w:rsidRDefault="00777190" w:rsidP="00EF468E">
      <w:pPr>
        <w:pStyle w:val="ItemHead"/>
      </w:pPr>
      <w:r>
        <w:t>99</w:t>
      </w:r>
      <w:r w:rsidR="00F750AE" w:rsidRPr="00AA7A1C">
        <w:t xml:space="preserve">  </w:t>
      </w:r>
      <w:r w:rsidR="00AA7A1C" w:rsidRPr="00AA7A1C">
        <w:t>Subsection 2</w:t>
      </w:r>
      <w:r w:rsidR="00F750AE" w:rsidRPr="00AA7A1C">
        <w:t>95</w:t>
      </w:r>
      <w:r w:rsidR="00EF468E">
        <w:noBreakHyphen/>
      </w:r>
      <w:r w:rsidR="00F750AE" w:rsidRPr="00AA7A1C">
        <w:t>675(2)</w:t>
      </w:r>
    </w:p>
    <w:p w14:paraId="0543026C" w14:textId="77777777" w:rsidR="00F750AE" w:rsidRPr="00AA7A1C" w:rsidRDefault="00F750AE" w:rsidP="00EF468E">
      <w:pPr>
        <w:pStyle w:val="Item"/>
      </w:pPr>
      <w:r w:rsidRPr="00AA7A1C">
        <w:t xml:space="preserve">Repeal the </w:t>
      </w:r>
      <w:r w:rsidR="000571FE">
        <w:t>subsection (</w:t>
      </w:r>
      <w:r w:rsidR="0036475A">
        <w:t>including the note)</w:t>
      </w:r>
      <w:r w:rsidRPr="00AA7A1C">
        <w:t>, substitute:</w:t>
      </w:r>
    </w:p>
    <w:p w14:paraId="0543026D" w14:textId="77777777" w:rsidR="00F750AE" w:rsidRPr="00AA7A1C" w:rsidRDefault="00F750AE" w:rsidP="00EF468E">
      <w:pPr>
        <w:pStyle w:val="subsection"/>
      </w:pPr>
      <w:r w:rsidRPr="00AA7A1C">
        <w:tab/>
        <w:t>(2)</w:t>
      </w:r>
      <w:r w:rsidRPr="00AA7A1C">
        <w:tab/>
        <w:t xml:space="preserve">An amount of tax counts towards the offset for the provider for the current year if </w:t>
      </w:r>
      <w:r w:rsidR="000571FE">
        <w:t>subsection (</w:t>
      </w:r>
      <w:r w:rsidRPr="00AA7A1C">
        <w:t>3), (4) or (5) applies for the provider.</w:t>
      </w:r>
    </w:p>
    <w:p w14:paraId="0543026E" w14:textId="77777777" w:rsidR="00F750AE" w:rsidRPr="00AA7A1C" w:rsidRDefault="00F750AE" w:rsidP="00EF468E">
      <w:pPr>
        <w:pStyle w:val="subsection"/>
      </w:pPr>
      <w:r w:rsidRPr="00AA7A1C">
        <w:tab/>
        <w:t>(3)</w:t>
      </w:r>
      <w:r w:rsidRPr="00AA7A1C">
        <w:tab/>
        <w:t>This subsection applies for the provider if:</w:t>
      </w:r>
    </w:p>
    <w:p w14:paraId="0543026F" w14:textId="77777777" w:rsidR="00F750AE" w:rsidRPr="00AA7A1C" w:rsidRDefault="00F750AE" w:rsidP="00EF468E">
      <w:pPr>
        <w:pStyle w:val="paragraph"/>
      </w:pPr>
      <w:r w:rsidRPr="00AA7A1C">
        <w:tab/>
        <w:t>(a)</w:t>
      </w:r>
      <w:r w:rsidRPr="00AA7A1C">
        <w:tab/>
        <w:t>the tax was payable by the provider in one of the most recent 3 income years ending before the current year; and</w:t>
      </w:r>
    </w:p>
    <w:p w14:paraId="05430270" w14:textId="77777777" w:rsidR="00F750AE" w:rsidRPr="00AA7A1C" w:rsidRDefault="00F750AE" w:rsidP="00EF468E">
      <w:pPr>
        <w:pStyle w:val="paragraph"/>
      </w:pPr>
      <w:r w:rsidRPr="00AA7A1C">
        <w:tab/>
        <w:t>(b)</w:t>
      </w:r>
      <w:r w:rsidRPr="00AA7A1C">
        <w:tab/>
        <w:t xml:space="preserve">the tax was payable on an amount of </w:t>
      </w:r>
      <w:r w:rsidR="00EF468E" w:rsidRPr="00EF468E">
        <w:rPr>
          <w:position w:val="6"/>
          <w:sz w:val="16"/>
        </w:rPr>
        <w:t>*</w:t>
      </w:r>
      <w:r w:rsidRPr="00AA7A1C">
        <w:t>no</w:t>
      </w:r>
      <w:r w:rsidR="00EF468E">
        <w:noBreakHyphen/>
      </w:r>
      <w:r w:rsidRPr="00AA7A1C">
        <w:t xml:space="preserve">TFN contributions income of the fund or </w:t>
      </w:r>
      <w:r w:rsidR="00EF468E" w:rsidRPr="00EF468E">
        <w:rPr>
          <w:position w:val="6"/>
          <w:sz w:val="16"/>
        </w:rPr>
        <w:t>*</w:t>
      </w:r>
      <w:r w:rsidRPr="00AA7A1C">
        <w:t>RSA provider; and</w:t>
      </w:r>
    </w:p>
    <w:p w14:paraId="05430271" w14:textId="77777777" w:rsidR="00F750AE" w:rsidRPr="00AA7A1C" w:rsidRDefault="00F750AE" w:rsidP="00EF468E">
      <w:pPr>
        <w:pStyle w:val="paragraph"/>
      </w:pPr>
      <w:r w:rsidRPr="00AA7A1C">
        <w:tab/>
        <w:t>(c)</w:t>
      </w:r>
      <w:r w:rsidRPr="00AA7A1C">
        <w:tab/>
        <w:t>the amount of no</w:t>
      </w:r>
      <w:r w:rsidR="00EF468E">
        <w:noBreakHyphen/>
      </w:r>
      <w:r w:rsidRPr="00AA7A1C">
        <w:t xml:space="preserve">TFN contributions income was a contribution made to the fund or provider to provide </w:t>
      </w:r>
      <w:r w:rsidR="00EF468E" w:rsidRPr="00EF468E">
        <w:rPr>
          <w:position w:val="6"/>
          <w:sz w:val="16"/>
        </w:rPr>
        <w:t>*</w:t>
      </w:r>
      <w:r w:rsidRPr="00AA7A1C">
        <w:t xml:space="preserve">superannuation benefits for an individual who, in the current year, has </w:t>
      </w:r>
      <w:r w:rsidR="00EF468E" w:rsidRPr="00EF468E">
        <w:rPr>
          <w:position w:val="6"/>
          <w:sz w:val="16"/>
        </w:rPr>
        <w:t>*</w:t>
      </w:r>
      <w:r w:rsidRPr="00AA7A1C">
        <w:t xml:space="preserve">quoted (for superannuation purposes) the individual’s </w:t>
      </w:r>
      <w:r w:rsidR="00EF468E" w:rsidRPr="00EF468E">
        <w:rPr>
          <w:position w:val="6"/>
          <w:sz w:val="16"/>
        </w:rPr>
        <w:t>*</w:t>
      </w:r>
      <w:r w:rsidRPr="00AA7A1C">
        <w:t>tax file number to the provider for the first time.</w:t>
      </w:r>
    </w:p>
    <w:p w14:paraId="05430272" w14:textId="77777777" w:rsidR="00F750AE" w:rsidRPr="00AA7A1C" w:rsidRDefault="00F750AE" w:rsidP="00EF468E">
      <w:pPr>
        <w:pStyle w:val="subsection"/>
      </w:pPr>
      <w:r w:rsidRPr="00AA7A1C">
        <w:tab/>
        <w:t>(4)</w:t>
      </w:r>
      <w:r w:rsidRPr="00AA7A1C">
        <w:tab/>
        <w:t xml:space="preserve">This subsection applies for the provider (the </w:t>
      </w:r>
      <w:r w:rsidRPr="00AA7A1C">
        <w:rPr>
          <w:b/>
          <w:i/>
        </w:rPr>
        <w:t>current provider</w:t>
      </w:r>
      <w:r w:rsidRPr="00AA7A1C">
        <w:t>) if:</w:t>
      </w:r>
    </w:p>
    <w:p w14:paraId="05430273" w14:textId="77777777" w:rsidR="00F750AE" w:rsidRPr="00AA7A1C" w:rsidRDefault="00F750AE" w:rsidP="00EF468E">
      <w:pPr>
        <w:pStyle w:val="paragraph"/>
      </w:pPr>
      <w:r w:rsidRPr="00AA7A1C">
        <w:tab/>
        <w:t>(a)</w:t>
      </w:r>
      <w:r w:rsidRPr="00AA7A1C">
        <w:tab/>
        <w:t>the tax was payable in one of the most recent 3 income years ending before the current year; and</w:t>
      </w:r>
    </w:p>
    <w:p w14:paraId="05430274" w14:textId="77777777" w:rsidR="00F750AE" w:rsidRPr="00AA7A1C" w:rsidRDefault="00F750AE" w:rsidP="00EF468E">
      <w:pPr>
        <w:pStyle w:val="paragraph"/>
      </w:pPr>
      <w:r w:rsidRPr="00AA7A1C">
        <w:tab/>
        <w:t>(b)</w:t>
      </w:r>
      <w:r w:rsidRPr="00AA7A1C">
        <w:tab/>
        <w:t xml:space="preserve">the tax was so payable on an amount of </w:t>
      </w:r>
      <w:r w:rsidR="00EF468E" w:rsidRPr="00EF468E">
        <w:rPr>
          <w:position w:val="6"/>
          <w:sz w:val="16"/>
        </w:rPr>
        <w:t>*</w:t>
      </w:r>
      <w:r w:rsidRPr="00AA7A1C">
        <w:t>no</w:t>
      </w:r>
      <w:r w:rsidR="00EF468E">
        <w:noBreakHyphen/>
      </w:r>
      <w:r w:rsidRPr="00AA7A1C">
        <w:t>TFN contributions income that:</w:t>
      </w:r>
    </w:p>
    <w:p w14:paraId="05430275" w14:textId="77777777" w:rsidR="00F750AE" w:rsidRPr="00AA7A1C" w:rsidRDefault="00F750AE" w:rsidP="00EF468E">
      <w:pPr>
        <w:pStyle w:val="paragraphsub"/>
      </w:pPr>
      <w:r w:rsidRPr="00AA7A1C">
        <w:tab/>
        <w:t>(i)</w:t>
      </w:r>
      <w:r w:rsidRPr="00AA7A1C">
        <w:tab/>
        <w:t>was no</w:t>
      </w:r>
      <w:r w:rsidR="00EF468E">
        <w:noBreakHyphen/>
      </w:r>
      <w:r w:rsidRPr="00AA7A1C">
        <w:t xml:space="preserve">TFN contributions income of another </w:t>
      </w:r>
      <w:r w:rsidR="00EF468E" w:rsidRPr="00EF468E">
        <w:rPr>
          <w:position w:val="6"/>
          <w:sz w:val="16"/>
        </w:rPr>
        <w:t>*</w:t>
      </w:r>
      <w:r w:rsidRPr="00AA7A1C">
        <w:t>superannuation fund; and</w:t>
      </w:r>
    </w:p>
    <w:p w14:paraId="05430276" w14:textId="77777777" w:rsidR="00F750AE" w:rsidRPr="00AA7A1C" w:rsidRDefault="00F750AE" w:rsidP="00EF468E">
      <w:pPr>
        <w:pStyle w:val="paragraphsub"/>
      </w:pPr>
      <w:r w:rsidRPr="00AA7A1C">
        <w:tab/>
        <w:t>(ii)</w:t>
      </w:r>
      <w:r w:rsidRPr="00AA7A1C">
        <w:tab/>
        <w:t xml:space="preserve">was a contribution made to that other fund to provide </w:t>
      </w:r>
      <w:r w:rsidR="00EF468E" w:rsidRPr="00EF468E">
        <w:rPr>
          <w:position w:val="6"/>
          <w:sz w:val="16"/>
        </w:rPr>
        <w:t>*</w:t>
      </w:r>
      <w:r w:rsidRPr="00AA7A1C">
        <w:t>superannuation benefits for an individual; and</w:t>
      </w:r>
    </w:p>
    <w:p w14:paraId="05430277" w14:textId="77777777" w:rsidR="00F750AE" w:rsidRPr="00AA7A1C" w:rsidRDefault="00F750AE" w:rsidP="00EF468E">
      <w:pPr>
        <w:pStyle w:val="paragraph"/>
      </w:pPr>
      <w:r w:rsidRPr="00AA7A1C">
        <w:tab/>
        <w:t>(c)</w:t>
      </w:r>
      <w:r w:rsidRPr="00AA7A1C">
        <w:tab/>
        <w:t xml:space="preserve">the tax was so payable by the </w:t>
      </w:r>
      <w:r w:rsidR="00EF468E" w:rsidRPr="00EF468E">
        <w:rPr>
          <w:position w:val="6"/>
          <w:sz w:val="16"/>
        </w:rPr>
        <w:t>*</w:t>
      </w:r>
      <w:r w:rsidRPr="00AA7A1C">
        <w:t>superannuation provider of that other fund; and</w:t>
      </w:r>
    </w:p>
    <w:p w14:paraId="05430278" w14:textId="77777777" w:rsidR="00F750AE" w:rsidRPr="00AA7A1C" w:rsidRDefault="00F750AE" w:rsidP="00EF468E">
      <w:pPr>
        <w:pStyle w:val="paragraph"/>
      </w:pPr>
      <w:r w:rsidRPr="00AA7A1C">
        <w:lastRenderedPageBreak/>
        <w:tab/>
        <w:t>(d)</w:t>
      </w:r>
      <w:r w:rsidRPr="00AA7A1C">
        <w:tab/>
        <w:t>the current provider is the superannuation provider of a successor fund in relation to the individual and that other fund; and</w:t>
      </w:r>
    </w:p>
    <w:p w14:paraId="05430279" w14:textId="77777777" w:rsidR="00F750AE" w:rsidRPr="00AA7A1C" w:rsidRDefault="00F750AE" w:rsidP="00EF468E">
      <w:pPr>
        <w:pStyle w:val="paragraph"/>
      </w:pPr>
      <w:r w:rsidRPr="00AA7A1C">
        <w:tab/>
        <w:t>(e)</w:t>
      </w:r>
      <w:r w:rsidRPr="00AA7A1C">
        <w:tab/>
        <w:t>the individual:</w:t>
      </w:r>
    </w:p>
    <w:p w14:paraId="0543027A" w14:textId="77777777" w:rsidR="00F750AE" w:rsidRPr="00AA7A1C" w:rsidRDefault="00F750AE" w:rsidP="00EF468E">
      <w:pPr>
        <w:pStyle w:val="paragraphsub"/>
      </w:pPr>
      <w:r w:rsidRPr="00AA7A1C">
        <w:tab/>
        <w:t>(i)</w:t>
      </w:r>
      <w:r w:rsidRPr="00AA7A1C">
        <w:tab/>
        <w:t xml:space="preserve">has never </w:t>
      </w:r>
      <w:r w:rsidR="00EF468E" w:rsidRPr="00EF468E">
        <w:rPr>
          <w:position w:val="6"/>
          <w:sz w:val="16"/>
        </w:rPr>
        <w:t>*</w:t>
      </w:r>
      <w:r w:rsidRPr="00AA7A1C">
        <w:t xml:space="preserve">quoted (for superannuation purposes) the individual’s </w:t>
      </w:r>
      <w:r w:rsidR="00EF468E" w:rsidRPr="00EF468E">
        <w:rPr>
          <w:position w:val="6"/>
          <w:sz w:val="16"/>
        </w:rPr>
        <w:t>*</w:t>
      </w:r>
      <w:r w:rsidRPr="00AA7A1C">
        <w:t>tax file number to the superannuation provider of that other fund; but</w:t>
      </w:r>
    </w:p>
    <w:p w14:paraId="0543027B" w14:textId="77777777" w:rsidR="00F750AE" w:rsidRPr="00AA7A1C" w:rsidRDefault="00F750AE" w:rsidP="00EF468E">
      <w:pPr>
        <w:pStyle w:val="paragraphsub"/>
      </w:pPr>
      <w:r w:rsidRPr="00AA7A1C">
        <w:tab/>
        <w:t>(ii)</w:t>
      </w:r>
      <w:r w:rsidRPr="00AA7A1C">
        <w:tab/>
        <w:t>has, in the current year, done so to the current provider for the first time.</w:t>
      </w:r>
    </w:p>
    <w:p w14:paraId="0543027C" w14:textId="77777777" w:rsidR="00F750AE" w:rsidRPr="00AA7A1C" w:rsidRDefault="00F750AE" w:rsidP="00EF468E">
      <w:pPr>
        <w:pStyle w:val="subsection"/>
      </w:pPr>
      <w:r w:rsidRPr="00AA7A1C">
        <w:tab/>
        <w:t>(5)</w:t>
      </w:r>
      <w:r w:rsidRPr="00AA7A1C">
        <w:tab/>
        <w:t xml:space="preserve">This subsection applies for the provider (the </w:t>
      </w:r>
      <w:r w:rsidRPr="00AA7A1C">
        <w:rPr>
          <w:b/>
          <w:i/>
        </w:rPr>
        <w:t>current provider</w:t>
      </w:r>
      <w:r w:rsidRPr="00AA7A1C">
        <w:t>) if:</w:t>
      </w:r>
    </w:p>
    <w:p w14:paraId="0543027D" w14:textId="77777777" w:rsidR="00F750AE" w:rsidRPr="00AA7A1C" w:rsidRDefault="00F750AE" w:rsidP="00EF468E">
      <w:pPr>
        <w:pStyle w:val="paragraph"/>
      </w:pPr>
      <w:r w:rsidRPr="00AA7A1C">
        <w:tab/>
        <w:t>(a)</w:t>
      </w:r>
      <w:r w:rsidRPr="00AA7A1C">
        <w:tab/>
        <w:t>the tax was payable in one of the most recent 3 income years ending before the current year; and</w:t>
      </w:r>
    </w:p>
    <w:p w14:paraId="0543027E" w14:textId="77777777" w:rsidR="00F750AE" w:rsidRPr="00AA7A1C" w:rsidRDefault="00F750AE" w:rsidP="00EF468E">
      <w:pPr>
        <w:pStyle w:val="paragraph"/>
      </w:pPr>
      <w:r w:rsidRPr="00AA7A1C">
        <w:tab/>
        <w:t>(b)</w:t>
      </w:r>
      <w:r w:rsidRPr="00AA7A1C">
        <w:tab/>
        <w:t xml:space="preserve">the tax was so payable on an amount of </w:t>
      </w:r>
      <w:r w:rsidR="00EF468E" w:rsidRPr="00EF468E">
        <w:rPr>
          <w:position w:val="6"/>
          <w:sz w:val="16"/>
        </w:rPr>
        <w:t>*</w:t>
      </w:r>
      <w:r w:rsidRPr="00AA7A1C">
        <w:t>no</w:t>
      </w:r>
      <w:r w:rsidR="00EF468E">
        <w:noBreakHyphen/>
      </w:r>
      <w:r w:rsidRPr="00AA7A1C">
        <w:t>TFN contributions income that:</w:t>
      </w:r>
    </w:p>
    <w:p w14:paraId="0543027F" w14:textId="77777777" w:rsidR="00F750AE" w:rsidRPr="00AA7A1C" w:rsidRDefault="00F750AE" w:rsidP="00EF468E">
      <w:pPr>
        <w:pStyle w:val="paragraphsub"/>
      </w:pPr>
      <w:r w:rsidRPr="00AA7A1C">
        <w:tab/>
        <w:t>(i)</w:t>
      </w:r>
      <w:r w:rsidRPr="00AA7A1C">
        <w:tab/>
        <w:t>was no</w:t>
      </w:r>
      <w:r w:rsidR="00EF468E">
        <w:noBreakHyphen/>
      </w:r>
      <w:r w:rsidRPr="00AA7A1C">
        <w:t xml:space="preserve">TFN contributions income of another </w:t>
      </w:r>
      <w:r w:rsidR="00EF468E" w:rsidRPr="00EF468E">
        <w:rPr>
          <w:position w:val="6"/>
          <w:sz w:val="16"/>
        </w:rPr>
        <w:t>*</w:t>
      </w:r>
      <w:r w:rsidRPr="00AA7A1C">
        <w:t>RSA provider; and</w:t>
      </w:r>
    </w:p>
    <w:p w14:paraId="05430280" w14:textId="77777777" w:rsidR="00F750AE" w:rsidRPr="00AA7A1C" w:rsidRDefault="00F750AE" w:rsidP="00EF468E">
      <w:pPr>
        <w:pStyle w:val="paragraphsub"/>
      </w:pPr>
      <w:r w:rsidRPr="00AA7A1C">
        <w:tab/>
        <w:t>(ii)</w:t>
      </w:r>
      <w:r w:rsidRPr="00AA7A1C">
        <w:tab/>
        <w:t xml:space="preserve">was a contribution made to that other RSA provider to provide </w:t>
      </w:r>
      <w:r w:rsidR="00EF468E" w:rsidRPr="00EF468E">
        <w:rPr>
          <w:position w:val="6"/>
          <w:sz w:val="16"/>
        </w:rPr>
        <w:t>*</w:t>
      </w:r>
      <w:r w:rsidRPr="00AA7A1C">
        <w:t>superannuation benefits for an individual; and</w:t>
      </w:r>
    </w:p>
    <w:p w14:paraId="05430281" w14:textId="77777777" w:rsidR="00F750AE" w:rsidRPr="00AA7A1C" w:rsidRDefault="00F750AE" w:rsidP="00EF468E">
      <w:pPr>
        <w:pStyle w:val="paragraph"/>
      </w:pPr>
      <w:r w:rsidRPr="00AA7A1C">
        <w:tab/>
        <w:t>(c)</w:t>
      </w:r>
      <w:r w:rsidRPr="00AA7A1C">
        <w:tab/>
        <w:t>the tax was so payable by that other RSA provider; and</w:t>
      </w:r>
    </w:p>
    <w:p w14:paraId="05430282" w14:textId="77777777" w:rsidR="00F750AE" w:rsidRPr="00AA7A1C" w:rsidRDefault="00F750AE" w:rsidP="00EF468E">
      <w:pPr>
        <w:pStyle w:val="paragraph"/>
      </w:pPr>
      <w:r w:rsidRPr="00AA7A1C">
        <w:tab/>
        <w:t>(d)</w:t>
      </w:r>
      <w:r w:rsidRPr="00AA7A1C">
        <w:tab/>
        <w:t xml:space="preserve">the current provider is the superannuation provider of a successor fund in relation to the individual and an </w:t>
      </w:r>
      <w:r w:rsidR="00EF468E" w:rsidRPr="00EF468E">
        <w:rPr>
          <w:position w:val="6"/>
          <w:sz w:val="16"/>
        </w:rPr>
        <w:t>*</w:t>
      </w:r>
      <w:r w:rsidRPr="00AA7A1C">
        <w:t>RSA of that other RSA provider; and</w:t>
      </w:r>
    </w:p>
    <w:p w14:paraId="05430283" w14:textId="77777777" w:rsidR="00F750AE" w:rsidRPr="00AA7A1C" w:rsidRDefault="00F750AE" w:rsidP="00EF468E">
      <w:pPr>
        <w:pStyle w:val="paragraph"/>
      </w:pPr>
      <w:r w:rsidRPr="00AA7A1C">
        <w:tab/>
        <w:t>(e)</w:t>
      </w:r>
      <w:r w:rsidRPr="00AA7A1C">
        <w:tab/>
        <w:t>the individual:</w:t>
      </w:r>
    </w:p>
    <w:p w14:paraId="05430284" w14:textId="77777777" w:rsidR="00F750AE" w:rsidRPr="00AA7A1C" w:rsidRDefault="00F750AE" w:rsidP="00EF468E">
      <w:pPr>
        <w:pStyle w:val="paragraphsub"/>
      </w:pPr>
      <w:r w:rsidRPr="00AA7A1C">
        <w:tab/>
        <w:t>(i)</w:t>
      </w:r>
      <w:r w:rsidRPr="00AA7A1C">
        <w:tab/>
        <w:t xml:space="preserve">has never </w:t>
      </w:r>
      <w:r w:rsidR="00EF468E" w:rsidRPr="00EF468E">
        <w:rPr>
          <w:position w:val="6"/>
          <w:sz w:val="16"/>
        </w:rPr>
        <w:t>*</w:t>
      </w:r>
      <w:r w:rsidRPr="00AA7A1C">
        <w:t xml:space="preserve">quoted (for superannuation purposes) the individual’s </w:t>
      </w:r>
      <w:r w:rsidR="00EF468E" w:rsidRPr="00EF468E">
        <w:rPr>
          <w:position w:val="6"/>
          <w:sz w:val="16"/>
        </w:rPr>
        <w:t>*</w:t>
      </w:r>
      <w:r w:rsidRPr="00AA7A1C">
        <w:t>tax file number to that other RSA provider; but</w:t>
      </w:r>
    </w:p>
    <w:p w14:paraId="05430285" w14:textId="77777777" w:rsidR="00F750AE" w:rsidRPr="00AA7A1C" w:rsidRDefault="00F750AE" w:rsidP="00EF468E">
      <w:pPr>
        <w:pStyle w:val="paragraphsub"/>
      </w:pPr>
      <w:r w:rsidRPr="00AA7A1C">
        <w:tab/>
        <w:t>(ii)</w:t>
      </w:r>
      <w:r w:rsidRPr="00AA7A1C">
        <w:tab/>
        <w:t>has, in the current year, done so to the current provider for the first time.</w:t>
      </w:r>
    </w:p>
    <w:p w14:paraId="05430286" w14:textId="77777777" w:rsidR="00BA7DD3" w:rsidRPr="00AA7A1C" w:rsidRDefault="00777190" w:rsidP="00EF468E">
      <w:pPr>
        <w:pStyle w:val="ItemHead"/>
      </w:pPr>
      <w:r>
        <w:t>100</w:t>
      </w:r>
      <w:r w:rsidR="00BA7DD3" w:rsidRPr="00AA7A1C">
        <w:t xml:space="preserve">  </w:t>
      </w:r>
      <w:r w:rsidR="000571FE">
        <w:t>Subsection 3</w:t>
      </w:r>
      <w:r w:rsidR="00BA7DD3" w:rsidRPr="00AA7A1C">
        <w:t>07</w:t>
      </w:r>
      <w:r w:rsidR="00EF468E">
        <w:noBreakHyphen/>
      </w:r>
      <w:r w:rsidR="00BA7DD3" w:rsidRPr="00AA7A1C">
        <w:t xml:space="preserve">5(1) (table </w:t>
      </w:r>
      <w:r w:rsidR="00AA7A1C" w:rsidRPr="00AA7A1C">
        <w:t>item 5</w:t>
      </w:r>
      <w:r w:rsidR="00BA7DD3" w:rsidRPr="00AA7A1C">
        <w:t>, column 2)</w:t>
      </w:r>
    </w:p>
    <w:p w14:paraId="05430287" w14:textId="77777777" w:rsidR="00BA7DD3" w:rsidRPr="00AA7A1C" w:rsidRDefault="00BA7DD3" w:rsidP="00EF468E">
      <w:pPr>
        <w:pStyle w:val="Item"/>
      </w:pPr>
      <w:r w:rsidRPr="00AA7A1C">
        <w:t xml:space="preserve">Omit “or </w:t>
      </w:r>
      <w:r w:rsidR="00AA7A1C" w:rsidRPr="00AA7A1C">
        <w:t>subsection 2</w:t>
      </w:r>
      <w:r w:rsidR="0036475A">
        <w:t xml:space="preserve">4G(2) or (3A)”, substitute “or </w:t>
      </w:r>
      <w:r w:rsidR="00AA7A1C" w:rsidRPr="00AA7A1C">
        <w:t>subsection 2</w:t>
      </w:r>
      <w:r w:rsidRPr="00AA7A1C">
        <w:t>4G(2) or (3A) or 24NA(2), (3) or (4)”.</w:t>
      </w:r>
    </w:p>
    <w:p w14:paraId="05430288" w14:textId="77777777" w:rsidR="00BA7DD3" w:rsidRPr="00AA7A1C" w:rsidRDefault="00777190" w:rsidP="00EF468E">
      <w:pPr>
        <w:pStyle w:val="ItemHead"/>
      </w:pPr>
      <w:r>
        <w:t>101</w:t>
      </w:r>
      <w:r w:rsidR="00BA7DD3" w:rsidRPr="00AA7A1C">
        <w:t xml:space="preserve">  </w:t>
      </w:r>
      <w:r w:rsidR="000571FE">
        <w:t>Paragraph 3</w:t>
      </w:r>
      <w:r w:rsidR="00BA7DD3" w:rsidRPr="00AA7A1C">
        <w:t>07</w:t>
      </w:r>
      <w:r w:rsidR="00EF468E">
        <w:noBreakHyphen/>
      </w:r>
      <w:r w:rsidR="00BA7DD3" w:rsidRPr="00AA7A1C">
        <w:t>120(2)(e)</w:t>
      </w:r>
    </w:p>
    <w:p w14:paraId="05430289" w14:textId="77777777" w:rsidR="00BA7DD3" w:rsidRPr="00AA7A1C" w:rsidRDefault="00BA7DD3" w:rsidP="00EF468E">
      <w:pPr>
        <w:pStyle w:val="Item"/>
      </w:pPr>
      <w:r w:rsidRPr="00AA7A1C">
        <w:t>Omit “or 24G(2), (3A) or (3B)”, substitute “, 24G(2), (3A) or (3B) or 24NA(2), (3) or (4)”.</w:t>
      </w:r>
    </w:p>
    <w:p w14:paraId="0543028A" w14:textId="77777777" w:rsidR="00BA7DD3" w:rsidRPr="00AA7A1C" w:rsidRDefault="00777190" w:rsidP="00EF468E">
      <w:pPr>
        <w:pStyle w:val="ItemHead"/>
      </w:pPr>
      <w:r>
        <w:t>102</w:t>
      </w:r>
      <w:r w:rsidR="00BA7DD3" w:rsidRPr="00AA7A1C">
        <w:t xml:space="preserve">  </w:t>
      </w:r>
      <w:r w:rsidR="000571FE">
        <w:t>Subsection 3</w:t>
      </w:r>
      <w:r w:rsidR="00BA7DD3" w:rsidRPr="00AA7A1C">
        <w:t>07</w:t>
      </w:r>
      <w:r w:rsidR="00EF468E">
        <w:noBreakHyphen/>
      </w:r>
      <w:r w:rsidR="00BA7DD3" w:rsidRPr="00AA7A1C">
        <w:t>142(1)</w:t>
      </w:r>
    </w:p>
    <w:p w14:paraId="0543028B" w14:textId="77777777" w:rsidR="00BA7DD3" w:rsidRPr="00AA7A1C" w:rsidRDefault="00BA7DD3" w:rsidP="00EF468E">
      <w:pPr>
        <w:pStyle w:val="Item"/>
      </w:pPr>
      <w:r w:rsidRPr="00AA7A1C">
        <w:t>Omit “or 24G(2), (3A) or (3B)”, substitute “, 24G(2), (3A) or (3B) or 24NA(2), (3) or (4)”.</w:t>
      </w:r>
    </w:p>
    <w:p w14:paraId="0543028C" w14:textId="77777777" w:rsidR="00BA7DD3" w:rsidRPr="00AA7A1C" w:rsidRDefault="00777190" w:rsidP="00EF468E">
      <w:pPr>
        <w:pStyle w:val="ItemHead"/>
      </w:pPr>
      <w:r>
        <w:lastRenderedPageBreak/>
        <w:t>103</w:t>
      </w:r>
      <w:r w:rsidR="00BA7DD3" w:rsidRPr="00AA7A1C">
        <w:t xml:space="preserve">  </w:t>
      </w:r>
      <w:r w:rsidR="000571FE">
        <w:t>Subsection 3</w:t>
      </w:r>
      <w:r w:rsidR="0036475A">
        <w:t>07</w:t>
      </w:r>
      <w:r w:rsidR="00EF468E">
        <w:noBreakHyphen/>
      </w:r>
      <w:r w:rsidR="0036475A">
        <w:t>142(2) (method statement, at the end of step 1)</w:t>
      </w:r>
    </w:p>
    <w:p w14:paraId="0543028D" w14:textId="77777777" w:rsidR="00BA7DD3" w:rsidRPr="00AA7A1C" w:rsidRDefault="00BA7DD3" w:rsidP="00EF468E">
      <w:pPr>
        <w:pStyle w:val="Item"/>
      </w:pPr>
      <w:r w:rsidRPr="00AA7A1C">
        <w:t>Add:</w:t>
      </w:r>
    </w:p>
    <w:p w14:paraId="0543028E" w14:textId="77777777" w:rsidR="00BA7DD3" w:rsidRPr="00AA7A1C" w:rsidRDefault="00BA7DD3" w:rsidP="00EF468E">
      <w:pPr>
        <w:pStyle w:val="notetext"/>
      </w:pPr>
      <w:r w:rsidRPr="00AA7A1C">
        <w:tab/>
        <w:t xml:space="preserve">A payment under </w:t>
      </w:r>
      <w:r w:rsidR="00AA7A1C" w:rsidRPr="00AA7A1C">
        <w:t>subsection 2</w:t>
      </w:r>
      <w:r w:rsidRPr="00AA7A1C">
        <w:t>4NA(2) or (3) of that Act may be attributable to more than one unclaimed amount.</w:t>
      </w:r>
    </w:p>
    <w:p w14:paraId="0543028F" w14:textId="77777777" w:rsidR="00BA7DD3" w:rsidRPr="00AA7A1C" w:rsidRDefault="00777190" w:rsidP="00EF468E">
      <w:pPr>
        <w:pStyle w:val="ItemHead"/>
      </w:pPr>
      <w:r>
        <w:t>104</w:t>
      </w:r>
      <w:r w:rsidR="00BA7DD3" w:rsidRPr="00AA7A1C">
        <w:t xml:space="preserve">  </w:t>
      </w:r>
      <w:r w:rsidR="000571FE">
        <w:t>Subsection 3</w:t>
      </w:r>
      <w:r w:rsidR="00BA7DD3" w:rsidRPr="00AA7A1C">
        <w:t>07</w:t>
      </w:r>
      <w:r w:rsidR="00EF468E">
        <w:noBreakHyphen/>
      </w:r>
      <w:r w:rsidR="00BA7DD3" w:rsidRPr="00AA7A1C">
        <w:t xml:space="preserve">142(3B) </w:t>
      </w:r>
      <w:r w:rsidR="0036475A">
        <w:t>(method statement, at the end of step 1)</w:t>
      </w:r>
    </w:p>
    <w:p w14:paraId="05430290" w14:textId="77777777" w:rsidR="00BA7DD3" w:rsidRPr="00AA7A1C" w:rsidRDefault="00BA7DD3" w:rsidP="00EF468E">
      <w:pPr>
        <w:pStyle w:val="Item"/>
      </w:pPr>
      <w:r w:rsidRPr="00AA7A1C">
        <w:t>Omit “or 24G(3A) or (3B)”, substitute “, 24G(3A) or (3B) or 24NA(4)”.</w:t>
      </w:r>
    </w:p>
    <w:p w14:paraId="05430291" w14:textId="77777777" w:rsidR="00BA7DD3" w:rsidRPr="00AA7A1C" w:rsidRDefault="00777190" w:rsidP="00EF468E">
      <w:pPr>
        <w:pStyle w:val="ItemHead"/>
      </w:pPr>
      <w:r>
        <w:t>105</w:t>
      </w:r>
      <w:r w:rsidR="00BA7DD3" w:rsidRPr="00AA7A1C">
        <w:t xml:space="preserve">  </w:t>
      </w:r>
      <w:r w:rsidR="000571FE">
        <w:t>Subsection 3</w:t>
      </w:r>
      <w:r w:rsidR="00BA7DD3" w:rsidRPr="00AA7A1C">
        <w:t>07</w:t>
      </w:r>
      <w:r w:rsidR="00EF468E">
        <w:noBreakHyphen/>
      </w:r>
      <w:r w:rsidR="00BA7DD3" w:rsidRPr="00AA7A1C">
        <w:t>300(1)</w:t>
      </w:r>
    </w:p>
    <w:p w14:paraId="05430292" w14:textId="77777777" w:rsidR="00BA7DD3" w:rsidRPr="00AA7A1C" w:rsidRDefault="00BA7DD3" w:rsidP="00EF468E">
      <w:pPr>
        <w:pStyle w:val="Item"/>
      </w:pPr>
      <w:r w:rsidRPr="00AA7A1C">
        <w:t>Omit “or 24G(2)”, substitute “, 24G(2) or 24NA(2) or (3)”.</w:t>
      </w:r>
    </w:p>
    <w:p w14:paraId="05430293" w14:textId="77777777" w:rsidR="00BA7DD3" w:rsidRPr="00AA7A1C" w:rsidRDefault="00777190" w:rsidP="00EF468E">
      <w:pPr>
        <w:pStyle w:val="ItemHead"/>
      </w:pPr>
      <w:r>
        <w:t>106</w:t>
      </w:r>
      <w:r w:rsidR="00BA7DD3" w:rsidRPr="00AA7A1C">
        <w:t xml:space="preserve">  </w:t>
      </w:r>
      <w:r w:rsidR="000571FE">
        <w:t>Subsection 3</w:t>
      </w:r>
      <w:r w:rsidR="00BA7DD3" w:rsidRPr="00AA7A1C">
        <w:t>07</w:t>
      </w:r>
      <w:r w:rsidR="00EF468E">
        <w:noBreakHyphen/>
      </w:r>
      <w:r w:rsidR="00BA7DD3" w:rsidRPr="00AA7A1C">
        <w:t xml:space="preserve">300(2) </w:t>
      </w:r>
      <w:r w:rsidR="008063CF">
        <w:t>(method statement, at the end of step 1)</w:t>
      </w:r>
    </w:p>
    <w:p w14:paraId="05430294" w14:textId="77777777" w:rsidR="00BA7DD3" w:rsidRPr="00AA7A1C" w:rsidRDefault="00BA7DD3" w:rsidP="00EF468E">
      <w:pPr>
        <w:pStyle w:val="Item"/>
      </w:pPr>
      <w:r w:rsidRPr="00AA7A1C">
        <w:t>Add:</w:t>
      </w:r>
    </w:p>
    <w:p w14:paraId="05430295" w14:textId="77777777" w:rsidR="00BA7DD3" w:rsidRPr="00AA7A1C" w:rsidRDefault="00BA7DD3" w:rsidP="00EF468E">
      <w:pPr>
        <w:pStyle w:val="notetext"/>
      </w:pPr>
      <w:r w:rsidRPr="00AA7A1C">
        <w:tab/>
        <w:t xml:space="preserve">A payment under </w:t>
      </w:r>
      <w:r w:rsidR="00AA7A1C" w:rsidRPr="00AA7A1C">
        <w:t>subsection 2</w:t>
      </w:r>
      <w:r w:rsidRPr="00AA7A1C">
        <w:t>4NA(2) or (3) of that Act may be attributable to more than one unclaimed amount.</w:t>
      </w:r>
    </w:p>
    <w:p w14:paraId="05430296" w14:textId="77777777" w:rsidR="00BA7DD3" w:rsidRPr="00AA7A1C" w:rsidRDefault="00777190" w:rsidP="00EF468E">
      <w:pPr>
        <w:pStyle w:val="ItemHead"/>
      </w:pPr>
      <w:r>
        <w:t>107</w:t>
      </w:r>
      <w:r w:rsidR="00BA7DD3" w:rsidRPr="00AA7A1C">
        <w:t xml:space="preserve">  After </w:t>
      </w:r>
      <w:r w:rsidR="00AA7A1C" w:rsidRPr="00AA7A1C">
        <w:t>section 3</w:t>
      </w:r>
      <w:r w:rsidR="00BA7DD3" w:rsidRPr="00AA7A1C">
        <w:t>76</w:t>
      </w:r>
      <w:r w:rsidR="00EF468E">
        <w:noBreakHyphen/>
      </w:r>
      <w:r w:rsidR="00BA7DD3" w:rsidRPr="00AA7A1C">
        <w:t>245</w:t>
      </w:r>
    </w:p>
    <w:p w14:paraId="05430297" w14:textId="77777777" w:rsidR="00BA7DD3" w:rsidRPr="00AA7A1C" w:rsidRDefault="00BA7DD3" w:rsidP="00EF468E">
      <w:pPr>
        <w:pStyle w:val="Item"/>
      </w:pPr>
      <w:r w:rsidRPr="00AA7A1C">
        <w:t>Insert:</w:t>
      </w:r>
    </w:p>
    <w:p w14:paraId="05430298" w14:textId="77777777" w:rsidR="00BA7DD3" w:rsidRPr="00AA7A1C" w:rsidRDefault="00BA7DD3" w:rsidP="00EF468E">
      <w:pPr>
        <w:pStyle w:val="ActHead5"/>
      </w:pPr>
      <w:bookmarkStart w:id="50" w:name="_Toc53569035"/>
      <w:r w:rsidRPr="0086646A">
        <w:rPr>
          <w:rStyle w:val="CharSectno"/>
        </w:rPr>
        <w:t>376</w:t>
      </w:r>
      <w:r w:rsidR="00EF468E" w:rsidRPr="0086646A">
        <w:rPr>
          <w:rStyle w:val="CharSectno"/>
        </w:rPr>
        <w:noBreakHyphen/>
      </w:r>
      <w:r w:rsidRPr="0086646A">
        <w:rPr>
          <w:rStyle w:val="CharSectno"/>
        </w:rPr>
        <w:t>247</w:t>
      </w:r>
      <w:r w:rsidRPr="00AA7A1C">
        <w:t xml:space="preserve">  Delegation by Arts Minister</w:t>
      </w:r>
      <w:bookmarkEnd w:id="50"/>
    </w:p>
    <w:p w14:paraId="05430299" w14:textId="77777777" w:rsidR="00BA7DD3" w:rsidRPr="00AA7A1C" w:rsidRDefault="00BA7DD3" w:rsidP="00EF468E">
      <w:pPr>
        <w:pStyle w:val="subsection"/>
      </w:pPr>
      <w:r w:rsidRPr="00AA7A1C">
        <w:tab/>
        <w:t>(1)</w:t>
      </w:r>
      <w:r w:rsidRPr="00AA7A1C">
        <w:tab/>
        <w:t xml:space="preserve">The </w:t>
      </w:r>
      <w:r w:rsidR="00EF468E" w:rsidRPr="00EF468E">
        <w:rPr>
          <w:position w:val="6"/>
          <w:sz w:val="16"/>
        </w:rPr>
        <w:t>*</w:t>
      </w:r>
      <w:r w:rsidRPr="00AA7A1C">
        <w:t xml:space="preserve">Arts Minister may, in writing, delegate all or any of the Arts Minister’s powers under the provisions mentioned in </w:t>
      </w:r>
      <w:r w:rsidR="000571FE">
        <w:t>subsection (</w:t>
      </w:r>
      <w:r w:rsidRPr="00AA7A1C">
        <w:t>2) to:</w:t>
      </w:r>
    </w:p>
    <w:p w14:paraId="0543029A" w14:textId="77777777" w:rsidR="00BA7DD3" w:rsidRPr="00AA7A1C" w:rsidRDefault="00BA7DD3" w:rsidP="00EF468E">
      <w:pPr>
        <w:pStyle w:val="paragraph"/>
      </w:pPr>
      <w:r w:rsidRPr="00AA7A1C">
        <w:tab/>
        <w:t>(a)</w:t>
      </w:r>
      <w:r w:rsidRPr="00AA7A1C">
        <w:tab/>
        <w:t xml:space="preserve">the </w:t>
      </w:r>
      <w:r w:rsidR="00EF468E" w:rsidRPr="00EF468E">
        <w:rPr>
          <w:position w:val="6"/>
          <w:sz w:val="16"/>
        </w:rPr>
        <w:t>*</w:t>
      </w:r>
      <w:r w:rsidRPr="00AA7A1C">
        <w:t>Arts Secretary; or</w:t>
      </w:r>
    </w:p>
    <w:p w14:paraId="0543029B" w14:textId="77777777" w:rsidR="00BA7DD3" w:rsidRPr="00AA7A1C" w:rsidRDefault="00BA7DD3" w:rsidP="00EF468E">
      <w:pPr>
        <w:pStyle w:val="paragraph"/>
      </w:pPr>
      <w:r w:rsidRPr="00AA7A1C">
        <w:tab/>
        <w:t>(b)</w:t>
      </w:r>
      <w:r w:rsidRPr="00AA7A1C">
        <w:tab/>
        <w:t>an SES employee, or acting SES employee, in the Department administered by the Arts Minister.</w:t>
      </w:r>
    </w:p>
    <w:p w14:paraId="0543029C" w14:textId="77777777" w:rsidR="00BA7DD3" w:rsidRPr="00AA7A1C" w:rsidRDefault="00BA7DD3" w:rsidP="00EF468E">
      <w:pPr>
        <w:pStyle w:val="subsection"/>
      </w:pPr>
      <w:r w:rsidRPr="00AA7A1C">
        <w:tab/>
        <w:t>(2)</w:t>
      </w:r>
      <w:r w:rsidRPr="00AA7A1C">
        <w:tab/>
        <w:t xml:space="preserve">For the purposes of </w:t>
      </w:r>
      <w:r w:rsidR="000571FE">
        <w:t>subsection (</w:t>
      </w:r>
      <w:r w:rsidRPr="00AA7A1C">
        <w:t>1), the provisions are as follows:</w:t>
      </w:r>
    </w:p>
    <w:p w14:paraId="0543029D" w14:textId="77777777" w:rsidR="00BA7DD3" w:rsidRPr="00AA7A1C" w:rsidRDefault="00BA7DD3" w:rsidP="00EF468E">
      <w:pPr>
        <w:pStyle w:val="paragraph"/>
      </w:pPr>
      <w:r w:rsidRPr="00AA7A1C">
        <w:tab/>
        <w:t>(a)</w:t>
      </w:r>
      <w:r w:rsidRPr="00AA7A1C">
        <w:tab/>
      </w:r>
      <w:r w:rsidR="00AA7A1C" w:rsidRPr="00AA7A1C">
        <w:t>section 3</w:t>
      </w:r>
      <w:r w:rsidRPr="00AA7A1C">
        <w:t>76</w:t>
      </w:r>
      <w:r w:rsidR="00EF468E">
        <w:noBreakHyphen/>
      </w:r>
      <w:r w:rsidRPr="00AA7A1C">
        <w:t>20 (issue of certificate for location offset);</w:t>
      </w:r>
    </w:p>
    <w:p w14:paraId="0543029E" w14:textId="77777777" w:rsidR="00BA7DD3" w:rsidRPr="00AA7A1C" w:rsidRDefault="00BA7DD3" w:rsidP="00EF468E">
      <w:pPr>
        <w:pStyle w:val="paragraph"/>
      </w:pPr>
      <w:r w:rsidRPr="00AA7A1C">
        <w:tab/>
        <w:t>(b)</w:t>
      </w:r>
      <w:r w:rsidRPr="00AA7A1C">
        <w:tab/>
      </w:r>
      <w:r w:rsidR="00AA7A1C" w:rsidRPr="00AA7A1C">
        <w:t>section 3</w:t>
      </w:r>
      <w:r w:rsidRPr="00AA7A1C">
        <w:t>76</w:t>
      </w:r>
      <w:r w:rsidR="00EF468E">
        <w:noBreakHyphen/>
      </w:r>
      <w:r w:rsidRPr="00AA7A1C">
        <w:t>30 (determination of qualifying Australian production expenditure for location offset);</w:t>
      </w:r>
    </w:p>
    <w:p w14:paraId="0543029F" w14:textId="77777777" w:rsidR="00BA7DD3" w:rsidRPr="00AA7A1C" w:rsidRDefault="00BA7DD3" w:rsidP="00EF468E">
      <w:pPr>
        <w:pStyle w:val="paragraph"/>
      </w:pPr>
      <w:r w:rsidRPr="00AA7A1C">
        <w:tab/>
        <w:t>(c)</w:t>
      </w:r>
      <w:r w:rsidRPr="00AA7A1C">
        <w:tab/>
      </w:r>
      <w:r w:rsidR="00AA7A1C" w:rsidRPr="00AA7A1C">
        <w:t>section 3</w:t>
      </w:r>
      <w:r w:rsidRPr="00AA7A1C">
        <w:t>76</w:t>
      </w:r>
      <w:r w:rsidR="00EF468E">
        <w:noBreakHyphen/>
      </w:r>
      <w:r w:rsidRPr="00AA7A1C">
        <w:t>45 (issue of certificate for PDV offset);</w:t>
      </w:r>
    </w:p>
    <w:p w14:paraId="054302A0" w14:textId="77777777" w:rsidR="00BA7DD3" w:rsidRPr="00AA7A1C" w:rsidRDefault="00BA7DD3" w:rsidP="00EF468E">
      <w:pPr>
        <w:pStyle w:val="paragraph"/>
      </w:pPr>
      <w:r w:rsidRPr="00AA7A1C">
        <w:tab/>
        <w:t>(d)</w:t>
      </w:r>
      <w:r w:rsidRPr="00AA7A1C">
        <w:tab/>
      </w:r>
      <w:r w:rsidR="00AA7A1C" w:rsidRPr="00AA7A1C">
        <w:t>section 3</w:t>
      </w:r>
      <w:r w:rsidRPr="00AA7A1C">
        <w:t>76</w:t>
      </w:r>
      <w:r w:rsidR="00EF468E">
        <w:noBreakHyphen/>
      </w:r>
      <w:r w:rsidRPr="00AA7A1C">
        <w:t>50 (determination of qualifying Australian production expenditure for PDV offset);</w:t>
      </w:r>
    </w:p>
    <w:p w14:paraId="054302A1" w14:textId="77777777" w:rsidR="00BA7DD3" w:rsidRPr="00AA7A1C" w:rsidRDefault="00BA7DD3" w:rsidP="00EF468E">
      <w:pPr>
        <w:pStyle w:val="paragraph"/>
      </w:pPr>
      <w:r w:rsidRPr="00AA7A1C">
        <w:tab/>
        <w:t>(e)</w:t>
      </w:r>
      <w:r w:rsidRPr="00AA7A1C">
        <w:tab/>
      </w:r>
      <w:r w:rsidR="00AA7A1C" w:rsidRPr="00AA7A1C">
        <w:t>section 3</w:t>
      </w:r>
      <w:r w:rsidRPr="00AA7A1C">
        <w:t>76</w:t>
      </w:r>
      <w:r w:rsidR="00EF468E">
        <w:noBreakHyphen/>
      </w:r>
      <w:r w:rsidRPr="00AA7A1C">
        <w:t>235 (notice of refusal to issue certificate for location offset or PDV offset);</w:t>
      </w:r>
    </w:p>
    <w:p w14:paraId="054302A2" w14:textId="77777777" w:rsidR="00BA7DD3" w:rsidRPr="00AA7A1C" w:rsidRDefault="00BA7DD3" w:rsidP="00EF468E">
      <w:pPr>
        <w:pStyle w:val="paragraph"/>
      </w:pPr>
      <w:r w:rsidRPr="00AA7A1C">
        <w:lastRenderedPageBreak/>
        <w:tab/>
        <w:t>(f)</w:t>
      </w:r>
      <w:r w:rsidRPr="00AA7A1C">
        <w:tab/>
      </w:r>
      <w:r w:rsidR="00AA7A1C" w:rsidRPr="00AA7A1C">
        <w:t>section 3</w:t>
      </w:r>
      <w:r w:rsidRPr="00AA7A1C">
        <w:t>76</w:t>
      </w:r>
      <w:r w:rsidR="00EF468E">
        <w:noBreakHyphen/>
      </w:r>
      <w:r w:rsidRPr="00AA7A1C">
        <w:t>245 (revocation of certificate for location offset or PDV offset).</w:t>
      </w:r>
    </w:p>
    <w:p w14:paraId="054302A3" w14:textId="77777777" w:rsidR="00BA7DD3" w:rsidRPr="00AA7A1C" w:rsidRDefault="00BA7DD3" w:rsidP="00EF468E">
      <w:pPr>
        <w:pStyle w:val="subsection"/>
      </w:pPr>
      <w:r w:rsidRPr="00AA7A1C">
        <w:tab/>
        <w:t>(3)</w:t>
      </w:r>
      <w:r w:rsidRPr="00AA7A1C">
        <w:tab/>
        <w:t>In exercising powers under a delegation, the delegate must comply with any directions of the Arts Minister.</w:t>
      </w:r>
    </w:p>
    <w:p w14:paraId="054302A4" w14:textId="77777777" w:rsidR="00F750AE" w:rsidRPr="00AA7A1C" w:rsidRDefault="00777190" w:rsidP="00EF468E">
      <w:pPr>
        <w:pStyle w:val="ItemHead"/>
      </w:pPr>
      <w:r>
        <w:t>108</w:t>
      </w:r>
      <w:r w:rsidR="00F750AE" w:rsidRPr="00AA7A1C">
        <w:t xml:space="preserve">  After </w:t>
      </w:r>
      <w:r w:rsidR="00AA7A1C" w:rsidRPr="00AA7A1C">
        <w:t>paragraph 8</w:t>
      </w:r>
      <w:r w:rsidR="00F750AE" w:rsidRPr="00AA7A1C">
        <w:t>20</w:t>
      </w:r>
      <w:r w:rsidR="00EF468E">
        <w:noBreakHyphen/>
      </w:r>
      <w:r w:rsidR="00F750AE" w:rsidRPr="00AA7A1C">
        <w:t>935(3)(a)</w:t>
      </w:r>
    </w:p>
    <w:p w14:paraId="054302A5" w14:textId="77777777" w:rsidR="00F750AE" w:rsidRPr="00AA7A1C" w:rsidRDefault="00F750AE" w:rsidP="00EF468E">
      <w:pPr>
        <w:pStyle w:val="Item"/>
      </w:pPr>
      <w:r w:rsidRPr="00AA7A1C">
        <w:t>Insert:</w:t>
      </w:r>
    </w:p>
    <w:p w14:paraId="054302A6" w14:textId="77777777" w:rsidR="00F750AE" w:rsidRPr="00AA7A1C" w:rsidRDefault="00F750AE" w:rsidP="00EF468E">
      <w:pPr>
        <w:pStyle w:val="paragraph"/>
      </w:pPr>
      <w:r w:rsidRPr="00AA7A1C">
        <w:tab/>
        <w:t>(aa)</w:t>
      </w:r>
      <w:r w:rsidRPr="00AA7A1C">
        <w:tab/>
        <w:t>the United Kingdom;</w:t>
      </w:r>
    </w:p>
    <w:p w14:paraId="054302A7" w14:textId="77777777" w:rsidR="00F750AE" w:rsidRPr="00AA7A1C" w:rsidRDefault="00777190" w:rsidP="00EF468E">
      <w:pPr>
        <w:pStyle w:val="ItemHead"/>
      </w:pPr>
      <w:r>
        <w:t>109</w:t>
      </w:r>
      <w:r w:rsidR="00F750AE" w:rsidRPr="00AA7A1C">
        <w:t xml:space="preserve">  </w:t>
      </w:r>
      <w:r w:rsidR="00AA7A1C" w:rsidRPr="00AA7A1C">
        <w:t>Paragraph 8</w:t>
      </w:r>
      <w:r w:rsidR="00F750AE" w:rsidRPr="00AA7A1C">
        <w:t>30</w:t>
      </w:r>
      <w:r w:rsidR="00EF468E">
        <w:noBreakHyphen/>
      </w:r>
      <w:r w:rsidR="00F750AE" w:rsidRPr="00AA7A1C">
        <w:t>15(5)(a)</w:t>
      </w:r>
    </w:p>
    <w:p w14:paraId="054302A8" w14:textId="77777777" w:rsidR="00F750AE" w:rsidRPr="00AA7A1C" w:rsidRDefault="00F750AE" w:rsidP="00EF468E">
      <w:pPr>
        <w:pStyle w:val="Item"/>
      </w:pPr>
      <w:r w:rsidRPr="00AA7A1C">
        <w:t>Omit “485AA(1)”, substitute “485AA(2)”.</w:t>
      </w:r>
    </w:p>
    <w:p w14:paraId="054302A9" w14:textId="77777777" w:rsidR="00B44B40" w:rsidRPr="00AA7A1C" w:rsidRDefault="00AA7A1C" w:rsidP="00EF468E">
      <w:pPr>
        <w:pStyle w:val="ActHead7"/>
        <w:pageBreakBefore/>
      </w:pPr>
      <w:bookmarkStart w:id="51" w:name="_Toc53569036"/>
      <w:r w:rsidRPr="0086646A">
        <w:rPr>
          <w:rStyle w:val="CharAmPartNo"/>
        </w:rPr>
        <w:lastRenderedPageBreak/>
        <w:t>Part 3</w:t>
      </w:r>
      <w:r w:rsidR="006B296B" w:rsidRPr="00AA7A1C">
        <w:t>—</w:t>
      </w:r>
      <w:r w:rsidR="006B296B" w:rsidRPr="0086646A">
        <w:rPr>
          <w:rStyle w:val="CharAmPartText"/>
        </w:rPr>
        <w:t>Amendments with other commencement</w:t>
      </w:r>
      <w:r w:rsidR="00EB2BD8" w:rsidRPr="0086646A">
        <w:rPr>
          <w:rStyle w:val="CharAmPartText"/>
        </w:rPr>
        <w:t>s</w:t>
      </w:r>
      <w:bookmarkEnd w:id="51"/>
    </w:p>
    <w:p w14:paraId="054302AA" w14:textId="77777777" w:rsidR="006B296B" w:rsidRPr="00AA7A1C" w:rsidRDefault="006B296B" w:rsidP="00EF468E">
      <w:pPr>
        <w:pStyle w:val="ActHead9"/>
        <w:rPr>
          <w:i w:val="0"/>
        </w:rPr>
      </w:pPr>
      <w:bookmarkStart w:id="52" w:name="_Toc53569037"/>
      <w:r w:rsidRPr="00AA7A1C">
        <w:t>Corporations Act 2001</w:t>
      </w:r>
      <w:bookmarkEnd w:id="52"/>
    </w:p>
    <w:p w14:paraId="054302AB" w14:textId="77777777" w:rsidR="003618E8" w:rsidRDefault="00777190" w:rsidP="00EF468E">
      <w:pPr>
        <w:pStyle w:val="ItemHead"/>
      </w:pPr>
      <w:r>
        <w:t>110</w:t>
      </w:r>
      <w:r w:rsidR="003618E8">
        <w:t xml:space="preserve">  </w:t>
      </w:r>
      <w:r w:rsidR="000571FE">
        <w:t>Section 1</w:t>
      </w:r>
      <w:r w:rsidR="003618E8">
        <w:t>06 (heading)</w:t>
      </w:r>
    </w:p>
    <w:p w14:paraId="054302AC" w14:textId="77777777" w:rsidR="003618E8" w:rsidRDefault="003618E8" w:rsidP="00EF468E">
      <w:pPr>
        <w:pStyle w:val="Item"/>
      </w:pPr>
      <w:r>
        <w:t>Before “</w:t>
      </w:r>
      <w:r w:rsidRPr="003618E8">
        <w:rPr>
          <w:b/>
        </w:rPr>
        <w:t>delegates</w:t>
      </w:r>
      <w:r>
        <w:t>”, insert “</w:t>
      </w:r>
      <w:r w:rsidRPr="003618E8">
        <w:rPr>
          <w:b/>
        </w:rPr>
        <w:t>ASIC</w:t>
      </w:r>
      <w:r>
        <w:t>”.</w:t>
      </w:r>
    </w:p>
    <w:p w14:paraId="054302AD" w14:textId="77777777" w:rsidR="006B296B" w:rsidRPr="00AA7A1C" w:rsidRDefault="00777190" w:rsidP="00EF468E">
      <w:pPr>
        <w:pStyle w:val="ItemHead"/>
      </w:pPr>
      <w:r>
        <w:t>111</w:t>
      </w:r>
      <w:r w:rsidR="006B296B" w:rsidRPr="00AA7A1C">
        <w:t xml:space="preserve">  </w:t>
      </w:r>
      <w:r w:rsidR="00AA7A1C" w:rsidRPr="00AA7A1C">
        <w:t>Subsection 1</w:t>
      </w:r>
      <w:r w:rsidR="006B296B" w:rsidRPr="00AA7A1C">
        <w:t>63(4)</w:t>
      </w:r>
    </w:p>
    <w:p w14:paraId="054302AE" w14:textId="77777777" w:rsidR="006B296B" w:rsidRPr="00AA7A1C" w:rsidRDefault="006B296B" w:rsidP="00EF468E">
      <w:pPr>
        <w:pStyle w:val="Item"/>
      </w:pPr>
      <w:r w:rsidRPr="00AA7A1C">
        <w:t>Omit “be in the prescribed form”, substitute “meet any requirements of the data standards”.</w:t>
      </w:r>
    </w:p>
    <w:p w14:paraId="054302AF" w14:textId="77777777" w:rsidR="00AE58A8" w:rsidRPr="00AA7A1C" w:rsidRDefault="00777190" w:rsidP="00EF468E">
      <w:pPr>
        <w:pStyle w:val="ItemHead"/>
      </w:pPr>
      <w:r>
        <w:t>112</w:t>
      </w:r>
      <w:r w:rsidR="00AE58A8" w:rsidRPr="00AA7A1C">
        <w:t xml:space="preserve">  </w:t>
      </w:r>
      <w:r w:rsidR="000571FE">
        <w:t>Subsection 3</w:t>
      </w:r>
      <w:r w:rsidR="00AE58A8" w:rsidRPr="00AA7A1C">
        <w:t>46A(1A)</w:t>
      </w:r>
    </w:p>
    <w:p w14:paraId="054302B0" w14:textId="77777777" w:rsidR="00AE58A8" w:rsidRPr="00AA7A1C" w:rsidRDefault="00AE58A8" w:rsidP="00EF468E">
      <w:pPr>
        <w:pStyle w:val="Item"/>
      </w:pPr>
      <w:r w:rsidRPr="00AA7A1C">
        <w:t>Repeal the subsection.</w:t>
      </w:r>
    </w:p>
    <w:p w14:paraId="054302B1" w14:textId="77777777" w:rsidR="00A67CB5" w:rsidRPr="00AA7A1C" w:rsidRDefault="00777190" w:rsidP="00EF468E">
      <w:pPr>
        <w:pStyle w:val="ItemHead"/>
      </w:pPr>
      <w:r>
        <w:t>113</w:t>
      </w:r>
      <w:r w:rsidR="00A67CB5" w:rsidRPr="00AA7A1C">
        <w:t xml:space="preserve">  </w:t>
      </w:r>
      <w:r w:rsidR="00AA7A1C" w:rsidRPr="00AA7A1C">
        <w:t>Paragraph 4</w:t>
      </w:r>
      <w:r w:rsidR="00A67CB5" w:rsidRPr="00AA7A1C">
        <w:t>46A(5)(a)</w:t>
      </w:r>
    </w:p>
    <w:p w14:paraId="054302B2" w14:textId="77777777" w:rsidR="00A67CB5" w:rsidRPr="00AA7A1C" w:rsidRDefault="00A67CB5" w:rsidP="00EF468E">
      <w:pPr>
        <w:pStyle w:val="Item"/>
      </w:pPr>
      <w:r w:rsidRPr="00AA7A1C">
        <w:t>After “lodge”, insert “with the Registrar”.</w:t>
      </w:r>
    </w:p>
    <w:p w14:paraId="054302B3" w14:textId="77777777" w:rsidR="00A67CB5" w:rsidRPr="00AA7A1C" w:rsidRDefault="00777190" w:rsidP="00EF468E">
      <w:pPr>
        <w:pStyle w:val="ItemHead"/>
      </w:pPr>
      <w:r>
        <w:t>114</w:t>
      </w:r>
      <w:r w:rsidR="00A67CB5" w:rsidRPr="00AA7A1C">
        <w:t xml:space="preserve">  At the end of </w:t>
      </w:r>
      <w:r w:rsidR="00AA7A1C" w:rsidRPr="00AA7A1C">
        <w:t>section 4</w:t>
      </w:r>
      <w:r w:rsidR="00A67CB5" w:rsidRPr="00AA7A1C">
        <w:t>46A</w:t>
      </w:r>
    </w:p>
    <w:p w14:paraId="054302B4" w14:textId="77777777" w:rsidR="00A67CB5" w:rsidRPr="00AA7A1C" w:rsidRDefault="00A67CB5" w:rsidP="00EF468E">
      <w:pPr>
        <w:pStyle w:val="Item"/>
      </w:pPr>
      <w:r w:rsidRPr="00AA7A1C">
        <w:t>Add:</w:t>
      </w:r>
    </w:p>
    <w:p w14:paraId="054302B5" w14:textId="77777777" w:rsidR="00A67CB5" w:rsidRPr="00AA7A1C" w:rsidRDefault="00A67CB5" w:rsidP="00EF468E">
      <w:pPr>
        <w:pStyle w:val="subsection"/>
      </w:pPr>
      <w:r w:rsidRPr="00AA7A1C">
        <w:tab/>
        <w:t>(8)</w:t>
      </w:r>
      <w:r w:rsidRPr="00AA7A1C">
        <w:tab/>
        <w:t xml:space="preserve">A lodgement under </w:t>
      </w:r>
      <w:r w:rsidR="00AA7A1C" w:rsidRPr="00AA7A1C">
        <w:t>paragraph (</w:t>
      </w:r>
      <w:r w:rsidRPr="00AA7A1C">
        <w:t>5)(a) must meet any requirements of the data standards.</w:t>
      </w:r>
    </w:p>
    <w:p w14:paraId="054302B6" w14:textId="77777777" w:rsidR="00A67CB5" w:rsidRPr="00AA7A1C" w:rsidRDefault="00777190" w:rsidP="00EF468E">
      <w:pPr>
        <w:pStyle w:val="ItemHead"/>
      </w:pPr>
      <w:r>
        <w:t>115</w:t>
      </w:r>
      <w:r w:rsidR="00A67CB5" w:rsidRPr="00AA7A1C">
        <w:t xml:space="preserve">  </w:t>
      </w:r>
      <w:r w:rsidR="00AA7A1C" w:rsidRPr="00AA7A1C">
        <w:t>Paragraph 4</w:t>
      </w:r>
      <w:r w:rsidR="00A67CB5" w:rsidRPr="00AA7A1C">
        <w:t>91(2)(a)</w:t>
      </w:r>
    </w:p>
    <w:p w14:paraId="054302B7" w14:textId="77777777" w:rsidR="00A67CB5" w:rsidRPr="00AA7A1C" w:rsidRDefault="00A67CB5" w:rsidP="00EF468E">
      <w:pPr>
        <w:pStyle w:val="Item"/>
      </w:pPr>
      <w:r w:rsidRPr="00AA7A1C">
        <w:t>Omit “ASIC, in the prescribed form,”, substitute “the Registrar”.</w:t>
      </w:r>
    </w:p>
    <w:p w14:paraId="054302B8" w14:textId="77777777" w:rsidR="00A67CB5" w:rsidRPr="00AA7A1C" w:rsidRDefault="00777190" w:rsidP="00EF468E">
      <w:pPr>
        <w:pStyle w:val="ItemHead"/>
      </w:pPr>
      <w:r>
        <w:t>116</w:t>
      </w:r>
      <w:r w:rsidR="00A67CB5" w:rsidRPr="00AA7A1C">
        <w:t xml:space="preserve">  At the end of </w:t>
      </w:r>
      <w:r w:rsidR="00AA7A1C" w:rsidRPr="00AA7A1C">
        <w:t>section 4</w:t>
      </w:r>
      <w:r w:rsidR="00A67CB5" w:rsidRPr="00AA7A1C">
        <w:t>91</w:t>
      </w:r>
    </w:p>
    <w:p w14:paraId="054302B9" w14:textId="77777777" w:rsidR="00A67CB5" w:rsidRPr="00AA7A1C" w:rsidRDefault="00A67CB5" w:rsidP="00EF468E">
      <w:pPr>
        <w:pStyle w:val="Item"/>
      </w:pPr>
      <w:r w:rsidRPr="00AA7A1C">
        <w:t>Add:</w:t>
      </w:r>
    </w:p>
    <w:p w14:paraId="054302BA" w14:textId="77777777" w:rsidR="00A67CB5" w:rsidRPr="00AA7A1C" w:rsidRDefault="00A67CB5" w:rsidP="00EF468E">
      <w:pPr>
        <w:pStyle w:val="subsection"/>
      </w:pPr>
      <w:r w:rsidRPr="00AA7A1C">
        <w:tab/>
        <w:t>(3)</w:t>
      </w:r>
      <w:r w:rsidRPr="00AA7A1C">
        <w:tab/>
        <w:t xml:space="preserve">A lodgement under </w:t>
      </w:r>
      <w:r w:rsidR="00AA7A1C" w:rsidRPr="00AA7A1C">
        <w:t>paragraph (</w:t>
      </w:r>
      <w:r w:rsidRPr="00AA7A1C">
        <w:t>2)(a) must meet any requirements of the data standards.</w:t>
      </w:r>
    </w:p>
    <w:p w14:paraId="054302BB" w14:textId="77777777" w:rsidR="00F07777" w:rsidRPr="00AA7A1C" w:rsidRDefault="00777190" w:rsidP="00EF468E">
      <w:pPr>
        <w:pStyle w:val="ItemHead"/>
      </w:pPr>
      <w:r>
        <w:t>117</w:t>
      </w:r>
      <w:r w:rsidR="00F07777" w:rsidRPr="00AA7A1C">
        <w:t xml:space="preserve">  </w:t>
      </w:r>
      <w:r w:rsidR="00AA7A1C" w:rsidRPr="00AA7A1C">
        <w:t>Paragraph 9</w:t>
      </w:r>
      <w:r w:rsidR="00F07777" w:rsidRPr="00AA7A1C">
        <w:t>94F(5)(b)</w:t>
      </w:r>
    </w:p>
    <w:p w14:paraId="054302BC" w14:textId="77777777" w:rsidR="00F07777" w:rsidRPr="00AA7A1C" w:rsidRDefault="00F07777" w:rsidP="00EF468E">
      <w:pPr>
        <w:pStyle w:val="Item"/>
      </w:pPr>
      <w:r w:rsidRPr="00AA7A1C">
        <w:t>Omit “days. after”, substitute “days, after”.</w:t>
      </w:r>
    </w:p>
    <w:p w14:paraId="054302BD" w14:textId="77777777" w:rsidR="00F07777" w:rsidRPr="00AA7A1C" w:rsidRDefault="00777190" w:rsidP="00EF468E">
      <w:pPr>
        <w:pStyle w:val="ItemHead"/>
      </w:pPr>
      <w:r>
        <w:t>118</w:t>
      </w:r>
      <w:r w:rsidR="00F07777" w:rsidRPr="00AA7A1C">
        <w:t xml:space="preserve">  </w:t>
      </w:r>
      <w:r w:rsidR="00AA7A1C" w:rsidRPr="00AA7A1C">
        <w:t>Paragraph 1</w:t>
      </w:r>
      <w:r w:rsidR="00F07777" w:rsidRPr="00AA7A1C">
        <w:t>053A(d)</w:t>
      </w:r>
    </w:p>
    <w:p w14:paraId="054302BE" w14:textId="77777777" w:rsidR="00F07777" w:rsidRPr="00AA7A1C" w:rsidRDefault="00F07777" w:rsidP="00EF468E">
      <w:pPr>
        <w:pStyle w:val="Item"/>
      </w:pPr>
      <w:r w:rsidRPr="00AA7A1C">
        <w:t>Omit “</w:t>
      </w:r>
      <w:r w:rsidR="00AA7A1C" w:rsidRPr="00AA7A1C">
        <w:t>section 9</w:t>
      </w:r>
      <w:r w:rsidRPr="00AA7A1C">
        <w:t>0MZB”, substitute “</w:t>
      </w:r>
      <w:r w:rsidR="00AA7A1C" w:rsidRPr="00AA7A1C">
        <w:t>section 9</w:t>
      </w:r>
      <w:r w:rsidRPr="00AA7A1C">
        <w:t>0XZB or 90YZR”.</w:t>
      </w:r>
    </w:p>
    <w:p w14:paraId="054302BF" w14:textId="77777777" w:rsidR="00A67CB5" w:rsidRPr="00AA7A1C" w:rsidRDefault="00777190" w:rsidP="00EF468E">
      <w:pPr>
        <w:pStyle w:val="ItemHead"/>
      </w:pPr>
      <w:r>
        <w:t>119</w:t>
      </w:r>
      <w:r w:rsidR="00A67CB5" w:rsidRPr="00AA7A1C">
        <w:t xml:space="preserve">  </w:t>
      </w:r>
      <w:r w:rsidR="00AA7A1C" w:rsidRPr="00AA7A1C">
        <w:t>Subsection 1</w:t>
      </w:r>
      <w:r w:rsidR="00A67CB5" w:rsidRPr="00AA7A1C">
        <w:t>653(4)</w:t>
      </w:r>
    </w:p>
    <w:p w14:paraId="054302C0" w14:textId="77777777" w:rsidR="00A67CB5" w:rsidRPr="00AA7A1C" w:rsidRDefault="00A67CB5" w:rsidP="00EF468E">
      <w:pPr>
        <w:pStyle w:val="Item"/>
      </w:pPr>
      <w:r w:rsidRPr="00AA7A1C">
        <w:t>Omit “paragraph 1272C(2)(b)”, substitute “</w:t>
      </w:r>
      <w:r w:rsidR="00AA7A1C" w:rsidRPr="00AA7A1C">
        <w:t>subparagraph 1</w:t>
      </w:r>
      <w:r w:rsidRPr="00AA7A1C">
        <w:t>272C(2)(a)(ii)”.</w:t>
      </w:r>
    </w:p>
    <w:p w14:paraId="054302C1" w14:textId="77777777" w:rsidR="006B296B" w:rsidRPr="00AA7A1C" w:rsidRDefault="006B296B" w:rsidP="00EF468E">
      <w:pPr>
        <w:pStyle w:val="ActHead9"/>
        <w:rPr>
          <w:i w:val="0"/>
        </w:rPr>
      </w:pPr>
      <w:bookmarkStart w:id="53" w:name="_Toc53569038"/>
      <w:r w:rsidRPr="00AA7A1C">
        <w:lastRenderedPageBreak/>
        <w:t>Superannuation Industry (Supervision) Act 1993</w:t>
      </w:r>
      <w:bookmarkEnd w:id="53"/>
    </w:p>
    <w:p w14:paraId="054302C2" w14:textId="77777777" w:rsidR="006B296B" w:rsidRPr="00AA7A1C" w:rsidRDefault="00777190" w:rsidP="00EF468E">
      <w:pPr>
        <w:pStyle w:val="ItemHead"/>
      </w:pPr>
      <w:r>
        <w:t>120</w:t>
      </w:r>
      <w:r w:rsidR="006B296B" w:rsidRPr="00AA7A1C">
        <w:t xml:space="preserve">  </w:t>
      </w:r>
      <w:r w:rsidR="00AA7A1C" w:rsidRPr="00AA7A1C">
        <w:t>Subsection 1</w:t>
      </w:r>
      <w:r w:rsidR="006B296B" w:rsidRPr="00AA7A1C">
        <w:t>26A(7)</w:t>
      </w:r>
    </w:p>
    <w:p w14:paraId="054302C3" w14:textId="77777777" w:rsidR="006B296B" w:rsidRPr="00AA7A1C" w:rsidRDefault="006B296B" w:rsidP="00EF468E">
      <w:pPr>
        <w:pStyle w:val="Item"/>
      </w:pPr>
      <w:r w:rsidRPr="00AA7A1C">
        <w:t>After “given”, insert “by the Regulator”.</w:t>
      </w:r>
    </w:p>
    <w:p w14:paraId="054302C4" w14:textId="77777777" w:rsidR="006B296B" w:rsidRPr="00AA7A1C" w:rsidRDefault="00777190" w:rsidP="00EF468E">
      <w:pPr>
        <w:pStyle w:val="ItemHead"/>
      </w:pPr>
      <w:r>
        <w:t>121</w:t>
      </w:r>
      <w:r w:rsidR="006B296B" w:rsidRPr="00AA7A1C">
        <w:t xml:space="preserve">  </w:t>
      </w:r>
      <w:r w:rsidR="000571FE">
        <w:t>Subsection 3</w:t>
      </w:r>
      <w:r w:rsidR="006B296B" w:rsidRPr="00AA7A1C">
        <w:t>44(1)</w:t>
      </w:r>
    </w:p>
    <w:p w14:paraId="054302C5" w14:textId="77777777" w:rsidR="006B296B" w:rsidRPr="00AA7A1C" w:rsidRDefault="006B296B" w:rsidP="00EF468E">
      <w:pPr>
        <w:pStyle w:val="Item"/>
      </w:pPr>
      <w:r w:rsidRPr="00AA7A1C">
        <w:t>After “of the Regulator”, insert “or the Registrar”.</w:t>
      </w:r>
    </w:p>
    <w:p w14:paraId="054302C6" w14:textId="77777777" w:rsidR="006B296B" w:rsidRPr="00AA7A1C" w:rsidRDefault="00777190" w:rsidP="00EF468E">
      <w:pPr>
        <w:pStyle w:val="ItemHead"/>
      </w:pPr>
      <w:r>
        <w:t>122</w:t>
      </w:r>
      <w:r w:rsidR="006B296B" w:rsidRPr="00AA7A1C">
        <w:t xml:space="preserve">  </w:t>
      </w:r>
      <w:r w:rsidR="000571FE">
        <w:t>Subsection 3</w:t>
      </w:r>
      <w:r w:rsidR="006B296B" w:rsidRPr="00AA7A1C">
        <w:t>44(1)</w:t>
      </w:r>
    </w:p>
    <w:p w14:paraId="054302C7" w14:textId="77777777" w:rsidR="006B296B" w:rsidRPr="00AA7A1C" w:rsidRDefault="006B296B" w:rsidP="00EF468E">
      <w:pPr>
        <w:pStyle w:val="Item"/>
      </w:pPr>
      <w:r w:rsidRPr="00AA7A1C">
        <w:t>Omit “request the Regulator”, substitute “request the decision maker”.</w:t>
      </w:r>
    </w:p>
    <w:p w14:paraId="054302C8" w14:textId="77777777" w:rsidR="006B296B" w:rsidRPr="00AA7A1C" w:rsidRDefault="00777190" w:rsidP="00EF468E">
      <w:pPr>
        <w:pStyle w:val="ItemHead"/>
      </w:pPr>
      <w:r>
        <w:t>123</w:t>
      </w:r>
      <w:r w:rsidR="006B296B" w:rsidRPr="00AA7A1C">
        <w:t xml:space="preserve">  </w:t>
      </w:r>
      <w:r w:rsidR="000571FE">
        <w:t>Subsection 3</w:t>
      </w:r>
      <w:r w:rsidR="006B296B" w:rsidRPr="00AA7A1C">
        <w:t>44(2)</w:t>
      </w:r>
    </w:p>
    <w:p w14:paraId="054302C9" w14:textId="77777777" w:rsidR="006B296B" w:rsidRPr="00AA7A1C" w:rsidRDefault="006B296B" w:rsidP="00EF468E">
      <w:pPr>
        <w:pStyle w:val="Item"/>
      </w:pPr>
      <w:r w:rsidRPr="00AA7A1C">
        <w:t>Omit “Regulator” (wherever occurring), substitute “decision maker”.</w:t>
      </w:r>
    </w:p>
    <w:p w14:paraId="054302CA" w14:textId="77777777" w:rsidR="006B296B" w:rsidRPr="00AA7A1C" w:rsidRDefault="00777190" w:rsidP="00EF468E">
      <w:pPr>
        <w:pStyle w:val="ItemHead"/>
      </w:pPr>
      <w:r>
        <w:t>124</w:t>
      </w:r>
      <w:r w:rsidR="006B296B" w:rsidRPr="00AA7A1C">
        <w:t xml:space="preserve">  After </w:t>
      </w:r>
      <w:r w:rsidR="00AA7A1C" w:rsidRPr="00AA7A1C">
        <w:t>subsection 3</w:t>
      </w:r>
      <w:r w:rsidR="006B296B" w:rsidRPr="00AA7A1C">
        <w:t>44(2)</w:t>
      </w:r>
    </w:p>
    <w:p w14:paraId="054302CB" w14:textId="77777777" w:rsidR="006B296B" w:rsidRPr="00AA7A1C" w:rsidRDefault="006B296B" w:rsidP="00EF468E">
      <w:pPr>
        <w:pStyle w:val="Item"/>
      </w:pPr>
      <w:r w:rsidRPr="00AA7A1C">
        <w:t>Insert:</w:t>
      </w:r>
    </w:p>
    <w:p w14:paraId="054302CC" w14:textId="77777777" w:rsidR="006B296B" w:rsidRPr="00AA7A1C" w:rsidRDefault="006B296B" w:rsidP="00EF468E">
      <w:pPr>
        <w:pStyle w:val="subsection"/>
      </w:pPr>
      <w:r w:rsidRPr="00AA7A1C">
        <w:tab/>
        <w:t>(2A)</w:t>
      </w:r>
      <w:r w:rsidRPr="00AA7A1C">
        <w:tab/>
        <w:t>If the Registrar is the decision maker, the request must meet any requirements of the data standards.</w:t>
      </w:r>
    </w:p>
    <w:p w14:paraId="054302CD" w14:textId="77777777" w:rsidR="006B296B" w:rsidRPr="00AA7A1C" w:rsidRDefault="00777190" w:rsidP="00EF468E">
      <w:pPr>
        <w:pStyle w:val="ItemHead"/>
      </w:pPr>
      <w:r>
        <w:t>125</w:t>
      </w:r>
      <w:r w:rsidR="006B296B" w:rsidRPr="00AA7A1C">
        <w:t xml:space="preserve">  </w:t>
      </w:r>
      <w:r w:rsidR="000571FE">
        <w:t>Subsection 3</w:t>
      </w:r>
      <w:r w:rsidR="006B296B" w:rsidRPr="00AA7A1C">
        <w:t>44(4) (heading)</w:t>
      </w:r>
    </w:p>
    <w:p w14:paraId="054302CE" w14:textId="77777777" w:rsidR="006B296B" w:rsidRPr="00AA7A1C" w:rsidRDefault="006B296B" w:rsidP="00EF468E">
      <w:pPr>
        <w:pStyle w:val="Item"/>
      </w:pPr>
      <w:r w:rsidRPr="00AA7A1C">
        <w:t>Omit “</w:t>
      </w:r>
      <w:r w:rsidRPr="00AA7A1C">
        <w:rPr>
          <w:i/>
        </w:rPr>
        <w:t>Regulator</w:t>
      </w:r>
      <w:r w:rsidRPr="00AA7A1C">
        <w:t>”, substitute “</w:t>
      </w:r>
      <w:r w:rsidRPr="00AA7A1C">
        <w:rPr>
          <w:i/>
        </w:rPr>
        <w:t>Decision maker</w:t>
      </w:r>
      <w:r w:rsidRPr="00AA7A1C">
        <w:t>”.</w:t>
      </w:r>
    </w:p>
    <w:p w14:paraId="054302CF" w14:textId="77777777" w:rsidR="006B296B" w:rsidRPr="00AA7A1C" w:rsidRDefault="00777190" w:rsidP="00EF468E">
      <w:pPr>
        <w:pStyle w:val="ItemHead"/>
      </w:pPr>
      <w:r>
        <w:t>126</w:t>
      </w:r>
      <w:r w:rsidR="006B296B" w:rsidRPr="00AA7A1C">
        <w:t xml:space="preserve">  </w:t>
      </w:r>
      <w:r w:rsidR="00AA7A1C" w:rsidRPr="00AA7A1C">
        <w:t>Subsections 3</w:t>
      </w:r>
      <w:r w:rsidR="008063CF">
        <w:t>44(4) and (5)</w:t>
      </w:r>
    </w:p>
    <w:p w14:paraId="054302D0" w14:textId="77777777" w:rsidR="006B296B" w:rsidRPr="00AA7A1C" w:rsidRDefault="006B296B" w:rsidP="00EF468E">
      <w:pPr>
        <w:pStyle w:val="Item"/>
      </w:pPr>
      <w:r w:rsidRPr="00AA7A1C">
        <w:t>Omit “Regulator” (wherever occurring), substitute “decision maker”.</w:t>
      </w:r>
    </w:p>
    <w:p w14:paraId="054302D1" w14:textId="77777777" w:rsidR="006B296B" w:rsidRPr="00AA7A1C" w:rsidRDefault="00777190" w:rsidP="00EF468E">
      <w:pPr>
        <w:pStyle w:val="ItemHead"/>
      </w:pPr>
      <w:r>
        <w:t>127</w:t>
      </w:r>
      <w:r w:rsidR="006B296B" w:rsidRPr="00AA7A1C">
        <w:t xml:space="preserve">  </w:t>
      </w:r>
      <w:r w:rsidR="000571FE">
        <w:t>Subsection 3</w:t>
      </w:r>
      <w:r w:rsidR="006B296B" w:rsidRPr="00AA7A1C">
        <w:t>44(6) (heading)</w:t>
      </w:r>
    </w:p>
    <w:p w14:paraId="054302D2" w14:textId="77777777" w:rsidR="006B296B" w:rsidRDefault="006B296B" w:rsidP="00EF468E">
      <w:pPr>
        <w:pStyle w:val="Item"/>
      </w:pPr>
      <w:r w:rsidRPr="00AA7A1C">
        <w:t>Omit “</w:t>
      </w:r>
      <w:r w:rsidRPr="00AA7A1C">
        <w:rPr>
          <w:i/>
        </w:rPr>
        <w:t>Regulator’s</w:t>
      </w:r>
      <w:r w:rsidRPr="00AA7A1C">
        <w:t>”, substitute “</w:t>
      </w:r>
      <w:r w:rsidRPr="00AA7A1C">
        <w:rPr>
          <w:i/>
        </w:rPr>
        <w:t>Decision maker’s</w:t>
      </w:r>
      <w:r w:rsidRPr="00AA7A1C">
        <w:t>”.</w:t>
      </w:r>
    </w:p>
    <w:p w14:paraId="054302D3" w14:textId="77777777" w:rsidR="008063CF" w:rsidRDefault="00777190" w:rsidP="00EF468E">
      <w:pPr>
        <w:pStyle w:val="ItemHead"/>
      </w:pPr>
      <w:r>
        <w:t>128</w:t>
      </w:r>
      <w:r w:rsidR="008063CF">
        <w:t xml:space="preserve">  </w:t>
      </w:r>
      <w:r w:rsidR="000571FE">
        <w:t>Subsection 3</w:t>
      </w:r>
      <w:r w:rsidR="008063CF">
        <w:t>44(6)</w:t>
      </w:r>
    </w:p>
    <w:p w14:paraId="054302D4" w14:textId="77777777" w:rsidR="008063CF" w:rsidRPr="008063CF" w:rsidRDefault="008063CF" w:rsidP="00EF468E">
      <w:pPr>
        <w:pStyle w:val="Item"/>
      </w:pPr>
      <w:r w:rsidRPr="008063CF">
        <w:t>Omit “Regulator” (wherever occurring), substitute “decision maker”.</w:t>
      </w:r>
    </w:p>
    <w:p w14:paraId="054302D5" w14:textId="77777777" w:rsidR="006B296B" w:rsidRPr="00AA7A1C" w:rsidRDefault="00777190" w:rsidP="00EF468E">
      <w:pPr>
        <w:pStyle w:val="ItemHead"/>
      </w:pPr>
      <w:r>
        <w:t>129</w:t>
      </w:r>
      <w:r w:rsidR="006B296B" w:rsidRPr="00AA7A1C">
        <w:t xml:space="preserve">  </w:t>
      </w:r>
      <w:r w:rsidR="000571FE">
        <w:t>Subsection 3</w:t>
      </w:r>
      <w:r w:rsidR="006B296B" w:rsidRPr="00AA7A1C">
        <w:t>44(7) (heading)</w:t>
      </w:r>
    </w:p>
    <w:p w14:paraId="054302D6" w14:textId="77777777" w:rsidR="006B296B" w:rsidRPr="00AA7A1C" w:rsidRDefault="006B296B" w:rsidP="00EF468E">
      <w:pPr>
        <w:pStyle w:val="Item"/>
      </w:pPr>
      <w:r w:rsidRPr="00AA7A1C">
        <w:t>After “</w:t>
      </w:r>
      <w:r w:rsidRPr="00AA7A1C">
        <w:rPr>
          <w:i/>
        </w:rPr>
        <w:t>Taxation</w:t>
      </w:r>
      <w:r w:rsidRPr="00AA7A1C">
        <w:t>”, insert “</w:t>
      </w:r>
      <w:r w:rsidRPr="00AA7A1C">
        <w:rPr>
          <w:i/>
        </w:rPr>
        <w:t>if Regulator is decision maker</w:t>
      </w:r>
      <w:r w:rsidRPr="00AA7A1C">
        <w:t>”.</w:t>
      </w:r>
    </w:p>
    <w:p w14:paraId="054302D7" w14:textId="77777777" w:rsidR="006B296B" w:rsidRPr="00AA7A1C" w:rsidRDefault="00777190" w:rsidP="00EF468E">
      <w:pPr>
        <w:pStyle w:val="ItemHead"/>
      </w:pPr>
      <w:r>
        <w:t>130</w:t>
      </w:r>
      <w:r w:rsidR="006B296B" w:rsidRPr="00AA7A1C">
        <w:t xml:space="preserve">  </w:t>
      </w:r>
      <w:r w:rsidR="000571FE">
        <w:t>Subsection 3</w:t>
      </w:r>
      <w:r w:rsidR="006B296B" w:rsidRPr="00AA7A1C">
        <w:t>44(7)</w:t>
      </w:r>
    </w:p>
    <w:p w14:paraId="054302D8" w14:textId="77777777" w:rsidR="006B296B" w:rsidRPr="00AA7A1C" w:rsidRDefault="006B296B" w:rsidP="00EF468E">
      <w:pPr>
        <w:pStyle w:val="Item"/>
      </w:pPr>
      <w:r w:rsidRPr="00AA7A1C">
        <w:t>After “If the Regulator”, insert “is the decision maker and the Regulator”.</w:t>
      </w:r>
    </w:p>
    <w:p w14:paraId="054302D9" w14:textId="77777777" w:rsidR="006B296B" w:rsidRPr="00AA7A1C" w:rsidRDefault="00777190" w:rsidP="00EF468E">
      <w:pPr>
        <w:pStyle w:val="ItemHead"/>
      </w:pPr>
      <w:r>
        <w:lastRenderedPageBreak/>
        <w:t>131</w:t>
      </w:r>
      <w:r w:rsidR="006B296B" w:rsidRPr="00AA7A1C">
        <w:t xml:space="preserve">  </w:t>
      </w:r>
      <w:r w:rsidR="000571FE">
        <w:t>Subsection 3</w:t>
      </w:r>
      <w:r w:rsidR="006B296B" w:rsidRPr="00AA7A1C">
        <w:t>44(8) (heading)</w:t>
      </w:r>
    </w:p>
    <w:p w14:paraId="054302DA" w14:textId="77777777" w:rsidR="006B296B" w:rsidRPr="00AA7A1C" w:rsidRDefault="006B296B" w:rsidP="00EF468E">
      <w:pPr>
        <w:pStyle w:val="Item"/>
      </w:pPr>
      <w:r w:rsidRPr="00AA7A1C">
        <w:t>Omit “</w:t>
      </w:r>
      <w:r w:rsidRPr="00AA7A1C">
        <w:rPr>
          <w:i/>
        </w:rPr>
        <w:t>of Regulator’s decisions</w:t>
      </w:r>
      <w:r w:rsidRPr="00AA7A1C">
        <w:t>”.</w:t>
      </w:r>
    </w:p>
    <w:p w14:paraId="054302DB" w14:textId="77777777" w:rsidR="006B296B" w:rsidRPr="00AA7A1C" w:rsidRDefault="00777190" w:rsidP="00EF468E">
      <w:pPr>
        <w:pStyle w:val="ItemHead"/>
      </w:pPr>
      <w:r>
        <w:t>132</w:t>
      </w:r>
      <w:r w:rsidR="006B296B" w:rsidRPr="00AA7A1C">
        <w:t xml:space="preserve">  </w:t>
      </w:r>
      <w:r w:rsidR="000571FE">
        <w:t>Subsection 3</w:t>
      </w:r>
      <w:r w:rsidR="006B296B" w:rsidRPr="00AA7A1C">
        <w:t>44(8)</w:t>
      </w:r>
    </w:p>
    <w:p w14:paraId="054302DC" w14:textId="77777777" w:rsidR="006B296B" w:rsidRPr="00AA7A1C" w:rsidRDefault="006B296B" w:rsidP="00EF468E">
      <w:pPr>
        <w:pStyle w:val="Item"/>
      </w:pPr>
      <w:r w:rsidRPr="00AA7A1C">
        <w:t>Omit “of the Regulator”.</w:t>
      </w:r>
    </w:p>
    <w:p w14:paraId="054302DD" w14:textId="77777777" w:rsidR="006B296B" w:rsidRPr="00AA7A1C" w:rsidRDefault="00777190" w:rsidP="00EF468E">
      <w:pPr>
        <w:pStyle w:val="ItemHead"/>
      </w:pPr>
      <w:r>
        <w:t>133</w:t>
      </w:r>
      <w:r w:rsidR="006B296B" w:rsidRPr="00AA7A1C">
        <w:t xml:space="preserve">  Paragraphs 345(1)(a) and (b)</w:t>
      </w:r>
    </w:p>
    <w:p w14:paraId="054302DE" w14:textId="77777777" w:rsidR="006B296B" w:rsidRPr="00AA7A1C" w:rsidRDefault="006B296B" w:rsidP="00EF468E">
      <w:pPr>
        <w:pStyle w:val="Item"/>
      </w:pPr>
      <w:r w:rsidRPr="00AA7A1C">
        <w:t>After “Regulator”, insert “or the Registrar, as the case may be,”.</w:t>
      </w:r>
    </w:p>
    <w:p w14:paraId="054302DF" w14:textId="77777777" w:rsidR="006B296B" w:rsidRPr="00AA7A1C" w:rsidRDefault="00777190" w:rsidP="00EF468E">
      <w:pPr>
        <w:pStyle w:val="ItemHead"/>
      </w:pPr>
      <w:r>
        <w:t>134</w:t>
      </w:r>
      <w:r w:rsidR="006B296B" w:rsidRPr="00AA7A1C">
        <w:t xml:space="preserve">  </w:t>
      </w:r>
      <w:r w:rsidR="000571FE">
        <w:t>Subsection 3</w:t>
      </w:r>
      <w:r w:rsidR="006B296B" w:rsidRPr="00AA7A1C">
        <w:t>45(2)</w:t>
      </w:r>
    </w:p>
    <w:p w14:paraId="054302E0" w14:textId="77777777" w:rsidR="006B296B" w:rsidRPr="00AA7A1C" w:rsidRDefault="006B296B" w:rsidP="00EF468E">
      <w:pPr>
        <w:pStyle w:val="Item"/>
      </w:pPr>
      <w:r w:rsidRPr="00AA7A1C">
        <w:t>After “Regulator”, insert “or the Registrar”.</w:t>
      </w:r>
    </w:p>
    <w:p w14:paraId="054302E1" w14:textId="77777777" w:rsidR="00AE58A8" w:rsidRPr="00AA7A1C" w:rsidRDefault="00AE58A8" w:rsidP="00EF468E">
      <w:pPr>
        <w:pStyle w:val="ActHead9"/>
        <w:rPr>
          <w:i w:val="0"/>
        </w:rPr>
      </w:pPr>
      <w:bookmarkStart w:id="54" w:name="_Toc53569039"/>
      <w:r w:rsidRPr="00AA7A1C">
        <w:t>Taxation Administration Act 1953</w:t>
      </w:r>
      <w:bookmarkEnd w:id="54"/>
    </w:p>
    <w:p w14:paraId="054302E2" w14:textId="77777777" w:rsidR="00AE58A8" w:rsidRPr="00AA7A1C" w:rsidRDefault="00777190" w:rsidP="00EF468E">
      <w:pPr>
        <w:pStyle w:val="ItemHead"/>
      </w:pPr>
      <w:r>
        <w:t>135</w:t>
      </w:r>
      <w:r w:rsidR="00AE58A8" w:rsidRPr="00AA7A1C">
        <w:t xml:space="preserve">  </w:t>
      </w:r>
      <w:r w:rsidR="00AA7A1C" w:rsidRPr="00AA7A1C">
        <w:t>Section 2</w:t>
      </w:r>
      <w:r w:rsidR="00AE58A8" w:rsidRPr="00AA7A1C">
        <w:t>69</w:t>
      </w:r>
      <w:r w:rsidR="00EF468E">
        <w:noBreakHyphen/>
      </w:r>
      <w:r w:rsidR="00AE58A8" w:rsidRPr="00AA7A1C">
        <w:t xml:space="preserve">50 in </w:t>
      </w:r>
      <w:r w:rsidR="00AA7A1C" w:rsidRPr="00AA7A1C">
        <w:t>Schedule 1</w:t>
      </w:r>
    </w:p>
    <w:p w14:paraId="054302E3" w14:textId="77777777" w:rsidR="00AE58A8" w:rsidRPr="00AA7A1C" w:rsidRDefault="00461773" w:rsidP="00EF468E">
      <w:pPr>
        <w:pStyle w:val="Item"/>
      </w:pPr>
      <w:r w:rsidRPr="00AA7A1C">
        <w:t>Omit “</w:t>
      </w:r>
      <w:r w:rsidR="00EF468E" w:rsidRPr="00EF468E">
        <w:rPr>
          <w:position w:val="6"/>
          <w:sz w:val="16"/>
        </w:rPr>
        <w:t>*</w:t>
      </w:r>
      <w:r w:rsidRPr="00AA7A1C">
        <w:t>ASIC”, substitute “</w:t>
      </w:r>
      <w:r w:rsidR="00AE58A8" w:rsidRPr="00AA7A1C">
        <w:t xml:space="preserve">the </w:t>
      </w:r>
      <w:r w:rsidR="00EF468E" w:rsidRPr="00EF468E">
        <w:rPr>
          <w:position w:val="6"/>
          <w:sz w:val="16"/>
        </w:rPr>
        <w:t>*</w:t>
      </w:r>
      <w:r w:rsidR="00AE58A8" w:rsidRPr="00AA7A1C">
        <w:t>Registrar”.</w:t>
      </w:r>
    </w:p>
    <w:p w14:paraId="054302E4" w14:textId="77777777" w:rsidR="00A64B06" w:rsidRPr="00AA7A1C" w:rsidRDefault="00AA7A1C" w:rsidP="00EF468E">
      <w:pPr>
        <w:pStyle w:val="ActHead7"/>
        <w:pageBreakBefore/>
      </w:pPr>
      <w:bookmarkStart w:id="55" w:name="_Toc53569040"/>
      <w:r w:rsidRPr="0086646A">
        <w:rPr>
          <w:rStyle w:val="CharAmPartNo"/>
        </w:rPr>
        <w:lastRenderedPageBreak/>
        <w:t>Part 4</w:t>
      </w:r>
      <w:r w:rsidR="00A64B06" w:rsidRPr="00AA7A1C">
        <w:t>—</w:t>
      </w:r>
      <w:r w:rsidR="00A64B06" w:rsidRPr="0086646A">
        <w:rPr>
          <w:rStyle w:val="CharAmPartText"/>
        </w:rPr>
        <w:t>Application of amendments</w:t>
      </w:r>
      <w:bookmarkEnd w:id="55"/>
    </w:p>
    <w:p w14:paraId="054302E5" w14:textId="77777777" w:rsidR="00D4247B" w:rsidRPr="00AA7A1C" w:rsidRDefault="00777190" w:rsidP="00EF468E">
      <w:pPr>
        <w:pStyle w:val="Transitional"/>
      </w:pPr>
      <w:r>
        <w:t>137</w:t>
      </w:r>
      <w:r w:rsidR="00573F09" w:rsidRPr="00AA7A1C">
        <w:t xml:space="preserve">  Application of </w:t>
      </w:r>
      <w:r w:rsidR="00AA7A1C" w:rsidRPr="00AA7A1C">
        <w:t>Part 1</w:t>
      </w:r>
      <w:r w:rsidR="00573F09" w:rsidRPr="00AA7A1C">
        <w:t xml:space="preserve"> a</w:t>
      </w:r>
      <w:r w:rsidR="00AD5FF3" w:rsidRPr="00AA7A1C">
        <w:t>mendments</w:t>
      </w:r>
    </w:p>
    <w:p w14:paraId="054302E6" w14:textId="77777777" w:rsidR="00D4247B" w:rsidRPr="00AA7A1C" w:rsidRDefault="00AD5FF3" w:rsidP="00EF468E">
      <w:pPr>
        <w:pStyle w:val="Subitem"/>
      </w:pPr>
      <w:r w:rsidRPr="00AA7A1C">
        <w:t>(1)</w:t>
      </w:r>
      <w:r w:rsidRPr="00AA7A1C">
        <w:tab/>
      </w:r>
      <w:r w:rsidR="00D4247B" w:rsidRPr="00AA7A1C">
        <w:t xml:space="preserve">The amendment of </w:t>
      </w:r>
      <w:r w:rsidR="00AA7A1C" w:rsidRPr="00AA7A1C">
        <w:t>section 2</w:t>
      </w:r>
      <w:r w:rsidR="00D4247B" w:rsidRPr="00AA7A1C">
        <w:t xml:space="preserve">00 of the </w:t>
      </w:r>
      <w:r w:rsidR="00D4247B" w:rsidRPr="00AA7A1C">
        <w:rPr>
          <w:i/>
        </w:rPr>
        <w:t>Life Insurance Act 1995</w:t>
      </w:r>
      <w:r w:rsidR="00D4247B" w:rsidRPr="00AA7A1C">
        <w:t xml:space="preserve"> made by </w:t>
      </w:r>
      <w:r w:rsidR="00AA7A1C" w:rsidRPr="00AA7A1C">
        <w:t>Part 1</w:t>
      </w:r>
      <w:r w:rsidR="00C34BAE">
        <w:t xml:space="preserve"> of this Schedule</w:t>
      </w:r>
      <w:r w:rsidR="00D4247B" w:rsidRPr="00AA7A1C">
        <w:t xml:space="preserve"> applies in relation to a po</w:t>
      </w:r>
      <w:r w:rsidR="006E556E">
        <w:t>licy issued before, on or after the c</w:t>
      </w:r>
      <w:r w:rsidR="00D4247B" w:rsidRPr="00AA7A1C">
        <w:t>ommencement of that Part.</w:t>
      </w:r>
    </w:p>
    <w:p w14:paraId="054302E7" w14:textId="77777777" w:rsidR="00AD5FF3" w:rsidRPr="00AA7A1C" w:rsidRDefault="00AD5FF3" w:rsidP="00EF468E">
      <w:pPr>
        <w:pStyle w:val="Subitem"/>
      </w:pPr>
      <w:r w:rsidRPr="00AA7A1C">
        <w:t>(2)</w:t>
      </w:r>
      <w:r w:rsidRPr="00AA7A1C">
        <w:tab/>
        <w:t xml:space="preserve">The amendments of </w:t>
      </w:r>
      <w:r w:rsidR="00AA7A1C" w:rsidRPr="00AA7A1C">
        <w:t>subsection 2</w:t>
      </w:r>
      <w:r w:rsidRPr="00AA7A1C">
        <w:t xml:space="preserve">9VA(9) of the </w:t>
      </w:r>
      <w:r w:rsidRPr="00AA7A1C">
        <w:rPr>
          <w:i/>
        </w:rPr>
        <w:t>Superannuation Industry (Supervision) Act 1993</w:t>
      </w:r>
      <w:r w:rsidRPr="00AA7A1C">
        <w:t xml:space="preserve"> made by </w:t>
      </w:r>
      <w:r w:rsidR="00AA7A1C" w:rsidRPr="00AA7A1C">
        <w:t>Part 1</w:t>
      </w:r>
      <w:r w:rsidR="00C34BAE">
        <w:t xml:space="preserve"> of this Schedule</w:t>
      </w:r>
      <w:r w:rsidRPr="00AA7A1C">
        <w:t xml:space="preserve"> apply in relation to a fee in relation to a MySuper product during a period that begins on or after the commencement of that Part.</w:t>
      </w:r>
    </w:p>
    <w:p w14:paraId="054302E8" w14:textId="77777777" w:rsidR="00D4247B" w:rsidRPr="00AA7A1C" w:rsidRDefault="00AD5FF3" w:rsidP="00EF468E">
      <w:pPr>
        <w:pStyle w:val="Subitem"/>
      </w:pPr>
      <w:r w:rsidRPr="00AA7A1C">
        <w:t>(3)</w:t>
      </w:r>
      <w:r w:rsidRPr="00AA7A1C">
        <w:tab/>
      </w:r>
      <w:r w:rsidR="00D4247B" w:rsidRPr="00AA7A1C">
        <w:t xml:space="preserve">The amendments of </w:t>
      </w:r>
      <w:r w:rsidR="00AA7A1C" w:rsidRPr="00AA7A1C">
        <w:t>paragraph 2</w:t>
      </w:r>
      <w:r w:rsidR="00D4247B" w:rsidRPr="00AA7A1C">
        <w:t xml:space="preserve">0QA(1)(a) of the </w:t>
      </w:r>
      <w:r w:rsidR="00D4247B" w:rsidRPr="00AA7A1C">
        <w:rPr>
          <w:i/>
        </w:rPr>
        <w:t>Superannuation (Unclaimed Money and Lost Members) Act 1999</w:t>
      </w:r>
      <w:r w:rsidR="00D4247B" w:rsidRPr="00AA7A1C">
        <w:t xml:space="preserve"> made by </w:t>
      </w:r>
      <w:r w:rsidR="00AA7A1C" w:rsidRPr="00AA7A1C">
        <w:t>Part 1</w:t>
      </w:r>
      <w:r w:rsidR="00C34BAE">
        <w:t xml:space="preserve"> of this Schedule</w:t>
      </w:r>
      <w:r w:rsidR="00D4247B" w:rsidRPr="00AA7A1C">
        <w:t xml:space="preserve"> apply in relation to unclaimed money days that occur on or after </w:t>
      </w:r>
      <w:r w:rsidR="00AA7A1C" w:rsidRPr="00AA7A1C">
        <w:t>1 April</w:t>
      </w:r>
      <w:r w:rsidR="00D4247B" w:rsidRPr="00AA7A1C">
        <w:t xml:space="preserve"> 2020.</w:t>
      </w:r>
    </w:p>
    <w:p w14:paraId="054302E9" w14:textId="77777777" w:rsidR="00D4247B" w:rsidRPr="00AA7A1C" w:rsidRDefault="00AD5FF3" w:rsidP="00EF468E">
      <w:pPr>
        <w:pStyle w:val="Subitem"/>
      </w:pPr>
      <w:r w:rsidRPr="00AA7A1C">
        <w:t>(4)</w:t>
      </w:r>
      <w:r w:rsidRPr="00AA7A1C">
        <w:tab/>
      </w:r>
      <w:r w:rsidR="00D4247B" w:rsidRPr="00AA7A1C">
        <w:t xml:space="preserve">The amendments of the </w:t>
      </w:r>
      <w:r w:rsidR="00D4247B" w:rsidRPr="00AA7A1C">
        <w:rPr>
          <w:i/>
        </w:rPr>
        <w:t>Tax Agent Services Act 2009</w:t>
      </w:r>
      <w:r w:rsidR="00D4247B" w:rsidRPr="00AA7A1C">
        <w:t xml:space="preserve"> made by </w:t>
      </w:r>
      <w:r w:rsidR="00AA7A1C" w:rsidRPr="00AA7A1C">
        <w:t>Part 1</w:t>
      </w:r>
      <w:r w:rsidR="00D4247B" w:rsidRPr="00AA7A1C">
        <w:t xml:space="preserve"> </w:t>
      </w:r>
      <w:r w:rsidR="00C34BAE">
        <w:t xml:space="preserve">of this Schedule </w:t>
      </w:r>
      <w:r w:rsidR="00D4247B" w:rsidRPr="00AA7A1C">
        <w:t xml:space="preserve">apply to an application for renewal of registration whether made before, on or after the commencement of </w:t>
      </w:r>
      <w:r w:rsidR="003C1457" w:rsidRPr="00AA7A1C">
        <w:t>that Part</w:t>
      </w:r>
      <w:r w:rsidR="00D4247B" w:rsidRPr="00AA7A1C">
        <w:t>.</w:t>
      </w:r>
    </w:p>
    <w:p w14:paraId="054302EA" w14:textId="77777777" w:rsidR="00F750AE" w:rsidRPr="00AA7A1C" w:rsidRDefault="00777190" w:rsidP="00EF468E">
      <w:pPr>
        <w:pStyle w:val="Transitional"/>
      </w:pPr>
      <w:r>
        <w:t>138</w:t>
      </w:r>
      <w:r w:rsidR="00F750AE" w:rsidRPr="00AA7A1C">
        <w:t xml:space="preserve">  Application</w:t>
      </w:r>
      <w:r w:rsidR="00573F09" w:rsidRPr="00AA7A1C">
        <w:t xml:space="preserve"> of </w:t>
      </w:r>
      <w:r w:rsidR="00AA7A1C" w:rsidRPr="00AA7A1C">
        <w:t>Part 2</w:t>
      </w:r>
      <w:r w:rsidR="00573F09" w:rsidRPr="00AA7A1C">
        <w:t xml:space="preserve"> a</w:t>
      </w:r>
      <w:r w:rsidR="00AD5FF3" w:rsidRPr="00AA7A1C">
        <w:t>mendments</w:t>
      </w:r>
    </w:p>
    <w:p w14:paraId="054302EB" w14:textId="77777777" w:rsidR="00F750AE" w:rsidRPr="00AA7A1C" w:rsidRDefault="00AD5FF3" w:rsidP="00EF468E">
      <w:pPr>
        <w:pStyle w:val="Subitem"/>
      </w:pPr>
      <w:r w:rsidRPr="00AA7A1C">
        <w:t>(1)</w:t>
      </w:r>
      <w:r w:rsidRPr="00AA7A1C">
        <w:tab/>
      </w:r>
      <w:r w:rsidR="00F750AE" w:rsidRPr="00AA7A1C">
        <w:t xml:space="preserve">The amendment of </w:t>
      </w:r>
      <w:r w:rsidR="00AA7A1C" w:rsidRPr="00AA7A1C">
        <w:t>section 1</w:t>
      </w:r>
      <w:r w:rsidR="00F750AE" w:rsidRPr="00AA7A1C">
        <w:t>16</w:t>
      </w:r>
      <w:r w:rsidR="00EF468E">
        <w:noBreakHyphen/>
      </w:r>
      <w:r w:rsidR="00F750AE" w:rsidRPr="00AA7A1C">
        <w:t xml:space="preserve">30 of the </w:t>
      </w:r>
      <w:r w:rsidR="00F750AE" w:rsidRPr="00AA7A1C">
        <w:rPr>
          <w:i/>
        </w:rPr>
        <w:t>Income Tax Assessment Act 1997</w:t>
      </w:r>
      <w:r w:rsidR="00F750AE" w:rsidRPr="00AA7A1C">
        <w:t xml:space="preserve"> made by </w:t>
      </w:r>
      <w:r w:rsidR="00AA7A1C" w:rsidRPr="00AA7A1C">
        <w:t>Part 2</w:t>
      </w:r>
      <w:r w:rsidR="00C34BAE">
        <w:t xml:space="preserve"> of this Schedule</w:t>
      </w:r>
      <w:r w:rsidR="00F750AE" w:rsidRPr="00AA7A1C">
        <w:t xml:space="preserve"> applies to income years starting on or after the day this Act receives the Royal Assent.</w:t>
      </w:r>
    </w:p>
    <w:p w14:paraId="054302EC" w14:textId="77777777" w:rsidR="00F750AE" w:rsidRPr="00AA7A1C" w:rsidRDefault="00AD5FF3" w:rsidP="00EF468E">
      <w:pPr>
        <w:pStyle w:val="Subitem"/>
      </w:pPr>
      <w:r w:rsidRPr="00AA7A1C">
        <w:t>(2)</w:t>
      </w:r>
      <w:r w:rsidRPr="00AA7A1C">
        <w:tab/>
      </w:r>
      <w:r w:rsidR="00F750AE" w:rsidRPr="00AA7A1C">
        <w:t xml:space="preserve">The amendments of </w:t>
      </w:r>
      <w:r w:rsidR="00AA7A1C" w:rsidRPr="00AA7A1C">
        <w:t>section 1</w:t>
      </w:r>
      <w:r w:rsidR="00F750AE" w:rsidRPr="00AA7A1C">
        <w:t>18</w:t>
      </w:r>
      <w:r w:rsidR="00EF468E">
        <w:noBreakHyphen/>
      </w:r>
      <w:r w:rsidR="00F750AE" w:rsidRPr="00AA7A1C">
        <w:t xml:space="preserve">320 of the </w:t>
      </w:r>
      <w:r w:rsidR="00F750AE" w:rsidRPr="00AA7A1C">
        <w:rPr>
          <w:i/>
        </w:rPr>
        <w:t>Income Tax Assessment Act 1997</w:t>
      </w:r>
      <w:r w:rsidR="00F750AE" w:rsidRPr="00AA7A1C">
        <w:t xml:space="preserve"> made by </w:t>
      </w:r>
      <w:r w:rsidR="00AA7A1C" w:rsidRPr="00AA7A1C">
        <w:t>Part 2</w:t>
      </w:r>
      <w:r w:rsidR="00C34BAE">
        <w:t xml:space="preserve"> of this Schedule</w:t>
      </w:r>
      <w:r w:rsidR="00F750AE" w:rsidRPr="00AA7A1C">
        <w:t xml:space="preserve"> apply to income years starting on or after the day this Act receives the Royal Assent.</w:t>
      </w:r>
    </w:p>
    <w:p w14:paraId="054302ED" w14:textId="77777777" w:rsidR="00F750AE" w:rsidRPr="00AA7A1C" w:rsidRDefault="00AD5FF3" w:rsidP="00EF468E">
      <w:pPr>
        <w:pStyle w:val="Subitem"/>
      </w:pPr>
      <w:r w:rsidRPr="00AA7A1C">
        <w:t>(3)</w:t>
      </w:r>
      <w:r w:rsidRPr="00AA7A1C">
        <w:tab/>
      </w:r>
      <w:r w:rsidR="00F750AE" w:rsidRPr="00AA7A1C">
        <w:t>The amendments of paragraphs 230</w:t>
      </w:r>
      <w:r w:rsidR="00EF468E">
        <w:noBreakHyphen/>
      </w:r>
      <w:r w:rsidR="00F750AE" w:rsidRPr="00AA7A1C">
        <w:t xml:space="preserve">365(a) and (d) of the </w:t>
      </w:r>
      <w:r w:rsidR="00F750AE" w:rsidRPr="00AA7A1C">
        <w:rPr>
          <w:i/>
        </w:rPr>
        <w:t>Income Tax Assessment Act 1997</w:t>
      </w:r>
      <w:r w:rsidR="00F750AE" w:rsidRPr="00AA7A1C">
        <w:t xml:space="preserve"> made by </w:t>
      </w:r>
      <w:r w:rsidR="00AA7A1C" w:rsidRPr="00AA7A1C">
        <w:t>Part 2</w:t>
      </w:r>
      <w:r w:rsidR="00C34BAE">
        <w:t xml:space="preserve"> of this Schedule</w:t>
      </w:r>
      <w:r w:rsidR="00F750AE" w:rsidRPr="00AA7A1C">
        <w:t xml:space="preserve"> apply for the purposes of determining whether the requirement of </w:t>
      </w:r>
      <w:r w:rsidR="00AA7A1C" w:rsidRPr="00AA7A1C">
        <w:t>section 2</w:t>
      </w:r>
      <w:r w:rsidR="00F750AE" w:rsidRPr="00AA7A1C">
        <w:t>30</w:t>
      </w:r>
      <w:r w:rsidR="00EF468E">
        <w:noBreakHyphen/>
      </w:r>
      <w:r w:rsidR="00F750AE" w:rsidRPr="00AA7A1C">
        <w:t xml:space="preserve">365 of that Act is met in relation to a hedging financial arrangement on or after </w:t>
      </w:r>
      <w:r w:rsidR="00AA7A1C" w:rsidRPr="00AA7A1C">
        <w:t>1 January</w:t>
      </w:r>
      <w:r w:rsidR="00F750AE" w:rsidRPr="00AA7A1C">
        <w:t xml:space="preserve"> 2021 (regardless</w:t>
      </w:r>
      <w:r w:rsidR="00C92438">
        <w:t xml:space="preserve"> of</w:t>
      </w:r>
      <w:r w:rsidR="00F750AE" w:rsidRPr="00AA7A1C">
        <w:t xml:space="preserve"> whether an entity started to have the hedging financial arrangement before, on or after that day).</w:t>
      </w:r>
    </w:p>
    <w:p w14:paraId="054302EE" w14:textId="77777777" w:rsidR="00AB3862" w:rsidRPr="00AA7A1C" w:rsidRDefault="00AD5FF3" w:rsidP="00EF468E">
      <w:pPr>
        <w:pStyle w:val="Subitem"/>
      </w:pPr>
      <w:r w:rsidRPr="00AA7A1C">
        <w:t>(4)</w:t>
      </w:r>
      <w:r w:rsidRPr="00AA7A1C">
        <w:tab/>
      </w:r>
      <w:r w:rsidR="00AB3862" w:rsidRPr="00AA7A1C">
        <w:t xml:space="preserve">The amendment of </w:t>
      </w:r>
      <w:r w:rsidR="00AA7A1C" w:rsidRPr="00AA7A1C">
        <w:t>section 2</w:t>
      </w:r>
      <w:r w:rsidR="00AB3862" w:rsidRPr="00AA7A1C">
        <w:t>95</w:t>
      </w:r>
      <w:r w:rsidR="00EF468E">
        <w:noBreakHyphen/>
      </w:r>
      <w:r w:rsidR="00AB3862" w:rsidRPr="00AA7A1C">
        <w:t xml:space="preserve">495 of the </w:t>
      </w:r>
      <w:r w:rsidR="00AB3862" w:rsidRPr="00AA7A1C">
        <w:rPr>
          <w:i/>
        </w:rPr>
        <w:t>Income Tax Assessment Act 1997</w:t>
      </w:r>
      <w:r w:rsidR="00AB3862" w:rsidRPr="00AA7A1C">
        <w:t xml:space="preserve"> made by </w:t>
      </w:r>
      <w:r w:rsidR="00AA7A1C" w:rsidRPr="00AA7A1C">
        <w:t>Part 2</w:t>
      </w:r>
      <w:r w:rsidR="00C34BAE">
        <w:t xml:space="preserve"> of this Schedule</w:t>
      </w:r>
      <w:r w:rsidR="00AB3862" w:rsidRPr="00AA7A1C">
        <w:t xml:space="preserve"> applies in relation to the 2007</w:t>
      </w:r>
      <w:r w:rsidR="00EF468E">
        <w:noBreakHyphen/>
      </w:r>
      <w:r w:rsidR="00AB3862" w:rsidRPr="00AA7A1C">
        <w:t>08 income year and later income years.</w:t>
      </w:r>
    </w:p>
    <w:p w14:paraId="054302EF" w14:textId="77777777" w:rsidR="00AB3862" w:rsidRPr="00AA7A1C" w:rsidRDefault="00AD5FF3" w:rsidP="00EF468E">
      <w:pPr>
        <w:pStyle w:val="Subitem"/>
      </w:pPr>
      <w:r w:rsidRPr="00AA7A1C">
        <w:t>(5)</w:t>
      </w:r>
      <w:r w:rsidRPr="00AA7A1C">
        <w:tab/>
      </w:r>
      <w:r w:rsidR="00AB3862" w:rsidRPr="00AA7A1C">
        <w:t xml:space="preserve">The amendments of </w:t>
      </w:r>
      <w:r w:rsidR="00AA7A1C" w:rsidRPr="00AA7A1C">
        <w:t>section 2</w:t>
      </w:r>
      <w:r w:rsidR="00AB3862" w:rsidRPr="00AA7A1C">
        <w:t>95</w:t>
      </w:r>
      <w:r w:rsidR="00EF468E">
        <w:noBreakHyphen/>
      </w:r>
      <w:r w:rsidR="00AB3862" w:rsidRPr="00AA7A1C">
        <w:t xml:space="preserve">675 of the </w:t>
      </w:r>
      <w:r w:rsidR="00AB3862" w:rsidRPr="00AA7A1C">
        <w:rPr>
          <w:i/>
        </w:rPr>
        <w:t>Income Tax Assessment Act 1997</w:t>
      </w:r>
      <w:r w:rsidR="00AB3862" w:rsidRPr="00AA7A1C">
        <w:t xml:space="preserve"> made by </w:t>
      </w:r>
      <w:r w:rsidR="00AA7A1C" w:rsidRPr="00AA7A1C">
        <w:t>Part 2</w:t>
      </w:r>
      <w:r w:rsidR="00C26A44">
        <w:t xml:space="preserve"> of this Schedule</w:t>
      </w:r>
      <w:r w:rsidR="00AB3862" w:rsidRPr="00AA7A1C">
        <w:t xml:space="preserve"> apply in relation to a tax offset for the 2020</w:t>
      </w:r>
      <w:r w:rsidR="00EF468E">
        <w:noBreakHyphen/>
      </w:r>
      <w:r w:rsidR="00AB3862" w:rsidRPr="00AA7A1C">
        <w:t>21 income year and later income years.</w:t>
      </w:r>
    </w:p>
    <w:p w14:paraId="054302F0" w14:textId="77777777" w:rsidR="00AB3862" w:rsidRPr="00AA7A1C" w:rsidRDefault="00AD5FF3" w:rsidP="00EF468E">
      <w:pPr>
        <w:pStyle w:val="Subitem"/>
      </w:pPr>
      <w:r w:rsidRPr="00AA7A1C">
        <w:lastRenderedPageBreak/>
        <w:t>(6)</w:t>
      </w:r>
      <w:r w:rsidRPr="00AA7A1C">
        <w:tab/>
      </w:r>
      <w:r w:rsidR="00AB3862" w:rsidRPr="00AA7A1C">
        <w:t xml:space="preserve">The amendment of </w:t>
      </w:r>
      <w:r w:rsidR="00AA7A1C" w:rsidRPr="00AA7A1C">
        <w:t>subsections 3</w:t>
      </w:r>
      <w:r w:rsidR="00AB3862" w:rsidRPr="00AA7A1C">
        <w:t>07</w:t>
      </w:r>
      <w:r w:rsidR="00EF468E">
        <w:noBreakHyphen/>
      </w:r>
      <w:r w:rsidR="00AB3862" w:rsidRPr="00AA7A1C">
        <w:t>5(1), 307</w:t>
      </w:r>
      <w:r w:rsidR="00EF468E">
        <w:noBreakHyphen/>
      </w:r>
      <w:r w:rsidR="00AB3862" w:rsidRPr="00AA7A1C">
        <w:t>120(2), 307</w:t>
      </w:r>
      <w:r w:rsidR="00EF468E">
        <w:noBreakHyphen/>
      </w:r>
      <w:r w:rsidR="00AB3862" w:rsidRPr="00AA7A1C">
        <w:t>142(1) and (2), 307</w:t>
      </w:r>
      <w:r w:rsidR="00EF468E">
        <w:noBreakHyphen/>
      </w:r>
      <w:r w:rsidR="00AB3862" w:rsidRPr="00AA7A1C">
        <w:t>142(3B) and 307</w:t>
      </w:r>
      <w:r w:rsidR="00EF468E">
        <w:noBreakHyphen/>
      </w:r>
      <w:r w:rsidR="00AB3862" w:rsidRPr="00AA7A1C">
        <w:t xml:space="preserve">300(1) and (2) of the </w:t>
      </w:r>
      <w:r w:rsidR="00AB3862" w:rsidRPr="00AA7A1C">
        <w:rPr>
          <w:i/>
        </w:rPr>
        <w:t>Income Tax Assessment Act 1997</w:t>
      </w:r>
      <w:r w:rsidR="00AB3862" w:rsidRPr="00AA7A1C">
        <w:t xml:space="preserve"> made by </w:t>
      </w:r>
      <w:r w:rsidR="00AA7A1C" w:rsidRPr="00AA7A1C">
        <w:t>Part 2</w:t>
      </w:r>
      <w:r w:rsidR="00C34BAE">
        <w:t xml:space="preserve"> of this Schedule</w:t>
      </w:r>
      <w:r w:rsidR="00AB3862" w:rsidRPr="00AA7A1C">
        <w:t xml:space="preserve"> apply in relation to payments made by the Commissioner on or after 13 March 2019.</w:t>
      </w:r>
    </w:p>
    <w:p w14:paraId="054302F1" w14:textId="77777777" w:rsidR="00AB3862" w:rsidRPr="00AA7A1C" w:rsidRDefault="00AD5FF3" w:rsidP="00EF468E">
      <w:pPr>
        <w:pStyle w:val="Subitem"/>
      </w:pPr>
      <w:r w:rsidRPr="00AA7A1C">
        <w:t>(7)</w:t>
      </w:r>
      <w:r w:rsidRPr="00AA7A1C">
        <w:tab/>
      </w:r>
      <w:r w:rsidR="00AB3862" w:rsidRPr="00AA7A1C">
        <w:t xml:space="preserve">The amendment of </w:t>
      </w:r>
      <w:r w:rsidR="00AA7A1C" w:rsidRPr="00AA7A1C">
        <w:t>subsection 8</w:t>
      </w:r>
      <w:r w:rsidR="00AB3862" w:rsidRPr="00AA7A1C">
        <w:t>20</w:t>
      </w:r>
      <w:r w:rsidR="00EF468E">
        <w:noBreakHyphen/>
      </w:r>
      <w:r w:rsidR="00AB3862" w:rsidRPr="00AA7A1C">
        <w:t xml:space="preserve">935(3) of the </w:t>
      </w:r>
      <w:r w:rsidR="00AB3862" w:rsidRPr="00AA7A1C">
        <w:rPr>
          <w:i/>
        </w:rPr>
        <w:t>Income Tax Assessment Act 1997</w:t>
      </w:r>
      <w:r w:rsidR="00AB3862" w:rsidRPr="00AA7A1C">
        <w:t xml:space="preserve"> made by </w:t>
      </w:r>
      <w:r w:rsidR="00AA7A1C" w:rsidRPr="00AA7A1C">
        <w:t>Part 2</w:t>
      </w:r>
      <w:r w:rsidR="00C34BAE">
        <w:t xml:space="preserve"> of this Schedule</w:t>
      </w:r>
      <w:r w:rsidR="00AB3862" w:rsidRPr="00AA7A1C">
        <w:t xml:space="preserve"> applies in relation to financial statements prepared before, at or after the commencement of that Part.</w:t>
      </w:r>
    </w:p>
    <w:sectPr w:rsidR="00AB3862" w:rsidRPr="00AA7A1C" w:rsidSect="00EF468E">
      <w:headerReference w:type="even" r:id="rId13"/>
      <w:headerReference w:type="default" r:id="rId14"/>
      <w:footerReference w:type="even" r:id="rId15"/>
      <w:footerReference w:type="default" r:id="rId16"/>
      <w:headerReference w:type="first" r:id="rId17"/>
      <w:footerReference w:type="first" r:id="rId18"/>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302F4" w14:textId="77777777" w:rsidR="00350B34" w:rsidRDefault="00350B34" w:rsidP="00664C63">
      <w:pPr>
        <w:spacing w:line="240" w:lineRule="auto"/>
      </w:pPr>
      <w:r>
        <w:separator/>
      </w:r>
    </w:p>
  </w:endnote>
  <w:endnote w:type="continuationSeparator" w:id="0">
    <w:p w14:paraId="054302F5" w14:textId="77777777" w:rsidR="00350B34" w:rsidRDefault="00350B34"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02FA" w14:textId="77777777" w:rsidR="00350B34" w:rsidRPr="00BB4623" w:rsidRDefault="00350B34" w:rsidP="00EF468E">
    <w:pPr>
      <w:pBdr>
        <w:top w:val="single" w:sz="6" w:space="1" w:color="auto"/>
      </w:pBdr>
      <w:spacing w:before="120"/>
      <w:jc w:val="right"/>
      <w:rPr>
        <w:sz w:val="18"/>
      </w:rPr>
    </w:pPr>
  </w:p>
  <w:p w14:paraId="054302FB" w14:textId="77777777" w:rsidR="00350B34" w:rsidRPr="00BB4623" w:rsidRDefault="00350B34"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054302FC" w14:textId="77777777" w:rsidR="00350B34" w:rsidRPr="00BB4623" w:rsidRDefault="00350B34"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02FD" w14:textId="77777777" w:rsidR="00350B34" w:rsidRDefault="0086646A" w:rsidP="00EF468E">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05430309" wp14:editId="0543030A">
              <wp:simplePos x="0" y="0"/>
              <wp:positionH relativeFrom="column">
                <wp:align>center</wp:align>
              </wp:positionH>
              <wp:positionV relativeFrom="page">
                <wp:posOffset>9737725</wp:posOffset>
              </wp:positionV>
              <wp:extent cx="4411980" cy="396240"/>
              <wp:effectExtent l="0" t="0" r="762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43030F" w14:textId="77777777" w:rsidR="0086646A" w:rsidRPr="0086646A" w:rsidRDefault="0086646A" w:rsidP="008664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30309" id="_x0000_t202" coordsize="21600,21600" o:spt="202" path="m,l,21600r21600,l21600,xe">
              <v:stroke joinstyle="miter"/>
              <v:path gradientshapeok="t" o:connecttype="rect"/>
            </v:shapetype>
            <v:shape id="Text Box 8" o:spid="_x0000_s1028" type="#_x0000_t202" style="position:absolute;margin-left:0;margin-top:766.75pt;width:347.4pt;height:31.2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" stroked="f" strokeweight=".5pt">
              <v:path arrowok="t"/>
              <v:textbox>
                <w:txbxContent>
                  <w:p w14:paraId="0543030F" w14:textId="77777777" w:rsidR="0086646A" w:rsidRPr="0086646A" w:rsidRDefault="0086646A" w:rsidP="008664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0543030B" wp14:editId="0543030C">
              <wp:simplePos x="0" y="0"/>
              <wp:positionH relativeFrom="column">
                <wp:align>center</wp:align>
              </wp:positionH>
              <wp:positionV relativeFrom="page">
                <wp:posOffset>10079990</wp:posOffset>
              </wp:positionV>
              <wp:extent cx="4411980" cy="396240"/>
              <wp:effectExtent l="0" t="0" r="762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430310" w14:textId="77777777" w:rsidR="0086646A" w:rsidRPr="0086646A" w:rsidRDefault="0086646A" w:rsidP="008664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22C3">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3030B" id="Text Box 3" o:spid="_x0000_s1029" type="#_x0000_t202" style="position:absolute;margin-left:0;margin-top:793.7pt;width:347.4pt;height:31.2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" stroked="f" strokeweight=".5pt">
              <v:path arrowok="t"/>
              <v:textbox>
                <w:txbxContent>
                  <w:p w14:paraId="05430310" w14:textId="77777777" w:rsidR="0086646A" w:rsidRPr="0086646A" w:rsidRDefault="0086646A" w:rsidP="008664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22C3">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350B34" w:rsidRPr="00B3608C" w14:paraId="054302FF" w14:textId="77777777" w:rsidTr="00A15D65">
      <w:trPr>
        <w:trHeight w:val="280"/>
      </w:trPr>
      <w:tc>
        <w:tcPr>
          <w:tcW w:w="7087" w:type="dxa"/>
        </w:tcPr>
        <w:p w14:paraId="054302FE" w14:textId="31A80B40" w:rsidR="00350B34" w:rsidRPr="00B3608C" w:rsidRDefault="00350B34" w:rsidP="00A15D65">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092BD3">
            <w:rPr>
              <w:i/>
              <w:noProof/>
              <w:sz w:val="18"/>
            </w:rPr>
            <w:t>1</w:t>
          </w:r>
          <w:r w:rsidRPr="00BB4623">
            <w:rPr>
              <w:i/>
              <w:sz w:val="18"/>
            </w:rPr>
            <w:fldChar w:fldCharType="end"/>
          </w:r>
        </w:p>
      </w:tc>
    </w:tr>
    <w:tr w:rsidR="00350B34" w:rsidRPr="00B3608C" w14:paraId="05430301" w14:textId="77777777" w:rsidTr="00A15D65">
      <w:tc>
        <w:tcPr>
          <w:tcW w:w="7087" w:type="dxa"/>
        </w:tcPr>
        <w:p w14:paraId="05430300" w14:textId="77777777" w:rsidR="00350B34" w:rsidRPr="00B3608C" w:rsidRDefault="00350B34" w:rsidP="00A15D65">
          <w:pPr>
            <w:rPr>
              <w:i/>
              <w:sz w:val="18"/>
            </w:rPr>
          </w:pPr>
          <w:r w:rsidRPr="00BB4623">
            <w:rPr>
              <w:i/>
              <w:sz w:val="18"/>
            </w:rPr>
            <w:t xml:space="preserve">  </w:t>
          </w:r>
        </w:p>
      </w:tc>
    </w:tr>
  </w:tbl>
  <w:p w14:paraId="05430302" w14:textId="77777777" w:rsidR="00350B34" w:rsidRPr="00BB4623" w:rsidRDefault="00350B34"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0304" w14:textId="77777777" w:rsidR="00350B34" w:rsidRPr="00BB4623" w:rsidRDefault="00350B34" w:rsidP="00EF468E">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302F2" w14:textId="77777777" w:rsidR="00350B34" w:rsidRDefault="00350B34" w:rsidP="00664C63">
      <w:pPr>
        <w:spacing w:line="240" w:lineRule="auto"/>
      </w:pPr>
      <w:r>
        <w:separator/>
      </w:r>
    </w:p>
  </w:footnote>
  <w:footnote w:type="continuationSeparator" w:id="0">
    <w:p w14:paraId="054302F3" w14:textId="77777777" w:rsidR="00350B34" w:rsidRDefault="00350B34"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02F6" w14:textId="77777777" w:rsidR="00350B34" w:rsidRPr="00BB4623" w:rsidRDefault="00350B34" w:rsidP="00664C63">
    <w:pPr>
      <w:rPr>
        <w:sz w:val="24"/>
      </w:rPr>
    </w:pPr>
  </w:p>
  <w:p w14:paraId="054302F7" w14:textId="77777777" w:rsidR="00350B34" w:rsidRPr="00BB4623" w:rsidRDefault="00350B34"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02F8" w14:textId="77777777" w:rsidR="00350B34" w:rsidRPr="00BB4623" w:rsidRDefault="0086646A"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14:anchorId="05430305" wp14:editId="05430306">
              <wp:simplePos x="0" y="0"/>
              <wp:positionH relativeFrom="column">
                <wp:align>center</wp:align>
              </wp:positionH>
              <wp:positionV relativeFrom="page">
                <wp:posOffset>443230</wp:posOffset>
              </wp:positionV>
              <wp:extent cx="4411980" cy="396240"/>
              <wp:effectExtent l="0" t="0" r="762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43030D" w14:textId="77777777" w:rsidR="0086646A" w:rsidRPr="0086646A" w:rsidRDefault="0086646A" w:rsidP="008664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30305" id="_x0000_t202" coordsize="21600,21600" o:spt="202" path="m,l,21600r21600,l21600,xe">
              <v:stroke joinstyle="miter"/>
              <v:path gradientshapeok="t" o:connecttype="rect"/>
            </v:shapetype>
            <v:shape id="Text Box 2" o:spid="_x0000_s1026" type="#_x0000_t202" style="position:absolute;left:0;text-align:left;margin-left:0;margin-top:34.9pt;width:347.4pt;height:31.2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" stroked="f" strokeweight=".5pt">
              <v:path arrowok="t"/>
              <v:textbox>
                <w:txbxContent>
                  <w:p w14:paraId="0543030D" w14:textId="77777777" w:rsidR="0086646A" w:rsidRPr="0086646A" w:rsidRDefault="0086646A" w:rsidP="008664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05430307" wp14:editId="05430308">
              <wp:simplePos x="0" y="0"/>
              <wp:positionH relativeFrom="column">
                <wp:align>center</wp:align>
              </wp:positionH>
              <wp:positionV relativeFrom="page">
                <wp:posOffset>143510</wp:posOffset>
              </wp:positionV>
              <wp:extent cx="4411980" cy="396240"/>
              <wp:effectExtent l="0" t="0" r="762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980" cy="39624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43030E" w14:textId="77777777" w:rsidR="0086646A" w:rsidRPr="0086646A" w:rsidRDefault="0086646A" w:rsidP="008664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22C3">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30307" id="Text Box 1" o:spid="_x0000_s1027" type="#_x0000_t202" style="position:absolute;left:0;text-align:left;margin-left:0;margin-top:11.3pt;width:347.4pt;height:31.2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" stroked="f" strokeweight=".5pt">
              <v:path arrowok="t"/>
              <v:textbox>
                <w:txbxContent>
                  <w:p w14:paraId="0543030E" w14:textId="77777777" w:rsidR="0086646A" w:rsidRPr="0086646A" w:rsidRDefault="0086646A" w:rsidP="0086646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622C3">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14:paraId="054302F9" w14:textId="77777777" w:rsidR="00350B34" w:rsidRPr="00BB4623" w:rsidRDefault="00350B34"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0303" w14:textId="77777777" w:rsidR="00350B34" w:rsidRPr="00BB4623" w:rsidRDefault="00350B34"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20D87"/>
    <w:multiLevelType w:val="hybridMultilevel"/>
    <w:tmpl w:val="8A3E0AA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88"/>
    <w:rsid w:val="000057C0"/>
    <w:rsid w:val="000136AF"/>
    <w:rsid w:val="00013BB8"/>
    <w:rsid w:val="00014B9A"/>
    <w:rsid w:val="00033E8C"/>
    <w:rsid w:val="00047CC3"/>
    <w:rsid w:val="00055D20"/>
    <w:rsid w:val="000571FE"/>
    <w:rsid w:val="00060AF6"/>
    <w:rsid w:val="000614BF"/>
    <w:rsid w:val="00073C5A"/>
    <w:rsid w:val="00087033"/>
    <w:rsid w:val="00092BD3"/>
    <w:rsid w:val="00096E42"/>
    <w:rsid w:val="00097A83"/>
    <w:rsid w:val="000A11FD"/>
    <w:rsid w:val="000A4C82"/>
    <w:rsid w:val="000B73B0"/>
    <w:rsid w:val="000C74F9"/>
    <w:rsid w:val="000D05EF"/>
    <w:rsid w:val="000D3899"/>
    <w:rsid w:val="000F21C1"/>
    <w:rsid w:val="000F4126"/>
    <w:rsid w:val="000F7A50"/>
    <w:rsid w:val="000F7C0D"/>
    <w:rsid w:val="001016D1"/>
    <w:rsid w:val="0010240E"/>
    <w:rsid w:val="001069F4"/>
    <w:rsid w:val="0010745C"/>
    <w:rsid w:val="0011206D"/>
    <w:rsid w:val="001123AD"/>
    <w:rsid w:val="00145DED"/>
    <w:rsid w:val="00166C2F"/>
    <w:rsid w:val="00172A3B"/>
    <w:rsid w:val="00181604"/>
    <w:rsid w:val="00182C9A"/>
    <w:rsid w:val="0018435F"/>
    <w:rsid w:val="001939E1"/>
    <w:rsid w:val="00195382"/>
    <w:rsid w:val="001A4129"/>
    <w:rsid w:val="001B0F61"/>
    <w:rsid w:val="001B1627"/>
    <w:rsid w:val="001B2DB8"/>
    <w:rsid w:val="001C69C4"/>
    <w:rsid w:val="001D07EB"/>
    <w:rsid w:val="001E3590"/>
    <w:rsid w:val="001E7407"/>
    <w:rsid w:val="0021250A"/>
    <w:rsid w:val="002277A0"/>
    <w:rsid w:val="00240749"/>
    <w:rsid w:val="00252FAB"/>
    <w:rsid w:val="002622C3"/>
    <w:rsid w:val="002758DA"/>
    <w:rsid w:val="00280FC7"/>
    <w:rsid w:val="00296415"/>
    <w:rsid w:val="00297ECB"/>
    <w:rsid w:val="002A123E"/>
    <w:rsid w:val="002B703C"/>
    <w:rsid w:val="002C085A"/>
    <w:rsid w:val="002C3E31"/>
    <w:rsid w:val="002D043A"/>
    <w:rsid w:val="002D7FA0"/>
    <w:rsid w:val="002F08B3"/>
    <w:rsid w:val="00313C6F"/>
    <w:rsid w:val="00313FAA"/>
    <w:rsid w:val="00325AE3"/>
    <w:rsid w:val="0033411C"/>
    <w:rsid w:val="00334771"/>
    <w:rsid w:val="003415D3"/>
    <w:rsid w:val="00350B34"/>
    <w:rsid w:val="00352B0F"/>
    <w:rsid w:val="003618E8"/>
    <w:rsid w:val="0036475A"/>
    <w:rsid w:val="003A3990"/>
    <w:rsid w:val="003B0F1E"/>
    <w:rsid w:val="003B2ADF"/>
    <w:rsid w:val="003C08D5"/>
    <w:rsid w:val="003C1457"/>
    <w:rsid w:val="003C2EBD"/>
    <w:rsid w:val="003D0317"/>
    <w:rsid w:val="003D0BFE"/>
    <w:rsid w:val="003D3E4C"/>
    <w:rsid w:val="003D5700"/>
    <w:rsid w:val="003F60D2"/>
    <w:rsid w:val="00402376"/>
    <w:rsid w:val="004043EE"/>
    <w:rsid w:val="0040616D"/>
    <w:rsid w:val="004116CD"/>
    <w:rsid w:val="00414771"/>
    <w:rsid w:val="004168B4"/>
    <w:rsid w:val="00424CA9"/>
    <w:rsid w:val="00427D10"/>
    <w:rsid w:val="00435AC5"/>
    <w:rsid w:val="0044291A"/>
    <w:rsid w:val="00461773"/>
    <w:rsid w:val="00462AD1"/>
    <w:rsid w:val="00496F97"/>
    <w:rsid w:val="004A4318"/>
    <w:rsid w:val="004D070B"/>
    <w:rsid w:val="004E3680"/>
    <w:rsid w:val="004F570E"/>
    <w:rsid w:val="005104CE"/>
    <w:rsid w:val="00516B8D"/>
    <w:rsid w:val="00531BAC"/>
    <w:rsid w:val="00532322"/>
    <w:rsid w:val="00533F6D"/>
    <w:rsid w:val="00537FBC"/>
    <w:rsid w:val="00543850"/>
    <w:rsid w:val="0054642C"/>
    <w:rsid w:val="00553A35"/>
    <w:rsid w:val="00573F09"/>
    <w:rsid w:val="0058106D"/>
    <w:rsid w:val="00584052"/>
    <w:rsid w:val="00584811"/>
    <w:rsid w:val="00593AA6"/>
    <w:rsid w:val="00594161"/>
    <w:rsid w:val="00594749"/>
    <w:rsid w:val="005A6F34"/>
    <w:rsid w:val="005B0851"/>
    <w:rsid w:val="005B4067"/>
    <w:rsid w:val="005C3793"/>
    <w:rsid w:val="005C3F41"/>
    <w:rsid w:val="005C5800"/>
    <w:rsid w:val="005D4DEA"/>
    <w:rsid w:val="00600219"/>
    <w:rsid w:val="00606553"/>
    <w:rsid w:val="0060687E"/>
    <w:rsid w:val="00611C2E"/>
    <w:rsid w:val="00612779"/>
    <w:rsid w:val="00617790"/>
    <w:rsid w:val="00626ED3"/>
    <w:rsid w:val="006444FB"/>
    <w:rsid w:val="0065106B"/>
    <w:rsid w:val="006527A6"/>
    <w:rsid w:val="006643D5"/>
    <w:rsid w:val="00664C63"/>
    <w:rsid w:val="006652FF"/>
    <w:rsid w:val="00677CC2"/>
    <w:rsid w:val="00681A4A"/>
    <w:rsid w:val="0069207B"/>
    <w:rsid w:val="00697631"/>
    <w:rsid w:val="006A741D"/>
    <w:rsid w:val="006B296B"/>
    <w:rsid w:val="006B51F1"/>
    <w:rsid w:val="006C7F8C"/>
    <w:rsid w:val="006D3764"/>
    <w:rsid w:val="006E1AAD"/>
    <w:rsid w:val="006E556E"/>
    <w:rsid w:val="006F1D1B"/>
    <w:rsid w:val="006F68F5"/>
    <w:rsid w:val="00700B2C"/>
    <w:rsid w:val="00701AB9"/>
    <w:rsid w:val="00713084"/>
    <w:rsid w:val="007173B8"/>
    <w:rsid w:val="007232CF"/>
    <w:rsid w:val="00730E58"/>
    <w:rsid w:val="00731E00"/>
    <w:rsid w:val="00732A85"/>
    <w:rsid w:val="00737B00"/>
    <w:rsid w:val="007440B7"/>
    <w:rsid w:val="0075226A"/>
    <w:rsid w:val="007627F4"/>
    <w:rsid w:val="00765416"/>
    <w:rsid w:val="007715C9"/>
    <w:rsid w:val="00774EDD"/>
    <w:rsid w:val="007757EC"/>
    <w:rsid w:val="00777190"/>
    <w:rsid w:val="00782D6A"/>
    <w:rsid w:val="007845BF"/>
    <w:rsid w:val="0078475D"/>
    <w:rsid w:val="00795FCE"/>
    <w:rsid w:val="007A2004"/>
    <w:rsid w:val="007A659A"/>
    <w:rsid w:val="007B081F"/>
    <w:rsid w:val="007B2BC8"/>
    <w:rsid w:val="007B3FF0"/>
    <w:rsid w:val="007C2695"/>
    <w:rsid w:val="007D05EC"/>
    <w:rsid w:val="007E4CC8"/>
    <w:rsid w:val="00804064"/>
    <w:rsid w:val="008063CF"/>
    <w:rsid w:val="00807BC3"/>
    <w:rsid w:val="008271F1"/>
    <w:rsid w:val="00830815"/>
    <w:rsid w:val="00836F2C"/>
    <w:rsid w:val="00852C2C"/>
    <w:rsid w:val="00856A31"/>
    <w:rsid w:val="0086646A"/>
    <w:rsid w:val="0087359F"/>
    <w:rsid w:val="008754D0"/>
    <w:rsid w:val="00883892"/>
    <w:rsid w:val="008A32D6"/>
    <w:rsid w:val="008A3E7E"/>
    <w:rsid w:val="008A6470"/>
    <w:rsid w:val="008B1EDA"/>
    <w:rsid w:val="008D0EE0"/>
    <w:rsid w:val="008E00AD"/>
    <w:rsid w:val="008E05CA"/>
    <w:rsid w:val="0090098B"/>
    <w:rsid w:val="00932377"/>
    <w:rsid w:val="00932FA3"/>
    <w:rsid w:val="00953A5D"/>
    <w:rsid w:val="0095602D"/>
    <w:rsid w:val="009620C2"/>
    <w:rsid w:val="00984BA9"/>
    <w:rsid w:val="0099001B"/>
    <w:rsid w:val="009C6629"/>
    <w:rsid w:val="009D0B53"/>
    <w:rsid w:val="009E12EB"/>
    <w:rsid w:val="009F1CE9"/>
    <w:rsid w:val="009F2240"/>
    <w:rsid w:val="00A05EE2"/>
    <w:rsid w:val="00A07470"/>
    <w:rsid w:val="00A120DD"/>
    <w:rsid w:val="00A15D65"/>
    <w:rsid w:val="00A231E2"/>
    <w:rsid w:val="00A25627"/>
    <w:rsid w:val="00A31D9E"/>
    <w:rsid w:val="00A415B9"/>
    <w:rsid w:val="00A50ED8"/>
    <w:rsid w:val="00A5530A"/>
    <w:rsid w:val="00A64912"/>
    <w:rsid w:val="00A64B06"/>
    <w:rsid w:val="00A67CB5"/>
    <w:rsid w:val="00A70A74"/>
    <w:rsid w:val="00AA5445"/>
    <w:rsid w:val="00AA5777"/>
    <w:rsid w:val="00AA5E7B"/>
    <w:rsid w:val="00AA7A1C"/>
    <w:rsid w:val="00AB3862"/>
    <w:rsid w:val="00AB5A90"/>
    <w:rsid w:val="00AB610C"/>
    <w:rsid w:val="00AD27B3"/>
    <w:rsid w:val="00AD45E9"/>
    <w:rsid w:val="00AD5641"/>
    <w:rsid w:val="00AD5FF3"/>
    <w:rsid w:val="00AE58A8"/>
    <w:rsid w:val="00AE59F7"/>
    <w:rsid w:val="00AE7BD7"/>
    <w:rsid w:val="00AF5E3E"/>
    <w:rsid w:val="00B05B68"/>
    <w:rsid w:val="00B05DED"/>
    <w:rsid w:val="00B26413"/>
    <w:rsid w:val="00B30BBF"/>
    <w:rsid w:val="00B33B3C"/>
    <w:rsid w:val="00B340B6"/>
    <w:rsid w:val="00B3608C"/>
    <w:rsid w:val="00B372A6"/>
    <w:rsid w:val="00B429C2"/>
    <w:rsid w:val="00B44B40"/>
    <w:rsid w:val="00B547C8"/>
    <w:rsid w:val="00B61C25"/>
    <w:rsid w:val="00B63748"/>
    <w:rsid w:val="00B70E56"/>
    <w:rsid w:val="00B858BF"/>
    <w:rsid w:val="00B859CD"/>
    <w:rsid w:val="00BA7DD3"/>
    <w:rsid w:val="00BC30F2"/>
    <w:rsid w:val="00BD02B5"/>
    <w:rsid w:val="00BD1655"/>
    <w:rsid w:val="00BE719A"/>
    <w:rsid w:val="00BE720A"/>
    <w:rsid w:val="00BF03C0"/>
    <w:rsid w:val="00C10AAE"/>
    <w:rsid w:val="00C26A44"/>
    <w:rsid w:val="00C26CC8"/>
    <w:rsid w:val="00C34BAE"/>
    <w:rsid w:val="00C42BF8"/>
    <w:rsid w:val="00C50043"/>
    <w:rsid w:val="00C51124"/>
    <w:rsid w:val="00C52CA3"/>
    <w:rsid w:val="00C53114"/>
    <w:rsid w:val="00C548CE"/>
    <w:rsid w:val="00C723B9"/>
    <w:rsid w:val="00C7573B"/>
    <w:rsid w:val="00C77D10"/>
    <w:rsid w:val="00C92438"/>
    <w:rsid w:val="00C9502E"/>
    <w:rsid w:val="00C972B3"/>
    <w:rsid w:val="00CB0EA8"/>
    <w:rsid w:val="00CB7A00"/>
    <w:rsid w:val="00CC7A09"/>
    <w:rsid w:val="00CD3227"/>
    <w:rsid w:val="00CD7133"/>
    <w:rsid w:val="00CE0E88"/>
    <w:rsid w:val="00CF0BB2"/>
    <w:rsid w:val="00CF4975"/>
    <w:rsid w:val="00D0246F"/>
    <w:rsid w:val="00D07EB6"/>
    <w:rsid w:val="00D13441"/>
    <w:rsid w:val="00D3213F"/>
    <w:rsid w:val="00D374CE"/>
    <w:rsid w:val="00D40252"/>
    <w:rsid w:val="00D4247B"/>
    <w:rsid w:val="00D567AA"/>
    <w:rsid w:val="00D64855"/>
    <w:rsid w:val="00D70DFB"/>
    <w:rsid w:val="00D7186F"/>
    <w:rsid w:val="00D766DF"/>
    <w:rsid w:val="00D818CE"/>
    <w:rsid w:val="00D81BF6"/>
    <w:rsid w:val="00D9284D"/>
    <w:rsid w:val="00DC505C"/>
    <w:rsid w:val="00DD314D"/>
    <w:rsid w:val="00E05704"/>
    <w:rsid w:val="00E1363F"/>
    <w:rsid w:val="00E23831"/>
    <w:rsid w:val="00E25486"/>
    <w:rsid w:val="00E25ECB"/>
    <w:rsid w:val="00E3720B"/>
    <w:rsid w:val="00E44B8E"/>
    <w:rsid w:val="00E50BE4"/>
    <w:rsid w:val="00E54CAB"/>
    <w:rsid w:val="00E74DC7"/>
    <w:rsid w:val="00E85CB9"/>
    <w:rsid w:val="00E94998"/>
    <w:rsid w:val="00EB2BD8"/>
    <w:rsid w:val="00EB653B"/>
    <w:rsid w:val="00ED1170"/>
    <w:rsid w:val="00ED1A6C"/>
    <w:rsid w:val="00EE6DCC"/>
    <w:rsid w:val="00EF2E3A"/>
    <w:rsid w:val="00EF468E"/>
    <w:rsid w:val="00EF72C1"/>
    <w:rsid w:val="00F0132A"/>
    <w:rsid w:val="00F07777"/>
    <w:rsid w:val="00F078DC"/>
    <w:rsid w:val="00F115BF"/>
    <w:rsid w:val="00F11882"/>
    <w:rsid w:val="00F5076A"/>
    <w:rsid w:val="00F543BE"/>
    <w:rsid w:val="00F5702C"/>
    <w:rsid w:val="00F71234"/>
    <w:rsid w:val="00F716ED"/>
    <w:rsid w:val="00F750AE"/>
    <w:rsid w:val="00F80FD7"/>
    <w:rsid w:val="00F8103A"/>
    <w:rsid w:val="00FA013F"/>
    <w:rsid w:val="00FA3991"/>
    <w:rsid w:val="00FB658C"/>
    <w:rsid w:val="00FC154F"/>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543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468E"/>
    <w:pPr>
      <w:spacing w:line="260" w:lineRule="atLeast"/>
    </w:pPr>
    <w:rPr>
      <w:sz w:val="22"/>
    </w:rPr>
  </w:style>
  <w:style w:type="paragraph" w:styleId="Heading1">
    <w:name w:val="heading 1"/>
    <w:basedOn w:val="Normal"/>
    <w:next w:val="Normal"/>
    <w:link w:val="Heading1Char"/>
    <w:uiPriority w:val="9"/>
    <w:qFormat/>
    <w:rsid w:val="001D07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07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07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07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07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07E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07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07E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D07E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468E"/>
  </w:style>
  <w:style w:type="paragraph" w:customStyle="1" w:styleId="OPCParaBase">
    <w:name w:val="OPCParaBase"/>
    <w:link w:val="OPCParaBaseChar"/>
    <w:qFormat/>
    <w:rsid w:val="00EF468E"/>
    <w:pPr>
      <w:spacing w:line="260" w:lineRule="atLeast"/>
    </w:pPr>
    <w:rPr>
      <w:rFonts w:eastAsia="Times New Roman" w:cs="Times New Roman"/>
      <w:sz w:val="22"/>
      <w:lang w:eastAsia="en-AU"/>
    </w:rPr>
  </w:style>
  <w:style w:type="paragraph" w:customStyle="1" w:styleId="ShortT">
    <w:name w:val="ShortT"/>
    <w:basedOn w:val="OPCParaBase"/>
    <w:next w:val="Normal"/>
    <w:qFormat/>
    <w:rsid w:val="00EF468E"/>
    <w:pPr>
      <w:spacing w:line="240" w:lineRule="auto"/>
    </w:pPr>
    <w:rPr>
      <w:b/>
      <w:sz w:val="40"/>
    </w:rPr>
  </w:style>
  <w:style w:type="paragraph" w:customStyle="1" w:styleId="ActHead1">
    <w:name w:val="ActHead 1"/>
    <w:aliases w:val="c"/>
    <w:basedOn w:val="OPCParaBase"/>
    <w:next w:val="Normal"/>
    <w:qFormat/>
    <w:rsid w:val="00EF46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46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46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46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F46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46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46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46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EF468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F468E"/>
  </w:style>
  <w:style w:type="paragraph" w:customStyle="1" w:styleId="Blocks">
    <w:name w:val="Blocks"/>
    <w:aliases w:val="bb"/>
    <w:basedOn w:val="OPCParaBase"/>
    <w:qFormat/>
    <w:rsid w:val="00EF468E"/>
    <w:pPr>
      <w:spacing w:line="240" w:lineRule="auto"/>
    </w:pPr>
    <w:rPr>
      <w:sz w:val="24"/>
    </w:rPr>
  </w:style>
  <w:style w:type="paragraph" w:customStyle="1" w:styleId="BoxText">
    <w:name w:val="BoxText"/>
    <w:aliases w:val="bt"/>
    <w:basedOn w:val="OPCParaBase"/>
    <w:qFormat/>
    <w:rsid w:val="00EF46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468E"/>
    <w:rPr>
      <w:b/>
    </w:rPr>
  </w:style>
  <w:style w:type="paragraph" w:customStyle="1" w:styleId="BoxHeadItalic">
    <w:name w:val="BoxHeadItalic"/>
    <w:aliases w:val="bhi"/>
    <w:basedOn w:val="BoxText"/>
    <w:next w:val="BoxStep"/>
    <w:qFormat/>
    <w:rsid w:val="00EF468E"/>
    <w:rPr>
      <w:i/>
    </w:rPr>
  </w:style>
  <w:style w:type="paragraph" w:customStyle="1" w:styleId="BoxList">
    <w:name w:val="BoxList"/>
    <w:aliases w:val="bl"/>
    <w:basedOn w:val="BoxText"/>
    <w:qFormat/>
    <w:rsid w:val="00EF468E"/>
    <w:pPr>
      <w:ind w:left="1559" w:hanging="425"/>
    </w:pPr>
  </w:style>
  <w:style w:type="paragraph" w:customStyle="1" w:styleId="BoxNote">
    <w:name w:val="BoxNote"/>
    <w:aliases w:val="bn"/>
    <w:basedOn w:val="BoxText"/>
    <w:qFormat/>
    <w:rsid w:val="00EF468E"/>
    <w:pPr>
      <w:tabs>
        <w:tab w:val="left" w:pos="1985"/>
      </w:tabs>
      <w:spacing w:before="122" w:line="198" w:lineRule="exact"/>
      <w:ind w:left="2948" w:hanging="1814"/>
    </w:pPr>
    <w:rPr>
      <w:sz w:val="18"/>
    </w:rPr>
  </w:style>
  <w:style w:type="paragraph" w:customStyle="1" w:styleId="BoxPara">
    <w:name w:val="BoxPara"/>
    <w:aliases w:val="bp"/>
    <w:basedOn w:val="BoxText"/>
    <w:qFormat/>
    <w:rsid w:val="00EF468E"/>
    <w:pPr>
      <w:tabs>
        <w:tab w:val="right" w:pos="2268"/>
      </w:tabs>
      <w:ind w:left="2552" w:hanging="1418"/>
    </w:pPr>
  </w:style>
  <w:style w:type="paragraph" w:customStyle="1" w:styleId="BoxStep">
    <w:name w:val="BoxStep"/>
    <w:aliases w:val="bs"/>
    <w:basedOn w:val="BoxText"/>
    <w:qFormat/>
    <w:rsid w:val="00EF468E"/>
    <w:pPr>
      <w:ind w:left="1985" w:hanging="851"/>
    </w:pPr>
  </w:style>
  <w:style w:type="character" w:customStyle="1" w:styleId="CharAmPartNo">
    <w:name w:val="CharAmPartNo"/>
    <w:basedOn w:val="OPCCharBase"/>
    <w:qFormat/>
    <w:rsid w:val="00EF468E"/>
  </w:style>
  <w:style w:type="character" w:customStyle="1" w:styleId="CharAmPartText">
    <w:name w:val="CharAmPartText"/>
    <w:basedOn w:val="OPCCharBase"/>
    <w:qFormat/>
    <w:rsid w:val="00EF468E"/>
  </w:style>
  <w:style w:type="character" w:customStyle="1" w:styleId="CharAmSchNo">
    <w:name w:val="CharAmSchNo"/>
    <w:basedOn w:val="OPCCharBase"/>
    <w:qFormat/>
    <w:rsid w:val="00EF468E"/>
  </w:style>
  <w:style w:type="character" w:customStyle="1" w:styleId="CharAmSchText">
    <w:name w:val="CharAmSchText"/>
    <w:basedOn w:val="OPCCharBase"/>
    <w:qFormat/>
    <w:rsid w:val="00EF468E"/>
  </w:style>
  <w:style w:type="character" w:customStyle="1" w:styleId="CharBoldItalic">
    <w:name w:val="CharBoldItalic"/>
    <w:basedOn w:val="OPCCharBase"/>
    <w:uiPriority w:val="1"/>
    <w:qFormat/>
    <w:rsid w:val="00EF468E"/>
    <w:rPr>
      <w:b/>
      <w:i/>
    </w:rPr>
  </w:style>
  <w:style w:type="character" w:customStyle="1" w:styleId="CharChapNo">
    <w:name w:val="CharChapNo"/>
    <w:basedOn w:val="OPCCharBase"/>
    <w:uiPriority w:val="1"/>
    <w:qFormat/>
    <w:rsid w:val="00EF468E"/>
  </w:style>
  <w:style w:type="character" w:customStyle="1" w:styleId="CharChapText">
    <w:name w:val="CharChapText"/>
    <w:basedOn w:val="OPCCharBase"/>
    <w:uiPriority w:val="1"/>
    <w:qFormat/>
    <w:rsid w:val="00EF468E"/>
  </w:style>
  <w:style w:type="character" w:customStyle="1" w:styleId="CharDivNo">
    <w:name w:val="CharDivNo"/>
    <w:basedOn w:val="OPCCharBase"/>
    <w:uiPriority w:val="1"/>
    <w:qFormat/>
    <w:rsid w:val="00EF468E"/>
  </w:style>
  <w:style w:type="character" w:customStyle="1" w:styleId="CharDivText">
    <w:name w:val="CharDivText"/>
    <w:basedOn w:val="OPCCharBase"/>
    <w:uiPriority w:val="1"/>
    <w:qFormat/>
    <w:rsid w:val="00EF468E"/>
  </w:style>
  <w:style w:type="character" w:customStyle="1" w:styleId="CharItalic">
    <w:name w:val="CharItalic"/>
    <w:basedOn w:val="OPCCharBase"/>
    <w:uiPriority w:val="1"/>
    <w:qFormat/>
    <w:rsid w:val="00EF468E"/>
    <w:rPr>
      <w:i/>
    </w:rPr>
  </w:style>
  <w:style w:type="character" w:customStyle="1" w:styleId="CharPartNo">
    <w:name w:val="CharPartNo"/>
    <w:basedOn w:val="OPCCharBase"/>
    <w:uiPriority w:val="1"/>
    <w:qFormat/>
    <w:rsid w:val="00EF468E"/>
  </w:style>
  <w:style w:type="character" w:customStyle="1" w:styleId="CharPartText">
    <w:name w:val="CharPartText"/>
    <w:basedOn w:val="OPCCharBase"/>
    <w:uiPriority w:val="1"/>
    <w:qFormat/>
    <w:rsid w:val="00EF468E"/>
  </w:style>
  <w:style w:type="character" w:customStyle="1" w:styleId="CharSectno">
    <w:name w:val="CharSectno"/>
    <w:basedOn w:val="OPCCharBase"/>
    <w:qFormat/>
    <w:rsid w:val="00EF468E"/>
  </w:style>
  <w:style w:type="character" w:customStyle="1" w:styleId="CharSubdNo">
    <w:name w:val="CharSubdNo"/>
    <w:basedOn w:val="OPCCharBase"/>
    <w:uiPriority w:val="1"/>
    <w:qFormat/>
    <w:rsid w:val="00EF468E"/>
  </w:style>
  <w:style w:type="character" w:customStyle="1" w:styleId="CharSubdText">
    <w:name w:val="CharSubdText"/>
    <w:basedOn w:val="OPCCharBase"/>
    <w:uiPriority w:val="1"/>
    <w:qFormat/>
    <w:rsid w:val="00EF468E"/>
  </w:style>
  <w:style w:type="paragraph" w:customStyle="1" w:styleId="CTA--">
    <w:name w:val="CTA --"/>
    <w:basedOn w:val="OPCParaBase"/>
    <w:next w:val="Normal"/>
    <w:rsid w:val="00EF468E"/>
    <w:pPr>
      <w:spacing w:before="60" w:line="240" w:lineRule="atLeast"/>
      <w:ind w:left="142" w:hanging="142"/>
    </w:pPr>
    <w:rPr>
      <w:sz w:val="20"/>
    </w:rPr>
  </w:style>
  <w:style w:type="paragraph" w:customStyle="1" w:styleId="CTA-">
    <w:name w:val="CTA -"/>
    <w:basedOn w:val="OPCParaBase"/>
    <w:rsid w:val="00EF468E"/>
    <w:pPr>
      <w:spacing w:before="60" w:line="240" w:lineRule="atLeast"/>
      <w:ind w:left="85" w:hanging="85"/>
    </w:pPr>
    <w:rPr>
      <w:sz w:val="20"/>
    </w:rPr>
  </w:style>
  <w:style w:type="paragraph" w:customStyle="1" w:styleId="CTA---">
    <w:name w:val="CTA ---"/>
    <w:basedOn w:val="OPCParaBase"/>
    <w:next w:val="Normal"/>
    <w:rsid w:val="00EF468E"/>
    <w:pPr>
      <w:spacing w:before="60" w:line="240" w:lineRule="atLeast"/>
      <w:ind w:left="198" w:hanging="198"/>
    </w:pPr>
    <w:rPr>
      <w:sz w:val="20"/>
    </w:rPr>
  </w:style>
  <w:style w:type="paragraph" w:customStyle="1" w:styleId="CTA----">
    <w:name w:val="CTA ----"/>
    <w:basedOn w:val="OPCParaBase"/>
    <w:next w:val="Normal"/>
    <w:rsid w:val="00EF468E"/>
    <w:pPr>
      <w:spacing w:before="60" w:line="240" w:lineRule="atLeast"/>
      <w:ind w:left="255" w:hanging="255"/>
    </w:pPr>
    <w:rPr>
      <w:sz w:val="20"/>
    </w:rPr>
  </w:style>
  <w:style w:type="paragraph" w:customStyle="1" w:styleId="CTA1a">
    <w:name w:val="CTA 1(a)"/>
    <w:basedOn w:val="OPCParaBase"/>
    <w:rsid w:val="00EF468E"/>
    <w:pPr>
      <w:tabs>
        <w:tab w:val="right" w:pos="414"/>
      </w:tabs>
      <w:spacing w:before="40" w:line="240" w:lineRule="atLeast"/>
      <w:ind w:left="675" w:hanging="675"/>
    </w:pPr>
    <w:rPr>
      <w:sz w:val="20"/>
    </w:rPr>
  </w:style>
  <w:style w:type="paragraph" w:customStyle="1" w:styleId="CTA1ai">
    <w:name w:val="CTA 1(a)(i)"/>
    <w:basedOn w:val="OPCParaBase"/>
    <w:rsid w:val="00EF468E"/>
    <w:pPr>
      <w:tabs>
        <w:tab w:val="right" w:pos="1004"/>
      </w:tabs>
      <w:spacing w:before="40" w:line="240" w:lineRule="atLeast"/>
      <w:ind w:left="1253" w:hanging="1253"/>
    </w:pPr>
    <w:rPr>
      <w:sz w:val="20"/>
    </w:rPr>
  </w:style>
  <w:style w:type="paragraph" w:customStyle="1" w:styleId="CTA2a">
    <w:name w:val="CTA 2(a)"/>
    <w:basedOn w:val="OPCParaBase"/>
    <w:rsid w:val="00EF468E"/>
    <w:pPr>
      <w:tabs>
        <w:tab w:val="right" w:pos="482"/>
      </w:tabs>
      <w:spacing w:before="40" w:line="240" w:lineRule="atLeast"/>
      <w:ind w:left="748" w:hanging="748"/>
    </w:pPr>
    <w:rPr>
      <w:sz w:val="20"/>
    </w:rPr>
  </w:style>
  <w:style w:type="paragraph" w:customStyle="1" w:styleId="CTA2ai">
    <w:name w:val="CTA 2(a)(i)"/>
    <w:basedOn w:val="OPCParaBase"/>
    <w:rsid w:val="00EF468E"/>
    <w:pPr>
      <w:tabs>
        <w:tab w:val="right" w:pos="1089"/>
      </w:tabs>
      <w:spacing w:before="40" w:line="240" w:lineRule="atLeast"/>
      <w:ind w:left="1327" w:hanging="1327"/>
    </w:pPr>
    <w:rPr>
      <w:sz w:val="20"/>
    </w:rPr>
  </w:style>
  <w:style w:type="paragraph" w:customStyle="1" w:styleId="CTA3a">
    <w:name w:val="CTA 3(a)"/>
    <w:basedOn w:val="OPCParaBase"/>
    <w:rsid w:val="00EF468E"/>
    <w:pPr>
      <w:tabs>
        <w:tab w:val="right" w:pos="556"/>
      </w:tabs>
      <w:spacing w:before="40" w:line="240" w:lineRule="atLeast"/>
      <w:ind w:left="805" w:hanging="805"/>
    </w:pPr>
    <w:rPr>
      <w:sz w:val="20"/>
    </w:rPr>
  </w:style>
  <w:style w:type="paragraph" w:customStyle="1" w:styleId="CTA3ai">
    <w:name w:val="CTA 3(a)(i)"/>
    <w:basedOn w:val="OPCParaBase"/>
    <w:rsid w:val="00EF468E"/>
    <w:pPr>
      <w:tabs>
        <w:tab w:val="right" w:pos="1140"/>
      </w:tabs>
      <w:spacing w:before="40" w:line="240" w:lineRule="atLeast"/>
      <w:ind w:left="1361" w:hanging="1361"/>
    </w:pPr>
    <w:rPr>
      <w:sz w:val="20"/>
    </w:rPr>
  </w:style>
  <w:style w:type="paragraph" w:customStyle="1" w:styleId="CTA4a">
    <w:name w:val="CTA 4(a)"/>
    <w:basedOn w:val="OPCParaBase"/>
    <w:rsid w:val="00EF468E"/>
    <w:pPr>
      <w:tabs>
        <w:tab w:val="right" w:pos="624"/>
      </w:tabs>
      <w:spacing w:before="40" w:line="240" w:lineRule="atLeast"/>
      <w:ind w:left="873" w:hanging="873"/>
    </w:pPr>
    <w:rPr>
      <w:sz w:val="20"/>
    </w:rPr>
  </w:style>
  <w:style w:type="paragraph" w:customStyle="1" w:styleId="CTA4ai">
    <w:name w:val="CTA 4(a)(i)"/>
    <w:basedOn w:val="OPCParaBase"/>
    <w:rsid w:val="00EF468E"/>
    <w:pPr>
      <w:tabs>
        <w:tab w:val="right" w:pos="1213"/>
      </w:tabs>
      <w:spacing w:before="40" w:line="240" w:lineRule="atLeast"/>
      <w:ind w:left="1452" w:hanging="1452"/>
    </w:pPr>
    <w:rPr>
      <w:sz w:val="20"/>
    </w:rPr>
  </w:style>
  <w:style w:type="paragraph" w:customStyle="1" w:styleId="CTACAPS">
    <w:name w:val="CTA CAPS"/>
    <w:basedOn w:val="OPCParaBase"/>
    <w:rsid w:val="00EF468E"/>
    <w:pPr>
      <w:spacing w:before="60" w:line="240" w:lineRule="atLeast"/>
    </w:pPr>
    <w:rPr>
      <w:sz w:val="20"/>
    </w:rPr>
  </w:style>
  <w:style w:type="paragraph" w:customStyle="1" w:styleId="CTAright">
    <w:name w:val="CTA right"/>
    <w:basedOn w:val="OPCParaBase"/>
    <w:rsid w:val="00EF468E"/>
    <w:pPr>
      <w:spacing w:before="60" w:line="240" w:lineRule="auto"/>
      <w:jc w:val="right"/>
    </w:pPr>
    <w:rPr>
      <w:sz w:val="20"/>
    </w:rPr>
  </w:style>
  <w:style w:type="paragraph" w:customStyle="1" w:styleId="subsection">
    <w:name w:val="subsection"/>
    <w:aliases w:val="ss"/>
    <w:basedOn w:val="OPCParaBase"/>
    <w:link w:val="subsectionChar"/>
    <w:rsid w:val="00EF468E"/>
    <w:pPr>
      <w:tabs>
        <w:tab w:val="right" w:pos="1021"/>
      </w:tabs>
      <w:spacing w:before="180" w:line="240" w:lineRule="auto"/>
      <w:ind w:left="1134" w:hanging="1134"/>
    </w:pPr>
  </w:style>
  <w:style w:type="paragraph" w:customStyle="1" w:styleId="Definition">
    <w:name w:val="Definition"/>
    <w:aliases w:val="dd"/>
    <w:basedOn w:val="OPCParaBase"/>
    <w:rsid w:val="00EF468E"/>
    <w:pPr>
      <w:spacing w:before="180" w:line="240" w:lineRule="auto"/>
      <w:ind w:left="1134"/>
    </w:pPr>
  </w:style>
  <w:style w:type="paragraph" w:customStyle="1" w:styleId="ETAsubitem">
    <w:name w:val="ETA(subitem)"/>
    <w:basedOn w:val="OPCParaBase"/>
    <w:rsid w:val="00EF468E"/>
    <w:pPr>
      <w:tabs>
        <w:tab w:val="right" w:pos="340"/>
      </w:tabs>
      <w:spacing w:before="60" w:line="240" w:lineRule="auto"/>
      <w:ind w:left="454" w:hanging="454"/>
    </w:pPr>
    <w:rPr>
      <w:sz w:val="20"/>
    </w:rPr>
  </w:style>
  <w:style w:type="paragraph" w:customStyle="1" w:styleId="ETApara">
    <w:name w:val="ETA(para)"/>
    <w:basedOn w:val="OPCParaBase"/>
    <w:rsid w:val="00EF468E"/>
    <w:pPr>
      <w:tabs>
        <w:tab w:val="right" w:pos="754"/>
      </w:tabs>
      <w:spacing w:before="60" w:line="240" w:lineRule="auto"/>
      <w:ind w:left="828" w:hanging="828"/>
    </w:pPr>
    <w:rPr>
      <w:sz w:val="20"/>
    </w:rPr>
  </w:style>
  <w:style w:type="paragraph" w:customStyle="1" w:styleId="ETAsubpara">
    <w:name w:val="ETA(subpara)"/>
    <w:basedOn w:val="OPCParaBase"/>
    <w:rsid w:val="00EF468E"/>
    <w:pPr>
      <w:tabs>
        <w:tab w:val="right" w:pos="1083"/>
      </w:tabs>
      <w:spacing w:before="60" w:line="240" w:lineRule="auto"/>
      <w:ind w:left="1191" w:hanging="1191"/>
    </w:pPr>
    <w:rPr>
      <w:sz w:val="20"/>
    </w:rPr>
  </w:style>
  <w:style w:type="paragraph" w:customStyle="1" w:styleId="ETAsub-subpara">
    <w:name w:val="ETA(sub-subpara)"/>
    <w:basedOn w:val="OPCParaBase"/>
    <w:rsid w:val="00EF468E"/>
    <w:pPr>
      <w:tabs>
        <w:tab w:val="right" w:pos="1412"/>
      </w:tabs>
      <w:spacing w:before="60" w:line="240" w:lineRule="auto"/>
      <w:ind w:left="1525" w:hanging="1525"/>
    </w:pPr>
    <w:rPr>
      <w:sz w:val="20"/>
    </w:rPr>
  </w:style>
  <w:style w:type="paragraph" w:customStyle="1" w:styleId="Formula">
    <w:name w:val="Formula"/>
    <w:basedOn w:val="OPCParaBase"/>
    <w:rsid w:val="00EF468E"/>
    <w:pPr>
      <w:spacing w:line="240" w:lineRule="auto"/>
      <w:ind w:left="1134"/>
    </w:pPr>
    <w:rPr>
      <w:sz w:val="20"/>
    </w:rPr>
  </w:style>
  <w:style w:type="paragraph" w:styleId="Header">
    <w:name w:val="header"/>
    <w:basedOn w:val="OPCParaBase"/>
    <w:link w:val="HeaderChar"/>
    <w:unhideWhenUsed/>
    <w:rsid w:val="00EF46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468E"/>
    <w:rPr>
      <w:rFonts w:eastAsia="Times New Roman" w:cs="Times New Roman"/>
      <w:sz w:val="16"/>
      <w:lang w:eastAsia="en-AU"/>
    </w:rPr>
  </w:style>
  <w:style w:type="paragraph" w:customStyle="1" w:styleId="House">
    <w:name w:val="House"/>
    <w:basedOn w:val="OPCParaBase"/>
    <w:rsid w:val="00EF468E"/>
    <w:pPr>
      <w:spacing w:line="240" w:lineRule="auto"/>
    </w:pPr>
    <w:rPr>
      <w:sz w:val="28"/>
    </w:rPr>
  </w:style>
  <w:style w:type="paragraph" w:customStyle="1" w:styleId="Item">
    <w:name w:val="Item"/>
    <w:aliases w:val="i"/>
    <w:basedOn w:val="OPCParaBase"/>
    <w:next w:val="ItemHead"/>
    <w:link w:val="ItemChar"/>
    <w:rsid w:val="00EF468E"/>
    <w:pPr>
      <w:keepLines/>
      <w:spacing w:before="80" w:line="240" w:lineRule="auto"/>
      <w:ind w:left="709"/>
    </w:pPr>
  </w:style>
  <w:style w:type="paragraph" w:customStyle="1" w:styleId="ItemHead">
    <w:name w:val="ItemHead"/>
    <w:aliases w:val="ih"/>
    <w:basedOn w:val="OPCParaBase"/>
    <w:next w:val="Item"/>
    <w:link w:val="ItemHeadChar"/>
    <w:rsid w:val="00EF46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468E"/>
    <w:pPr>
      <w:spacing w:line="240" w:lineRule="auto"/>
    </w:pPr>
    <w:rPr>
      <w:b/>
      <w:sz w:val="32"/>
    </w:rPr>
  </w:style>
  <w:style w:type="paragraph" w:customStyle="1" w:styleId="notedraft">
    <w:name w:val="note(draft)"/>
    <w:aliases w:val="nd"/>
    <w:basedOn w:val="OPCParaBase"/>
    <w:rsid w:val="00EF468E"/>
    <w:pPr>
      <w:spacing w:before="240" w:line="240" w:lineRule="auto"/>
      <w:ind w:left="284" w:hanging="284"/>
    </w:pPr>
    <w:rPr>
      <w:i/>
      <w:sz w:val="24"/>
    </w:rPr>
  </w:style>
  <w:style w:type="paragraph" w:customStyle="1" w:styleId="notemargin">
    <w:name w:val="note(margin)"/>
    <w:aliases w:val="nm"/>
    <w:basedOn w:val="OPCParaBase"/>
    <w:rsid w:val="00EF468E"/>
    <w:pPr>
      <w:tabs>
        <w:tab w:val="left" w:pos="709"/>
      </w:tabs>
      <w:spacing w:before="122" w:line="198" w:lineRule="exact"/>
      <w:ind w:left="709" w:hanging="709"/>
    </w:pPr>
    <w:rPr>
      <w:sz w:val="18"/>
    </w:rPr>
  </w:style>
  <w:style w:type="paragraph" w:customStyle="1" w:styleId="noteToPara">
    <w:name w:val="noteToPara"/>
    <w:aliases w:val="ntp"/>
    <w:basedOn w:val="OPCParaBase"/>
    <w:rsid w:val="00EF468E"/>
    <w:pPr>
      <w:spacing w:before="122" w:line="198" w:lineRule="exact"/>
      <w:ind w:left="2353" w:hanging="709"/>
    </w:pPr>
    <w:rPr>
      <w:sz w:val="18"/>
    </w:rPr>
  </w:style>
  <w:style w:type="paragraph" w:customStyle="1" w:styleId="noteParlAmend">
    <w:name w:val="note(ParlAmend)"/>
    <w:aliases w:val="npp"/>
    <w:basedOn w:val="OPCParaBase"/>
    <w:next w:val="ParlAmend"/>
    <w:rsid w:val="00EF468E"/>
    <w:pPr>
      <w:spacing w:line="240" w:lineRule="auto"/>
      <w:jc w:val="right"/>
    </w:pPr>
    <w:rPr>
      <w:rFonts w:ascii="Arial" w:hAnsi="Arial"/>
      <w:b/>
      <w:i/>
    </w:rPr>
  </w:style>
  <w:style w:type="paragraph" w:customStyle="1" w:styleId="Page1">
    <w:name w:val="Page1"/>
    <w:basedOn w:val="OPCParaBase"/>
    <w:rsid w:val="00EF468E"/>
    <w:pPr>
      <w:spacing w:before="5600" w:line="240" w:lineRule="auto"/>
    </w:pPr>
    <w:rPr>
      <w:b/>
      <w:sz w:val="32"/>
    </w:rPr>
  </w:style>
  <w:style w:type="paragraph" w:customStyle="1" w:styleId="PageBreak">
    <w:name w:val="PageBreak"/>
    <w:aliases w:val="pb"/>
    <w:basedOn w:val="OPCParaBase"/>
    <w:rsid w:val="00EF468E"/>
    <w:pPr>
      <w:spacing w:line="240" w:lineRule="auto"/>
    </w:pPr>
    <w:rPr>
      <w:sz w:val="20"/>
    </w:rPr>
  </w:style>
  <w:style w:type="paragraph" w:customStyle="1" w:styleId="paragraphsub">
    <w:name w:val="paragraph(sub)"/>
    <w:aliases w:val="aa"/>
    <w:basedOn w:val="OPCParaBase"/>
    <w:rsid w:val="00EF468E"/>
    <w:pPr>
      <w:tabs>
        <w:tab w:val="right" w:pos="1985"/>
      </w:tabs>
      <w:spacing w:before="40" w:line="240" w:lineRule="auto"/>
      <w:ind w:left="2098" w:hanging="2098"/>
    </w:pPr>
  </w:style>
  <w:style w:type="paragraph" w:customStyle="1" w:styleId="paragraphsub-sub">
    <w:name w:val="paragraph(sub-sub)"/>
    <w:aliases w:val="aaa"/>
    <w:basedOn w:val="OPCParaBase"/>
    <w:rsid w:val="00EF468E"/>
    <w:pPr>
      <w:tabs>
        <w:tab w:val="right" w:pos="2722"/>
      </w:tabs>
      <w:spacing w:before="40" w:line="240" w:lineRule="auto"/>
      <w:ind w:left="2835" w:hanging="2835"/>
    </w:pPr>
  </w:style>
  <w:style w:type="paragraph" w:customStyle="1" w:styleId="paragraph">
    <w:name w:val="paragraph"/>
    <w:aliases w:val="a"/>
    <w:basedOn w:val="OPCParaBase"/>
    <w:link w:val="paragraphChar"/>
    <w:rsid w:val="00EF468E"/>
    <w:pPr>
      <w:tabs>
        <w:tab w:val="right" w:pos="1531"/>
      </w:tabs>
      <w:spacing w:before="40" w:line="240" w:lineRule="auto"/>
      <w:ind w:left="1644" w:hanging="1644"/>
    </w:pPr>
  </w:style>
  <w:style w:type="paragraph" w:customStyle="1" w:styleId="ParlAmend">
    <w:name w:val="ParlAmend"/>
    <w:aliases w:val="pp"/>
    <w:basedOn w:val="OPCParaBase"/>
    <w:rsid w:val="00EF468E"/>
    <w:pPr>
      <w:spacing w:before="240" w:line="240" w:lineRule="atLeast"/>
      <w:ind w:hanging="567"/>
    </w:pPr>
    <w:rPr>
      <w:sz w:val="24"/>
    </w:rPr>
  </w:style>
  <w:style w:type="paragraph" w:customStyle="1" w:styleId="Penalty">
    <w:name w:val="Penalty"/>
    <w:basedOn w:val="OPCParaBase"/>
    <w:rsid w:val="00EF468E"/>
    <w:pPr>
      <w:tabs>
        <w:tab w:val="left" w:pos="2977"/>
      </w:tabs>
      <w:spacing w:before="180" w:line="240" w:lineRule="auto"/>
      <w:ind w:left="1985" w:hanging="851"/>
    </w:pPr>
  </w:style>
  <w:style w:type="paragraph" w:customStyle="1" w:styleId="Portfolio">
    <w:name w:val="Portfolio"/>
    <w:basedOn w:val="OPCParaBase"/>
    <w:rsid w:val="00EF468E"/>
    <w:pPr>
      <w:spacing w:line="240" w:lineRule="auto"/>
    </w:pPr>
    <w:rPr>
      <w:i/>
      <w:sz w:val="20"/>
    </w:rPr>
  </w:style>
  <w:style w:type="paragraph" w:customStyle="1" w:styleId="Preamble">
    <w:name w:val="Preamble"/>
    <w:basedOn w:val="OPCParaBase"/>
    <w:next w:val="Normal"/>
    <w:rsid w:val="00EF46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468E"/>
    <w:pPr>
      <w:spacing w:line="240" w:lineRule="auto"/>
    </w:pPr>
    <w:rPr>
      <w:i/>
      <w:sz w:val="20"/>
    </w:rPr>
  </w:style>
  <w:style w:type="paragraph" w:customStyle="1" w:styleId="Session">
    <w:name w:val="Session"/>
    <w:basedOn w:val="OPCParaBase"/>
    <w:rsid w:val="00EF468E"/>
    <w:pPr>
      <w:spacing w:line="240" w:lineRule="auto"/>
    </w:pPr>
    <w:rPr>
      <w:sz w:val="28"/>
    </w:rPr>
  </w:style>
  <w:style w:type="paragraph" w:customStyle="1" w:styleId="Sponsor">
    <w:name w:val="Sponsor"/>
    <w:basedOn w:val="OPCParaBase"/>
    <w:rsid w:val="00EF468E"/>
    <w:pPr>
      <w:spacing w:line="240" w:lineRule="auto"/>
    </w:pPr>
    <w:rPr>
      <w:i/>
    </w:rPr>
  </w:style>
  <w:style w:type="paragraph" w:customStyle="1" w:styleId="Subitem">
    <w:name w:val="Subitem"/>
    <w:aliases w:val="iss"/>
    <w:basedOn w:val="OPCParaBase"/>
    <w:rsid w:val="00EF468E"/>
    <w:pPr>
      <w:spacing w:before="180" w:line="240" w:lineRule="auto"/>
      <w:ind w:left="709" w:hanging="709"/>
    </w:pPr>
  </w:style>
  <w:style w:type="paragraph" w:customStyle="1" w:styleId="SubitemHead">
    <w:name w:val="SubitemHead"/>
    <w:aliases w:val="issh"/>
    <w:basedOn w:val="OPCParaBase"/>
    <w:rsid w:val="00EF46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468E"/>
    <w:pPr>
      <w:spacing w:before="40" w:line="240" w:lineRule="auto"/>
      <w:ind w:left="1134"/>
    </w:pPr>
  </w:style>
  <w:style w:type="paragraph" w:customStyle="1" w:styleId="SubsectionHead">
    <w:name w:val="SubsectionHead"/>
    <w:aliases w:val="ssh"/>
    <w:basedOn w:val="OPCParaBase"/>
    <w:next w:val="subsection"/>
    <w:rsid w:val="00EF468E"/>
    <w:pPr>
      <w:keepNext/>
      <w:keepLines/>
      <w:spacing w:before="240" w:line="240" w:lineRule="auto"/>
      <w:ind w:left="1134"/>
    </w:pPr>
    <w:rPr>
      <w:i/>
    </w:rPr>
  </w:style>
  <w:style w:type="paragraph" w:customStyle="1" w:styleId="Tablea">
    <w:name w:val="Table(a)"/>
    <w:aliases w:val="ta"/>
    <w:basedOn w:val="OPCParaBase"/>
    <w:rsid w:val="00EF468E"/>
    <w:pPr>
      <w:spacing w:before="60" w:line="240" w:lineRule="auto"/>
      <w:ind w:left="284" w:hanging="284"/>
    </w:pPr>
    <w:rPr>
      <w:sz w:val="20"/>
    </w:rPr>
  </w:style>
  <w:style w:type="paragraph" w:customStyle="1" w:styleId="TableAA">
    <w:name w:val="Table(AA)"/>
    <w:aliases w:val="taaa"/>
    <w:basedOn w:val="OPCParaBase"/>
    <w:rsid w:val="00EF46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46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468E"/>
    <w:pPr>
      <w:spacing w:before="60" w:line="240" w:lineRule="atLeast"/>
    </w:pPr>
    <w:rPr>
      <w:sz w:val="20"/>
    </w:rPr>
  </w:style>
  <w:style w:type="paragraph" w:customStyle="1" w:styleId="TLPBoxTextnote">
    <w:name w:val="TLPBoxText(note"/>
    <w:aliases w:val="right)"/>
    <w:basedOn w:val="OPCParaBase"/>
    <w:rsid w:val="00EF46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46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468E"/>
    <w:pPr>
      <w:spacing w:before="122" w:line="198" w:lineRule="exact"/>
      <w:ind w:left="1985" w:hanging="851"/>
      <w:jc w:val="right"/>
    </w:pPr>
    <w:rPr>
      <w:sz w:val="18"/>
    </w:rPr>
  </w:style>
  <w:style w:type="paragraph" w:customStyle="1" w:styleId="TLPTableBullet">
    <w:name w:val="TLPTableBullet"/>
    <w:aliases w:val="ttb"/>
    <w:basedOn w:val="OPCParaBase"/>
    <w:rsid w:val="00EF468E"/>
    <w:pPr>
      <w:spacing w:line="240" w:lineRule="exact"/>
      <w:ind w:left="284" w:hanging="284"/>
    </w:pPr>
    <w:rPr>
      <w:sz w:val="20"/>
    </w:rPr>
  </w:style>
  <w:style w:type="paragraph" w:styleId="TOC1">
    <w:name w:val="toc 1"/>
    <w:basedOn w:val="OPCParaBase"/>
    <w:next w:val="Normal"/>
    <w:uiPriority w:val="39"/>
    <w:semiHidden/>
    <w:unhideWhenUsed/>
    <w:rsid w:val="00EF468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F468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F468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F468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F468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F468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F468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F468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F468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468E"/>
    <w:pPr>
      <w:keepLines/>
      <w:spacing w:before="240" w:after="120" w:line="240" w:lineRule="auto"/>
      <w:ind w:left="794"/>
    </w:pPr>
    <w:rPr>
      <w:b/>
      <w:kern w:val="28"/>
      <w:sz w:val="20"/>
    </w:rPr>
  </w:style>
  <w:style w:type="paragraph" w:customStyle="1" w:styleId="TofSectsHeading">
    <w:name w:val="TofSects(Heading)"/>
    <w:basedOn w:val="OPCParaBase"/>
    <w:rsid w:val="00EF468E"/>
    <w:pPr>
      <w:spacing w:before="240" w:after="120" w:line="240" w:lineRule="auto"/>
    </w:pPr>
    <w:rPr>
      <w:b/>
      <w:sz w:val="24"/>
    </w:rPr>
  </w:style>
  <w:style w:type="paragraph" w:customStyle="1" w:styleId="TofSectsSection">
    <w:name w:val="TofSects(Section)"/>
    <w:basedOn w:val="OPCParaBase"/>
    <w:rsid w:val="00EF468E"/>
    <w:pPr>
      <w:keepLines/>
      <w:spacing w:before="40" w:line="240" w:lineRule="auto"/>
      <w:ind w:left="1588" w:hanging="794"/>
    </w:pPr>
    <w:rPr>
      <w:kern w:val="28"/>
      <w:sz w:val="18"/>
    </w:rPr>
  </w:style>
  <w:style w:type="paragraph" w:customStyle="1" w:styleId="TofSectsSubdiv">
    <w:name w:val="TofSects(Subdiv)"/>
    <w:basedOn w:val="OPCParaBase"/>
    <w:rsid w:val="00EF468E"/>
    <w:pPr>
      <w:keepLines/>
      <w:spacing w:before="80" w:line="240" w:lineRule="auto"/>
      <w:ind w:left="1588" w:hanging="794"/>
    </w:pPr>
    <w:rPr>
      <w:kern w:val="28"/>
    </w:rPr>
  </w:style>
  <w:style w:type="paragraph" w:customStyle="1" w:styleId="WRStyle">
    <w:name w:val="WR Style"/>
    <w:aliases w:val="WR"/>
    <w:basedOn w:val="OPCParaBase"/>
    <w:rsid w:val="00EF468E"/>
    <w:pPr>
      <w:spacing w:before="240" w:line="240" w:lineRule="auto"/>
      <w:ind w:left="284" w:hanging="284"/>
    </w:pPr>
    <w:rPr>
      <w:b/>
      <w:i/>
      <w:kern w:val="28"/>
      <w:sz w:val="24"/>
    </w:rPr>
  </w:style>
  <w:style w:type="paragraph" w:customStyle="1" w:styleId="notepara">
    <w:name w:val="note(para)"/>
    <w:aliases w:val="na"/>
    <w:basedOn w:val="OPCParaBase"/>
    <w:rsid w:val="00EF468E"/>
    <w:pPr>
      <w:spacing w:before="40" w:line="198" w:lineRule="exact"/>
      <w:ind w:left="2354" w:hanging="369"/>
    </w:pPr>
    <w:rPr>
      <w:sz w:val="18"/>
    </w:rPr>
  </w:style>
  <w:style w:type="paragraph" w:styleId="Footer">
    <w:name w:val="footer"/>
    <w:link w:val="FooterChar"/>
    <w:rsid w:val="00EF46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468E"/>
    <w:rPr>
      <w:rFonts w:eastAsia="Times New Roman" w:cs="Times New Roman"/>
      <w:sz w:val="22"/>
      <w:szCs w:val="24"/>
      <w:lang w:eastAsia="en-AU"/>
    </w:rPr>
  </w:style>
  <w:style w:type="character" w:styleId="LineNumber">
    <w:name w:val="line number"/>
    <w:basedOn w:val="OPCCharBase"/>
    <w:uiPriority w:val="99"/>
    <w:semiHidden/>
    <w:unhideWhenUsed/>
    <w:rsid w:val="00EF468E"/>
    <w:rPr>
      <w:sz w:val="16"/>
    </w:rPr>
  </w:style>
  <w:style w:type="table" w:customStyle="1" w:styleId="CFlag">
    <w:name w:val="CFlag"/>
    <w:basedOn w:val="TableNormal"/>
    <w:uiPriority w:val="99"/>
    <w:rsid w:val="00EF468E"/>
    <w:rPr>
      <w:rFonts w:eastAsia="Times New Roman" w:cs="Times New Roman"/>
      <w:lang w:eastAsia="en-AU"/>
    </w:rPr>
    <w:tblPr/>
  </w:style>
  <w:style w:type="paragraph" w:customStyle="1" w:styleId="CompiledActNo">
    <w:name w:val="CompiledActNo"/>
    <w:basedOn w:val="OPCParaBase"/>
    <w:next w:val="Normal"/>
    <w:rsid w:val="00EF468E"/>
    <w:rPr>
      <w:b/>
      <w:sz w:val="24"/>
      <w:szCs w:val="24"/>
    </w:rPr>
  </w:style>
  <w:style w:type="paragraph" w:customStyle="1" w:styleId="CompiledMadeUnder">
    <w:name w:val="CompiledMadeUnder"/>
    <w:basedOn w:val="OPCParaBase"/>
    <w:next w:val="Normal"/>
    <w:rsid w:val="00EF468E"/>
    <w:rPr>
      <w:i/>
      <w:sz w:val="24"/>
      <w:szCs w:val="24"/>
    </w:rPr>
  </w:style>
  <w:style w:type="paragraph" w:customStyle="1" w:styleId="ENotesText">
    <w:name w:val="ENotesText"/>
    <w:aliases w:val="Ent"/>
    <w:basedOn w:val="OPCParaBase"/>
    <w:next w:val="Normal"/>
    <w:rsid w:val="00EF468E"/>
    <w:pPr>
      <w:spacing w:before="120"/>
    </w:pPr>
  </w:style>
  <w:style w:type="paragraph" w:customStyle="1" w:styleId="Paragraphsub-sub-sub">
    <w:name w:val="Paragraph(sub-sub-sub)"/>
    <w:aliases w:val="aaaa"/>
    <w:basedOn w:val="OPCParaBase"/>
    <w:rsid w:val="00EF468E"/>
    <w:pPr>
      <w:tabs>
        <w:tab w:val="right" w:pos="3402"/>
      </w:tabs>
      <w:spacing w:before="40" w:line="240" w:lineRule="auto"/>
      <w:ind w:left="3402" w:hanging="3402"/>
    </w:pPr>
  </w:style>
  <w:style w:type="paragraph" w:customStyle="1" w:styleId="NoteToSubpara">
    <w:name w:val="NoteToSubpara"/>
    <w:aliases w:val="nts"/>
    <w:basedOn w:val="OPCParaBase"/>
    <w:rsid w:val="00EF468E"/>
    <w:pPr>
      <w:spacing w:before="40" w:line="198" w:lineRule="exact"/>
      <w:ind w:left="2835" w:hanging="709"/>
    </w:pPr>
    <w:rPr>
      <w:sz w:val="18"/>
    </w:rPr>
  </w:style>
  <w:style w:type="paragraph" w:customStyle="1" w:styleId="ENoteTableHeading">
    <w:name w:val="ENoteTableHeading"/>
    <w:aliases w:val="enth"/>
    <w:basedOn w:val="OPCParaBase"/>
    <w:rsid w:val="00EF468E"/>
    <w:pPr>
      <w:keepNext/>
      <w:spacing w:before="60" w:line="240" w:lineRule="atLeast"/>
    </w:pPr>
    <w:rPr>
      <w:rFonts w:ascii="Arial" w:hAnsi="Arial"/>
      <w:b/>
      <w:sz w:val="16"/>
    </w:rPr>
  </w:style>
  <w:style w:type="paragraph" w:customStyle="1" w:styleId="ENoteTTi">
    <w:name w:val="ENoteTTi"/>
    <w:aliases w:val="entti"/>
    <w:basedOn w:val="OPCParaBase"/>
    <w:rsid w:val="00EF468E"/>
    <w:pPr>
      <w:keepNext/>
      <w:spacing w:before="60" w:line="240" w:lineRule="atLeast"/>
      <w:ind w:left="170"/>
    </w:pPr>
    <w:rPr>
      <w:sz w:val="16"/>
    </w:rPr>
  </w:style>
  <w:style w:type="paragraph" w:customStyle="1" w:styleId="ENotesHeading1">
    <w:name w:val="ENotesHeading 1"/>
    <w:aliases w:val="Enh1"/>
    <w:basedOn w:val="OPCParaBase"/>
    <w:next w:val="Normal"/>
    <w:rsid w:val="00EF468E"/>
    <w:pPr>
      <w:spacing w:before="120"/>
      <w:outlineLvl w:val="1"/>
    </w:pPr>
    <w:rPr>
      <w:b/>
      <w:sz w:val="28"/>
      <w:szCs w:val="28"/>
    </w:rPr>
  </w:style>
  <w:style w:type="paragraph" w:customStyle="1" w:styleId="ENotesHeading2">
    <w:name w:val="ENotesHeading 2"/>
    <w:aliases w:val="Enh2"/>
    <w:basedOn w:val="OPCParaBase"/>
    <w:next w:val="Normal"/>
    <w:rsid w:val="00EF468E"/>
    <w:pPr>
      <w:spacing w:before="120" w:after="120"/>
      <w:outlineLvl w:val="2"/>
    </w:pPr>
    <w:rPr>
      <w:b/>
      <w:sz w:val="24"/>
      <w:szCs w:val="28"/>
    </w:rPr>
  </w:style>
  <w:style w:type="paragraph" w:customStyle="1" w:styleId="ENoteTTIndentHeading">
    <w:name w:val="ENoteTTIndentHeading"/>
    <w:aliases w:val="enTTHi"/>
    <w:basedOn w:val="OPCParaBase"/>
    <w:rsid w:val="00EF46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468E"/>
    <w:pPr>
      <w:spacing w:before="60" w:line="240" w:lineRule="atLeast"/>
    </w:pPr>
    <w:rPr>
      <w:sz w:val="16"/>
    </w:rPr>
  </w:style>
  <w:style w:type="paragraph" w:customStyle="1" w:styleId="MadeunderText">
    <w:name w:val="MadeunderText"/>
    <w:basedOn w:val="OPCParaBase"/>
    <w:next w:val="Normal"/>
    <w:rsid w:val="00EF468E"/>
    <w:pPr>
      <w:spacing w:before="240"/>
    </w:pPr>
    <w:rPr>
      <w:sz w:val="24"/>
      <w:szCs w:val="24"/>
    </w:rPr>
  </w:style>
  <w:style w:type="paragraph" w:customStyle="1" w:styleId="ENotesHeading3">
    <w:name w:val="ENotesHeading 3"/>
    <w:aliases w:val="Enh3"/>
    <w:basedOn w:val="OPCParaBase"/>
    <w:next w:val="Normal"/>
    <w:rsid w:val="00EF468E"/>
    <w:pPr>
      <w:keepNext/>
      <w:spacing w:before="120" w:line="240" w:lineRule="auto"/>
      <w:outlineLvl w:val="4"/>
    </w:pPr>
    <w:rPr>
      <w:b/>
      <w:szCs w:val="24"/>
    </w:rPr>
  </w:style>
  <w:style w:type="character" w:customStyle="1" w:styleId="CharSubPartTextCASA">
    <w:name w:val="CharSubPartText(CASA)"/>
    <w:basedOn w:val="OPCCharBase"/>
    <w:uiPriority w:val="1"/>
    <w:rsid w:val="00EF468E"/>
  </w:style>
  <w:style w:type="character" w:customStyle="1" w:styleId="CharSubPartNoCASA">
    <w:name w:val="CharSubPartNo(CASA)"/>
    <w:basedOn w:val="OPCCharBase"/>
    <w:uiPriority w:val="1"/>
    <w:rsid w:val="00EF468E"/>
  </w:style>
  <w:style w:type="paragraph" w:customStyle="1" w:styleId="ENoteTTIndentHeadingSub">
    <w:name w:val="ENoteTTIndentHeadingSub"/>
    <w:aliases w:val="enTTHis"/>
    <w:basedOn w:val="OPCParaBase"/>
    <w:rsid w:val="00EF468E"/>
    <w:pPr>
      <w:keepNext/>
      <w:spacing w:before="60" w:line="240" w:lineRule="atLeast"/>
      <w:ind w:left="340"/>
    </w:pPr>
    <w:rPr>
      <w:b/>
      <w:sz w:val="16"/>
    </w:rPr>
  </w:style>
  <w:style w:type="paragraph" w:customStyle="1" w:styleId="ENoteTTiSub">
    <w:name w:val="ENoteTTiSub"/>
    <w:aliases w:val="enttis"/>
    <w:basedOn w:val="OPCParaBase"/>
    <w:rsid w:val="00EF468E"/>
    <w:pPr>
      <w:keepNext/>
      <w:spacing w:before="60" w:line="240" w:lineRule="atLeast"/>
      <w:ind w:left="340"/>
    </w:pPr>
    <w:rPr>
      <w:sz w:val="16"/>
    </w:rPr>
  </w:style>
  <w:style w:type="paragraph" w:customStyle="1" w:styleId="SubDivisionMigration">
    <w:name w:val="SubDivisionMigration"/>
    <w:aliases w:val="sdm"/>
    <w:basedOn w:val="OPCParaBase"/>
    <w:rsid w:val="00EF46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468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F468E"/>
    <w:pPr>
      <w:spacing w:before="122" w:line="240" w:lineRule="auto"/>
      <w:ind w:left="1985" w:hanging="851"/>
    </w:pPr>
    <w:rPr>
      <w:sz w:val="18"/>
    </w:rPr>
  </w:style>
  <w:style w:type="paragraph" w:customStyle="1" w:styleId="FreeForm">
    <w:name w:val="FreeForm"/>
    <w:rsid w:val="00EF468E"/>
    <w:rPr>
      <w:rFonts w:ascii="Arial" w:hAnsi="Arial"/>
      <w:sz w:val="22"/>
    </w:rPr>
  </w:style>
  <w:style w:type="paragraph" w:customStyle="1" w:styleId="SOText">
    <w:name w:val="SO Text"/>
    <w:aliases w:val="sot"/>
    <w:link w:val="SOTextChar"/>
    <w:rsid w:val="00EF46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468E"/>
    <w:rPr>
      <w:sz w:val="22"/>
    </w:rPr>
  </w:style>
  <w:style w:type="paragraph" w:customStyle="1" w:styleId="SOTextNote">
    <w:name w:val="SO TextNote"/>
    <w:aliases w:val="sont"/>
    <w:basedOn w:val="SOText"/>
    <w:qFormat/>
    <w:rsid w:val="00EF468E"/>
    <w:pPr>
      <w:spacing w:before="122" w:line="198" w:lineRule="exact"/>
      <w:ind w:left="1843" w:hanging="709"/>
    </w:pPr>
    <w:rPr>
      <w:sz w:val="18"/>
    </w:rPr>
  </w:style>
  <w:style w:type="paragraph" w:customStyle="1" w:styleId="SOPara">
    <w:name w:val="SO Para"/>
    <w:aliases w:val="soa"/>
    <w:basedOn w:val="SOText"/>
    <w:link w:val="SOParaChar"/>
    <w:qFormat/>
    <w:rsid w:val="00EF468E"/>
    <w:pPr>
      <w:tabs>
        <w:tab w:val="right" w:pos="1786"/>
      </w:tabs>
      <w:spacing w:before="40"/>
      <w:ind w:left="2070" w:hanging="936"/>
    </w:pPr>
  </w:style>
  <w:style w:type="character" w:customStyle="1" w:styleId="SOParaChar">
    <w:name w:val="SO Para Char"/>
    <w:aliases w:val="soa Char"/>
    <w:basedOn w:val="DefaultParagraphFont"/>
    <w:link w:val="SOPara"/>
    <w:rsid w:val="00EF468E"/>
    <w:rPr>
      <w:sz w:val="22"/>
    </w:rPr>
  </w:style>
  <w:style w:type="paragraph" w:customStyle="1" w:styleId="FileName">
    <w:name w:val="FileName"/>
    <w:basedOn w:val="Normal"/>
    <w:rsid w:val="00EF468E"/>
  </w:style>
  <w:style w:type="paragraph" w:customStyle="1" w:styleId="TableHeading">
    <w:name w:val="TableHeading"/>
    <w:aliases w:val="th"/>
    <w:basedOn w:val="OPCParaBase"/>
    <w:next w:val="Tabletext"/>
    <w:rsid w:val="00EF468E"/>
    <w:pPr>
      <w:keepNext/>
      <w:spacing w:before="60" w:line="240" w:lineRule="atLeast"/>
    </w:pPr>
    <w:rPr>
      <w:b/>
      <w:sz w:val="20"/>
    </w:rPr>
  </w:style>
  <w:style w:type="paragraph" w:customStyle="1" w:styleId="SOHeadBold">
    <w:name w:val="SO HeadBold"/>
    <w:aliases w:val="sohb"/>
    <w:basedOn w:val="SOText"/>
    <w:next w:val="SOText"/>
    <w:link w:val="SOHeadBoldChar"/>
    <w:qFormat/>
    <w:rsid w:val="00EF468E"/>
    <w:rPr>
      <w:b/>
    </w:rPr>
  </w:style>
  <w:style w:type="character" w:customStyle="1" w:styleId="SOHeadBoldChar">
    <w:name w:val="SO HeadBold Char"/>
    <w:aliases w:val="sohb Char"/>
    <w:basedOn w:val="DefaultParagraphFont"/>
    <w:link w:val="SOHeadBold"/>
    <w:rsid w:val="00EF468E"/>
    <w:rPr>
      <w:b/>
      <w:sz w:val="22"/>
    </w:rPr>
  </w:style>
  <w:style w:type="paragraph" w:customStyle="1" w:styleId="SOHeadItalic">
    <w:name w:val="SO HeadItalic"/>
    <w:aliases w:val="sohi"/>
    <w:basedOn w:val="SOText"/>
    <w:next w:val="SOText"/>
    <w:link w:val="SOHeadItalicChar"/>
    <w:qFormat/>
    <w:rsid w:val="00EF468E"/>
    <w:rPr>
      <w:i/>
    </w:rPr>
  </w:style>
  <w:style w:type="character" w:customStyle="1" w:styleId="SOHeadItalicChar">
    <w:name w:val="SO HeadItalic Char"/>
    <w:aliases w:val="sohi Char"/>
    <w:basedOn w:val="DefaultParagraphFont"/>
    <w:link w:val="SOHeadItalic"/>
    <w:rsid w:val="00EF468E"/>
    <w:rPr>
      <w:i/>
      <w:sz w:val="22"/>
    </w:rPr>
  </w:style>
  <w:style w:type="paragraph" w:customStyle="1" w:styleId="SOBullet">
    <w:name w:val="SO Bullet"/>
    <w:aliases w:val="sotb"/>
    <w:basedOn w:val="SOText"/>
    <w:link w:val="SOBulletChar"/>
    <w:qFormat/>
    <w:rsid w:val="00EF468E"/>
    <w:pPr>
      <w:ind w:left="1559" w:hanging="425"/>
    </w:pPr>
  </w:style>
  <w:style w:type="character" w:customStyle="1" w:styleId="SOBulletChar">
    <w:name w:val="SO Bullet Char"/>
    <w:aliases w:val="sotb Char"/>
    <w:basedOn w:val="DefaultParagraphFont"/>
    <w:link w:val="SOBullet"/>
    <w:rsid w:val="00EF468E"/>
    <w:rPr>
      <w:sz w:val="22"/>
    </w:rPr>
  </w:style>
  <w:style w:type="paragraph" w:customStyle="1" w:styleId="SOBulletNote">
    <w:name w:val="SO BulletNote"/>
    <w:aliases w:val="sonb"/>
    <w:basedOn w:val="SOTextNote"/>
    <w:link w:val="SOBulletNoteChar"/>
    <w:qFormat/>
    <w:rsid w:val="00EF468E"/>
    <w:pPr>
      <w:tabs>
        <w:tab w:val="left" w:pos="1560"/>
      </w:tabs>
      <w:ind w:left="2268" w:hanging="1134"/>
    </w:pPr>
  </w:style>
  <w:style w:type="character" w:customStyle="1" w:styleId="SOBulletNoteChar">
    <w:name w:val="SO BulletNote Char"/>
    <w:aliases w:val="sonb Char"/>
    <w:basedOn w:val="DefaultParagraphFont"/>
    <w:link w:val="SOBulletNote"/>
    <w:rsid w:val="00EF468E"/>
    <w:rPr>
      <w:sz w:val="18"/>
    </w:rPr>
  </w:style>
  <w:style w:type="paragraph" w:customStyle="1" w:styleId="SOText2">
    <w:name w:val="SO Text2"/>
    <w:aliases w:val="sot2"/>
    <w:basedOn w:val="Normal"/>
    <w:next w:val="SOText"/>
    <w:link w:val="SOText2Char"/>
    <w:rsid w:val="00EF46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F468E"/>
    <w:rPr>
      <w:sz w:val="22"/>
    </w:rPr>
  </w:style>
  <w:style w:type="paragraph" w:customStyle="1" w:styleId="SubPartCASA">
    <w:name w:val="SubPart(CASA)"/>
    <w:aliases w:val="csp"/>
    <w:basedOn w:val="OPCParaBase"/>
    <w:next w:val="ActHead3"/>
    <w:rsid w:val="00EF468E"/>
    <w:pPr>
      <w:keepNext/>
      <w:keepLines/>
      <w:spacing w:before="280"/>
      <w:ind w:left="1134" w:hanging="1134"/>
      <w:outlineLvl w:val="1"/>
    </w:pPr>
    <w:rPr>
      <w:b/>
      <w:kern w:val="28"/>
      <w:sz w:val="32"/>
    </w:rPr>
  </w:style>
  <w:style w:type="paragraph" w:customStyle="1" w:styleId="NotesHeading1">
    <w:name w:val="NotesHeading 1"/>
    <w:basedOn w:val="OPCParaBase"/>
    <w:next w:val="Normal"/>
    <w:rsid w:val="00EF468E"/>
    <w:rPr>
      <w:b/>
      <w:sz w:val="28"/>
      <w:szCs w:val="28"/>
    </w:rPr>
  </w:style>
  <w:style w:type="paragraph" w:customStyle="1" w:styleId="NotesHeading2">
    <w:name w:val="NotesHeading 2"/>
    <w:basedOn w:val="OPCParaBase"/>
    <w:next w:val="Normal"/>
    <w:rsid w:val="00EF468E"/>
    <w:rPr>
      <w:b/>
      <w:sz w:val="28"/>
      <w:szCs w:val="28"/>
    </w:rPr>
  </w:style>
  <w:style w:type="paragraph" w:customStyle="1" w:styleId="SignCoverPageEnd">
    <w:name w:val="SignCoverPageEnd"/>
    <w:basedOn w:val="OPCParaBase"/>
    <w:next w:val="Normal"/>
    <w:rsid w:val="00EF468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468E"/>
    <w:pPr>
      <w:pBdr>
        <w:top w:val="single" w:sz="4" w:space="1" w:color="auto"/>
      </w:pBdr>
      <w:spacing w:before="360"/>
      <w:ind w:right="397"/>
      <w:jc w:val="both"/>
    </w:pPr>
  </w:style>
  <w:style w:type="paragraph" w:customStyle="1" w:styleId="EndNotespara">
    <w:name w:val="EndNotes(para)"/>
    <w:aliases w:val="eta"/>
    <w:basedOn w:val="OPCParaBase"/>
    <w:next w:val="EndNotessubpara"/>
    <w:rsid w:val="00EF46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46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46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468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F468E"/>
    <w:pPr>
      <w:spacing w:before="60" w:line="240" w:lineRule="auto"/>
    </w:pPr>
    <w:rPr>
      <w:rFonts w:cs="Arial"/>
      <w:sz w:val="20"/>
      <w:szCs w:val="22"/>
    </w:rPr>
  </w:style>
  <w:style w:type="table" w:styleId="TableGrid">
    <w:name w:val="Table Grid"/>
    <w:basedOn w:val="TableNormal"/>
    <w:uiPriority w:val="59"/>
    <w:rsid w:val="00EF4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EF468E"/>
  </w:style>
  <w:style w:type="character" w:customStyle="1" w:styleId="ItemHeadChar">
    <w:name w:val="ItemHead Char"/>
    <w:aliases w:val="ih Char"/>
    <w:basedOn w:val="DefaultParagraphFont"/>
    <w:link w:val="ItemHead"/>
    <w:locked/>
    <w:rsid w:val="00B44B4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B44B40"/>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1D07EB"/>
    <w:rPr>
      <w:rFonts w:eastAsia="Times New Roman" w:cs="Times New Roman"/>
      <w:sz w:val="22"/>
      <w:lang w:eastAsia="en-AU"/>
    </w:rPr>
  </w:style>
  <w:style w:type="character" w:customStyle="1" w:styleId="Heading1Char">
    <w:name w:val="Heading 1 Char"/>
    <w:basedOn w:val="DefaultParagraphFont"/>
    <w:link w:val="Heading1"/>
    <w:uiPriority w:val="9"/>
    <w:rsid w:val="001D07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07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07E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D07E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D07E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D07E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D07E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D07E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D07EB"/>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B858BF"/>
    <w:rPr>
      <w:color w:val="0000FF" w:themeColor="hyperlink"/>
      <w:u w:val="single"/>
    </w:rPr>
  </w:style>
  <w:style w:type="character" w:styleId="FollowedHyperlink">
    <w:name w:val="FollowedHyperlink"/>
    <w:basedOn w:val="DefaultParagraphFont"/>
    <w:uiPriority w:val="99"/>
    <w:semiHidden/>
    <w:unhideWhenUsed/>
    <w:rsid w:val="00B858BF"/>
    <w:rPr>
      <w:color w:val="800080" w:themeColor="followedHyperlink"/>
      <w:u w:val="single"/>
    </w:rPr>
  </w:style>
  <w:style w:type="character" w:customStyle="1" w:styleId="paragraphChar">
    <w:name w:val="paragraph Char"/>
    <w:aliases w:val="a Char"/>
    <w:link w:val="paragraph"/>
    <w:rsid w:val="00C26CC8"/>
    <w:rPr>
      <w:rFonts w:eastAsia="Times New Roman" w:cs="Times New Roman"/>
      <w:sz w:val="22"/>
      <w:lang w:eastAsia="en-AU"/>
    </w:rPr>
  </w:style>
  <w:style w:type="character" w:customStyle="1" w:styleId="notetextChar">
    <w:name w:val="note(text) Char"/>
    <w:aliases w:val="n Char"/>
    <w:link w:val="notetext"/>
    <w:rsid w:val="00A15D65"/>
    <w:rPr>
      <w:rFonts w:eastAsia="Times New Roman" w:cs="Times New Roman"/>
      <w:sz w:val="18"/>
      <w:lang w:eastAsia="en-AU"/>
    </w:rPr>
  </w:style>
  <w:style w:type="paragraph" w:styleId="BalloonText">
    <w:name w:val="Balloon Text"/>
    <w:basedOn w:val="Normal"/>
    <w:link w:val="BalloonTextChar"/>
    <w:uiPriority w:val="99"/>
    <w:semiHidden/>
    <w:unhideWhenUsed/>
    <w:rsid w:val="009F22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240"/>
    <w:rPr>
      <w:rFonts w:ascii="Tahoma" w:hAnsi="Tahoma" w:cs="Tahoma"/>
      <w:sz w:val="16"/>
      <w:szCs w:val="16"/>
    </w:rPr>
  </w:style>
  <w:style w:type="character" w:customStyle="1" w:styleId="ActHead5Char">
    <w:name w:val="ActHead 5 Char"/>
    <w:aliases w:val="s Char"/>
    <w:link w:val="ActHead5"/>
    <w:rsid w:val="00BA7DD3"/>
    <w:rPr>
      <w:rFonts w:eastAsia="Times New Roman" w:cs="Times New Roman"/>
      <w:b/>
      <w:kern w:val="28"/>
      <w:sz w:val="24"/>
      <w:lang w:eastAsia="en-AU"/>
    </w:rPr>
  </w:style>
  <w:style w:type="paragraph" w:customStyle="1" w:styleId="Specialaat">
    <w:name w:val="Special aat"/>
    <w:basedOn w:val="ActHead9"/>
    <w:link w:val="SpecialaatChar"/>
    <w:rsid w:val="000057C0"/>
    <w:pPr>
      <w:outlineLvl w:val="9"/>
    </w:pPr>
  </w:style>
  <w:style w:type="character" w:customStyle="1" w:styleId="OPCParaBaseChar">
    <w:name w:val="OPCParaBase Char"/>
    <w:basedOn w:val="DefaultParagraphFont"/>
    <w:link w:val="OPCParaBase"/>
    <w:rsid w:val="000057C0"/>
    <w:rPr>
      <w:rFonts w:eastAsia="Times New Roman" w:cs="Times New Roman"/>
      <w:sz w:val="22"/>
      <w:lang w:eastAsia="en-AU"/>
    </w:rPr>
  </w:style>
  <w:style w:type="character" w:customStyle="1" w:styleId="ActHead9Char">
    <w:name w:val="ActHead 9 Char"/>
    <w:aliases w:val="aat Char"/>
    <w:basedOn w:val="OPCParaBaseChar"/>
    <w:link w:val="ActHead9"/>
    <w:rsid w:val="000057C0"/>
    <w:rPr>
      <w:rFonts w:eastAsia="Times New Roman" w:cs="Times New Roman"/>
      <w:b/>
      <w:i/>
      <w:kern w:val="28"/>
      <w:sz w:val="28"/>
      <w:lang w:eastAsia="en-AU"/>
    </w:rPr>
  </w:style>
  <w:style w:type="character" w:customStyle="1" w:styleId="SpecialaatChar">
    <w:name w:val="Special aat Char"/>
    <w:basedOn w:val="ActHead9Char"/>
    <w:link w:val="Specialaat"/>
    <w:rsid w:val="000057C0"/>
    <w:rPr>
      <w:rFonts w:eastAsia="Times New Roman" w:cs="Times New Roman"/>
      <w:b/>
      <w:i/>
      <w:kern w:val="28"/>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2905" ma:contentTypeDescription="" ma:contentTypeScope="" ma:versionID="49b5e4e5d4480bf42c0dd78e4550af9f">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0f563589-9cf9-4143-b1eb-fb0534803d38">2020RG-136-56332</_dlc_DocId>
    <TaxCatchAll xmlns="0f563589-9cf9-4143-b1eb-fb0534803d38">
      <Value>7</Value>
    </TaxCatchAll>
    <_dlc_DocIdUrl xmlns="0f563589-9cf9-4143-b1eb-fb0534803d38">
      <Url>http://tweb/sites/rg/ldp/_layouts/15/DocIdRedir.aspx?ID=2020RG-136-56332</Url>
      <Description>2020RG-136-56332</Description>
    </_dlc_DocIdUrl>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28E1A-F9EB-464F-A3C3-C648AD5C1746}">
  <ds:schemaRefs>
    <ds:schemaRef ds:uri="http://schemas.microsoft.com/sharepoint/v3/contenttype/forms"/>
  </ds:schemaRefs>
</ds:datastoreItem>
</file>

<file path=customXml/itemProps2.xml><?xml version="1.0" encoding="utf-8"?>
<ds:datastoreItem xmlns:ds="http://schemas.openxmlformats.org/officeDocument/2006/customXml" ds:itemID="{00833879-9081-4AFF-BD60-14D5D41CC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91785-C2A0-47BE-9330-F40CF65E8D49}">
  <ds:schemaRefs>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schemas.microsoft.com/sharepoint/v3"/>
    <ds:schemaRef ds:uri="687b78b0-2ddd-4441-8a8b-c9638c2a1939"/>
    <ds:schemaRef ds:uri="http://www.w3.org/XML/1998/namespace"/>
    <ds:schemaRef ds:uri="http://purl.org/dc/dcmitype/"/>
  </ds:schemaRefs>
</ds:datastoreItem>
</file>

<file path=customXml/itemProps4.xml><?xml version="1.0" encoding="utf-8"?>
<ds:datastoreItem xmlns:ds="http://schemas.openxmlformats.org/officeDocument/2006/customXml" ds:itemID="{FBCE0317-D68F-4DEB-B0B0-B72B4210037A}">
  <ds:schemaRefs>
    <ds:schemaRef ds:uri="http://schemas.microsoft.com/sharepoint/events"/>
  </ds:schemaRefs>
</ds:datastoreItem>
</file>

<file path=customXml/itemProps5.xml><?xml version="1.0" encoding="utf-8"?>
<ds:datastoreItem xmlns:ds="http://schemas.openxmlformats.org/officeDocument/2006/customXml" ds:itemID="{A98225C5-A0AA-41F7-A71F-98407F72AAA5}">
  <ds:schemaRefs>
    <ds:schemaRef ds:uri="office.server.policy"/>
  </ds:schemaRefs>
</ds:datastoreItem>
</file>

<file path=customXml/itemProps6.xml><?xml version="1.0" encoding="utf-8"?>
<ds:datastoreItem xmlns:ds="http://schemas.openxmlformats.org/officeDocument/2006/customXml" ds:itemID="{DFD942A4-EAF7-4FD4-95E3-486C6A9C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30</Pages>
  <Words>5642</Words>
  <Characters>29544</Characters>
  <Application>Microsoft Office Word</Application>
  <DocSecurity>2</DocSecurity>
  <PresentationFormat/>
  <Lines>872</Lines>
  <Paragraphs>547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2020-10-02T01:42:00Z</cp:lastPrinted>
  <dcterms:created xsi:type="dcterms:W3CDTF">2020-10-21T03:05:00Z</dcterms:created>
  <dcterms:modified xsi:type="dcterms:W3CDTF">2020-10-21T03:41:00Z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Treasury Laws Amendment (Measures for a later sitting) Bill 2020: Minor and Technical Amendments</vt:lpwstr>
  </property>
  <property fmtid="{D5CDD505-2E9C-101B-9397-08002B2CF9AE}" pid="6" name="Actno">
    <vt:lpwstr/>
  </property>
  <property fmtid="{D5CDD505-2E9C-101B-9397-08002B2CF9AE}" pid="7" name="ID">
    <vt:lpwstr>OPC7389</vt:lpwstr>
  </property>
  <property fmtid="{D5CDD505-2E9C-101B-9397-08002B2CF9AE}" pid="8" name="DoNotAsk">
    <vt:lpwstr>0</vt:lpwstr>
  </property>
  <property fmtid="{D5CDD505-2E9C-101B-9397-08002B2CF9AE}" pid="9" name="ChangedTitle">
    <vt:lpwstr/>
  </property>
  <property fmtid="{D5CDD505-2E9C-101B-9397-08002B2CF9AE}" pid="10" name="TrimID">
    <vt:lpwstr>PC:D20/14794</vt:lpwstr>
  </property>
  <property fmtid="{D5CDD505-2E9C-101B-9397-08002B2CF9AE}" pid="11" name="ContentTypeId">
    <vt:lpwstr>0x01010036BB8DE7EC542E42A8B2E98CC20CB69700AD614E3FF758BD46BB6A91BF499E7E08</vt:lpwstr>
  </property>
  <property fmtid="{D5CDD505-2E9C-101B-9397-08002B2CF9AE}" pid="12" name="TSYRecordClass">
    <vt:lpwstr>7;#TSY RA-9236 - Retain as national archives|c6a225b4-6b93-473e-bcbb-6bc6ab25b623</vt:lpwstr>
  </property>
  <property fmtid="{D5CDD505-2E9C-101B-9397-08002B2CF9AE}" pid="13" name="_dlc_DocIdItemGuid">
    <vt:lpwstr>db0274b8-80da-4fa1-9642-dd6586ca4265</vt:lpwstr>
  </property>
  <property fmtid="{D5CDD505-2E9C-101B-9397-08002B2CF9AE}" pid="14" name="TSYTopic">
    <vt:lpwstr/>
  </property>
  <property fmtid="{D5CDD505-2E9C-101B-9397-08002B2CF9AE}" pid="15" name="RecordPoint_WorkflowType">
    <vt:lpwstr>ActiveSubmitStub</vt:lpwstr>
  </property>
  <property fmtid="{D5CDD505-2E9C-101B-9397-08002B2CF9AE}" pid="16" name="RecordPoint_ActiveItemWebId">
    <vt:lpwstr>{09392e0d-4618-463d-b4d2-50a90b9447cf}</vt:lpwstr>
  </property>
  <property fmtid="{D5CDD505-2E9C-101B-9397-08002B2CF9AE}" pid="17" name="RecordPoint_ActiveItemSiteId">
    <vt:lpwstr>{5b52b9a5-e5b2-4521-8814-a1e24ca2869d}</vt:lpwstr>
  </property>
  <property fmtid="{D5CDD505-2E9C-101B-9397-08002B2CF9AE}" pid="18" name="RecordPoint_ActiveItemListId">
    <vt:lpwstr>{687b78b0-2ddd-4441-8a8b-c9638c2a1939}</vt:lpwstr>
  </property>
  <property fmtid="{D5CDD505-2E9C-101B-9397-08002B2CF9AE}" pid="19" name="RecordPoint_ActiveItemUniqueId">
    <vt:lpwstr>{5912b71a-f3a4-4c7b-a30b-1cf642731844}</vt:lpwstr>
  </property>
</Properties>
</file>