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52F79" w14:textId="77777777" w:rsidR="002B2500" w:rsidRDefault="002B2500" w:rsidP="00F56DF0">
      <w:pPr>
        <w:spacing w:before="9" w:after="0" w:line="240" w:lineRule="auto"/>
        <w:rPr>
          <w:rFonts w:ascii="Calibri Light" w:eastAsia="Calibri Light" w:hAnsi="Calibri Light" w:cs="Calibri Light"/>
          <w:color w:val="00549E"/>
          <w:spacing w:val="-29"/>
          <w:sz w:val="48"/>
          <w:szCs w:val="48"/>
        </w:rPr>
      </w:pPr>
    </w:p>
    <w:p w14:paraId="4ADB0834" w14:textId="77777777" w:rsidR="008F4B24" w:rsidRDefault="00094B95" w:rsidP="00F56DF0">
      <w:pPr>
        <w:spacing w:before="9" w:after="0" w:line="240" w:lineRule="auto"/>
        <w:rPr>
          <w:rFonts w:ascii="Calibri Light" w:eastAsia="Calibri Light" w:hAnsi="Calibri Light" w:cs="Calibri Light"/>
          <w:sz w:val="48"/>
          <w:szCs w:val="48"/>
        </w:rPr>
      </w:pPr>
      <w:r>
        <w:rPr>
          <w:rFonts w:ascii="Calibri Light" w:eastAsia="Calibri Light" w:hAnsi="Calibri Light" w:cs="Calibri Light"/>
          <w:color w:val="00549E"/>
          <w:spacing w:val="-29"/>
          <w:sz w:val="48"/>
          <w:szCs w:val="48"/>
        </w:rPr>
        <w:t>V</w:t>
      </w:r>
      <w:r>
        <w:rPr>
          <w:rFonts w:ascii="Calibri Light" w:eastAsia="Calibri Light" w:hAnsi="Calibri Light" w:cs="Calibri Light"/>
          <w:color w:val="00549E"/>
          <w:spacing w:val="-15"/>
          <w:sz w:val="48"/>
          <w:szCs w:val="48"/>
        </w:rPr>
        <w:t>A</w:t>
      </w:r>
      <w:r>
        <w:rPr>
          <w:rFonts w:ascii="Calibri Light" w:eastAsia="Calibri Light" w:hAnsi="Calibri Light" w:cs="Calibri Light"/>
          <w:color w:val="00549E"/>
          <w:spacing w:val="-10"/>
          <w:sz w:val="48"/>
          <w:szCs w:val="48"/>
        </w:rPr>
        <w:t>C</w:t>
      </w:r>
      <w:r>
        <w:rPr>
          <w:rFonts w:ascii="Calibri Light" w:eastAsia="Calibri Light" w:hAnsi="Calibri Light" w:cs="Calibri Light"/>
          <w:color w:val="00549E"/>
          <w:sz w:val="48"/>
          <w:szCs w:val="48"/>
        </w:rPr>
        <w:t>C</w:t>
      </w:r>
      <w:r>
        <w:rPr>
          <w:rFonts w:ascii="Calibri Light" w:eastAsia="Calibri Light" w:hAnsi="Calibri Light" w:cs="Calibri Light"/>
          <w:color w:val="00549E"/>
          <w:spacing w:val="-10"/>
          <w:sz w:val="48"/>
          <w:szCs w:val="48"/>
        </w:rPr>
        <w:t xml:space="preserve"> </w:t>
      </w:r>
      <w:r>
        <w:rPr>
          <w:rFonts w:ascii="Calibri Light" w:eastAsia="Calibri Light" w:hAnsi="Calibri Light" w:cs="Calibri Light"/>
          <w:color w:val="00549E"/>
          <w:spacing w:val="-11"/>
          <w:sz w:val="48"/>
          <w:szCs w:val="48"/>
        </w:rPr>
        <w:t>S</w:t>
      </w:r>
      <w:r>
        <w:rPr>
          <w:rFonts w:ascii="Calibri Light" w:eastAsia="Calibri Light" w:hAnsi="Calibri Light" w:cs="Calibri Light"/>
          <w:color w:val="00549E"/>
          <w:spacing w:val="-12"/>
          <w:sz w:val="48"/>
          <w:szCs w:val="48"/>
        </w:rPr>
        <w:t>u</w:t>
      </w:r>
      <w:r>
        <w:rPr>
          <w:rFonts w:ascii="Calibri Light" w:eastAsia="Calibri Light" w:hAnsi="Calibri Light" w:cs="Calibri Light"/>
          <w:color w:val="00549E"/>
          <w:spacing w:val="-10"/>
          <w:sz w:val="48"/>
          <w:szCs w:val="48"/>
        </w:rPr>
        <w:t>b</w:t>
      </w:r>
      <w:r>
        <w:rPr>
          <w:rFonts w:ascii="Calibri Light" w:eastAsia="Calibri Light" w:hAnsi="Calibri Light" w:cs="Calibri Light"/>
          <w:color w:val="00549E"/>
          <w:spacing w:val="-13"/>
          <w:sz w:val="48"/>
          <w:szCs w:val="48"/>
        </w:rPr>
        <w:t>mi</w:t>
      </w:r>
      <w:r>
        <w:rPr>
          <w:rFonts w:ascii="Calibri Light" w:eastAsia="Calibri Light" w:hAnsi="Calibri Light" w:cs="Calibri Light"/>
          <w:color w:val="00549E"/>
          <w:spacing w:val="-6"/>
          <w:sz w:val="48"/>
          <w:szCs w:val="48"/>
        </w:rPr>
        <w:t>s</w:t>
      </w:r>
      <w:r>
        <w:rPr>
          <w:rFonts w:ascii="Calibri Light" w:eastAsia="Calibri Light" w:hAnsi="Calibri Light" w:cs="Calibri Light"/>
          <w:color w:val="00549E"/>
          <w:spacing w:val="-13"/>
          <w:sz w:val="48"/>
          <w:szCs w:val="48"/>
        </w:rPr>
        <w:t>s</w:t>
      </w:r>
      <w:r>
        <w:rPr>
          <w:rFonts w:ascii="Calibri Light" w:eastAsia="Calibri Light" w:hAnsi="Calibri Light" w:cs="Calibri Light"/>
          <w:color w:val="00549E"/>
          <w:spacing w:val="-10"/>
          <w:sz w:val="48"/>
          <w:szCs w:val="48"/>
        </w:rPr>
        <w:t>i</w:t>
      </w:r>
      <w:r>
        <w:rPr>
          <w:rFonts w:ascii="Calibri Light" w:eastAsia="Calibri Light" w:hAnsi="Calibri Light" w:cs="Calibri Light"/>
          <w:color w:val="00549E"/>
          <w:spacing w:val="-8"/>
          <w:sz w:val="48"/>
          <w:szCs w:val="48"/>
        </w:rPr>
        <w:t>o</w:t>
      </w:r>
      <w:r>
        <w:rPr>
          <w:rFonts w:ascii="Calibri Light" w:eastAsia="Calibri Light" w:hAnsi="Calibri Light" w:cs="Calibri Light"/>
          <w:color w:val="00549E"/>
          <w:sz w:val="48"/>
          <w:szCs w:val="48"/>
        </w:rPr>
        <w:t>n</w:t>
      </w:r>
    </w:p>
    <w:p w14:paraId="4FD68529" w14:textId="33FA84B1" w:rsidR="008F4B24" w:rsidRDefault="00094B95" w:rsidP="00F56DF0">
      <w:pPr>
        <w:spacing w:before="45" w:after="0" w:line="633" w:lineRule="exact"/>
        <w:rPr>
          <w:rFonts w:ascii="Calibri" w:eastAsia="Calibri" w:hAnsi="Calibri" w:cs="Calibri"/>
          <w:b/>
          <w:bCs/>
          <w:color w:val="00549E"/>
          <w:position w:val="-1"/>
          <w:sz w:val="54"/>
          <w:szCs w:val="54"/>
        </w:rPr>
      </w:pPr>
      <w:r>
        <w:rPr>
          <w:rFonts w:ascii="Calibri" w:eastAsia="Calibri" w:hAnsi="Calibri" w:cs="Calibri"/>
          <w:b/>
          <w:bCs/>
          <w:color w:val="00549E"/>
          <w:spacing w:val="-9"/>
          <w:position w:val="-1"/>
          <w:sz w:val="54"/>
          <w:szCs w:val="54"/>
        </w:rPr>
        <w:t>2</w:t>
      </w:r>
      <w:r>
        <w:rPr>
          <w:rFonts w:ascii="Calibri" w:eastAsia="Calibri" w:hAnsi="Calibri" w:cs="Calibri"/>
          <w:b/>
          <w:bCs/>
          <w:color w:val="00549E"/>
          <w:spacing w:val="-16"/>
          <w:position w:val="-1"/>
          <w:sz w:val="54"/>
          <w:szCs w:val="54"/>
        </w:rPr>
        <w:t>0</w:t>
      </w:r>
      <w:r w:rsidR="00C27BEA">
        <w:rPr>
          <w:rFonts w:ascii="Calibri" w:eastAsia="Calibri" w:hAnsi="Calibri" w:cs="Calibri"/>
          <w:b/>
          <w:bCs/>
          <w:color w:val="00549E"/>
          <w:spacing w:val="-16"/>
          <w:position w:val="-1"/>
          <w:sz w:val="54"/>
          <w:szCs w:val="54"/>
        </w:rPr>
        <w:t>20</w:t>
      </w:r>
      <w:r w:rsidR="006B18E6">
        <w:rPr>
          <w:rFonts w:ascii="Calibri" w:eastAsia="Calibri" w:hAnsi="Calibri" w:cs="Calibri"/>
          <w:b/>
          <w:bCs/>
          <w:color w:val="00549E"/>
          <w:position w:val="-1"/>
          <w:sz w:val="54"/>
          <w:szCs w:val="54"/>
        </w:rPr>
        <w:t>-</w:t>
      </w:r>
      <w:r w:rsidR="00C27BEA">
        <w:rPr>
          <w:rFonts w:ascii="Calibri" w:eastAsia="Calibri" w:hAnsi="Calibri" w:cs="Calibri"/>
          <w:b/>
          <w:bCs/>
          <w:color w:val="00549E"/>
          <w:position w:val="-1"/>
          <w:sz w:val="54"/>
          <w:szCs w:val="54"/>
        </w:rPr>
        <w:t>21</w:t>
      </w:r>
      <w:r w:rsidR="00B81A1A">
        <w:rPr>
          <w:rFonts w:ascii="Calibri" w:eastAsia="Calibri" w:hAnsi="Calibri" w:cs="Calibri"/>
          <w:b/>
          <w:bCs/>
          <w:color w:val="00549E"/>
          <w:position w:val="-1"/>
          <w:sz w:val="54"/>
          <w:szCs w:val="54"/>
        </w:rPr>
        <w:t xml:space="preserve"> </w:t>
      </w:r>
      <w:r w:rsidR="00E13B21">
        <w:rPr>
          <w:rFonts w:ascii="Calibri" w:eastAsia="Calibri" w:hAnsi="Calibri" w:cs="Calibri"/>
          <w:b/>
          <w:bCs/>
          <w:color w:val="00549E"/>
          <w:spacing w:val="-9"/>
          <w:position w:val="-1"/>
          <w:sz w:val="54"/>
          <w:szCs w:val="54"/>
        </w:rPr>
        <w:t xml:space="preserve">Federal </w:t>
      </w:r>
      <w:r w:rsidR="00B81A1A">
        <w:rPr>
          <w:rFonts w:ascii="Calibri" w:eastAsia="Calibri" w:hAnsi="Calibri" w:cs="Calibri"/>
          <w:b/>
          <w:bCs/>
          <w:color w:val="00549E"/>
          <w:position w:val="-1"/>
          <w:sz w:val="54"/>
          <w:szCs w:val="54"/>
        </w:rPr>
        <w:t>Pre-</w:t>
      </w:r>
      <w:r>
        <w:rPr>
          <w:rFonts w:ascii="Calibri" w:eastAsia="Calibri" w:hAnsi="Calibri" w:cs="Calibri"/>
          <w:b/>
          <w:bCs/>
          <w:color w:val="00549E"/>
          <w:spacing w:val="-8"/>
          <w:position w:val="-1"/>
          <w:sz w:val="54"/>
          <w:szCs w:val="54"/>
        </w:rPr>
        <w:t>Bu</w:t>
      </w:r>
      <w:r>
        <w:rPr>
          <w:rFonts w:ascii="Calibri" w:eastAsia="Calibri" w:hAnsi="Calibri" w:cs="Calibri"/>
          <w:b/>
          <w:bCs/>
          <w:color w:val="00549E"/>
          <w:spacing w:val="-7"/>
          <w:position w:val="-1"/>
          <w:sz w:val="54"/>
          <w:szCs w:val="54"/>
        </w:rPr>
        <w:t>d</w:t>
      </w:r>
      <w:r>
        <w:rPr>
          <w:rFonts w:ascii="Calibri" w:eastAsia="Calibri" w:hAnsi="Calibri" w:cs="Calibri"/>
          <w:b/>
          <w:bCs/>
          <w:color w:val="00549E"/>
          <w:spacing w:val="-13"/>
          <w:position w:val="-1"/>
          <w:sz w:val="54"/>
          <w:szCs w:val="54"/>
        </w:rPr>
        <w:t>g</w:t>
      </w:r>
      <w:r>
        <w:rPr>
          <w:rFonts w:ascii="Calibri" w:eastAsia="Calibri" w:hAnsi="Calibri" w:cs="Calibri"/>
          <w:b/>
          <w:bCs/>
          <w:color w:val="00549E"/>
          <w:spacing w:val="-7"/>
          <w:position w:val="-1"/>
          <w:sz w:val="54"/>
          <w:szCs w:val="54"/>
        </w:rPr>
        <w:t>e</w:t>
      </w:r>
      <w:r>
        <w:rPr>
          <w:rFonts w:ascii="Calibri" w:eastAsia="Calibri" w:hAnsi="Calibri" w:cs="Calibri"/>
          <w:b/>
          <w:bCs/>
          <w:color w:val="00549E"/>
          <w:position w:val="-1"/>
          <w:sz w:val="54"/>
          <w:szCs w:val="54"/>
        </w:rPr>
        <w:t>t</w:t>
      </w:r>
    </w:p>
    <w:p w14:paraId="73BF60AA" w14:textId="77777777" w:rsidR="00B81A1A" w:rsidRDefault="00B81A1A" w:rsidP="00F56DF0">
      <w:pPr>
        <w:spacing w:before="45" w:after="0" w:line="633" w:lineRule="exact"/>
        <w:rPr>
          <w:rFonts w:ascii="Calibri" w:eastAsia="Calibri" w:hAnsi="Calibri" w:cs="Calibri"/>
          <w:sz w:val="54"/>
          <w:szCs w:val="54"/>
        </w:rPr>
      </w:pPr>
      <w:r>
        <w:rPr>
          <w:rFonts w:ascii="Calibri" w:eastAsia="Calibri" w:hAnsi="Calibri" w:cs="Calibri"/>
          <w:b/>
          <w:bCs/>
          <w:color w:val="00549E"/>
          <w:position w:val="-1"/>
          <w:sz w:val="54"/>
          <w:szCs w:val="54"/>
        </w:rPr>
        <w:t>Submission to Treasury</w:t>
      </w:r>
    </w:p>
    <w:p w14:paraId="0FEC53BF" w14:textId="77777777" w:rsidR="008F4B24" w:rsidRDefault="008F4B24" w:rsidP="00F56DF0">
      <w:pPr>
        <w:spacing w:after="0" w:line="200" w:lineRule="exact"/>
        <w:rPr>
          <w:sz w:val="20"/>
          <w:szCs w:val="20"/>
        </w:rPr>
      </w:pPr>
    </w:p>
    <w:p w14:paraId="78556EC5" w14:textId="77777777" w:rsidR="008F4B24" w:rsidRDefault="008F4B24" w:rsidP="00F56DF0">
      <w:pPr>
        <w:spacing w:after="0" w:line="200" w:lineRule="exact"/>
        <w:rPr>
          <w:sz w:val="20"/>
          <w:szCs w:val="20"/>
        </w:rPr>
      </w:pPr>
    </w:p>
    <w:p w14:paraId="0087781A" w14:textId="77777777" w:rsidR="008F4B24" w:rsidRDefault="008F4B24" w:rsidP="00F56DF0">
      <w:pPr>
        <w:spacing w:before="7" w:after="0" w:line="200" w:lineRule="exact"/>
        <w:rPr>
          <w:sz w:val="20"/>
          <w:szCs w:val="20"/>
        </w:rPr>
      </w:pPr>
    </w:p>
    <w:p w14:paraId="68172CB9" w14:textId="45E17621" w:rsidR="008F4B24" w:rsidRDefault="00672165" w:rsidP="00F56DF0">
      <w:pPr>
        <w:spacing w:after="0" w:line="437" w:lineRule="exact"/>
        <w:rPr>
          <w:rFonts w:ascii="Calibri" w:eastAsia="Calibri" w:hAnsi="Calibri" w:cs="Calibri"/>
          <w:sz w:val="36"/>
          <w:szCs w:val="36"/>
        </w:rPr>
      </w:pPr>
      <w:r>
        <w:rPr>
          <w:rFonts w:ascii="Calibri" w:eastAsia="Calibri" w:hAnsi="Calibri" w:cs="Calibri"/>
          <w:color w:val="F47B20"/>
          <w:position w:val="1"/>
          <w:sz w:val="36"/>
          <w:szCs w:val="36"/>
        </w:rPr>
        <w:t>20</w:t>
      </w:r>
      <w:r w:rsidR="00E13B21">
        <w:rPr>
          <w:rFonts w:ascii="Calibri" w:eastAsia="Calibri" w:hAnsi="Calibri" w:cs="Calibri"/>
          <w:color w:val="F47B20"/>
          <w:position w:val="1"/>
          <w:sz w:val="36"/>
          <w:szCs w:val="36"/>
        </w:rPr>
        <w:t xml:space="preserve"> December</w:t>
      </w:r>
      <w:r w:rsidR="00094B95">
        <w:rPr>
          <w:rFonts w:ascii="Calibri" w:eastAsia="Calibri" w:hAnsi="Calibri" w:cs="Calibri"/>
          <w:color w:val="F47B20"/>
          <w:spacing w:val="-2"/>
          <w:position w:val="1"/>
          <w:sz w:val="36"/>
          <w:szCs w:val="36"/>
        </w:rPr>
        <w:t xml:space="preserve"> </w:t>
      </w:r>
      <w:r w:rsidR="00B81A1A">
        <w:rPr>
          <w:rFonts w:ascii="Calibri" w:eastAsia="Calibri" w:hAnsi="Calibri" w:cs="Calibri"/>
          <w:color w:val="F47B20"/>
          <w:position w:val="1"/>
          <w:sz w:val="36"/>
          <w:szCs w:val="36"/>
        </w:rPr>
        <w:t>201</w:t>
      </w:r>
      <w:r>
        <w:rPr>
          <w:rFonts w:ascii="Calibri" w:eastAsia="Calibri" w:hAnsi="Calibri" w:cs="Calibri"/>
          <w:color w:val="F47B20"/>
          <w:position w:val="1"/>
          <w:sz w:val="36"/>
          <w:szCs w:val="36"/>
        </w:rPr>
        <w:t>9</w:t>
      </w:r>
    </w:p>
    <w:p w14:paraId="5C1BA6A6" w14:textId="77777777" w:rsidR="008F4B24" w:rsidRDefault="008F4B24" w:rsidP="00F56DF0">
      <w:pPr>
        <w:spacing w:before="6" w:after="0" w:line="110" w:lineRule="exact"/>
        <w:rPr>
          <w:sz w:val="11"/>
          <w:szCs w:val="11"/>
        </w:rPr>
      </w:pPr>
    </w:p>
    <w:p w14:paraId="2BD513C2" w14:textId="77777777" w:rsidR="008F4B24" w:rsidRDefault="008F4B24" w:rsidP="00F56DF0">
      <w:pPr>
        <w:spacing w:after="0" w:line="200" w:lineRule="exact"/>
        <w:rPr>
          <w:sz w:val="20"/>
          <w:szCs w:val="20"/>
        </w:rPr>
      </w:pPr>
    </w:p>
    <w:p w14:paraId="2863D112" w14:textId="77777777" w:rsidR="008F4B24" w:rsidRDefault="00C81332" w:rsidP="002B2500">
      <w:pPr>
        <w:spacing w:after="0" w:line="240" w:lineRule="auto"/>
        <w:ind w:left="-1418"/>
        <w:rPr>
          <w:rFonts w:ascii="Times New Roman" w:eastAsia="Times New Roman" w:hAnsi="Times New Roman" w:cs="Times New Roman"/>
          <w:sz w:val="20"/>
          <w:szCs w:val="20"/>
        </w:rPr>
      </w:pPr>
      <w:r>
        <w:rPr>
          <w:noProof/>
          <w:lang w:eastAsia="en-AU"/>
        </w:rPr>
        <w:drawing>
          <wp:inline distT="0" distB="0" distL="0" distR="0" wp14:anchorId="75B19033" wp14:editId="37F5E299">
            <wp:extent cx="7572375" cy="5581650"/>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2375" cy="5581650"/>
                    </a:xfrm>
                    <a:prstGeom prst="rect">
                      <a:avLst/>
                    </a:prstGeom>
                    <a:noFill/>
                    <a:ln>
                      <a:noFill/>
                    </a:ln>
                  </pic:spPr>
                </pic:pic>
              </a:graphicData>
            </a:graphic>
          </wp:inline>
        </w:drawing>
      </w:r>
    </w:p>
    <w:p w14:paraId="18585FFB" w14:textId="77777777" w:rsidR="00726D3B" w:rsidRDefault="00726D3B" w:rsidP="00F56DF0">
      <w:pPr>
        <w:tabs>
          <w:tab w:val="left" w:pos="9160"/>
        </w:tabs>
        <w:spacing w:after="0" w:line="240" w:lineRule="auto"/>
        <w:rPr>
          <w:rFonts w:ascii="Calibri Light" w:eastAsia="Calibri Light" w:hAnsi="Calibri Light" w:cs="Calibri Light"/>
          <w:noProof/>
          <w:color w:val="00549E"/>
          <w:position w:val="1"/>
          <w:sz w:val="19"/>
          <w:szCs w:val="19"/>
          <w:lang w:eastAsia="en-AU"/>
        </w:rPr>
      </w:pPr>
      <w:r>
        <w:rPr>
          <w:rFonts w:ascii="Calibri Light" w:eastAsia="Calibri Light" w:hAnsi="Calibri Light" w:cs="Calibri Light"/>
          <w:noProof/>
          <w:color w:val="00549E"/>
          <w:position w:val="1"/>
          <w:sz w:val="19"/>
          <w:szCs w:val="19"/>
          <w:lang w:eastAsia="en-AU"/>
        </w:rPr>
        <w:t xml:space="preserve">  </w:t>
      </w:r>
    </w:p>
    <w:p w14:paraId="1166DBC1" w14:textId="77777777" w:rsidR="00726D3B" w:rsidRDefault="00726D3B" w:rsidP="00F56DF0">
      <w:pPr>
        <w:tabs>
          <w:tab w:val="left" w:pos="9160"/>
        </w:tabs>
        <w:spacing w:after="0" w:line="240" w:lineRule="auto"/>
        <w:rPr>
          <w:rFonts w:ascii="Calibri Light" w:eastAsia="Calibri Light" w:hAnsi="Calibri Light" w:cs="Calibri Light"/>
          <w:noProof/>
          <w:color w:val="00549E"/>
          <w:position w:val="1"/>
          <w:sz w:val="19"/>
          <w:szCs w:val="19"/>
          <w:lang w:eastAsia="en-AU"/>
        </w:rPr>
      </w:pPr>
    </w:p>
    <w:p w14:paraId="32093E1A" w14:textId="77777777" w:rsidR="00765ED8" w:rsidRDefault="00765ED8" w:rsidP="00F56DF0">
      <w:pPr>
        <w:tabs>
          <w:tab w:val="left" w:pos="9160"/>
        </w:tabs>
        <w:spacing w:after="0" w:line="240" w:lineRule="auto"/>
        <w:rPr>
          <w:rFonts w:ascii="Calibri Light" w:eastAsia="Calibri Light" w:hAnsi="Calibri Light" w:cs="Calibri Light"/>
          <w:noProof/>
          <w:color w:val="00549E"/>
          <w:position w:val="1"/>
          <w:sz w:val="19"/>
          <w:szCs w:val="19"/>
          <w:lang w:eastAsia="en-AU"/>
        </w:rPr>
      </w:pPr>
    </w:p>
    <w:p w14:paraId="27A02DC2" w14:textId="77777777" w:rsidR="00765ED8" w:rsidRDefault="00765ED8" w:rsidP="00765ED8">
      <w:pPr>
        <w:tabs>
          <w:tab w:val="left" w:pos="9160"/>
        </w:tabs>
        <w:spacing w:after="0" w:line="240" w:lineRule="auto"/>
        <w:rPr>
          <w:rFonts w:ascii="Calibri Light" w:eastAsia="Calibri Light" w:hAnsi="Calibri Light" w:cs="Calibri Light"/>
          <w:noProof/>
          <w:color w:val="00549E"/>
          <w:position w:val="1"/>
          <w:sz w:val="19"/>
          <w:szCs w:val="19"/>
          <w:lang w:eastAsia="en-AU"/>
        </w:rPr>
      </w:pPr>
    </w:p>
    <w:p w14:paraId="47083BCD" w14:textId="04640F10" w:rsidR="008F4B24" w:rsidRDefault="00B95E21" w:rsidP="00765ED8">
      <w:pPr>
        <w:tabs>
          <w:tab w:val="left" w:pos="9160"/>
        </w:tabs>
        <w:spacing w:after="0" w:line="240" w:lineRule="auto"/>
        <w:rPr>
          <w:rFonts w:ascii="Calibri Light" w:eastAsia="Calibri Light" w:hAnsi="Calibri Light" w:cs="Calibri Light"/>
          <w:color w:val="00549E"/>
          <w:position w:val="1"/>
          <w:sz w:val="19"/>
          <w:szCs w:val="19"/>
        </w:rPr>
      </w:pPr>
      <w:r>
        <w:rPr>
          <w:rFonts w:ascii="Calibri Light" w:eastAsia="Calibri Light" w:hAnsi="Calibri Light" w:cs="Calibri Light"/>
          <w:noProof/>
          <w:color w:val="00549E"/>
          <w:position w:val="1"/>
          <w:sz w:val="19"/>
          <w:szCs w:val="19"/>
          <w:lang w:eastAsia="en-AU"/>
        </w:rPr>
        <w:t xml:space="preserve">                                                                                                                                                                             </w:t>
      </w:r>
      <w:r w:rsidR="00B81A1A">
        <w:rPr>
          <w:rFonts w:ascii="Calibri Light" w:eastAsia="Calibri Light" w:hAnsi="Calibri Light" w:cs="Calibri Light"/>
          <w:noProof/>
          <w:color w:val="00549E"/>
          <w:position w:val="1"/>
          <w:sz w:val="19"/>
          <w:szCs w:val="19"/>
          <w:lang w:eastAsia="en-AU"/>
        </w:rPr>
        <w:t xml:space="preserve"> </w:t>
      </w:r>
      <w:r w:rsidR="00726D3B">
        <w:rPr>
          <w:rFonts w:ascii="Calibri Light" w:eastAsia="Calibri Light" w:hAnsi="Calibri Light" w:cs="Calibri Light"/>
          <w:noProof/>
          <w:color w:val="00549E"/>
          <w:position w:val="1"/>
          <w:sz w:val="19"/>
          <w:szCs w:val="19"/>
          <w:lang w:eastAsia="en-AU"/>
        </w:rPr>
        <w:t xml:space="preserve"> </w:t>
      </w:r>
      <w:r w:rsidR="00B81A1A">
        <w:rPr>
          <w:rFonts w:ascii="Calibri Light" w:eastAsia="Calibri Light" w:hAnsi="Calibri Light" w:cs="Calibri Light"/>
          <w:noProof/>
          <w:color w:val="00549E"/>
          <w:position w:val="1"/>
          <w:sz w:val="19"/>
          <w:szCs w:val="19"/>
          <w:lang w:eastAsia="en-AU"/>
        </w:rPr>
        <w:drawing>
          <wp:inline distT="0" distB="0" distL="0" distR="0" wp14:anchorId="6F02DAFA" wp14:editId="5B978907">
            <wp:extent cx="110363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3630" cy="609600"/>
                    </a:xfrm>
                    <a:prstGeom prst="rect">
                      <a:avLst/>
                    </a:prstGeom>
                    <a:noFill/>
                  </pic:spPr>
                </pic:pic>
              </a:graphicData>
            </a:graphic>
          </wp:inline>
        </w:drawing>
      </w:r>
      <w:r w:rsidR="00726D3B">
        <w:rPr>
          <w:b/>
          <w:noProof/>
          <w:color w:val="244061" w:themeColor="accent1" w:themeShade="80"/>
          <w:sz w:val="20"/>
          <w:szCs w:val="20"/>
          <w:lang w:eastAsia="en-AU"/>
        </w:rPr>
        <w:t xml:space="preserve"> </w:t>
      </w:r>
      <w:r w:rsidR="00495374">
        <w:rPr>
          <w:b/>
          <w:noProof/>
          <w:color w:val="244061" w:themeColor="accent1" w:themeShade="80"/>
          <w:sz w:val="20"/>
          <w:szCs w:val="20"/>
          <w:lang w:eastAsia="en-AU"/>
        </w:rPr>
        <w:t xml:space="preserve">     </w:t>
      </w:r>
      <w:r w:rsidR="00726D3B">
        <w:rPr>
          <w:b/>
          <w:noProof/>
          <w:color w:val="244061" w:themeColor="accent1" w:themeShade="80"/>
          <w:sz w:val="20"/>
          <w:szCs w:val="20"/>
          <w:lang w:eastAsia="en-AU"/>
        </w:rPr>
        <w:t xml:space="preserve">   </w:t>
      </w:r>
    </w:p>
    <w:p w14:paraId="21EAF686" w14:textId="77777777" w:rsidR="001C6ED6" w:rsidRDefault="001C6ED6" w:rsidP="002B2500">
      <w:pPr>
        <w:sectPr w:rsidR="001C6ED6" w:rsidSect="001C6ED6">
          <w:headerReference w:type="even" r:id="rId10"/>
          <w:headerReference w:type="default" r:id="rId11"/>
          <w:footerReference w:type="even" r:id="rId12"/>
          <w:footerReference w:type="default" r:id="rId13"/>
          <w:headerReference w:type="first" r:id="rId14"/>
          <w:footerReference w:type="first" r:id="rId15"/>
          <w:type w:val="continuous"/>
          <w:pgSz w:w="11920" w:h="16840"/>
          <w:pgMar w:top="1180" w:right="1147" w:bottom="280" w:left="1418" w:header="720" w:footer="720" w:gutter="0"/>
          <w:pgNumType w:start="1"/>
          <w:cols w:space="720"/>
          <w:titlePg/>
          <w:docGrid w:linePitch="299"/>
        </w:sectPr>
      </w:pPr>
    </w:p>
    <w:p w14:paraId="4E003E5B" w14:textId="77777777" w:rsidR="00C81332" w:rsidRPr="008410F3" w:rsidRDefault="00C81332" w:rsidP="00941B0D">
      <w:pPr>
        <w:pBdr>
          <w:top w:val="single" w:sz="24" w:space="0" w:color="4472C4"/>
          <w:left w:val="single" w:sz="24" w:space="0" w:color="4472C4"/>
          <w:bottom w:val="single" w:sz="24" w:space="0" w:color="4472C4"/>
          <w:right w:val="single" w:sz="24" w:space="0" w:color="4472C4"/>
        </w:pBdr>
        <w:shd w:val="clear" w:color="auto" w:fill="4472C4"/>
        <w:spacing w:before="100"/>
        <w:outlineLvl w:val="0"/>
        <w:rPr>
          <w:rFonts w:cstheme="minorHAnsi"/>
          <w:caps/>
          <w:color w:val="FFFFFF"/>
          <w:spacing w:val="15"/>
          <w:sz w:val="24"/>
          <w:szCs w:val="24"/>
        </w:rPr>
      </w:pPr>
      <w:bookmarkStart w:id="0" w:name="_Toc27403115"/>
      <w:r w:rsidRPr="008410F3">
        <w:rPr>
          <w:rFonts w:cstheme="minorHAnsi"/>
          <w:caps/>
          <w:color w:val="FFFFFF"/>
          <w:spacing w:val="15"/>
          <w:sz w:val="24"/>
          <w:szCs w:val="24"/>
        </w:rPr>
        <w:lastRenderedPageBreak/>
        <w:t>About VA</w:t>
      </w:r>
      <w:r w:rsidR="007E2865" w:rsidRPr="008410F3">
        <w:rPr>
          <w:rFonts w:cstheme="minorHAnsi"/>
          <w:caps/>
          <w:color w:val="FFFFFF"/>
          <w:spacing w:val="15"/>
          <w:sz w:val="24"/>
          <w:szCs w:val="24"/>
        </w:rPr>
        <w:t>cc</w:t>
      </w:r>
      <w:bookmarkEnd w:id="0"/>
    </w:p>
    <w:p w14:paraId="7A65146D" w14:textId="10BCEFA2" w:rsidR="00BB59C9" w:rsidRPr="008410F3" w:rsidRDefault="00BB59C9" w:rsidP="00BB59C9">
      <w:pPr>
        <w:rPr>
          <w:rFonts w:cstheme="minorHAnsi"/>
          <w:sz w:val="24"/>
          <w:szCs w:val="24"/>
        </w:rPr>
      </w:pPr>
      <w:r w:rsidRPr="008410F3">
        <w:rPr>
          <w:rFonts w:cstheme="minorHAnsi"/>
          <w:sz w:val="24"/>
          <w:szCs w:val="24"/>
        </w:rPr>
        <w:t>The Victorian Automobile Chamber of Commerce (VACC) is Victoria’s peak automotive industry association, representing the interests of more than 5,</w:t>
      </w:r>
      <w:r w:rsidR="00C27BEA" w:rsidRPr="008410F3">
        <w:rPr>
          <w:rFonts w:cstheme="minorHAnsi"/>
          <w:sz w:val="24"/>
          <w:szCs w:val="24"/>
        </w:rPr>
        <w:t>3</w:t>
      </w:r>
      <w:r w:rsidRPr="008410F3">
        <w:rPr>
          <w:rFonts w:cstheme="minorHAnsi"/>
          <w:sz w:val="24"/>
          <w:szCs w:val="24"/>
        </w:rPr>
        <w:t xml:space="preserve">00 members in over 20 retail automotive sectors that employ over 50,000 Victorians. </w:t>
      </w:r>
    </w:p>
    <w:p w14:paraId="12CDA4F8" w14:textId="77777777" w:rsidR="00BB59C9" w:rsidRPr="008410F3" w:rsidRDefault="00BB59C9" w:rsidP="00BB59C9">
      <w:pPr>
        <w:rPr>
          <w:rFonts w:cstheme="minorHAnsi"/>
          <w:sz w:val="24"/>
          <w:szCs w:val="24"/>
        </w:rPr>
      </w:pPr>
      <w:r w:rsidRPr="008410F3">
        <w:rPr>
          <w:rFonts w:cstheme="minorHAnsi"/>
          <w:sz w:val="24"/>
          <w:szCs w:val="24"/>
        </w:rPr>
        <w:t>VACC members range from new and used vehicle dealers (passenger, truck, commercial, motorcycles, recreational and farm machinery), repairers (mechanical, electrical, body and repair specialist</w:t>
      </w:r>
      <w:r w:rsidR="0088468F" w:rsidRPr="008410F3">
        <w:rPr>
          <w:rFonts w:cstheme="minorHAnsi"/>
          <w:sz w:val="24"/>
          <w:szCs w:val="24"/>
        </w:rPr>
        <w:t>s</w:t>
      </w:r>
      <w:r w:rsidRPr="008410F3">
        <w:rPr>
          <w:rFonts w:cstheme="minorHAnsi"/>
          <w:sz w:val="24"/>
          <w:szCs w:val="24"/>
        </w:rPr>
        <w:t xml:space="preserve">, i.e. radiators and engines), vehicle servicing (service stations, vehicle washing, rental, windscreens), parts and component wholesale/retail and distribution and aftermarket manufacture (i.e. specialist vehicle, parts or component modification and/or manufacture), and automotive dismantlers and recyclers. </w:t>
      </w:r>
    </w:p>
    <w:p w14:paraId="53BD498A" w14:textId="0922E509" w:rsidR="00177F92" w:rsidRPr="008410F3" w:rsidRDefault="00C27BEA" w:rsidP="00177F92">
      <w:pPr>
        <w:spacing w:after="0" w:line="240" w:lineRule="auto"/>
        <w:rPr>
          <w:rFonts w:cstheme="minorHAnsi"/>
          <w:sz w:val="24"/>
          <w:szCs w:val="24"/>
        </w:rPr>
      </w:pPr>
      <w:r w:rsidRPr="008410F3">
        <w:rPr>
          <w:rFonts w:cstheme="minorHAnsi"/>
          <w:sz w:val="24"/>
          <w:szCs w:val="24"/>
        </w:rPr>
        <w:t>The VACC is also an active member of the Motor Trades Association of Australia (MTAA) and contributes significantly to the national policy debate through Australia’s peak national automotive association.</w:t>
      </w:r>
    </w:p>
    <w:p w14:paraId="1FBB12F8" w14:textId="77777777" w:rsidR="00177F92" w:rsidRPr="008410F3" w:rsidRDefault="00177F92" w:rsidP="00177F92">
      <w:pPr>
        <w:spacing w:after="0" w:line="240" w:lineRule="auto"/>
        <w:rPr>
          <w:rFonts w:cstheme="minorHAnsi"/>
          <w:sz w:val="24"/>
          <w:szCs w:val="24"/>
        </w:rPr>
      </w:pPr>
    </w:p>
    <w:p w14:paraId="66D373C8" w14:textId="77777777" w:rsidR="00177F92" w:rsidRPr="008410F3" w:rsidRDefault="00177F92" w:rsidP="00177F92">
      <w:pPr>
        <w:spacing w:after="0" w:line="240" w:lineRule="auto"/>
        <w:rPr>
          <w:rFonts w:cstheme="minorHAnsi"/>
          <w:sz w:val="24"/>
          <w:szCs w:val="24"/>
        </w:rPr>
      </w:pPr>
    </w:p>
    <w:p w14:paraId="590DA8A1" w14:textId="77777777" w:rsidR="00177F92" w:rsidRPr="008410F3" w:rsidRDefault="00177F92" w:rsidP="00177F92">
      <w:pPr>
        <w:spacing w:after="0" w:line="240" w:lineRule="auto"/>
        <w:rPr>
          <w:rFonts w:cstheme="minorHAnsi"/>
          <w:sz w:val="24"/>
          <w:szCs w:val="24"/>
        </w:rPr>
      </w:pPr>
    </w:p>
    <w:p w14:paraId="7C0B14AE" w14:textId="77777777" w:rsidR="00177F92" w:rsidRPr="008410F3" w:rsidRDefault="00177F92" w:rsidP="00177F92">
      <w:pPr>
        <w:spacing w:after="0" w:line="240" w:lineRule="auto"/>
        <w:rPr>
          <w:rFonts w:cstheme="minorHAnsi"/>
          <w:sz w:val="24"/>
          <w:szCs w:val="24"/>
        </w:rPr>
      </w:pPr>
    </w:p>
    <w:p w14:paraId="50256281" w14:textId="77777777" w:rsidR="0068759F" w:rsidRPr="008410F3" w:rsidRDefault="0068759F" w:rsidP="00177F92">
      <w:pPr>
        <w:shd w:val="clear" w:color="auto" w:fill="0070C0"/>
        <w:spacing w:after="0" w:line="240" w:lineRule="auto"/>
        <w:rPr>
          <w:rFonts w:cstheme="minorHAnsi"/>
          <w:color w:val="FFFFFF" w:themeColor="background1"/>
          <w:sz w:val="24"/>
          <w:szCs w:val="24"/>
        </w:rPr>
      </w:pPr>
      <w:r w:rsidRPr="008410F3">
        <w:rPr>
          <w:rFonts w:cstheme="minorHAnsi"/>
          <w:color w:val="FFFFFF" w:themeColor="background1"/>
          <w:sz w:val="24"/>
          <w:szCs w:val="24"/>
        </w:rPr>
        <w:t xml:space="preserve">CONTACT DETAILS  </w:t>
      </w:r>
    </w:p>
    <w:p w14:paraId="4540BC1D" w14:textId="77777777" w:rsidR="00D70DC8" w:rsidRPr="008410F3" w:rsidRDefault="00D70DC8" w:rsidP="0068759F">
      <w:pPr>
        <w:spacing w:after="0" w:line="240" w:lineRule="auto"/>
        <w:rPr>
          <w:rFonts w:cstheme="minorHAnsi"/>
          <w:color w:val="000000"/>
          <w:sz w:val="24"/>
          <w:szCs w:val="24"/>
          <w:lang w:eastAsia="en-AU"/>
        </w:rPr>
      </w:pPr>
    </w:p>
    <w:p w14:paraId="5F7D88CA" w14:textId="77777777" w:rsidR="0068759F" w:rsidRPr="008410F3" w:rsidRDefault="0068759F" w:rsidP="0068759F">
      <w:pPr>
        <w:spacing w:after="0" w:line="240" w:lineRule="auto"/>
        <w:rPr>
          <w:rFonts w:cstheme="minorHAnsi"/>
          <w:b/>
          <w:color w:val="000000"/>
          <w:sz w:val="24"/>
          <w:szCs w:val="24"/>
          <w:lang w:eastAsia="en-AU"/>
        </w:rPr>
      </w:pPr>
      <w:r w:rsidRPr="008410F3">
        <w:rPr>
          <w:rFonts w:cstheme="minorHAnsi"/>
          <w:b/>
          <w:color w:val="000000"/>
          <w:sz w:val="24"/>
          <w:szCs w:val="24"/>
          <w:lang w:eastAsia="en-AU"/>
        </w:rPr>
        <w:t>Steve Bletsos</w:t>
      </w:r>
    </w:p>
    <w:p w14:paraId="42D355A3" w14:textId="77777777" w:rsidR="008410F3" w:rsidRDefault="008410F3" w:rsidP="0068759F">
      <w:pPr>
        <w:spacing w:after="0" w:line="240" w:lineRule="auto"/>
        <w:rPr>
          <w:rFonts w:cstheme="minorHAnsi"/>
          <w:b/>
          <w:color w:val="000000"/>
          <w:sz w:val="24"/>
          <w:szCs w:val="24"/>
          <w:lang w:eastAsia="en-AU"/>
        </w:rPr>
      </w:pPr>
    </w:p>
    <w:p w14:paraId="7F85250C" w14:textId="6B65FE22" w:rsidR="0068759F" w:rsidRPr="008410F3" w:rsidRDefault="0068759F" w:rsidP="0068759F">
      <w:pPr>
        <w:spacing w:after="0" w:line="240" w:lineRule="auto"/>
        <w:rPr>
          <w:rFonts w:cstheme="minorHAnsi"/>
          <w:b/>
          <w:color w:val="000000"/>
          <w:sz w:val="24"/>
          <w:szCs w:val="24"/>
          <w:lang w:eastAsia="en-AU"/>
        </w:rPr>
      </w:pPr>
      <w:r w:rsidRPr="008410F3">
        <w:rPr>
          <w:rFonts w:cstheme="minorHAnsi"/>
          <w:b/>
          <w:color w:val="000000"/>
          <w:sz w:val="24"/>
          <w:szCs w:val="24"/>
          <w:lang w:eastAsia="en-AU"/>
        </w:rPr>
        <w:t>Senior Research Analyst</w:t>
      </w:r>
    </w:p>
    <w:p w14:paraId="31EB3FA9" w14:textId="62C62214" w:rsidR="0068759F" w:rsidRPr="008410F3" w:rsidRDefault="0068759F" w:rsidP="0068759F">
      <w:pPr>
        <w:spacing w:after="0" w:line="240" w:lineRule="auto"/>
        <w:rPr>
          <w:rFonts w:cstheme="minorHAnsi"/>
          <w:b/>
          <w:color w:val="000000"/>
          <w:sz w:val="24"/>
          <w:szCs w:val="24"/>
          <w:lang w:eastAsia="en-AU"/>
        </w:rPr>
      </w:pPr>
      <w:r w:rsidRPr="008410F3">
        <w:rPr>
          <w:rFonts w:cstheme="minorHAnsi"/>
          <w:b/>
          <w:color w:val="000000"/>
          <w:sz w:val="24"/>
          <w:szCs w:val="24"/>
          <w:lang w:eastAsia="en-AU"/>
        </w:rPr>
        <w:t>Industr</w:t>
      </w:r>
      <w:r w:rsidR="005B3D37" w:rsidRPr="008410F3">
        <w:rPr>
          <w:rFonts w:cstheme="minorHAnsi"/>
          <w:b/>
          <w:color w:val="000000"/>
          <w:sz w:val="24"/>
          <w:szCs w:val="24"/>
          <w:lang w:eastAsia="en-AU"/>
        </w:rPr>
        <w:t>y Divisions &amp;</w:t>
      </w:r>
      <w:r w:rsidRPr="008410F3">
        <w:rPr>
          <w:rFonts w:cstheme="minorHAnsi"/>
          <w:b/>
          <w:color w:val="000000"/>
          <w:sz w:val="24"/>
          <w:szCs w:val="24"/>
          <w:lang w:eastAsia="en-AU"/>
        </w:rPr>
        <w:t xml:space="preserve"> Policy</w:t>
      </w:r>
    </w:p>
    <w:p w14:paraId="28F60B71" w14:textId="77777777" w:rsidR="0068759F" w:rsidRPr="008410F3" w:rsidRDefault="0068759F" w:rsidP="0068759F">
      <w:pPr>
        <w:spacing w:after="0" w:line="240" w:lineRule="auto"/>
        <w:rPr>
          <w:rFonts w:cstheme="minorHAnsi"/>
          <w:b/>
          <w:color w:val="000000"/>
          <w:sz w:val="24"/>
          <w:szCs w:val="24"/>
          <w:lang w:eastAsia="en-AU"/>
        </w:rPr>
      </w:pPr>
    </w:p>
    <w:p w14:paraId="0221A7C0" w14:textId="77777777" w:rsidR="0068759F" w:rsidRPr="008410F3" w:rsidRDefault="0068759F" w:rsidP="0068759F">
      <w:pPr>
        <w:spacing w:after="0" w:line="240" w:lineRule="auto"/>
        <w:rPr>
          <w:rFonts w:cstheme="minorHAnsi"/>
          <w:b/>
          <w:bCs/>
          <w:color w:val="3055E8"/>
          <w:sz w:val="24"/>
          <w:szCs w:val="24"/>
          <w:lang w:eastAsia="en-AU"/>
        </w:rPr>
      </w:pPr>
      <w:r w:rsidRPr="008410F3">
        <w:rPr>
          <w:rFonts w:cstheme="minorHAnsi"/>
          <w:b/>
          <w:bCs/>
          <w:color w:val="3055E8"/>
          <w:sz w:val="24"/>
          <w:szCs w:val="24"/>
          <w:lang w:eastAsia="en-AU"/>
        </w:rPr>
        <w:t>V</w:t>
      </w:r>
      <w:r w:rsidRPr="008410F3">
        <w:rPr>
          <w:rFonts w:cstheme="minorHAnsi"/>
          <w:b/>
          <w:bCs/>
          <w:color w:val="E47117"/>
          <w:sz w:val="24"/>
          <w:szCs w:val="24"/>
          <w:lang w:eastAsia="en-AU"/>
        </w:rPr>
        <w:t>A</w:t>
      </w:r>
      <w:r w:rsidRPr="008410F3">
        <w:rPr>
          <w:rFonts w:cstheme="minorHAnsi"/>
          <w:b/>
          <w:bCs/>
          <w:color w:val="3055E8"/>
          <w:sz w:val="24"/>
          <w:szCs w:val="24"/>
          <w:lang w:eastAsia="en-AU"/>
        </w:rPr>
        <w:t>CC</w:t>
      </w:r>
    </w:p>
    <w:p w14:paraId="602D1EFB" w14:textId="77777777" w:rsidR="0068759F" w:rsidRPr="008410F3" w:rsidRDefault="0068759F" w:rsidP="0068759F">
      <w:pPr>
        <w:spacing w:after="0" w:line="240" w:lineRule="auto"/>
        <w:rPr>
          <w:rFonts w:cstheme="minorHAnsi"/>
          <w:color w:val="3055E8"/>
          <w:sz w:val="24"/>
          <w:szCs w:val="24"/>
          <w:lang w:eastAsia="en-AU"/>
        </w:rPr>
      </w:pPr>
    </w:p>
    <w:p w14:paraId="3E0A5FCC" w14:textId="77777777" w:rsidR="0068759F" w:rsidRPr="008410F3" w:rsidRDefault="0068759F" w:rsidP="0068759F">
      <w:pPr>
        <w:spacing w:after="0" w:line="240" w:lineRule="auto"/>
        <w:rPr>
          <w:rFonts w:cstheme="minorHAnsi"/>
          <w:color w:val="3055E8"/>
          <w:sz w:val="24"/>
          <w:szCs w:val="24"/>
          <w:lang w:eastAsia="en-AU"/>
        </w:rPr>
      </w:pPr>
      <w:r w:rsidRPr="008410F3">
        <w:rPr>
          <w:rFonts w:cstheme="minorHAnsi"/>
          <w:color w:val="3055E8"/>
          <w:sz w:val="24"/>
          <w:szCs w:val="24"/>
          <w:lang w:eastAsia="en-AU"/>
        </w:rPr>
        <w:t xml:space="preserve">Level </w:t>
      </w:r>
      <w:proofErr w:type="gramStart"/>
      <w:r w:rsidRPr="008410F3">
        <w:rPr>
          <w:rFonts w:cstheme="minorHAnsi"/>
          <w:color w:val="3055E8"/>
          <w:sz w:val="24"/>
          <w:szCs w:val="24"/>
          <w:lang w:eastAsia="en-AU"/>
        </w:rPr>
        <w:t xml:space="preserve">7  </w:t>
      </w:r>
      <w:r w:rsidRPr="008410F3">
        <w:rPr>
          <w:rFonts w:cstheme="minorHAnsi"/>
          <w:color w:val="E47117"/>
          <w:sz w:val="24"/>
          <w:szCs w:val="24"/>
          <w:lang w:eastAsia="en-AU"/>
        </w:rPr>
        <w:t>|</w:t>
      </w:r>
      <w:proofErr w:type="gramEnd"/>
      <w:r w:rsidRPr="008410F3">
        <w:rPr>
          <w:rFonts w:cstheme="minorHAnsi"/>
          <w:color w:val="3055E8"/>
          <w:sz w:val="24"/>
          <w:szCs w:val="24"/>
          <w:lang w:eastAsia="en-AU"/>
        </w:rPr>
        <w:t xml:space="preserve">  464 St Kilda Road  </w:t>
      </w:r>
      <w:r w:rsidRPr="008410F3">
        <w:rPr>
          <w:rFonts w:cstheme="minorHAnsi"/>
          <w:color w:val="E47117"/>
          <w:sz w:val="24"/>
          <w:szCs w:val="24"/>
          <w:lang w:eastAsia="en-AU"/>
        </w:rPr>
        <w:t>|</w:t>
      </w:r>
      <w:r w:rsidRPr="008410F3">
        <w:rPr>
          <w:rFonts w:cstheme="minorHAnsi"/>
          <w:color w:val="3055E8"/>
          <w:sz w:val="24"/>
          <w:szCs w:val="24"/>
          <w:lang w:eastAsia="en-AU"/>
        </w:rPr>
        <w:t>  Melbourne Vic 3004</w:t>
      </w:r>
    </w:p>
    <w:p w14:paraId="2F09F312" w14:textId="59B5A412" w:rsidR="0068759F" w:rsidRPr="008410F3" w:rsidRDefault="0068759F" w:rsidP="0068759F">
      <w:pPr>
        <w:spacing w:after="0" w:line="240" w:lineRule="auto"/>
        <w:rPr>
          <w:rFonts w:cstheme="minorHAnsi"/>
          <w:color w:val="3055E8"/>
          <w:sz w:val="24"/>
          <w:szCs w:val="24"/>
          <w:lang w:eastAsia="en-AU"/>
        </w:rPr>
      </w:pPr>
      <w:r w:rsidRPr="008410F3">
        <w:rPr>
          <w:rFonts w:cstheme="minorHAnsi"/>
          <w:b/>
          <w:bCs/>
          <w:color w:val="3055E8"/>
          <w:sz w:val="24"/>
          <w:szCs w:val="24"/>
          <w:lang w:eastAsia="en-AU"/>
        </w:rPr>
        <w:t>P:</w:t>
      </w:r>
      <w:r w:rsidRPr="008410F3">
        <w:rPr>
          <w:rFonts w:cstheme="minorHAnsi"/>
          <w:color w:val="3055E8"/>
          <w:sz w:val="24"/>
          <w:szCs w:val="24"/>
          <w:lang w:eastAsia="en-AU"/>
        </w:rPr>
        <w:t xml:space="preserve"> 03 9829 1143  </w:t>
      </w:r>
      <w:r w:rsidRPr="008410F3">
        <w:rPr>
          <w:rFonts w:cstheme="minorHAnsi"/>
          <w:color w:val="E47117"/>
          <w:sz w:val="24"/>
          <w:szCs w:val="24"/>
          <w:lang w:eastAsia="en-AU"/>
        </w:rPr>
        <w:t>|</w:t>
      </w:r>
      <w:r w:rsidRPr="008410F3">
        <w:rPr>
          <w:rFonts w:cstheme="minorHAnsi"/>
          <w:color w:val="3055E8"/>
          <w:sz w:val="24"/>
          <w:szCs w:val="24"/>
          <w:lang w:eastAsia="en-AU"/>
        </w:rPr>
        <w:t xml:space="preserve">  </w:t>
      </w:r>
      <w:r w:rsidRPr="008410F3">
        <w:rPr>
          <w:rFonts w:cstheme="minorHAnsi"/>
          <w:b/>
          <w:bCs/>
          <w:color w:val="3055E8"/>
          <w:sz w:val="24"/>
          <w:szCs w:val="24"/>
          <w:lang w:eastAsia="en-AU"/>
        </w:rPr>
        <w:t>M:</w:t>
      </w:r>
      <w:r w:rsidRPr="008410F3">
        <w:rPr>
          <w:rFonts w:cstheme="minorHAnsi"/>
          <w:color w:val="3055E8"/>
          <w:sz w:val="24"/>
          <w:szCs w:val="24"/>
          <w:lang w:eastAsia="en-AU"/>
        </w:rPr>
        <w:t xml:space="preserve"> 0438 385 881  </w:t>
      </w:r>
      <w:r w:rsidRPr="008410F3">
        <w:rPr>
          <w:rFonts w:cstheme="minorHAnsi"/>
          <w:color w:val="E47117"/>
          <w:sz w:val="24"/>
          <w:szCs w:val="24"/>
          <w:lang w:eastAsia="en-AU"/>
        </w:rPr>
        <w:t>|  </w:t>
      </w:r>
      <w:r w:rsidRPr="008410F3">
        <w:rPr>
          <w:rFonts w:cstheme="minorHAnsi"/>
          <w:b/>
          <w:bCs/>
          <w:color w:val="3055E8"/>
          <w:sz w:val="24"/>
          <w:szCs w:val="24"/>
          <w:lang w:eastAsia="en-AU"/>
        </w:rPr>
        <w:t>F:</w:t>
      </w:r>
      <w:r w:rsidRPr="008410F3">
        <w:rPr>
          <w:rFonts w:cstheme="minorHAnsi"/>
          <w:color w:val="3055E8"/>
          <w:sz w:val="24"/>
          <w:szCs w:val="24"/>
          <w:lang w:eastAsia="en-AU"/>
        </w:rPr>
        <w:t xml:space="preserve"> 03 9820 3401  </w:t>
      </w:r>
      <w:r w:rsidRPr="008410F3">
        <w:rPr>
          <w:rFonts w:cstheme="minorHAnsi"/>
          <w:color w:val="E47117"/>
          <w:sz w:val="24"/>
          <w:szCs w:val="24"/>
          <w:lang w:eastAsia="en-AU"/>
        </w:rPr>
        <w:t xml:space="preserve">|  </w:t>
      </w:r>
      <w:r w:rsidRPr="008410F3">
        <w:rPr>
          <w:rFonts w:cstheme="minorHAnsi"/>
          <w:b/>
          <w:bCs/>
          <w:color w:val="3055E8"/>
          <w:sz w:val="24"/>
          <w:szCs w:val="24"/>
          <w:lang w:eastAsia="en-AU"/>
        </w:rPr>
        <w:t xml:space="preserve">W: </w:t>
      </w:r>
      <w:hyperlink r:id="rId16" w:history="1">
        <w:r w:rsidRPr="008410F3">
          <w:rPr>
            <w:rStyle w:val="Hyperlink"/>
            <w:rFonts w:cstheme="minorHAnsi"/>
            <w:color w:val="3055E8"/>
            <w:sz w:val="24"/>
            <w:szCs w:val="24"/>
            <w:lang w:eastAsia="en-AU"/>
          </w:rPr>
          <w:t>vacc.com.au</w:t>
        </w:r>
      </w:hyperlink>
    </w:p>
    <w:p w14:paraId="2BBECAD6" w14:textId="77777777" w:rsidR="0068759F" w:rsidRPr="008410F3" w:rsidRDefault="0068759F" w:rsidP="0068759F">
      <w:pPr>
        <w:rPr>
          <w:rFonts w:cstheme="minorHAnsi"/>
          <w:sz w:val="24"/>
          <w:szCs w:val="24"/>
        </w:rPr>
      </w:pPr>
    </w:p>
    <w:p w14:paraId="517850A7" w14:textId="77777777" w:rsidR="00BB59C9" w:rsidRPr="008410F3" w:rsidRDefault="0068759F" w:rsidP="0068759F">
      <w:pPr>
        <w:rPr>
          <w:rFonts w:cstheme="minorHAnsi"/>
          <w:sz w:val="24"/>
          <w:szCs w:val="24"/>
        </w:rPr>
      </w:pPr>
      <w:r w:rsidRPr="008410F3">
        <w:rPr>
          <w:rFonts w:cstheme="minorHAnsi"/>
          <w:sz w:val="24"/>
          <w:szCs w:val="24"/>
        </w:rPr>
        <w:t xml:space="preserve"> </w:t>
      </w:r>
      <w:r w:rsidR="00C81332" w:rsidRPr="008410F3">
        <w:rPr>
          <w:rFonts w:cstheme="minorHAnsi"/>
          <w:sz w:val="24"/>
          <w:szCs w:val="24"/>
        </w:rPr>
        <w:br w:type="page"/>
      </w:r>
    </w:p>
    <w:p w14:paraId="3D776EC4" w14:textId="77777777" w:rsidR="00C81332" w:rsidRPr="008410F3" w:rsidRDefault="00C81332" w:rsidP="00C81332">
      <w:pPr>
        <w:pBdr>
          <w:top w:val="single" w:sz="24" w:space="0" w:color="4472C4"/>
          <w:left w:val="single" w:sz="24" w:space="0" w:color="4472C4"/>
          <w:bottom w:val="single" w:sz="24" w:space="0" w:color="4472C4"/>
          <w:right w:val="single" w:sz="24" w:space="0" w:color="4472C4"/>
        </w:pBdr>
        <w:shd w:val="clear" w:color="auto" w:fill="4472C4"/>
        <w:spacing w:before="100"/>
        <w:outlineLvl w:val="0"/>
        <w:rPr>
          <w:rFonts w:cstheme="minorHAnsi"/>
          <w:caps/>
          <w:color w:val="FFFFFF"/>
          <w:spacing w:val="15"/>
          <w:sz w:val="24"/>
          <w:szCs w:val="24"/>
        </w:rPr>
      </w:pPr>
      <w:bookmarkStart w:id="1" w:name="_Hlk497483568"/>
      <w:bookmarkStart w:id="2" w:name="_Toc27403116"/>
      <w:r w:rsidRPr="008410F3">
        <w:rPr>
          <w:rFonts w:cstheme="minorHAnsi"/>
          <w:caps/>
          <w:color w:val="FFFFFF"/>
          <w:spacing w:val="15"/>
          <w:sz w:val="24"/>
          <w:szCs w:val="24"/>
        </w:rPr>
        <w:lastRenderedPageBreak/>
        <w:t>RECOMMENDATIONS</w:t>
      </w:r>
      <w:bookmarkEnd w:id="1"/>
      <w:bookmarkEnd w:id="2"/>
    </w:p>
    <w:p w14:paraId="198EC311" w14:textId="77777777" w:rsidR="004F502C" w:rsidRPr="008410F3" w:rsidRDefault="004F502C" w:rsidP="004F502C">
      <w:pPr>
        <w:rPr>
          <w:rFonts w:cstheme="minorHAnsi"/>
          <w:b/>
          <w:sz w:val="24"/>
          <w:szCs w:val="24"/>
        </w:rPr>
      </w:pPr>
      <w:r w:rsidRPr="008410F3">
        <w:rPr>
          <w:rFonts w:cstheme="minorHAnsi"/>
          <w:b/>
          <w:sz w:val="24"/>
          <w:szCs w:val="24"/>
        </w:rPr>
        <w:t>Recommendation 1:</w:t>
      </w:r>
    </w:p>
    <w:p w14:paraId="485C9938" w14:textId="784BC6AD" w:rsidR="004F502C" w:rsidRDefault="004F502C" w:rsidP="008168D4">
      <w:pPr>
        <w:rPr>
          <w:rFonts w:cstheme="minorHAnsi"/>
          <w:b/>
          <w:sz w:val="24"/>
          <w:szCs w:val="24"/>
        </w:rPr>
      </w:pPr>
      <w:r w:rsidRPr="00445976">
        <w:rPr>
          <w:rFonts w:cstheme="minorHAnsi"/>
          <w:i/>
          <w:sz w:val="24"/>
          <w:szCs w:val="24"/>
        </w:rPr>
        <w:t>That the government allocate seed funding of $250,000 in the 2020-21 Federal Budget for the establishment of an industry body to administer the mandatory information sharing scheme for motor vehicle service and repair information.</w:t>
      </w:r>
    </w:p>
    <w:p w14:paraId="369EF90F" w14:textId="77777777" w:rsidR="004F502C" w:rsidRPr="008410F3" w:rsidRDefault="004F502C" w:rsidP="004F502C">
      <w:pPr>
        <w:rPr>
          <w:rFonts w:cstheme="minorHAnsi"/>
          <w:b/>
          <w:sz w:val="24"/>
          <w:szCs w:val="24"/>
        </w:rPr>
      </w:pPr>
      <w:r w:rsidRPr="008410F3">
        <w:rPr>
          <w:rFonts w:cstheme="minorHAnsi"/>
          <w:b/>
          <w:sz w:val="24"/>
          <w:szCs w:val="24"/>
        </w:rPr>
        <w:t>Recommendation 2:</w:t>
      </w:r>
    </w:p>
    <w:p w14:paraId="2777404E" w14:textId="77777777" w:rsidR="004F502C" w:rsidRPr="008410F3" w:rsidRDefault="004F502C" w:rsidP="004F502C">
      <w:pPr>
        <w:rPr>
          <w:rFonts w:cstheme="minorHAnsi"/>
          <w:i/>
          <w:sz w:val="24"/>
          <w:szCs w:val="24"/>
        </w:rPr>
      </w:pPr>
      <w:r w:rsidRPr="008410F3">
        <w:rPr>
          <w:rFonts w:cstheme="minorHAnsi"/>
          <w:i/>
          <w:sz w:val="24"/>
          <w:szCs w:val="24"/>
        </w:rPr>
        <w:t>That funding is allocated within the 2020-21 Federal Budget towards the development of a national program aimed at the proper disposal of end-of-life vehicles.</w:t>
      </w:r>
    </w:p>
    <w:p w14:paraId="29E13BDB" w14:textId="1D878477" w:rsidR="008168D4" w:rsidRPr="008410F3" w:rsidRDefault="008168D4" w:rsidP="008168D4">
      <w:pPr>
        <w:rPr>
          <w:rFonts w:cstheme="minorHAnsi"/>
          <w:b/>
          <w:sz w:val="24"/>
          <w:szCs w:val="24"/>
        </w:rPr>
      </w:pPr>
      <w:bookmarkStart w:id="3" w:name="_Hlk26536158"/>
      <w:r w:rsidRPr="008410F3">
        <w:rPr>
          <w:rFonts w:cstheme="minorHAnsi"/>
          <w:b/>
          <w:sz w:val="24"/>
          <w:szCs w:val="24"/>
        </w:rPr>
        <w:t xml:space="preserve">Recommendation </w:t>
      </w:r>
      <w:r w:rsidR="004F502C">
        <w:rPr>
          <w:rFonts w:cstheme="minorHAnsi"/>
          <w:b/>
          <w:sz w:val="24"/>
          <w:szCs w:val="24"/>
        </w:rPr>
        <w:t>3</w:t>
      </w:r>
      <w:r w:rsidRPr="008410F3">
        <w:rPr>
          <w:rFonts w:cstheme="minorHAnsi"/>
          <w:b/>
          <w:sz w:val="24"/>
          <w:szCs w:val="24"/>
        </w:rPr>
        <w:t>:</w:t>
      </w:r>
    </w:p>
    <w:bookmarkEnd w:id="3"/>
    <w:p w14:paraId="78FE4B40" w14:textId="4D40F03C" w:rsidR="0010753D" w:rsidRPr="008410F3" w:rsidRDefault="0010753D" w:rsidP="008168D4">
      <w:pPr>
        <w:rPr>
          <w:rFonts w:cstheme="minorHAnsi"/>
          <w:i/>
          <w:sz w:val="24"/>
          <w:szCs w:val="24"/>
        </w:rPr>
      </w:pPr>
      <w:r w:rsidRPr="008410F3">
        <w:rPr>
          <w:rFonts w:cstheme="minorHAnsi"/>
          <w:i/>
          <w:sz w:val="24"/>
          <w:szCs w:val="24"/>
        </w:rPr>
        <w:t>That current models of industry engagement in VET as determined by Australian Industry Skills Committee (AISC) and Industry Reference Committees (IRCs) be re-evaluated with a view to strengthening the level of industry engagement towards the design and skills content of VET qualifications</w:t>
      </w:r>
      <w:r w:rsidR="0058016D" w:rsidRPr="008410F3">
        <w:rPr>
          <w:rFonts w:cstheme="minorHAnsi"/>
          <w:i/>
          <w:sz w:val="24"/>
          <w:szCs w:val="24"/>
        </w:rPr>
        <w:t>.</w:t>
      </w:r>
    </w:p>
    <w:p w14:paraId="709B56D0" w14:textId="399F8B82" w:rsidR="00705589" w:rsidRPr="008410F3" w:rsidRDefault="008168D4" w:rsidP="008168D4">
      <w:pPr>
        <w:rPr>
          <w:rFonts w:cstheme="minorHAnsi"/>
          <w:b/>
          <w:sz w:val="24"/>
          <w:szCs w:val="24"/>
        </w:rPr>
      </w:pPr>
      <w:bookmarkStart w:id="4" w:name="_Hlk26536304"/>
      <w:r w:rsidRPr="008410F3">
        <w:rPr>
          <w:rFonts w:cstheme="minorHAnsi"/>
          <w:b/>
          <w:sz w:val="24"/>
          <w:szCs w:val="24"/>
        </w:rPr>
        <w:t xml:space="preserve">Recommendation </w:t>
      </w:r>
      <w:r w:rsidR="004F502C">
        <w:rPr>
          <w:rFonts w:cstheme="minorHAnsi"/>
          <w:b/>
          <w:sz w:val="24"/>
          <w:szCs w:val="24"/>
        </w:rPr>
        <w:t>4</w:t>
      </w:r>
      <w:r w:rsidRPr="008410F3">
        <w:rPr>
          <w:rFonts w:cstheme="minorHAnsi"/>
          <w:b/>
          <w:sz w:val="24"/>
          <w:szCs w:val="24"/>
        </w:rPr>
        <w:t>:</w:t>
      </w:r>
    </w:p>
    <w:bookmarkEnd w:id="4"/>
    <w:p w14:paraId="6F2F070E" w14:textId="4F4D095C" w:rsidR="0010753D" w:rsidRPr="008410F3" w:rsidRDefault="0010753D" w:rsidP="008168D4">
      <w:pPr>
        <w:rPr>
          <w:rFonts w:cstheme="minorHAnsi"/>
          <w:i/>
          <w:sz w:val="24"/>
          <w:szCs w:val="24"/>
        </w:rPr>
      </w:pPr>
      <w:r w:rsidRPr="008410F3">
        <w:rPr>
          <w:rFonts w:cstheme="minorHAnsi"/>
          <w:i/>
          <w:sz w:val="24"/>
          <w:szCs w:val="24"/>
        </w:rPr>
        <w:t>A strengthening of industry governance and strategic leadership arrangements within the VET sector, including a review of the role of the AISC within this process</w:t>
      </w:r>
      <w:r w:rsidR="0058016D" w:rsidRPr="008410F3">
        <w:rPr>
          <w:rFonts w:cstheme="minorHAnsi"/>
          <w:i/>
          <w:sz w:val="24"/>
          <w:szCs w:val="24"/>
        </w:rPr>
        <w:t>.</w:t>
      </w:r>
    </w:p>
    <w:p w14:paraId="4768FFDA" w14:textId="00B83689" w:rsidR="00705589" w:rsidRPr="008410F3" w:rsidRDefault="000211E2" w:rsidP="000211E2">
      <w:pPr>
        <w:rPr>
          <w:rFonts w:cstheme="minorHAnsi"/>
          <w:b/>
          <w:sz w:val="24"/>
          <w:szCs w:val="24"/>
        </w:rPr>
      </w:pPr>
      <w:r w:rsidRPr="008410F3">
        <w:rPr>
          <w:rFonts w:cstheme="minorHAnsi"/>
          <w:b/>
          <w:sz w:val="24"/>
          <w:szCs w:val="24"/>
        </w:rPr>
        <w:t xml:space="preserve">Recommendation </w:t>
      </w:r>
      <w:r w:rsidR="004F502C">
        <w:rPr>
          <w:rFonts w:cstheme="minorHAnsi"/>
          <w:b/>
          <w:sz w:val="24"/>
          <w:szCs w:val="24"/>
        </w:rPr>
        <w:t>5</w:t>
      </w:r>
      <w:r w:rsidRPr="008410F3">
        <w:rPr>
          <w:rFonts w:cstheme="minorHAnsi"/>
          <w:b/>
          <w:sz w:val="24"/>
          <w:szCs w:val="24"/>
        </w:rPr>
        <w:t>:</w:t>
      </w:r>
    </w:p>
    <w:p w14:paraId="68F036A3" w14:textId="596CE6E9" w:rsidR="0010753D" w:rsidRPr="008410F3" w:rsidRDefault="0010753D" w:rsidP="000211E2">
      <w:pPr>
        <w:rPr>
          <w:rFonts w:cstheme="minorHAnsi"/>
          <w:i/>
          <w:sz w:val="24"/>
          <w:szCs w:val="24"/>
        </w:rPr>
      </w:pPr>
      <w:r w:rsidRPr="008410F3">
        <w:rPr>
          <w:rFonts w:cstheme="minorHAnsi"/>
          <w:i/>
          <w:sz w:val="24"/>
          <w:szCs w:val="24"/>
        </w:rPr>
        <w:t>That funding be allocated within the 2020-21 Federal Budget for the continuation of the Industry Specialist Mentoring for Australian Apprentices (ISMAA) program for a further two years</w:t>
      </w:r>
      <w:r w:rsidR="0058016D" w:rsidRPr="008410F3">
        <w:rPr>
          <w:rFonts w:cstheme="minorHAnsi"/>
          <w:i/>
          <w:sz w:val="24"/>
          <w:szCs w:val="24"/>
        </w:rPr>
        <w:t>.</w:t>
      </w:r>
    </w:p>
    <w:p w14:paraId="12E354A0" w14:textId="358E5D60" w:rsidR="00705589" w:rsidRPr="008410F3" w:rsidRDefault="000211E2" w:rsidP="000211E2">
      <w:pPr>
        <w:rPr>
          <w:rFonts w:cstheme="minorHAnsi"/>
          <w:b/>
          <w:sz w:val="24"/>
          <w:szCs w:val="24"/>
        </w:rPr>
      </w:pPr>
      <w:r w:rsidRPr="008410F3">
        <w:rPr>
          <w:rFonts w:cstheme="minorHAnsi"/>
          <w:b/>
          <w:sz w:val="24"/>
          <w:szCs w:val="24"/>
        </w:rPr>
        <w:t xml:space="preserve">Recommendation </w:t>
      </w:r>
      <w:r w:rsidR="004F502C">
        <w:rPr>
          <w:rFonts w:cstheme="minorHAnsi"/>
          <w:b/>
          <w:sz w:val="24"/>
          <w:szCs w:val="24"/>
        </w:rPr>
        <w:t>6</w:t>
      </w:r>
      <w:r w:rsidRPr="008410F3">
        <w:rPr>
          <w:rFonts w:cstheme="minorHAnsi"/>
          <w:b/>
          <w:sz w:val="24"/>
          <w:szCs w:val="24"/>
        </w:rPr>
        <w:t>:</w:t>
      </w:r>
    </w:p>
    <w:p w14:paraId="6967CA5F" w14:textId="41E36657" w:rsidR="0010753D" w:rsidRPr="008410F3" w:rsidRDefault="0010753D" w:rsidP="000211E2">
      <w:pPr>
        <w:rPr>
          <w:rFonts w:cstheme="minorHAnsi"/>
          <w:i/>
          <w:sz w:val="24"/>
          <w:szCs w:val="24"/>
        </w:rPr>
      </w:pPr>
      <w:r w:rsidRPr="008410F3">
        <w:rPr>
          <w:rFonts w:cstheme="minorHAnsi"/>
          <w:i/>
          <w:sz w:val="24"/>
          <w:szCs w:val="24"/>
        </w:rPr>
        <w:t>That funding is allocated within the next Federal Budget for Registered Training Providers to purchase up-to-date vehicles and componentry for automotive apprentice training</w:t>
      </w:r>
      <w:r w:rsidR="0058016D" w:rsidRPr="008410F3">
        <w:rPr>
          <w:rFonts w:cstheme="minorHAnsi"/>
          <w:i/>
          <w:sz w:val="24"/>
          <w:szCs w:val="24"/>
        </w:rPr>
        <w:t>.</w:t>
      </w:r>
    </w:p>
    <w:p w14:paraId="40DBF924" w14:textId="05B91972" w:rsidR="00FF15E2" w:rsidRPr="008410F3" w:rsidRDefault="000211E2" w:rsidP="000211E2">
      <w:pPr>
        <w:rPr>
          <w:rFonts w:cstheme="minorHAnsi"/>
          <w:b/>
          <w:sz w:val="24"/>
          <w:szCs w:val="24"/>
        </w:rPr>
      </w:pPr>
      <w:r w:rsidRPr="008410F3">
        <w:rPr>
          <w:rFonts w:cstheme="minorHAnsi"/>
          <w:b/>
          <w:sz w:val="24"/>
          <w:szCs w:val="24"/>
        </w:rPr>
        <w:t xml:space="preserve">Recommendation </w:t>
      </w:r>
      <w:r w:rsidR="004F502C">
        <w:rPr>
          <w:rFonts w:cstheme="minorHAnsi"/>
          <w:b/>
          <w:sz w:val="24"/>
          <w:szCs w:val="24"/>
        </w:rPr>
        <w:t>7</w:t>
      </w:r>
      <w:r w:rsidRPr="008410F3">
        <w:rPr>
          <w:rFonts w:cstheme="minorHAnsi"/>
          <w:b/>
          <w:sz w:val="24"/>
          <w:szCs w:val="24"/>
        </w:rPr>
        <w:t>:</w:t>
      </w:r>
    </w:p>
    <w:p w14:paraId="0B000259" w14:textId="4BD9EE72" w:rsidR="0058016D" w:rsidRPr="008410F3" w:rsidRDefault="0058016D" w:rsidP="000211E2">
      <w:pPr>
        <w:rPr>
          <w:rFonts w:cstheme="minorHAnsi"/>
          <w:i/>
          <w:sz w:val="24"/>
          <w:szCs w:val="24"/>
        </w:rPr>
      </w:pPr>
      <w:r w:rsidRPr="008410F3">
        <w:rPr>
          <w:rFonts w:cstheme="minorHAnsi"/>
          <w:i/>
          <w:sz w:val="24"/>
          <w:szCs w:val="24"/>
        </w:rPr>
        <w:t>That the vocational student hourly rate for automotive training be increased by 35 per cent or $3.00 per hour.</w:t>
      </w:r>
    </w:p>
    <w:p w14:paraId="2DE328D9" w14:textId="77777777" w:rsidR="00C8049F" w:rsidRDefault="00C8049F" w:rsidP="000211E2">
      <w:pPr>
        <w:rPr>
          <w:rFonts w:cstheme="minorHAnsi"/>
          <w:b/>
          <w:sz w:val="24"/>
          <w:szCs w:val="24"/>
        </w:rPr>
      </w:pPr>
    </w:p>
    <w:p w14:paraId="47B22619" w14:textId="77777777" w:rsidR="00C8049F" w:rsidRDefault="00C8049F" w:rsidP="000211E2">
      <w:pPr>
        <w:rPr>
          <w:rFonts w:cstheme="minorHAnsi"/>
          <w:b/>
          <w:sz w:val="24"/>
          <w:szCs w:val="24"/>
        </w:rPr>
      </w:pPr>
    </w:p>
    <w:p w14:paraId="3F903B8E" w14:textId="7EA2D429" w:rsidR="00F161D9" w:rsidRPr="008410F3" w:rsidRDefault="001E2E83" w:rsidP="000211E2">
      <w:pPr>
        <w:rPr>
          <w:rFonts w:cstheme="minorHAnsi"/>
          <w:b/>
          <w:sz w:val="24"/>
          <w:szCs w:val="24"/>
        </w:rPr>
      </w:pPr>
      <w:r w:rsidRPr="008410F3">
        <w:rPr>
          <w:rFonts w:cstheme="minorHAnsi"/>
          <w:b/>
          <w:sz w:val="24"/>
          <w:szCs w:val="24"/>
        </w:rPr>
        <w:lastRenderedPageBreak/>
        <w:t xml:space="preserve">Recommendation </w:t>
      </w:r>
      <w:r w:rsidR="004F502C">
        <w:rPr>
          <w:rFonts w:cstheme="minorHAnsi"/>
          <w:b/>
          <w:sz w:val="24"/>
          <w:szCs w:val="24"/>
        </w:rPr>
        <w:t>8</w:t>
      </w:r>
      <w:r w:rsidRPr="008410F3">
        <w:rPr>
          <w:rFonts w:cstheme="minorHAnsi"/>
          <w:b/>
          <w:sz w:val="24"/>
          <w:szCs w:val="24"/>
        </w:rPr>
        <w:t>:</w:t>
      </w:r>
    </w:p>
    <w:p w14:paraId="6306407B" w14:textId="69F99F7A" w:rsidR="0058016D" w:rsidRPr="008410F3" w:rsidRDefault="0058016D" w:rsidP="000211E2">
      <w:pPr>
        <w:rPr>
          <w:rFonts w:cstheme="minorHAnsi"/>
          <w:i/>
          <w:sz w:val="24"/>
          <w:szCs w:val="24"/>
        </w:rPr>
      </w:pPr>
      <w:r w:rsidRPr="008410F3">
        <w:rPr>
          <w:rFonts w:cstheme="minorHAnsi"/>
          <w:i/>
          <w:sz w:val="24"/>
          <w:szCs w:val="24"/>
        </w:rPr>
        <w:t xml:space="preserve">That an increase in funding of 35 per cent be made available to Group Training Organisations that demonstrate meeting high standards for apprentice </w:t>
      </w:r>
      <w:r w:rsidR="000942A5">
        <w:rPr>
          <w:rFonts w:cstheme="minorHAnsi"/>
          <w:i/>
          <w:sz w:val="24"/>
          <w:szCs w:val="24"/>
        </w:rPr>
        <w:t xml:space="preserve">industry </w:t>
      </w:r>
      <w:r w:rsidRPr="008410F3">
        <w:rPr>
          <w:rFonts w:cstheme="minorHAnsi"/>
          <w:i/>
          <w:sz w:val="24"/>
          <w:szCs w:val="24"/>
        </w:rPr>
        <w:t>placement and retention.</w:t>
      </w:r>
    </w:p>
    <w:p w14:paraId="6D9E7524" w14:textId="5B0D4B39" w:rsidR="000211E2" w:rsidRPr="008410F3" w:rsidRDefault="000211E2" w:rsidP="000211E2">
      <w:pPr>
        <w:rPr>
          <w:rFonts w:cstheme="minorHAnsi"/>
          <w:b/>
          <w:sz w:val="24"/>
          <w:szCs w:val="24"/>
        </w:rPr>
      </w:pPr>
      <w:r w:rsidRPr="008410F3">
        <w:rPr>
          <w:rFonts w:cstheme="minorHAnsi"/>
          <w:b/>
          <w:sz w:val="24"/>
          <w:szCs w:val="24"/>
        </w:rPr>
        <w:t xml:space="preserve">Recommendation </w:t>
      </w:r>
      <w:r w:rsidR="004F502C">
        <w:rPr>
          <w:rFonts w:cstheme="minorHAnsi"/>
          <w:b/>
          <w:sz w:val="24"/>
          <w:szCs w:val="24"/>
        </w:rPr>
        <w:t>9</w:t>
      </w:r>
      <w:r w:rsidRPr="008410F3">
        <w:rPr>
          <w:rFonts w:cstheme="minorHAnsi"/>
          <w:b/>
          <w:sz w:val="24"/>
          <w:szCs w:val="24"/>
        </w:rPr>
        <w:t>:</w:t>
      </w:r>
    </w:p>
    <w:p w14:paraId="7631433D" w14:textId="270EA2F3" w:rsidR="0058016D" w:rsidRPr="008410F3" w:rsidRDefault="0058016D" w:rsidP="000211E2">
      <w:pPr>
        <w:rPr>
          <w:rFonts w:cstheme="minorHAnsi"/>
          <w:i/>
          <w:sz w:val="24"/>
          <w:szCs w:val="24"/>
        </w:rPr>
      </w:pPr>
      <w:r w:rsidRPr="008410F3">
        <w:rPr>
          <w:rFonts w:cstheme="minorHAnsi"/>
          <w:i/>
          <w:sz w:val="24"/>
          <w:szCs w:val="24"/>
        </w:rPr>
        <w:t>That financial allo</w:t>
      </w:r>
      <w:r w:rsidR="000942A5">
        <w:rPr>
          <w:rFonts w:cstheme="minorHAnsi"/>
          <w:i/>
          <w:sz w:val="24"/>
          <w:szCs w:val="24"/>
        </w:rPr>
        <w:t>cations</w:t>
      </w:r>
      <w:r w:rsidRPr="008410F3">
        <w:rPr>
          <w:rFonts w:cstheme="minorHAnsi"/>
          <w:i/>
          <w:sz w:val="24"/>
          <w:szCs w:val="24"/>
        </w:rPr>
        <w:t xml:space="preserve"> are made in the 2020-21 Federal Budget for the training of heavy vehicle roadside inspectors to a minimum Certificate II level in Automotive Servicing Technology qualification or equivalent.</w:t>
      </w:r>
    </w:p>
    <w:p w14:paraId="036CD70B" w14:textId="6C39D994" w:rsidR="00FF15E2" w:rsidRPr="008410F3" w:rsidRDefault="000211E2" w:rsidP="000211E2">
      <w:pPr>
        <w:rPr>
          <w:rFonts w:cstheme="minorHAnsi"/>
          <w:b/>
          <w:sz w:val="24"/>
          <w:szCs w:val="24"/>
        </w:rPr>
      </w:pPr>
      <w:r w:rsidRPr="008410F3">
        <w:rPr>
          <w:rFonts w:cstheme="minorHAnsi"/>
          <w:b/>
          <w:sz w:val="24"/>
          <w:szCs w:val="24"/>
        </w:rPr>
        <w:t xml:space="preserve">Recommendation </w:t>
      </w:r>
      <w:r w:rsidR="00D975CC">
        <w:rPr>
          <w:rFonts w:cstheme="minorHAnsi"/>
          <w:b/>
          <w:sz w:val="24"/>
          <w:szCs w:val="24"/>
        </w:rPr>
        <w:t>10</w:t>
      </w:r>
      <w:r w:rsidRPr="008410F3">
        <w:rPr>
          <w:rFonts w:cstheme="minorHAnsi"/>
          <w:b/>
          <w:sz w:val="24"/>
          <w:szCs w:val="24"/>
        </w:rPr>
        <w:t>:</w:t>
      </w:r>
    </w:p>
    <w:p w14:paraId="2E02B0A2" w14:textId="6E41BDC1" w:rsidR="0058016D" w:rsidRPr="008410F3" w:rsidRDefault="0058016D" w:rsidP="000211E2">
      <w:pPr>
        <w:rPr>
          <w:rFonts w:cstheme="minorHAnsi"/>
          <w:i/>
          <w:sz w:val="24"/>
          <w:szCs w:val="24"/>
        </w:rPr>
      </w:pPr>
      <w:r w:rsidRPr="008410F3">
        <w:rPr>
          <w:rFonts w:cstheme="minorHAnsi"/>
          <w:i/>
          <w:sz w:val="24"/>
          <w:szCs w:val="24"/>
        </w:rPr>
        <w:t>That the Skilling Australians Fund levy be reduced by at least half for temporary and permanent employer nominated visas.</w:t>
      </w:r>
    </w:p>
    <w:p w14:paraId="4B73AA8C" w14:textId="590A4B2C" w:rsidR="00FF15E2" w:rsidRPr="008410F3" w:rsidRDefault="000211E2" w:rsidP="000211E2">
      <w:pPr>
        <w:rPr>
          <w:rFonts w:cstheme="minorHAnsi"/>
          <w:b/>
          <w:sz w:val="24"/>
          <w:szCs w:val="24"/>
        </w:rPr>
      </w:pPr>
      <w:r w:rsidRPr="008410F3">
        <w:rPr>
          <w:rFonts w:cstheme="minorHAnsi"/>
          <w:b/>
          <w:sz w:val="24"/>
          <w:szCs w:val="24"/>
        </w:rPr>
        <w:t xml:space="preserve">Recommendation </w:t>
      </w:r>
      <w:r w:rsidR="00D975CC">
        <w:rPr>
          <w:rFonts w:cstheme="minorHAnsi"/>
          <w:b/>
          <w:sz w:val="24"/>
          <w:szCs w:val="24"/>
        </w:rPr>
        <w:t>11</w:t>
      </w:r>
      <w:r w:rsidRPr="008410F3">
        <w:rPr>
          <w:rFonts w:cstheme="minorHAnsi"/>
          <w:b/>
          <w:sz w:val="24"/>
          <w:szCs w:val="24"/>
        </w:rPr>
        <w:t>:</w:t>
      </w:r>
    </w:p>
    <w:p w14:paraId="31BA2401" w14:textId="6B197AB7" w:rsidR="0058016D" w:rsidRPr="008410F3" w:rsidRDefault="0058016D" w:rsidP="000211E2">
      <w:pPr>
        <w:rPr>
          <w:rFonts w:cstheme="minorHAnsi"/>
          <w:i/>
          <w:sz w:val="24"/>
          <w:szCs w:val="24"/>
        </w:rPr>
      </w:pPr>
      <w:r w:rsidRPr="008410F3">
        <w:rPr>
          <w:rFonts w:cstheme="minorHAnsi"/>
          <w:i/>
          <w:sz w:val="24"/>
          <w:szCs w:val="24"/>
        </w:rPr>
        <w:t>That a refund of the Skilled Australians Fund Levy is provided to employers in all cases where their application has not been successful.</w:t>
      </w:r>
    </w:p>
    <w:p w14:paraId="75C8D0D9" w14:textId="2821576C" w:rsidR="00EE2F95" w:rsidRPr="008410F3" w:rsidRDefault="000211E2" w:rsidP="000211E2">
      <w:pPr>
        <w:rPr>
          <w:rFonts w:cstheme="minorHAnsi"/>
          <w:b/>
          <w:sz w:val="24"/>
          <w:szCs w:val="24"/>
        </w:rPr>
      </w:pPr>
      <w:r w:rsidRPr="008410F3">
        <w:rPr>
          <w:rFonts w:cstheme="minorHAnsi"/>
          <w:b/>
          <w:sz w:val="24"/>
          <w:szCs w:val="24"/>
        </w:rPr>
        <w:t>Recommendation 1</w:t>
      </w:r>
      <w:r w:rsidR="00D975CC">
        <w:rPr>
          <w:rFonts w:cstheme="minorHAnsi"/>
          <w:b/>
          <w:sz w:val="24"/>
          <w:szCs w:val="24"/>
        </w:rPr>
        <w:t>2</w:t>
      </w:r>
      <w:r w:rsidRPr="008410F3">
        <w:rPr>
          <w:rFonts w:cstheme="minorHAnsi"/>
          <w:b/>
          <w:sz w:val="24"/>
          <w:szCs w:val="24"/>
        </w:rPr>
        <w:t>:</w:t>
      </w:r>
    </w:p>
    <w:p w14:paraId="330DF989" w14:textId="3D6DA7B7" w:rsidR="0058016D" w:rsidRPr="008410F3" w:rsidRDefault="0058016D" w:rsidP="000211E2">
      <w:pPr>
        <w:rPr>
          <w:rFonts w:cstheme="minorHAnsi"/>
          <w:i/>
          <w:sz w:val="24"/>
          <w:szCs w:val="24"/>
        </w:rPr>
      </w:pPr>
      <w:r w:rsidRPr="008410F3">
        <w:rPr>
          <w:rFonts w:cstheme="minorHAnsi"/>
          <w:i/>
          <w:sz w:val="24"/>
          <w:szCs w:val="24"/>
        </w:rPr>
        <w:t>The Federal Government remove the Luxury Car Tax, or at a minimum increase the Luxury Car Tax threshold to $125,000.</w:t>
      </w:r>
    </w:p>
    <w:p w14:paraId="29824128" w14:textId="275F4C7E" w:rsidR="00EE2F95" w:rsidRPr="008410F3" w:rsidRDefault="000211E2" w:rsidP="000211E2">
      <w:pPr>
        <w:rPr>
          <w:rFonts w:cstheme="minorHAnsi"/>
          <w:b/>
          <w:sz w:val="24"/>
          <w:szCs w:val="24"/>
        </w:rPr>
      </w:pPr>
      <w:bookmarkStart w:id="5" w:name="_Hlk26537019"/>
      <w:r w:rsidRPr="008410F3">
        <w:rPr>
          <w:rFonts w:cstheme="minorHAnsi"/>
          <w:b/>
          <w:sz w:val="24"/>
          <w:szCs w:val="24"/>
        </w:rPr>
        <w:t>Recommendation 1</w:t>
      </w:r>
      <w:r w:rsidR="00D975CC">
        <w:rPr>
          <w:rFonts w:cstheme="minorHAnsi"/>
          <w:b/>
          <w:sz w:val="24"/>
          <w:szCs w:val="24"/>
        </w:rPr>
        <w:t>3</w:t>
      </w:r>
      <w:r w:rsidRPr="008410F3">
        <w:rPr>
          <w:rFonts w:cstheme="minorHAnsi"/>
          <w:b/>
          <w:sz w:val="24"/>
          <w:szCs w:val="24"/>
        </w:rPr>
        <w:t>:</w:t>
      </w:r>
    </w:p>
    <w:p w14:paraId="46AA78F3" w14:textId="06B15AC0" w:rsidR="0058016D" w:rsidRDefault="00D975CC" w:rsidP="000211E2">
      <w:pPr>
        <w:rPr>
          <w:rFonts w:cstheme="minorHAnsi"/>
          <w:i/>
          <w:sz w:val="24"/>
          <w:szCs w:val="24"/>
        </w:rPr>
      </w:pPr>
      <w:bookmarkStart w:id="6" w:name="_Hlk26536315"/>
      <w:bookmarkEnd w:id="5"/>
      <w:r w:rsidRPr="00D975CC">
        <w:rPr>
          <w:rFonts w:cstheme="minorHAnsi"/>
          <w:i/>
          <w:sz w:val="24"/>
          <w:szCs w:val="24"/>
        </w:rPr>
        <w:t>That retail motor industry participants are exempted from Hayne Recommendation 1.7 and be able to trade under the current Point of Sale exemption</w:t>
      </w:r>
      <w:r>
        <w:rPr>
          <w:rFonts w:cstheme="minorHAnsi"/>
          <w:i/>
          <w:sz w:val="24"/>
          <w:szCs w:val="24"/>
        </w:rPr>
        <w:t>.</w:t>
      </w:r>
    </w:p>
    <w:p w14:paraId="135BA8CA" w14:textId="1402A248" w:rsidR="00D975CC" w:rsidRPr="008410F3" w:rsidRDefault="00D975CC" w:rsidP="00D975CC">
      <w:pPr>
        <w:rPr>
          <w:rFonts w:cstheme="minorHAnsi"/>
          <w:b/>
          <w:sz w:val="24"/>
          <w:szCs w:val="24"/>
        </w:rPr>
      </w:pPr>
      <w:r w:rsidRPr="008410F3">
        <w:rPr>
          <w:rFonts w:cstheme="minorHAnsi"/>
          <w:b/>
          <w:sz w:val="24"/>
          <w:szCs w:val="24"/>
        </w:rPr>
        <w:t>Recommendation 1</w:t>
      </w:r>
      <w:r>
        <w:rPr>
          <w:rFonts w:cstheme="minorHAnsi"/>
          <w:b/>
          <w:sz w:val="24"/>
          <w:szCs w:val="24"/>
        </w:rPr>
        <w:t>4</w:t>
      </w:r>
      <w:r w:rsidRPr="008410F3">
        <w:rPr>
          <w:rFonts w:cstheme="minorHAnsi"/>
          <w:b/>
          <w:sz w:val="24"/>
          <w:szCs w:val="24"/>
        </w:rPr>
        <w:t>:</w:t>
      </w:r>
    </w:p>
    <w:p w14:paraId="5CF33CD5" w14:textId="725C7E92" w:rsidR="00D975CC" w:rsidRPr="00C8049F" w:rsidRDefault="00C8049F" w:rsidP="000211E2">
      <w:pPr>
        <w:rPr>
          <w:rFonts w:cstheme="minorHAnsi"/>
          <w:i/>
          <w:sz w:val="24"/>
          <w:szCs w:val="24"/>
        </w:rPr>
      </w:pPr>
      <w:r w:rsidRPr="00C8049F">
        <w:rPr>
          <w:rFonts w:cstheme="minorHAnsi"/>
          <w:i/>
          <w:sz w:val="24"/>
          <w:szCs w:val="24"/>
        </w:rPr>
        <w:t>That the Federal Government provide addition funding to AFSA for further development of the Personal Property Security Register (PPSR) for the purposes of increasing vehicle recall information on a PPSR Search Certificate.</w:t>
      </w:r>
    </w:p>
    <w:bookmarkEnd w:id="6"/>
    <w:p w14:paraId="053E2BD8" w14:textId="77777777" w:rsidR="00FF15E2" w:rsidRPr="008410F3" w:rsidRDefault="00FF15E2" w:rsidP="00FF15E2">
      <w:pPr>
        <w:pStyle w:val="ListParagraph"/>
        <w:rPr>
          <w:rFonts w:cstheme="minorHAnsi"/>
          <w:sz w:val="24"/>
          <w:szCs w:val="24"/>
        </w:rPr>
      </w:pPr>
      <w:r w:rsidRPr="008410F3">
        <w:rPr>
          <w:rFonts w:cstheme="minorHAnsi"/>
          <w:sz w:val="24"/>
          <w:szCs w:val="24"/>
        </w:rPr>
        <w:t xml:space="preserve">  </w:t>
      </w:r>
    </w:p>
    <w:p w14:paraId="3D24AB07" w14:textId="77777777" w:rsidR="00705589" w:rsidRPr="008410F3" w:rsidRDefault="00705589" w:rsidP="00FF15E2">
      <w:pPr>
        <w:rPr>
          <w:rFonts w:cstheme="minorHAnsi"/>
          <w:sz w:val="24"/>
          <w:szCs w:val="24"/>
        </w:rPr>
      </w:pPr>
    </w:p>
    <w:p w14:paraId="42C1EFCE" w14:textId="77777777" w:rsidR="00705589" w:rsidRPr="008410F3" w:rsidRDefault="00705589" w:rsidP="00705589">
      <w:pPr>
        <w:pStyle w:val="ListParagraph"/>
        <w:rPr>
          <w:rFonts w:cstheme="minorHAnsi"/>
          <w:sz w:val="24"/>
          <w:szCs w:val="24"/>
        </w:rPr>
      </w:pPr>
    </w:p>
    <w:p w14:paraId="25197785" w14:textId="77777777" w:rsidR="00F96CE7" w:rsidRPr="008410F3" w:rsidRDefault="00F96CE7" w:rsidP="00C81332">
      <w:pPr>
        <w:rPr>
          <w:rFonts w:cstheme="minorHAnsi"/>
          <w:sz w:val="24"/>
          <w:szCs w:val="24"/>
        </w:rPr>
      </w:pPr>
    </w:p>
    <w:p w14:paraId="5D0B004F" w14:textId="77777777" w:rsidR="00C81332" w:rsidRPr="008410F3" w:rsidRDefault="00C81332" w:rsidP="00C81332">
      <w:pPr>
        <w:rPr>
          <w:rFonts w:cstheme="minorHAnsi"/>
          <w:b/>
          <w:sz w:val="24"/>
          <w:szCs w:val="24"/>
        </w:rPr>
      </w:pPr>
      <w:r w:rsidRPr="008410F3">
        <w:rPr>
          <w:rFonts w:cstheme="minorHAnsi"/>
          <w:b/>
          <w:sz w:val="24"/>
          <w:szCs w:val="24"/>
        </w:rPr>
        <w:br w:type="page"/>
      </w:r>
    </w:p>
    <w:p w14:paraId="0A17AC1F" w14:textId="77777777" w:rsidR="00F6148A" w:rsidRPr="008410F3" w:rsidRDefault="00C81332" w:rsidP="00F6148A">
      <w:pPr>
        <w:spacing w:after="0"/>
        <w:rPr>
          <w:rFonts w:cstheme="minorHAnsi"/>
          <w:b/>
          <w:color w:val="4472C4"/>
          <w:sz w:val="24"/>
          <w:szCs w:val="24"/>
        </w:rPr>
      </w:pPr>
      <w:r w:rsidRPr="008410F3">
        <w:rPr>
          <w:rFonts w:cstheme="minorHAnsi"/>
          <w:b/>
          <w:color w:val="4472C4"/>
          <w:sz w:val="24"/>
          <w:szCs w:val="24"/>
        </w:rPr>
        <w:lastRenderedPageBreak/>
        <w:t>TABLE OF CONTENTS</w:t>
      </w:r>
    </w:p>
    <w:sdt>
      <w:sdtPr>
        <w:rPr>
          <w:rFonts w:eastAsia="Calibri" w:cstheme="minorHAnsi"/>
          <w:sz w:val="24"/>
          <w:szCs w:val="24"/>
        </w:rPr>
        <w:id w:val="-1562237823"/>
        <w:docPartObj>
          <w:docPartGallery w:val="Table of Contents"/>
          <w:docPartUnique/>
        </w:docPartObj>
      </w:sdtPr>
      <w:sdtEndPr>
        <w:rPr>
          <w:rFonts w:eastAsiaTheme="minorHAnsi"/>
          <w:b/>
          <w:bCs/>
          <w:noProof/>
        </w:rPr>
      </w:sdtEndPr>
      <w:sdtContent>
        <w:p w14:paraId="4932D76F" w14:textId="77777777" w:rsidR="00C81332" w:rsidRPr="008410F3" w:rsidRDefault="00C81332" w:rsidP="00F6148A">
          <w:pPr>
            <w:pBdr>
              <w:top w:val="single" w:sz="24" w:space="0" w:color="4472C4"/>
              <w:left w:val="single" w:sz="24" w:space="0" w:color="4472C4"/>
              <w:bottom w:val="single" w:sz="24" w:space="0" w:color="4472C4"/>
              <w:right w:val="single" w:sz="24" w:space="0" w:color="4472C4"/>
            </w:pBdr>
            <w:shd w:val="clear" w:color="auto" w:fill="4472C4"/>
            <w:spacing w:after="0"/>
            <w:rPr>
              <w:rFonts w:cstheme="minorHAnsi"/>
              <w:caps/>
              <w:color w:val="FFFFFF"/>
              <w:spacing w:val="15"/>
              <w:sz w:val="24"/>
              <w:szCs w:val="24"/>
            </w:rPr>
          </w:pPr>
        </w:p>
        <w:p w14:paraId="4607D8C5" w14:textId="70718BCC" w:rsidR="00611F05" w:rsidRDefault="00C81332">
          <w:pPr>
            <w:pStyle w:val="TOC1"/>
            <w:rPr>
              <w:rFonts w:asciiTheme="minorHAnsi" w:hAnsiTheme="minorHAnsi"/>
              <w:noProof/>
              <w:sz w:val="22"/>
              <w:szCs w:val="22"/>
              <w:lang w:eastAsia="en-AU"/>
            </w:rPr>
          </w:pPr>
          <w:r w:rsidRPr="008410F3">
            <w:rPr>
              <w:rFonts w:asciiTheme="minorHAnsi" w:hAnsiTheme="minorHAnsi" w:cstheme="minorHAnsi"/>
              <w:color w:val="1F497D" w:themeColor="text2"/>
            </w:rPr>
            <w:fldChar w:fldCharType="begin"/>
          </w:r>
          <w:r w:rsidRPr="008410F3">
            <w:rPr>
              <w:rFonts w:asciiTheme="minorHAnsi" w:hAnsiTheme="minorHAnsi" w:cstheme="minorHAnsi"/>
              <w:color w:val="1F497D" w:themeColor="text2"/>
            </w:rPr>
            <w:instrText xml:space="preserve"> TOC \o "1-3" \h \z \u </w:instrText>
          </w:r>
          <w:r w:rsidRPr="008410F3">
            <w:rPr>
              <w:rFonts w:asciiTheme="minorHAnsi" w:hAnsiTheme="minorHAnsi" w:cstheme="minorHAnsi"/>
              <w:color w:val="1F497D" w:themeColor="text2"/>
            </w:rPr>
            <w:fldChar w:fldCharType="separate"/>
          </w:r>
          <w:hyperlink w:anchor="_Toc27403115" w:history="1">
            <w:r w:rsidR="00611F05" w:rsidRPr="00A05D57">
              <w:rPr>
                <w:rStyle w:val="Hyperlink"/>
                <w:rFonts w:cstheme="minorHAnsi"/>
                <w:caps/>
                <w:noProof/>
                <w:spacing w:val="15"/>
              </w:rPr>
              <w:t>About VAcc</w:t>
            </w:r>
            <w:r w:rsidR="00611F05">
              <w:rPr>
                <w:noProof/>
                <w:webHidden/>
              </w:rPr>
              <w:tab/>
            </w:r>
            <w:r w:rsidR="00611F05">
              <w:rPr>
                <w:noProof/>
                <w:webHidden/>
              </w:rPr>
              <w:fldChar w:fldCharType="begin"/>
            </w:r>
            <w:r w:rsidR="00611F05">
              <w:rPr>
                <w:noProof/>
                <w:webHidden/>
              </w:rPr>
              <w:instrText xml:space="preserve"> PAGEREF _Toc27403115 \h </w:instrText>
            </w:r>
            <w:r w:rsidR="00611F05">
              <w:rPr>
                <w:noProof/>
                <w:webHidden/>
              </w:rPr>
            </w:r>
            <w:r w:rsidR="00611F05">
              <w:rPr>
                <w:noProof/>
                <w:webHidden/>
              </w:rPr>
              <w:fldChar w:fldCharType="separate"/>
            </w:r>
            <w:r w:rsidR="00611F05">
              <w:rPr>
                <w:noProof/>
                <w:webHidden/>
              </w:rPr>
              <w:t>1</w:t>
            </w:r>
            <w:r w:rsidR="00611F05">
              <w:rPr>
                <w:noProof/>
                <w:webHidden/>
              </w:rPr>
              <w:fldChar w:fldCharType="end"/>
            </w:r>
          </w:hyperlink>
        </w:p>
        <w:p w14:paraId="3613C8B8" w14:textId="0724817E" w:rsidR="00611F05" w:rsidRDefault="00611F05">
          <w:pPr>
            <w:pStyle w:val="TOC1"/>
            <w:rPr>
              <w:rFonts w:asciiTheme="minorHAnsi" w:hAnsiTheme="minorHAnsi"/>
              <w:noProof/>
              <w:sz w:val="22"/>
              <w:szCs w:val="22"/>
              <w:lang w:eastAsia="en-AU"/>
            </w:rPr>
          </w:pPr>
          <w:hyperlink w:anchor="_Toc27403116" w:history="1">
            <w:r w:rsidRPr="00A05D57">
              <w:rPr>
                <w:rStyle w:val="Hyperlink"/>
                <w:rFonts w:cstheme="minorHAnsi"/>
                <w:caps/>
                <w:noProof/>
                <w:spacing w:val="15"/>
              </w:rPr>
              <w:t>RECOMMENDATIONS</w:t>
            </w:r>
            <w:r>
              <w:rPr>
                <w:noProof/>
                <w:webHidden/>
              </w:rPr>
              <w:tab/>
            </w:r>
            <w:r>
              <w:rPr>
                <w:noProof/>
                <w:webHidden/>
              </w:rPr>
              <w:fldChar w:fldCharType="begin"/>
            </w:r>
            <w:r>
              <w:rPr>
                <w:noProof/>
                <w:webHidden/>
              </w:rPr>
              <w:instrText xml:space="preserve"> PAGEREF _Toc27403116 \h </w:instrText>
            </w:r>
            <w:r>
              <w:rPr>
                <w:noProof/>
                <w:webHidden/>
              </w:rPr>
            </w:r>
            <w:r>
              <w:rPr>
                <w:noProof/>
                <w:webHidden/>
              </w:rPr>
              <w:fldChar w:fldCharType="separate"/>
            </w:r>
            <w:r>
              <w:rPr>
                <w:noProof/>
                <w:webHidden/>
              </w:rPr>
              <w:t>2</w:t>
            </w:r>
            <w:r>
              <w:rPr>
                <w:noProof/>
                <w:webHidden/>
              </w:rPr>
              <w:fldChar w:fldCharType="end"/>
            </w:r>
          </w:hyperlink>
        </w:p>
        <w:p w14:paraId="30081BCD" w14:textId="030875A2" w:rsidR="00611F05" w:rsidRDefault="00611F05">
          <w:pPr>
            <w:pStyle w:val="TOC1"/>
            <w:rPr>
              <w:rFonts w:asciiTheme="minorHAnsi" w:hAnsiTheme="minorHAnsi"/>
              <w:noProof/>
              <w:sz w:val="22"/>
              <w:szCs w:val="22"/>
              <w:lang w:eastAsia="en-AU"/>
            </w:rPr>
          </w:pPr>
          <w:hyperlink w:anchor="_Toc27403117" w:history="1">
            <w:r w:rsidRPr="00A05D57">
              <w:rPr>
                <w:rStyle w:val="Hyperlink"/>
                <w:rFonts w:cstheme="minorHAnsi"/>
                <w:noProof/>
              </w:rPr>
              <w:t>1.  ADVISORY BODY - aCCESS TO VEHICLE REPAIR INFORMATION</w:t>
            </w:r>
            <w:r>
              <w:rPr>
                <w:noProof/>
                <w:webHidden/>
              </w:rPr>
              <w:tab/>
            </w:r>
            <w:r>
              <w:rPr>
                <w:noProof/>
                <w:webHidden/>
              </w:rPr>
              <w:fldChar w:fldCharType="begin"/>
            </w:r>
            <w:r>
              <w:rPr>
                <w:noProof/>
                <w:webHidden/>
              </w:rPr>
              <w:instrText xml:space="preserve"> PAGEREF _Toc27403117 \h </w:instrText>
            </w:r>
            <w:r>
              <w:rPr>
                <w:noProof/>
                <w:webHidden/>
              </w:rPr>
            </w:r>
            <w:r>
              <w:rPr>
                <w:noProof/>
                <w:webHidden/>
              </w:rPr>
              <w:fldChar w:fldCharType="separate"/>
            </w:r>
            <w:r>
              <w:rPr>
                <w:noProof/>
                <w:webHidden/>
              </w:rPr>
              <w:t>5</w:t>
            </w:r>
            <w:r>
              <w:rPr>
                <w:noProof/>
                <w:webHidden/>
              </w:rPr>
              <w:fldChar w:fldCharType="end"/>
            </w:r>
          </w:hyperlink>
        </w:p>
        <w:p w14:paraId="421F62F6" w14:textId="527ABBAF" w:rsidR="00611F05" w:rsidRDefault="00611F05">
          <w:pPr>
            <w:pStyle w:val="TOC1"/>
            <w:rPr>
              <w:rFonts w:asciiTheme="minorHAnsi" w:hAnsiTheme="minorHAnsi"/>
              <w:noProof/>
              <w:sz w:val="22"/>
              <w:szCs w:val="22"/>
              <w:lang w:eastAsia="en-AU"/>
            </w:rPr>
          </w:pPr>
          <w:hyperlink w:anchor="_Toc27403118" w:history="1">
            <w:r w:rsidRPr="00A05D57">
              <w:rPr>
                <w:rStyle w:val="Hyperlink"/>
                <w:rFonts w:cstheme="minorHAnsi"/>
                <w:noProof/>
              </w:rPr>
              <w:t>2. End-of-LIFE VEHICLE PROGRAM</w:t>
            </w:r>
            <w:r>
              <w:rPr>
                <w:noProof/>
                <w:webHidden/>
              </w:rPr>
              <w:tab/>
            </w:r>
            <w:r>
              <w:rPr>
                <w:noProof/>
                <w:webHidden/>
              </w:rPr>
              <w:fldChar w:fldCharType="begin"/>
            </w:r>
            <w:r>
              <w:rPr>
                <w:noProof/>
                <w:webHidden/>
              </w:rPr>
              <w:instrText xml:space="preserve"> PAGEREF _Toc27403118 \h </w:instrText>
            </w:r>
            <w:r>
              <w:rPr>
                <w:noProof/>
                <w:webHidden/>
              </w:rPr>
            </w:r>
            <w:r>
              <w:rPr>
                <w:noProof/>
                <w:webHidden/>
              </w:rPr>
              <w:fldChar w:fldCharType="separate"/>
            </w:r>
            <w:r>
              <w:rPr>
                <w:noProof/>
                <w:webHidden/>
              </w:rPr>
              <w:t>6</w:t>
            </w:r>
            <w:r>
              <w:rPr>
                <w:noProof/>
                <w:webHidden/>
              </w:rPr>
              <w:fldChar w:fldCharType="end"/>
            </w:r>
          </w:hyperlink>
        </w:p>
        <w:p w14:paraId="492448E4" w14:textId="336DF935" w:rsidR="00611F05" w:rsidRDefault="00611F05">
          <w:pPr>
            <w:pStyle w:val="TOC1"/>
            <w:rPr>
              <w:rFonts w:asciiTheme="minorHAnsi" w:hAnsiTheme="minorHAnsi"/>
              <w:noProof/>
              <w:sz w:val="22"/>
              <w:szCs w:val="22"/>
              <w:lang w:eastAsia="en-AU"/>
            </w:rPr>
          </w:pPr>
          <w:hyperlink w:anchor="_Toc27403119" w:history="1">
            <w:r w:rsidRPr="00A05D57">
              <w:rPr>
                <w:rStyle w:val="Hyperlink"/>
                <w:rFonts w:cstheme="minorHAnsi"/>
                <w:noProof/>
              </w:rPr>
              <w:t>3. VOCATIONAL Education and training</w:t>
            </w:r>
            <w:r>
              <w:rPr>
                <w:noProof/>
                <w:webHidden/>
              </w:rPr>
              <w:tab/>
            </w:r>
            <w:r>
              <w:rPr>
                <w:noProof/>
                <w:webHidden/>
              </w:rPr>
              <w:fldChar w:fldCharType="begin"/>
            </w:r>
            <w:r>
              <w:rPr>
                <w:noProof/>
                <w:webHidden/>
              </w:rPr>
              <w:instrText xml:space="preserve"> PAGEREF _Toc27403119 \h </w:instrText>
            </w:r>
            <w:r>
              <w:rPr>
                <w:noProof/>
                <w:webHidden/>
              </w:rPr>
            </w:r>
            <w:r>
              <w:rPr>
                <w:noProof/>
                <w:webHidden/>
              </w:rPr>
              <w:fldChar w:fldCharType="separate"/>
            </w:r>
            <w:r>
              <w:rPr>
                <w:noProof/>
                <w:webHidden/>
              </w:rPr>
              <w:t>7</w:t>
            </w:r>
            <w:r>
              <w:rPr>
                <w:noProof/>
                <w:webHidden/>
              </w:rPr>
              <w:fldChar w:fldCharType="end"/>
            </w:r>
          </w:hyperlink>
        </w:p>
        <w:p w14:paraId="100D1E49" w14:textId="02AEEB57" w:rsidR="00611F05" w:rsidRDefault="00611F05">
          <w:pPr>
            <w:pStyle w:val="TOC2"/>
            <w:tabs>
              <w:tab w:val="right" w:leader="dot" w:pos="8296"/>
            </w:tabs>
            <w:rPr>
              <w:rFonts w:asciiTheme="minorHAnsi" w:hAnsiTheme="minorHAnsi"/>
              <w:noProof/>
              <w:sz w:val="22"/>
              <w:szCs w:val="22"/>
              <w:lang w:eastAsia="en-AU"/>
            </w:rPr>
          </w:pPr>
          <w:hyperlink w:anchor="_Toc27403120" w:history="1">
            <w:r w:rsidRPr="00A05D57">
              <w:rPr>
                <w:rStyle w:val="Hyperlink"/>
                <w:rFonts w:cstheme="minorHAnsi"/>
                <w:noProof/>
              </w:rPr>
              <w:t>Genuine Industry-led Training</w:t>
            </w:r>
            <w:r>
              <w:rPr>
                <w:noProof/>
                <w:webHidden/>
              </w:rPr>
              <w:tab/>
            </w:r>
            <w:r>
              <w:rPr>
                <w:noProof/>
                <w:webHidden/>
              </w:rPr>
              <w:fldChar w:fldCharType="begin"/>
            </w:r>
            <w:r>
              <w:rPr>
                <w:noProof/>
                <w:webHidden/>
              </w:rPr>
              <w:instrText xml:space="preserve"> PAGEREF _Toc27403120 \h </w:instrText>
            </w:r>
            <w:r>
              <w:rPr>
                <w:noProof/>
                <w:webHidden/>
              </w:rPr>
            </w:r>
            <w:r>
              <w:rPr>
                <w:noProof/>
                <w:webHidden/>
              </w:rPr>
              <w:fldChar w:fldCharType="separate"/>
            </w:r>
            <w:r>
              <w:rPr>
                <w:noProof/>
                <w:webHidden/>
              </w:rPr>
              <w:t>7</w:t>
            </w:r>
            <w:r>
              <w:rPr>
                <w:noProof/>
                <w:webHidden/>
              </w:rPr>
              <w:fldChar w:fldCharType="end"/>
            </w:r>
          </w:hyperlink>
        </w:p>
        <w:p w14:paraId="624F869F" w14:textId="2605DE09" w:rsidR="00611F05" w:rsidRDefault="00611F05">
          <w:pPr>
            <w:pStyle w:val="TOC2"/>
            <w:tabs>
              <w:tab w:val="right" w:leader="dot" w:pos="8296"/>
            </w:tabs>
            <w:rPr>
              <w:rFonts w:asciiTheme="minorHAnsi" w:hAnsiTheme="minorHAnsi"/>
              <w:noProof/>
              <w:sz w:val="22"/>
              <w:szCs w:val="22"/>
              <w:lang w:eastAsia="en-AU"/>
            </w:rPr>
          </w:pPr>
          <w:hyperlink w:anchor="_Toc27403121" w:history="1">
            <w:r w:rsidRPr="00A05D57">
              <w:rPr>
                <w:rStyle w:val="Hyperlink"/>
                <w:rFonts w:cstheme="minorHAnsi"/>
                <w:noProof/>
              </w:rPr>
              <w:t>Apprentice Mentoring</w:t>
            </w:r>
            <w:r>
              <w:rPr>
                <w:noProof/>
                <w:webHidden/>
              </w:rPr>
              <w:tab/>
            </w:r>
            <w:r>
              <w:rPr>
                <w:noProof/>
                <w:webHidden/>
              </w:rPr>
              <w:fldChar w:fldCharType="begin"/>
            </w:r>
            <w:r>
              <w:rPr>
                <w:noProof/>
                <w:webHidden/>
              </w:rPr>
              <w:instrText xml:space="preserve"> PAGEREF _Toc27403121 \h </w:instrText>
            </w:r>
            <w:r>
              <w:rPr>
                <w:noProof/>
                <w:webHidden/>
              </w:rPr>
            </w:r>
            <w:r>
              <w:rPr>
                <w:noProof/>
                <w:webHidden/>
              </w:rPr>
              <w:fldChar w:fldCharType="separate"/>
            </w:r>
            <w:r>
              <w:rPr>
                <w:noProof/>
                <w:webHidden/>
              </w:rPr>
              <w:t>8</w:t>
            </w:r>
            <w:r>
              <w:rPr>
                <w:noProof/>
                <w:webHidden/>
              </w:rPr>
              <w:fldChar w:fldCharType="end"/>
            </w:r>
          </w:hyperlink>
        </w:p>
        <w:p w14:paraId="1FEC7321" w14:textId="471C437C" w:rsidR="00611F05" w:rsidRDefault="00611F05">
          <w:pPr>
            <w:pStyle w:val="TOC2"/>
            <w:tabs>
              <w:tab w:val="right" w:leader="dot" w:pos="8296"/>
            </w:tabs>
            <w:rPr>
              <w:rFonts w:asciiTheme="minorHAnsi" w:hAnsiTheme="minorHAnsi"/>
              <w:noProof/>
              <w:sz w:val="22"/>
              <w:szCs w:val="22"/>
              <w:lang w:eastAsia="en-AU"/>
            </w:rPr>
          </w:pPr>
          <w:hyperlink w:anchor="_Toc27403122" w:history="1">
            <w:r w:rsidRPr="00A05D57">
              <w:rPr>
                <w:rStyle w:val="Hyperlink"/>
                <w:rFonts w:cstheme="minorHAnsi"/>
                <w:noProof/>
              </w:rPr>
              <w:t>Training Currency</w:t>
            </w:r>
            <w:r>
              <w:rPr>
                <w:noProof/>
                <w:webHidden/>
              </w:rPr>
              <w:tab/>
            </w:r>
            <w:r>
              <w:rPr>
                <w:noProof/>
                <w:webHidden/>
              </w:rPr>
              <w:fldChar w:fldCharType="begin"/>
            </w:r>
            <w:r>
              <w:rPr>
                <w:noProof/>
                <w:webHidden/>
              </w:rPr>
              <w:instrText xml:space="preserve"> PAGEREF _Toc27403122 \h </w:instrText>
            </w:r>
            <w:r>
              <w:rPr>
                <w:noProof/>
                <w:webHidden/>
              </w:rPr>
            </w:r>
            <w:r>
              <w:rPr>
                <w:noProof/>
                <w:webHidden/>
              </w:rPr>
              <w:fldChar w:fldCharType="separate"/>
            </w:r>
            <w:r>
              <w:rPr>
                <w:noProof/>
                <w:webHidden/>
              </w:rPr>
              <w:t>9</w:t>
            </w:r>
            <w:r>
              <w:rPr>
                <w:noProof/>
                <w:webHidden/>
              </w:rPr>
              <w:fldChar w:fldCharType="end"/>
            </w:r>
          </w:hyperlink>
        </w:p>
        <w:p w14:paraId="4D098C02" w14:textId="2A6BA42F" w:rsidR="00611F05" w:rsidRDefault="00611F05">
          <w:pPr>
            <w:pStyle w:val="TOC2"/>
            <w:tabs>
              <w:tab w:val="right" w:leader="dot" w:pos="8296"/>
            </w:tabs>
            <w:rPr>
              <w:rFonts w:asciiTheme="minorHAnsi" w:hAnsiTheme="minorHAnsi"/>
              <w:noProof/>
              <w:sz w:val="22"/>
              <w:szCs w:val="22"/>
              <w:lang w:eastAsia="en-AU"/>
            </w:rPr>
          </w:pPr>
          <w:hyperlink w:anchor="_Toc27403123" w:history="1">
            <w:r w:rsidRPr="00A05D57">
              <w:rPr>
                <w:rStyle w:val="Hyperlink"/>
                <w:rFonts w:cstheme="minorHAnsi"/>
                <w:noProof/>
              </w:rPr>
              <w:t>Support for Group Training Organisations (GTOs)</w:t>
            </w:r>
            <w:r>
              <w:rPr>
                <w:noProof/>
                <w:webHidden/>
              </w:rPr>
              <w:tab/>
            </w:r>
            <w:r>
              <w:rPr>
                <w:noProof/>
                <w:webHidden/>
              </w:rPr>
              <w:fldChar w:fldCharType="begin"/>
            </w:r>
            <w:r>
              <w:rPr>
                <w:noProof/>
                <w:webHidden/>
              </w:rPr>
              <w:instrText xml:space="preserve"> PAGEREF _Toc27403123 \h </w:instrText>
            </w:r>
            <w:r>
              <w:rPr>
                <w:noProof/>
                <w:webHidden/>
              </w:rPr>
            </w:r>
            <w:r>
              <w:rPr>
                <w:noProof/>
                <w:webHidden/>
              </w:rPr>
              <w:fldChar w:fldCharType="separate"/>
            </w:r>
            <w:r>
              <w:rPr>
                <w:noProof/>
                <w:webHidden/>
              </w:rPr>
              <w:t>10</w:t>
            </w:r>
            <w:r>
              <w:rPr>
                <w:noProof/>
                <w:webHidden/>
              </w:rPr>
              <w:fldChar w:fldCharType="end"/>
            </w:r>
          </w:hyperlink>
        </w:p>
        <w:p w14:paraId="024D0C76" w14:textId="7DEA6CFE" w:rsidR="00611F05" w:rsidRDefault="00611F05">
          <w:pPr>
            <w:pStyle w:val="TOC2"/>
            <w:tabs>
              <w:tab w:val="right" w:leader="dot" w:pos="8296"/>
            </w:tabs>
            <w:rPr>
              <w:rFonts w:asciiTheme="minorHAnsi" w:hAnsiTheme="minorHAnsi"/>
              <w:noProof/>
              <w:sz w:val="22"/>
              <w:szCs w:val="22"/>
              <w:lang w:eastAsia="en-AU"/>
            </w:rPr>
          </w:pPr>
          <w:hyperlink w:anchor="_Toc27403124" w:history="1">
            <w:r w:rsidRPr="00A05D57">
              <w:rPr>
                <w:rStyle w:val="Hyperlink"/>
                <w:rFonts w:cstheme="minorHAnsi"/>
                <w:noProof/>
              </w:rPr>
              <w:t>National Heavy Vehicle Regulator Inspector Training</w:t>
            </w:r>
            <w:r>
              <w:rPr>
                <w:noProof/>
                <w:webHidden/>
              </w:rPr>
              <w:tab/>
            </w:r>
            <w:r>
              <w:rPr>
                <w:noProof/>
                <w:webHidden/>
              </w:rPr>
              <w:fldChar w:fldCharType="begin"/>
            </w:r>
            <w:r>
              <w:rPr>
                <w:noProof/>
                <w:webHidden/>
              </w:rPr>
              <w:instrText xml:space="preserve"> PAGEREF _Toc27403124 \h </w:instrText>
            </w:r>
            <w:r>
              <w:rPr>
                <w:noProof/>
                <w:webHidden/>
              </w:rPr>
            </w:r>
            <w:r>
              <w:rPr>
                <w:noProof/>
                <w:webHidden/>
              </w:rPr>
              <w:fldChar w:fldCharType="separate"/>
            </w:r>
            <w:r>
              <w:rPr>
                <w:noProof/>
                <w:webHidden/>
              </w:rPr>
              <w:t>10</w:t>
            </w:r>
            <w:r>
              <w:rPr>
                <w:noProof/>
                <w:webHidden/>
              </w:rPr>
              <w:fldChar w:fldCharType="end"/>
            </w:r>
          </w:hyperlink>
        </w:p>
        <w:p w14:paraId="60E3B546" w14:textId="33F4078F" w:rsidR="00611F05" w:rsidRDefault="00611F05">
          <w:pPr>
            <w:pStyle w:val="TOC1"/>
            <w:rPr>
              <w:rFonts w:asciiTheme="minorHAnsi" w:hAnsiTheme="minorHAnsi"/>
              <w:noProof/>
              <w:sz w:val="22"/>
              <w:szCs w:val="22"/>
              <w:lang w:eastAsia="en-AU"/>
            </w:rPr>
          </w:pPr>
          <w:hyperlink w:anchor="_Toc27403125" w:history="1">
            <w:r w:rsidRPr="00A05D57">
              <w:rPr>
                <w:rStyle w:val="Hyperlink"/>
                <w:rFonts w:cstheme="minorHAnsi"/>
                <w:noProof/>
              </w:rPr>
              <w:t>2. SKILLING AUSTRALIANS FUND MIGRATION TRAINING LEVY</w:t>
            </w:r>
            <w:r>
              <w:rPr>
                <w:noProof/>
                <w:webHidden/>
              </w:rPr>
              <w:tab/>
            </w:r>
            <w:r>
              <w:rPr>
                <w:noProof/>
                <w:webHidden/>
              </w:rPr>
              <w:fldChar w:fldCharType="begin"/>
            </w:r>
            <w:r>
              <w:rPr>
                <w:noProof/>
                <w:webHidden/>
              </w:rPr>
              <w:instrText xml:space="preserve"> PAGEREF _Toc27403125 \h </w:instrText>
            </w:r>
            <w:r>
              <w:rPr>
                <w:noProof/>
                <w:webHidden/>
              </w:rPr>
            </w:r>
            <w:r>
              <w:rPr>
                <w:noProof/>
                <w:webHidden/>
              </w:rPr>
              <w:fldChar w:fldCharType="separate"/>
            </w:r>
            <w:r>
              <w:rPr>
                <w:noProof/>
                <w:webHidden/>
              </w:rPr>
              <w:t>11</w:t>
            </w:r>
            <w:r>
              <w:rPr>
                <w:noProof/>
                <w:webHidden/>
              </w:rPr>
              <w:fldChar w:fldCharType="end"/>
            </w:r>
          </w:hyperlink>
        </w:p>
        <w:p w14:paraId="1AAE374B" w14:textId="7010E035" w:rsidR="00611F05" w:rsidRDefault="00611F05">
          <w:pPr>
            <w:pStyle w:val="TOC1"/>
            <w:rPr>
              <w:rFonts w:asciiTheme="minorHAnsi" w:hAnsiTheme="minorHAnsi"/>
              <w:noProof/>
              <w:sz w:val="22"/>
              <w:szCs w:val="22"/>
              <w:lang w:eastAsia="en-AU"/>
            </w:rPr>
          </w:pPr>
          <w:hyperlink w:anchor="_Toc27403126" w:history="1">
            <w:r w:rsidRPr="00A05D57">
              <w:rPr>
                <w:rStyle w:val="Hyperlink"/>
                <w:rFonts w:cstheme="minorHAnsi"/>
                <w:noProof/>
              </w:rPr>
              <w:t>3. LUXURY CAR TAX</w:t>
            </w:r>
            <w:r>
              <w:rPr>
                <w:noProof/>
                <w:webHidden/>
              </w:rPr>
              <w:tab/>
            </w:r>
            <w:r>
              <w:rPr>
                <w:noProof/>
                <w:webHidden/>
              </w:rPr>
              <w:fldChar w:fldCharType="begin"/>
            </w:r>
            <w:r>
              <w:rPr>
                <w:noProof/>
                <w:webHidden/>
              </w:rPr>
              <w:instrText xml:space="preserve"> PAGEREF _Toc27403126 \h </w:instrText>
            </w:r>
            <w:r>
              <w:rPr>
                <w:noProof/>
                <w:webHidden/>
              </w:rPr>
            </w:r>
            <w:r>
              <w:rPr>
                <w:noProof/>
                <w:webHidden/>
              </w:rPr>
              <w:fldChar w:fldCharType="separate"/>
            </w:r>
            <w:r>
              <w:rPr>
                <w:noProof/>
                <w:webHidden/>
              </w:rPr>
              <w:t>12</w:t>
            </w:r>
            <w:r>
              <w:rPr>
                <w:noProof/>
                <w:webHidden/>
              </w:rPr>
              <w:fldChar w:fldCharType="end"/>
            </w:r>
          </w:hyperlink>
        </w:p>
        <w:p w14:paraId="288C0234" w14:textId="21695C30" w:rsidR="00611F05" w:rsidRDefault="00611F05">
          <w:pPr>
            <w:pStyle w:val="TOC1"/>
            <w:rPr>
              <w:rFonts w:asciiTheme="minorHAnsi" w:hAnsiTheme="minorHAnsi"/>
              <w:noProof/>
              <w:sz w:val="22"/>
              <w:szCs w:val="22"/>
              <w:lang w:eastAsia="en-AU"/>
            </w:rPr>
          </w:pPr>
          <w:hyperlink w:anchor="_Toc27403127" w:history="1">
            <w:r w:rsidRPr="00A05D57">
              <w:rPr>
                <w:rStyle w:val="Hyperlink"/>
                <w:rFonts w:cstheme="minorHAnsi"/>
                <w:noProof/>
              </w:rPr>
              <w:t>5. Hayne Royal Commission Recommendation 1.7— Removal of point of sale exemption</w:t>
            </w:r>
            <w:r>
              <w:rPr>
                <w:noProof/>
                <w:webHidden/>
              </w:rPr>
              <w:tab/>
            </w:r>
            <w:r>
              <w:rPr>
                <w:noProof/>
                <w:webHidden/>
              </w:rPr>
              <w:fldChar w:fldCharType="begin"/>
            </w:r>
            <w:r>
              <w:rPr>
                <w:noProof/>
                <w:webHidden/>
              </w:rPr>
              <w:instrText xml:space="preserve"> PAGEREF _Toc27403127 \h </w:instrText>
            </w:r>
            <w:r>
              <w:rPr>
                <w:noProof/>
                <w:webHidden/>
              </w:rPr>
            </w:r>
            <w:r>
              <w:rPr>
                <w:noProof/>
                <w:webHidden/>
              </w:rPr>
              <w:fldChar w:fldCharType="separate"/>
            </w:r>
            <w:r>
              <w:rPr>
                <w:noProof/>
                <w:webHidden/>
              </w:rPr>
              <w:t>12</w:t>
            </w:r>
            <w:r>
              <w:rPr>
                <w:noProof/>
                <w:webHidden/>
              </w:rPr>
              <w:fldChar w:fldCharType="end"/>
            </w:r>
          </w:hyperlink>
        </w:p>
        <w:p w14:paraId="1E3D4315" w14:textId="29EE95AB" w:rsidR="00611F05" w:rsidRDefault="00611F05">
          <w:pPr>
            <w:pStyle w:val="TOC1"/>
            <w:rPr>
              <w:rFonts w:asciiTheme="minorHAnsi" w:hAnsiTheme="minorHAnsi"/>
              <w:noProof/>
              <w:sz w:val="22"/>
              <w:szCs w:val="22"/>
              <w:lang w:eastAsia="en-AU"/>
            </w:rPr>
          </w:pPr>
          <w:hyperlink w:anchor="_Toc27403128" w:history="1">
            <w:r w:rsidRPr="00A05D57">
              <w:rPr>
                <w:rStyle w:val="Hyperlink"/>
                <w:rFonts w:cstheme="minorHAnsi"/>
                <w:noProof/>
              </w:rPr>
              <w:t>6. Personal Property Security Reform</w:t>
            </w:r>
            <w:r>
              <w:rPr>
                <w:noProof/>
                <w:webHidden/>
              </w:rPr>
              <w:tab/>
            </w:r>
            <w:r>
              <w:rPr>
                <w:noProof/>
                <w:webHidden/>
              </w:rPr>
              <w:fldChar w:fldCharType="begin"/>
            </w:r>
            <w:r>
              <w:rPr>
                <w:noProof/>
                <w:webHidden/>
              </w:rPr>
              <w:instrText xml:space="preserve"> PAGEREF _Toc27403128 \h </w:instrText>
            </w:r>
            <w:r>
              <w:rPr>
                <w:noProof/>
                <w:webHidden/>
              </w:rPr>
            </w:r>
            <w:r>
              <w:rPr>
                <w:noProof/>
                <w:webHidden/>
              </w:rPr>
              <w:fldChar w:fldCharType="separate"/>
            </w:r>
            <w:r>
              <w:rPr>
                <w:noProof/>
                <w:webHidden/>
              </w:rPr>
              <w:t>13</w:t>
            </w:r>
            <w:r>
              <w:rPr>
                <w:noProof/>
                <w:webHidden/>
              </w:rPr>
              <w:fldChar w:fldCharType="end"/>
            </w:r>
          </w:hyperlink>
        </w:p>
        <w:p w14:paraId="689B5695" w14:textId="730C9D9F" w:rsidR="00C81332" w:rsidRPr="008410F3" w:rsidRDefault="00C81332" w:rsidP="00C81332">
          <w:pPr>
            <w:rPr>
              <w:rFonts w:cstheme="minorHAnsi"/>
              <w:b/>
              <w:bCs/>
              <w:noProof/>
              <w:sz w:val="24"/>
              <w:szCs w:val="24"/>
            </w:rPr>
          </w:pPr>
          <w:r w:rsidRPr="008410F3">
            <w:rPr>
              <w:rFonts w:cstheme="minorHAnsi"/>
              <w:b/>
              <w:bCs/>
              <w:noProof/>
              <w:color w:val="1F497D" w:themeColor="text2"/>
              <w:sz w:val="24"/>
              <w:szCs w:val="24"/>
            </w:rPr>
            <w:fldChar w:fldCharType="end"/>
          </w:r>
        </w:p>
      </w:sdtContent>
    </w:sdt>
    <w:p w14:paraId="4DC6A0A0" w14:textId="76BB052C" w:rsidR="00E4501F" w:rsidRPr="008410F3" w:rsidRDefault="00C81332" w:rsidP="0041040E">
      <w:pPr>
        <w:rPr>
          <w:rFonts w:cstheme="minorHAnsi"/>
          <w:b/>
          <w:sz w:val="24"/>
          <w:szCs w:val="24"/>
        </w:rPr>
      </w:pPr>
      <w:r w:rsidRPr="008410F3">
        <w:rPr>
          <w:rFonts w:cstheme="minorHAnsi"/>
          <w:b/>
          <w:sz w:val="24"/>
          <w:szCs w:val="24"/>
        </w:rPr>
        <w:br w:type="page"/>
      </w:r>
    </w:p>
    <w:p w14:paraId="05EF25C6" w14:textId="65733E0A" w:rsidR="00181EC4" w:rsidRDefault="00181EC4" w:rsidP="00941B0D">
      <w:pPr>
        <w:spacing w:line="240" w:lineRule="auto"/>
        <w:rPr>
          <w:rFonts w:cstheme="minorHAnsi"/>
          <w:b/>
          <w:sz w:val="24"/>
          <w:szCs w:val="24"/>
        </w:rPr>
      </w:pPr>
      <w:r w:rsidRPr="008410F3">
        <w:rPr>
          <w:rFonts w:cstheme="minorHAnsi"/>
          <w:b/>
          <w:sz w:val="24"/>
          <w:szCs w:val="24"/>
        </w:rPr>
        <w:lastRenderedPageBreak/>
        <w:t>KEY POSITIONS</w:t>
      </w:r>
    </w:p>
    <w:p w14:paraId="7D50B542" w14:textId="55F209B2" w:rsidR="00D058D2" w:rsidRPr="008410F3" w:rsidRDefault="00D058D2" w:rsidP="00D058D2">
      <w:pPr>
        <w:pStyle w:val="Heading1"/>
        <w:shd w:val="clear" w:color="auto" w:fill="4472C4"/>
        <w:rPr>
          <w:rFonts w:asciiTheme="minorHAnsi" w:hAnsiTheme="minorHAnsi" w:cstheme="minorHAnsi"/>
          <w:sz w:val="24"/>
          <w:szCs w:val="24"/>
        </w:rPr>
      </w:pPr>
      <w:bookmarkStart w:id="7" w:name="_Toc27403117"/>
      <w:r w:rsidRPr="008410F3">
        <w:rPr>
          <w:rFonts w:asciiTheme="minorHAnsi" w:hAnsiTheme="minorHAnsi" w:cstheme="minorHAnsi"/>
          <w:sz w:val="24"/>
          <w:szCs w:val="24"/>
        </w:rPr>
        <w:t>1.</w:t>
      </w:r>
      <w:r>
        <w:rPr>
          <w:rFonts w:asciiTheme="minorHAnsi" w:hAnsiTheme="minorHAnsi" w:cstheme="minorHAnsi"/>
          <w:sz w:val="24"/>
          <w:szCs w:val="24"/>
        </w:rPr>
        <w:t xml:space="preserve">  ADVISORY BODY</w:t>
      </w:r>
      <w:r w:rsidRPr="008410F3">
        <w:rPr>
          <w:rFonts w:asciiTheme="minorHAnsi" w:hAnsiTheme="minorHAnsi" w:cstheme="minorHAnsi"/>
          <w:sz w:val="24"/>
          <w:szCs w:val="24"/>
        </w:rPr>
        <w:t xml:space="preserve"> </w:t>
      </w:r>
      <w:r>
        <w:rPr>
          <w:rFonts w:asciiTheme="minorHAnsi" w:hAnsiTheme="minorHAnsi" w:cstheme="minorHAnsi"/>
          <w:sz w:val="24"/>
          <w:szCs w:val="24"/>
        </w:rPr>
        <w:t>- aCCESS TO VEHICLE REPAIR INFORMATION</w:t>
      </w:r>
      <w:bookmarkEnd w:id="7"/>
    </w:p>
    <w:p w14:paraId="1C469C0A" w14:textId="77777777" w:rsidR="00D058D2" w:rsidRPr="008410F3" w:rsidRDefault="00D058D2" w:rsidP="00D058D2">
      <w:pPr>
        <w:spacing w:line="240" w:lineRule="auto"/>
        <w:rPr>
          <w:rFonts w:cstheme="minorHAnsi"/>
          <w:sz w:val="24"/>
          <w:szCs w:val="24"/>
        </w:rPr>
      </w:pPr>
    </w:p>
    <w:p w14:paraId="40F2C6DE" w14:textId="77777777" w:rsidR="00D058D2" w:rsidRPr="00D058D2" w:rsidRDefault="00D058D2" w:rsidP="00D058D2">
      <w:pPr>
        <w:spacing w:line="240" w:lineRule="auto"/>
        <w:rPr>
          <w:rFonts w:cstheme="minorHAnsi"/>
          <w:sz w:val="24"/>
          <w:szCs w:val="24"/>
        </w:rPr>
      </w:pPr>
      <w:r w:rsidRPr="00D058D2">
        <w:rPr>
          <w:rFonts w:cstheme="minorHAnsi"/>
          <w:sz w:val="24"/>
          <w:szCs w:val="24"/>
        </w:rPr>
        <w:t xml:space="preserve">On 29 October 2019, the Australian Government committed to progressing the design of a mandatory information sharing scheme for motor vehicle service and repair information. The HON Michael </w:t>
      </w:r>
      <w:proofErr w:type="spellStart"/>
      <w:r w:rsidRPr="00D058D2">
        <w:rPr>
          <w:rFonts w:cstheme="minorHAnsi"/>
          <w:sz w:val="24"/>
          <w:szCs w:val="24"/>
        </w:rPr>
        <w:t>Sukkar</w:t>
      </w:r>
      <w:proofErr w:type="spellEnd"/>
      <w:r w:rsidRPr="00D058D2">
        <w:rPr>
          <w:rFonts w:cstheme="minorHAnsi"/>
          <w:sz w:val="24"/>
          <w:szCs w:val="24"/>
        </w:rPr>
        <w:t xml:space="preserve"> MP, Minister for Housing and Assistant Treasurer announced that it would be implemented in primary legislation to provide flexibility in its design as well as a robust dispute resolution process. </w:t>
      </w:r>
    </w:p>
    <w:p w14:paraId="47DAEC30" w14:textId="77777777" w:rsidR="00D058D2" w:rsidRPr="00D058D2" w:rsidRDefault="00D058D2" w:rsidP="00D058D2">
      <w:pPr>
        <w:spacing w:line="240" w:lineRule="auto"/>
        <w:rPr>
          <w:rFonts w:cstheme="minorHAnsi"/>
          <w:sz w:val="24"/>
          <w:szCs w:val="24"/>
        </w:rPr>
      </w:pPr>
      <w:r w:rsidRPr="00D058D2">
        <w:rPr>
          <w:rFonts w:cstheme="minorHAnsi"/>
          <w:sz w:val="24"/>
          <w:szCs w:val="24"/>
        </w:rPr>
        <w:t xml:space="preserve">The Minister also asked industry representatives to consider the potential for an industry-led body to assist Government with administering the scheme and to ensure manufacturers, repairers and consumers had a voice in developing the scheme, keeping it effective and relevant. It was considered the body could also assist in the dispute resolution process. </w:t>
      </w:r>
    </w:p>
    <w:p w14:paraId="07A29D2E" w14:textId="77777777" w:rsidR="00D058D2" w:rsidRPr="00D058D2" w:rsidRDefault="00D058D2" w:rsidP="00D058D2">
      <w:pPr>
        <w:spacing w:line="240" w:lineRule="auto"/>
        <w:rPr>
          <w:rFonts w:cstheme="minorHAnsi"/>
          <w:sz w:val="24"/>
          <w:szCs w:val="24"/>
        </w:rPr>
      </w:pPr>
      <w:r w:rsidRPr="00D058D2">
        <w:rPr>
          <w:rFonts w:cstheme="minorHAnsi"/>
          <w:sz w:val="24"/>
          <w:szCs w:val="24"/>
        </w:rPr>
        <w:t xml:space="preserve">On 26 November 2019, the peak automotive sector organisations met to consider the Commonwealth Government’s’ request to explore the potential for an industry-led body matters raised during the industry round table on 29, October 2019. There was unanimous consensus to establish an industry body as well as agreement on the need to develop a technical committee as part of the body to provide technical expertise. </w:t>
      </w:r>
    </w:p>
    <w:p w14:paraId="3BE53048" w14:textId="21B61355" w:rsidR="00D058D2" w:rsidRDefault="00D058D2" w:rsidP="00D058D2">
      <w:pPr>
        <w:spacing w:line="240" w:lineRule="auto"/>
        <w:rPr>
          <w:rFonts w:cstheme="minorHAnsi"/>
          <w:sz w:val="24"/>
          <w:szCs w:val="24"/>
        </w:rPr>
      </w:pPr>
      <w:r>
        <w:rPr>
          <w:rFonts w:cstheme="minorHAnsi"/>
          <w:sz w:val="24"/>
          <w:szCs w:val="24"/>
        </w:rPr>
        <w:t xml:space="preserve">Industry representatives </w:t>
      </w:r>
      <w:r w:rsidR="000A2E0B">
        <w:rPr>
          <w:rFonts w:cstheme="minorHAnsi"/>
          <w:sz w:val="24"/>
          <w:szCs w:val="24"/>
        </w:rPr>
        <w:t>agreed that such a body should be:</w:t>
      </w:r>
    </w:p>
    <w:p w14:paraId="0FE79082" w14:textId="3AA703E4" w:rsidR="00D058D2" w:rsidRDefault="001B69D1" w:rsidP="000A2E0B">
      <w:pPr>
        <w:pStyle w:val="ListParagraph"/>
        <w:numPr>
          <w:ilvl w:val="0"/>
          <w:numId w:val="42"/>
        </w:numPr>
        <w:spacing w:line="240" w:lineRule="auto"/>
        <w:rPr>
          <w:rFonts w:cstheme="minorHAnsi"/>
          <w:sz w:val="24"/>
          <w:szCs w:val="24"/>
        </w:rPr>
      </w:pPr>
      <w:r>
        <w:rPr>
          <w:rFonts w:cstheme="minorHAnsi"/>
          <w:sz w:val="24"/>
          <w:szCs w:val="24"/>
        </w:rPr>
        <w:t>established with</w:t>
      </w:r>
      <w:r w:rsidR="00D058D2" w:rsidRPr="000A2E0B">
        <w:rPr>
          <w:rFonts w:cstheme="minorHAnsi"/>
          <w:sz w:val="24"/>
          <w:szCs w:val="24"/>
        </w:rPr>
        <w:t xml:space="preserve"> industry agreement</w:t>
      </w:r>
      <w:r>
        <w:rPr>
          <w:rFonts w:cstheme="minorHAnsi"/>
          <w:sz w:val="24"/>
          <w:szCs w:val="24"/>
        </w:rPr>
        <w:t xml:space="preserve"> at the request of the Government;</w:t>
      </w:r>
    </w:p>
    <w:p w14:paraId="00ADF9C1" w14:textId="77777777" w:rsidR="000A2E0B" w:rsidRPr="000A2E0B" w:rsidRDefault="000A2E0B" w:rsidP="000A2E0B">
      <w:pPr>
        <w:pStyle w:val="ListParagraph"/>
        <w:spacing w:line="240" w:lineRule="auto"/>
        <w:rPr>
          <w:rFonts w:cstheme="minorHAnsi"/>
          <w:sz w:val="24"/>
          <w:szCs w:val="24"/>
        </w:rPr>
      </w:pPr>
    </w:p>
    <w:p w14:paraId="419F8BE4" w14:textId="0CEEC61B" w:rsidR="00D058D2" w:rsidRDefault="00D058D2" w:rsidP="000A2E0B">
      <w:pPr>
        <w:pStyle w:val="ListParagraph"/>
        <w:numPr>
          <w:ilvl w:val="0"/>
          <w:numId w:val="42"/>
        </w:numPr>
        <w:spacing w:line="240" w:lineRule="auto"/>
        <w:rPr>
          <w:rFonts w:cstheme="minorHAnsi"/>
          <w:sz w:val="24"/>
          <w:szCs w:val="24"/>
        </w:rPr>
      </w:pPr>
      <w:r w:rsidRPr="000A2E0B">
        <w:rPr>
          <w:rFonts w:cstheme="minorHAnsi"/>
          <w:sz w:val="24"/>
          <w:szCs w:val="24"/>
        </w:rPr>
        <w:t xml:space="preserve">begin with seed funding and then be self-sustaining; </w:t>
      </w:r>
    </w:p>
    <w:p w14:paraId="14B04C65" w14:textId="77777777" w:rsidR="000A2E0B" w:rsidRPr="000A2E0B" w:rsidRDefault="000A2E0B" w:rsidP="000A2E0B">
      <w:pPr>
        <w:pStyle w:val="ListParagraph"/>
        <w:rPr>
          <w:rFonts w:cstheme="minorHAnsi"/>
          <w:sz w:val="24"/>
          <w:szCs w:val="24"/>
        </w:rPr>
      </w:pPr>
    </w:p>
    <w:p w14:paraId="20C67A4E" w14:textId="02ED14A0" w:rsidR="00D058D2" w:rsidRDefault="00D058D2" w:rsidP="000A2E0B">
      <w:pPr>
        <w:pStyle w:val="ListParagraph"/>
        <w:numPr>
          <w:ilvl w:val="0"/>
          <w:numId w:val="42"/>
        </w:numPr>
        <w:spacing w:line="240" w:lineRule="auto"/>
        <w:rPr>
          <w:rFonts w:cstheme="minorHAnsi"/>
          <w:sz w:val="24"/>
          <w:szCs w:val="24"/>
        </w:rPr>
      </w:pPr>
      <w:r w:rsidRPr="000A2E0B">
        <w:rPr>
          <w:rFonts w:cstheme="minorHAnsi"/>
          <w:sz w:val="24"/>
          <w:szCs w:val="24"/>
        </w:rPr>
        <w:t>require legal support (to navigate insurance, etc);</w:t>
      </w:r>
    </w:p>
    <w:p w14:paraId="29720E18" w14:textId="77777777" w:rsidR="000A2E0B" w:rsidRPr="000A2E0B" w:rsidRDefault="000A2E0B" w:rsidP="000A2E0B">
      <w:pPr>
        <w:pStyle w:val="ListParagraph"/>
        <w:rPr>
          <w:rFonts w:cstheme="minorHAnsi"/>
          <w:sz w:val="24"/>
          <w:szCs w:val="24"/>
        </w:rPr>
      </w:pPr>
    </w:p>
    <w:p w14:paraId="794EB8F5" w14:textId="3A6F2952" w:rsidR="00D058D2" w:rsidRDefault="001B69D1" w:rsidP="000A2E0B">
      <w:pPr>
        <w:pStyle w:val="ListParagraph"/>
        <w:numPr>
          <w:ilvl w:val="0"/>
          <w:numId w:val="42"/>
        </w:numPr>
        <w:spacing w:line="240" w:lineRule="auto"/>
        <w:rPr>
          <w:rFonts w:cstheme="minorHAnsi"/>
          <w:sz w:val="24"/>
          <w:szCs w:val="24"/>
        </w:rPr>
      </w:pPr>
      <w:r>
        <w:rPr>
          <w:rFonts w:cstheme="minorHAnsi"/>
          <w:sz w:val="24"/>
          <w:szCs w:val="24"/>
        </w:rPr>
        <w:t>will provide advice to G</w:t>
      </w:r>
      <w:r w:rsidR="00D058D2" w:rsidRPr="000A2E0B">
        <w:rPr>
          <w:rFonts w:cstheme="minorHAnsi"/>
          <w:sz w:val="24"/>
          <w:szCs w:val="24"/>
        </w:rPr>
        <w:t>overnment;</w:t>
      </w:r>
    </w:p>
    <w:p w14:paraId="314B10E8" w14:textId="77777777" w:rsidR="000A2E0B" w:rsidRPr="000A2E0B" w:rsidRDefault="000A2E0B" w:rsidP="000A2E0B">
      <w:pPr>
        <w:pStyle w:val="ListParagraph"/>
        <w:rPr>
          <w:rFonts w:cstheme="minorHAnsi"/>
          <w:sz w:val="24"/>
          <w:szCs w:val="24"/>
        </w:rPr>
      </w:pPr>
    </w:p>
    <w:p w14:paraId="5C1A78CD" w14:textId="7E24B82E" w:rsidR="00D058D2" w:rsidRDefault="001B69D1" w:rsidP="000A2E0B">
      <w:pPr>
        <w:pStyle w:val="ListParagraph"/>
        <w:numPr>
          <w:ilvl w:val="0"/>
          <w:numId w:val="42"/>
        </w:numPr>
        <w:spacing w:line="240" w:lineRule="auto"/>
        <w:rPr>
          <w:rFonts w:cstheme="minorHAnsi"/>
          <w:sz w:val="24"/>
          <w:szCs w:val="24"/>
        </w:rPr>
      </w:pPr>
      <w:r>
        <w:rPr>
          <w:rFonts w:cstheme="minorHAnsi"/>
          <w:sz w:val="24"/>
          <w:szCs w:val="24"/>
        </w:rPr>
        <w:t xml:space="preserve">assist in administering the </w:t>
      </w:r>
      <w:r w:rsidR="00D058D2" w:rsidRPr="000A2E0B">
        <w:rPr>
          <w:rFonts w:cstheme="minorHAnsi"/>
          <w:sz w:val="24"/>
          <w:szCs w:val="24"/>
        </w:rPr>
        <w:t>legislation;</w:t>
      </w:r>
    </w:p>
    <w:p w14:paraId="4B06A9A2" w14:textId="77777777" w:rsidR="000A2E0B" w:rsidRPr="000A2E0B" w:rsidRDefault="000A2E0B" w:rsidP="000A2E0B">
      <w:pPr>
        <w:pStyle w:val="ListParagraph"/>
        <w:rPr>
          <w:rFonts w:cstheme="minorHAnsi"/>
          <w:sz w:val="24"/>
          <w:szCs w:val="24"/>
        </w:rPr>
      </w:pPr>
    </w:p>
    <w:p w14:paraId="7E993C97" w14:textId="7375523B" w:rsidR="00D058D2" w:rsidRDefault="00D058D2" w:rsidP="000A2E0B">
      <w:pPr>
        <w:pStyle w:val="ListParagraph"/>
        <w:numPr>
          <w:ilvl w:val="0"/>
          <w:numId w:val="42"/>
        </w:numPr>
        <w:spacing w:line="240" w:lineRule="auto"/>
        <w:rPr>
          <w:rFonts w:cstheme="minorHAnsi"/>
          <w:sz w:val="24"/>
          <w:szCs w:val="24"/>
        </w:rPr>
      </w:pPr>
      <w:r w:rsidRPr="000A2E0B">
        <w:rPr>
          <w:rFonts w:cstheme="minorHAnsi"/>
          <w:sz w:val="24"/>
          <w:szCs w:val="24"/>
        </w:rPr>
        <w:t>be core focused and cognisant of boundaries of roles and responsibilities;</w:t>
      </w:r>
    </w:p>
    <w:p w14:paraId="2021D8EF" w14:textId="77777777" w:rsidR="000A2E0B" w:rsidRPr="000A2E0B" w:rsidRDefault="000A2E0B" w:rsidP="000A2E0B">
      <w:pPr>
        <w:pStyle w:val="ListParagraph"/>
        <w:rPr>
          <w:rFonts w:cstheme="minorHAnsi"/>
          <w:sz w:val="24"/>
          <w:szCs w:val="24"/>
        </w:rPr>
      </w:pPr>
    </w:p>
    <w:p w14:paraId="57B6712D" w14:textId="6E827C86" w:rsidR="00D058D2" w:rsidRDefault="00D058D2" w:rsidP="000A2E0B">
      <w:pPr>
        <w:pStyle w:val="ListParagraph"/>
        <w:numPr>
          <w:ilvl w:val="0"/>
          <w:numId w:val="42"/>
        </w:numPr>
        <w:spacing w:line="240" w:lineRule="auto"/>
        <w:rPr>
          <w:rFonts w:cstheme="minorHAnsi"/>
          <w:sz w:val="24"/>
          <w:szCs w:val="24"/>
        </w:rPr>
      </w:pPr>
      <w:r w:rsidRPr="000A2E0B">
        <w:rPr>
          <w:rFonts w:cstheme="minorHAnsi"/>
          <w:sz w:val="24"/>
          <w:szCs w:val="24"/>
        </w:rPr>
        <w:t>report to Government and Members;</w:t>
      </w:r>
    </w:p>
    <w:p w14:paraId="7C35FAEA" w14:textId="77777777" w:rsidR="000A2E0B" w:rsidRPr="000A2E0B" w:rsidRDefault="000A2E0B" w:rsidP="000A2E0B">
      <w:pPr>
        <w:pStyle w:val="ListParagraph"/>
        <w:rPr>
          <w:rFonts w:cstheme="minorHAnsi"/>
          <w:sz w:val="24"/>
          <w:szCs w:val="24"/>
        </w:rPr>
      </w:pPr>
    </w:p>
    <w:p w14:paraId="0D20C329" w14:textId="39B89EB7" w:rsidR="00D058D2" w:rsidRDefault="00D058D2" w:rsidP="000A2E0B">
      <w:pPr>
        <w:pStyle w:val="ListParagraph"/>
        <w:numPr>
          <w:ilvl w:val="0"/>
          <w:numId w:val="42"/>
        </w:numPr>
        <w:spacing w:line="240" w:lineRule="auto"/>
        <w:rPr>
          <w:rFonts w:cstheme="minorHAnsi"/>
          <w:sz w:val="24"/>
          <w:szCs w:val="24"/>
        </w:rPr>
      </w:pPr>
      <w:r w:rsidRPr="000A2E0B">
        <w:rPr>
          <w:rFonts w:cstheme="minorHAnsi"/>
          <w:sz w:val="24"/>
          <w:szCs w:val="24"/>
        </w:rPr>
        <w:t>raise awareness amongst members;</w:t>
      </w:r>
    </w:p>
    <w:p w14:paraId="72684697" w14:textId="77777777" w:rsidR="000A2E0B" w:rsidRPr="000A2E0B" w:rsidRDefault="000A2E0B" w:rsidP="000A2E0B">
      <w:pPr>
        <w:pStyle w:val="ListParagraph"/>
        <w:rPr>
          <w:rFonts w:cstheme="minorHAnsi"/>
          <w:sz w:val="24"/>
          <w:szCs w:val="24"/>
        </w:rPr>
      </w:pPr>
    </w:p>
    <w:p w14:paraId="3CEBC061" w14:textId="1A755081" w:rsidR="00D058D2" w:rsidRDefault="00D058D2" w:rsidP="000A2E0B">
      <w:pPr>
        <w:pStyle w:val="ListParagraph"/>
        <w:numPr>
          <w:ilvl w:val="0"/>
          <w:numId w:val="42"/>
        </w:numPr>
        <w:spacing w:line="240" w:lineRule="auto"/>
        <w:rPr>
          <w:rFonts w:cstheme="minorHAnsi"/>
          <w:sz w:val="24"/>
          <w:szCs w:val="24"/>
        </w:rPr>
      </w:pPr>
      <w:r w:rsidRPr="000A2E0B">
        <w:rPr>
          <w:rFonts w:cstheme="minorHAnsi"/>
          <w:sz w:val="24"/>
          <w:szCs w:val="24"/>
        </w:rPr>
        <w:t>provide advice and direction on definitions;</w:t>
      </w:r>
    </w:p>
    <w:p w14:paraId="4D824074" w14:textId="77777777" w:rsidR="000A2E0B" w:rsidRPr="000A2E0B" w:rsidRDefault="000A2E0B" w:rsidP="000A2E0B">
      <w:pPr>
        <w:pStyle w:val="ListParagraph"/>
        <w:rPr>
          <w:rFonts w:cstheme="minorHAnsi"/>
          <w:sz w:val="24"/>
          <w:szCs w:val="24"/>
        </w:rPr>
      </w:pPr>
    </w:p>
    <w:p w14:paraId="3B4023D4" w14:textId="3AFB7C53" w:rsidR="00D058D2" w:rsidRDefault="00D058D2" w:rsidP="000A2E0B">
      <w:pPr>
        <w:pStyle w:val="ListParagraph"/>
        <w:numPr>
          <w:ilvl w:val="0"/>
          <w:numId w:val="42"/>
        </w:numPr>
        <w:spacing w:line="240" w:lineRule="auto"/>
        <w:rPr>
          <w:rFonts w:cstheme="minorHAnsi"/>
          <w:sz w:val="24"/>
          <w:szCs w:val="24"/>
        </w:rPr>
      </w:pPr>
      <w:r w:rsidRPr="000A2E0B">
        <w:rPr>
          <w:rFonts w:cstheme="minorHAnsi"/>
          <w:sz w:val="24"/>
          <w:szCs w:val="24"/>
        </w:rPr>
        <w:t>be involved in subsequent reviews of the legislation;</w:t>
      </w:r>
    </w:p>
    <w:p w14:paraId="2F2DC5FE" w14:textId="77777777" w:rsidR="000A2E0B" w:rsidRPr="000A2E0B" w:rsidRDefault="000A2E0B" w:rsidP="000A2E0B">
      <w:pPr>
        <w:pStyle w:val="ListParagraph"/>
        <w:rPr>
          <w:rFonts w:cstheme="minorHAnsi"/>
          <w:sz w:val="24"/>
          <w:szCs w:val="24"/>
        </w:rPr>
      </w:pPr>
    </w:p>
    <w:p w14:paraId="26AB46A5" w14:textId="791B6D17" w:rsidR="00D058D2" w:rsidRDefault="00D058D2" w:rsidP="000A2E0B">
      <w:pPr>
        <w:pStyle w:val="ListParagraph"/>
        <w:numPr>
          <w:ilvl w:val="0"/>
          <w:numId w:val="42"/>
        </w:numPr>
        <w:spacing w:line="240" w:lineRule="auto"/>
        <w:rPr>
          <w:rFonts w:cstheme="minorHAnsi"/>
          <w:sz w:val="24"/>
          <w:szCs w:val="24"/>
        </w:rPr>
      </w:pPr>
      <w:r w:rsidRPr="000A2E0B">
        <w:rPr>
          <w:rFonts w:cstheme="minorHAnsi"/>
          <w:sz w:val="24"/>
          <w:szCs w:val="24"/>
        </w:rPr>
        <w:t xml:space="preserve">co-opt expertise from other organisations </w:t>
      </w:r>
      <w:proofErr w:type="gramStart"/>
      <w:r w:rsidR="001B69D1">
        <w:rPr>
          <w:rFonts w:cstheme="minorHAnsi"/>
          <w:sz w:val="24"/>
          <w:szCs w:val="24"/>
        </w:rPr>
        <w:t>if</w:t>
      </w:r>
      <w:r w:rsidRPr="000A2E0B">
        <w:rPr>
          <w:rFonts w:cstheme="minorHAnsi"/>
          <w:sz w:val="24"/>
          <w:szCs w:val="24"/>
        </w:rPr>
        <w:t xml:space="preserve"> and when</w:t>
      </w:r>
      <w:proofErr w:type="gramEnd"/>
      <w:r w:rsidRPr="000A2E0B">
        <w:rPr>
          <w:rFonts w:cstheme="minorHAnsi"/>
          <w:sz w:val="24"/>
          <w:szCs w:val="24"/>
        </w:rPr>
        <w:t xml:space="preserve"> required;</w:t>
      </w:r>
    </w:p>
    <w:p w14:paraId="13C1FE7D" w14:textId="2F4BB6FE" w:rsidR="00D058D2" w:rsidRPr="000A2E0B" w:rsidRDefault="00D058D2" w:rsidP="000A2E0B">
      <w:pPr>
        <w:pStyle w:val="ListParagraph"/>
        <w:numPr>
          <w:ilvl w:val="0"/>
          <w:numId w:val="42"/>
        </w:numPr>
        <w:spacing w:line="240" w:lineRule="auto"/>
        <w:rPr>
          <w:rFonts w:cstheme="minorHAnsi"/>
          <w:sz w:val="24"/>
          <w:szCs w:val="24"/>
        </w:rPr>
      </w:pPr>
      <w:r w:rsidRPr="000A2E0B">
        <w:rPr>
          <w:rFonts w:cstheme="minorHAnsi"/>
          <w:sz w:val="24"/>
          <w:szCs w:val="24"/>
        </w:rPr>
        <w:lastRenderedPageBreak/>
        <w:t>develop a Constitution to outline how to appoint an Independent Chair.</w:t>
      </w:r>
    </w:p>
    <w:p w14:paraId="40D1E0BD" w14:textId="4951408E" w:rsidR="000911D3" w:rsidRDefault="00D058D2" w:rsidP="00D058D2">
      <w:pPr>
        <w:spacing w:line="240" w:lineRule="auto"/>
        <w:rPr>
          <w:rFonts w:cstheme="minorHAnsi"/>
          <w:sz w:val="24"/>
          <w:szCs w:val="24"/>
        </w:rPr>
      </w:pPr>
      <w:r w:rsidRPr="00D058D2">
        <w:rPr>
          <w:rFonts w:cstheme="minorHAnsi"/>
          <w:sz w:val="24"/>
          <w:szCs w:val="24"/>
        </w:rPr>
        <w:t xml:space="preserve">It was the unanimous view of industry representatives that Government be asked to consider a </w:t>
      </w:r>
      <w:r w:rsidR="00F1054D">
        <w:rPr>
          <w:rFonts w:cstheme="minorHAnsi"/>
          <w:sz w:val="24"/>
          <w:szCs w:val="24"/>
        </w:rPr>
        <w:t>c</w:t>
      </w:r>
      <w:r w:rsidRPr="00D058D2">
        <w:rPr>
          <w:rFonts w:cstheme="minorHAnsi"/>
          <w:sz w:val="24"/>
          <w:szCs w:val="24"/>
        </w:rPr>
        <w:t xml:space="preserve">o-contribution or ‘seed funding’ to establish the industry </w:t>
      </w:r>
      <w:r w:rsidR="000911D3">
        <w:rPr>
          <w:rFonts w:cstheme="minorHAnsi"/>
          <w:sz w:val="24"/>
          <w:szCs w:val="24"/>
        </w:rPr>
        <w:t xml:space="preserve">advisory </w:t>
      </w:r>
      <w:r w:rsidRPr="00D058D2">
        <w:rPr>
          <w:rFonts w:cstheme="minorHAnsi"/>
          <w:sz w:val="24"/>
          <w:szCs w:val="24"/>
        </w:rPr>
        <w:t xml:space="preserve">body and that allocation for this purpose be included in the 2020/21 </w:t>
      </w:r>
      <w:r w:rsidR="000A2E0B">
        <w:rPr>
          <w:rFonts w:cstheme="minorHAnsi"/>
          <w:sz w:val="24"/>
          <w:szCs w:val="24"/>
        </w:rPr>
        <w:t xml:space="preserve">Federal </w:t>
      </w:r>
      <w:r w:rsidRPr="00D058D2">
        <w:rPr>
          <w:rFonts w:cstheme="minorHAnsi"/>
          <w:sz w:val="24"/>
          <w:szCs w:val="24"/>
        </w:rPr>
        <w:t>Budget. It is the industry view that ongoing financial support will not be required</w:t>
      </w:r>
      <w:r w:rsidR="000911D3">
        <w:rPr>
          <w:rFonts w:cstheme="minorHAnsi"/>
          <w:sz w:val="24"/>
          <w:szCs w:val="24"/>
        </w:rPr>
        <w:t xml:space="preserve"> as the body will become self-sustaining as the access to repair information is realised </w:t>
      </w:r>
      <w:r w:rsidR="00F1054D">
        <w:rPr>
          <w:rFonts w:cstheme="minorHAnsi"/>
          <w:sz w:val="24"/>
          <w:szCs w:val="24"/>
        </w:rPr>
        <w:t xml:space="preserve">and </w:t>
      </w:r>
      <w:r w:rsidR="000911D3">
        <w:rPr>
          <w:rFonts w:cstheme="minorHAnsi"/>
          <w:sz w:val="24"/>
          <w:szCs w:val="24"/>
        </w:rPr>
        <w:t>through a security data registration program.</w:t>
      </w:r>
    </w:p>
    <w:p w14:paraId="5C9667B7" w14:textId="3084CC34" w:rsidR="00D058D2" w:rsidRPr="00D058D2" w:rsidRDefault="000911D3" w:rsidP="00D058D2">
      <w:pPr>
        <w:spacing w:line="240" w:lineRule="auto"/>
        <w:rPr>
          <w:rFonts w:cstheme="minorHAnsi"/>
          <w:sz w:val="24"/>
          <w:szCs w:val="24"/>
        </w:rPr>
      </w:pPr>
      <w:r>
        <w:rPr>
          <w:rFonts w:cstheme="minorHAnsi"/>
          <w:sz w:val="24"/>
          <w:szCs w:val="24"/>
        </w:rPr>
        <w:t xml:space="preserve"> </w:t>
      </w:r>
      <w:r w:rsidR="00D058D2" w:rsidRPr="00D058D2">
        <w:rPr>
          <w:rFonts w:cstheme="minorHAnsi"/>
          <w:sz w:val="24"/>
          <w:szCs w:val="24"/>
        </w:rPr>
        <w:t xml:space="preserve"> The rationale for the co-contribution request is </w:t>
      </w:r>
      <w:r w:rsidR="00F1054D">
        <w:rPr>
          <w:rFonts w:cstheme="minorHAnsi"/>
          <w:sz w:val="24"/>
          <w:szCs w:val="24"/>
        </w:rPr>
        <w:t>considerable and includes</w:t>
      </w:r>
      <w:r w:rsidR="00D058D2" w:rsidRPr="00D058D2">
        <w:rPr>
          <w:rFonts w:cstheme="minorHAnsi"/>
          <w:sz w:val="24"/>
          <w:szCs w:val="24"/>
        </w:rPr>
        <w:t xml:space="preserve">: </w:t>
      </w:r>
    </w:p>
    <w:p w14:paraId="09CA36BF" w14:textId="11188FF6" w:rsidR="00D058D2" w:rsidRDefault="00D058D2" w:rsidP="000A2E0B">
      <w:pPr>
        <w:pStyle w:val="ListParagraph"/>
        <w:numPr>
          <w:ilvl w:val="0"/>
          <w:numId w:val="43"/>
        </w:numPr>
        <w:spacing w:line="240" w:lineRule="auto"/>
        <w:rPr>
          <w:rFonts w:cstheme="minorHAnsi"/>
          <w:sz w:val="24"/>
          <w:szCs w:val="24"/>
        </w:rPr>
      </w:pPr>
      <w:r w:rsidRPr="000A2E0B">
        <w:rPr>
          <w:rFonts w:cstheme="minorHAnsi"/>
          <w:sz w:val="24"/>
          <w:szCs w:val="24"/>
        </w:rPr>
        <w:t>the benefit to Australian consumers;</w:t>
      </w:r>
    </w:p>
    <w:p w14:paraId="76578F9B" w14:textId="77777777" w:rsidR="000A2E0B" w:rsidRPr="000A2E0B" w:rsidRDefault="000A2E0B" w:rsidP="000A2E0B">
      <w:pPr>
        <w:pStyle w:val="ListParagraph"/>
        <w:spacing w:line="240" w:lineRule="auto"/>
        <w:rPr>
          <w:rFonts w:cstheme="minorHAnsi"/>
          <w:sz w:val="24"/>
          <w:szCs w:val="24"/>
        </w:rPr>
      </w:pPr>
    </w:p>
    <w:p w14:paraId="2DA2FB47" w14:textId="55BB9E86" w:rsidR="00D058D2" w:rsidRDefault="00D058D2" w:rsidP="000A2E0B">
      <w:pPr>
        <w:pStyle w:val="ListParagraph"/>
        <w:numPr>
          <w:ilvl w:val="0"/>
          <w:numId w:val="43"/>
        </w:numPr>
        <w:spacing w:line="240" w:lineRule="auto"/>
        <w:rPr>
          <w:rFonts w:cstheme="minorHAnsi"/>
          <w:sz w:val="24"/>
          <w:szCs w:val="24"/>
        </w:rPr>
      </w:pPr>
      <w:r w:rsidRPr="000A2E0B">
        <w:rPr>
          <w:rFonts w:cstheme="minorHAnsi"/>
          <w:sz w:val="24"/>
          <w:szCs w:val="24"/>
        </w:rPr>
        <w:t>the benefit to the Commonwealth Government of the industry body undertaking dispute resolution and access delivery mechanisms;</w:t>
      </w:r>
    </w:p>
    <w:p w14:paraId="1006FC7E" w14:textId="77777777" w:rsidR="000A2E0B" w:rsidRPr="000A2E0B" w:rsidRDefault="000A2E0B" w:rsidP="000A2E0B">
      <w:pPr>
        <w:pStyle w:val="ListParagraph"/>
        <w:rPr>
          <w:rFonts w:cstheme="minorHAnsi"/>
          <w:sz w:val="24"/>
          <w:szCs w:val="24"/>
        </w:rPr>
      </w:pPr>
    </w:p>
    <w:p w14:paraId="608EADFB" w14:textId="5F72FFE3" w:rsidR="00D058D2" w:rsidRDefault="00D058D2" w:rsidP="000A2E0B">
      <w:pPr>
        <w:pStyle w:val="ListParagraph"/>
        <w:numPr>
          <w:ilvl w:val="0"/>
          <w:numId w:val="43"/>
        </w:numPr>
        <w:spacing w:line="240" w:lineRule="auto"/>
        <w:rPr>
          <w:rFonts w:cstheme="minorHAnsi"/>
          <w:sz w:val="24"/>
          <w:szCs w:val="24"/>
        </w:rPr>
      </w:pPr>
      <w:r w:rsidRPr="000A2E0B">
        <w:rPr>
          <w:rFonts w:cstheme="minorHAnsi"/>
          <w:sz w:val="24"/>
          <w:szCs w:val="24"/>
        </w:rPr>
        <w:t>the precedential nature of having industry organisations meeting the intent of the legislation;</w:t>
      </w:r>
    </w:p>
    <w:p w14:paraId="7CCF6B13" w14:textId="77777777" w:rsidR="000A2E0B" w:rsidRPr="000A2E0B" w:rsidRDefault="000A2E0B" w:rsidP="000A2E0B">
      <w:pPr>
        <w:pStyle w:val="ListParagraph"/>
        <w:rPr>
          <w:rFonts w:cstheme="minorHAnsi"/>
          <w:sz w:val="24"/>
          <w:szCs w:val="24"/>
        </w:rPr>
      </w:pPr>
    </w:p>
    <w:p w14:paraId="5CB55232" w14:textId="53641CC3" w:rsidR="00D058D2" w:rsidRDefault="00D058D2" w:rsidP="000A2E0B">
      <w:pPr>
        <w:pStyle w:val="ListParagraph"/>
        <w:numPr>
          <w:ilvl w:val="0"/>
          <w:numId w:val="43"/>
        </w:numPr>
        <w:spacing w:line="240" w:lineRule="auto"/>
        <w:rPr>
          <w:rFonts w:cstheme="minorHAnsi"/>
          <w:sz w:val="24"/>
          <w:szCs w:val="24"/>
        </w:rPr>
      </w:pPr>
      <w:r w:rsidRPr="000A2E0B">
        <w:rPr>
          <w:rFonts w:cstheme="minorHAnsi"/>
          <w:sz w:val="24"/>
          <w:szCs w:val="24"/>
        </w:rPr>
        <w:t>the ongoing costs that industry organisations will incur in meeting the intent of the legislation;</w:t>
      </w:r>
    </w:p>
    <w:p w14:paraId="7F2D81B2" w14:textId="77777777" w:rsidR="000A2E0B" w:rsidRPr="000A2E0B" w:rsidRDefault="000A2E0B" w:rsidP="000A2E0B">
      <w:pPr>
        <w:pStyle w:val="ListParagraph"/>
        <w:rPr>
          <w:rFonts w:cstheme="minorHAnsi"/>
          <w:sz w:val="24"/>
          <w:szCs w:val="24"/>
        </w:rPr>
      </w:pPr>
    </w:p>
    <w:p w14:paraId="331F241A" w14:textId="02768F17" w:rsidR="00D058D2" w:rsidRDefault="00D058D2" w:rsidP="000A2E0B">
      <w:pPr>
        <w:pStyle w:val="ListParagraph"/>
        <w:numPr>
          <w:ilvl w:val="0"/>
          <w:numId w:val="43"/>
        </w:numPr>
        <w:spacing w:line="240" w:lineRule="auto"/>
        <w:rPr>
          <w:rFonts w:cstheme="minorHAnsi"/>
          <w:sz w:val="24"/>
          <w:szCs w:val="24"/>
        </w:rPr>
      </w:pPr>
      <w:r w:rsidRPr="000A2E0B">
        <w:rPr>
          <w:rFonts w:cstheme="minorHAnsi"/>
          <w:sz w:val="24"/>
          <w:szCs w:val="24"/>
        </w:rPr>
        <w:t xml:space="preserve">the not-for profit nature of the industry organisations, and </w:t>
      </w:r>
    </w:p>
    <w:p w14:paraId="7D53F37F" w14:textId="77777777" w:rsidR="000911D3" w:rsidRPr="000911D3" w:rsidRDefault="000911D3" w:rsidP="000911D3">
      <w:pPr>
        <w:pStyle w:val="ListParagraph"/>
        <w:rPr>
          <w:rFonts w:cstheme="minorHAnsi"/>
          <w:sz w:val="24"/>
          <w:szCs w:val="24"/>
        </w:rPr>
      </w:pPr>
    </w:p>
    <w:p w14:paraId="4CB8CE6A" w14:textId="4645F180" w:rsidR="00D058D2" w:rsidRPr="000A2E0B" w:rsidRDefault="00D058D2" w:rsidP="000A2E0B">
      <w:pPr>
        <w:pStyle w:val="ListParagraph"/>
        <w:numPr>
          <w:ilvl w:val="0"/>
          <w:numId w:val="43"/>
        </w:numPr>
        <w:spacing w:line="240" w:lineRule="auto"/>
        <w:rPr>
          <w:rFonts w:cstheme="minorHAnsi"/>
          <w:sz w:val="24"/>
          <w:szCs w:val="24"/>
        </w:rPr>
      </w:pPr>
      <w:r w:rsidRPr="000A2E0B">
        <w:rPr>
          <w:rFonts w:cstheme="minorHAnsi"/>
          <w:sz w:val="24"/>
          <w:szCs w:val="24"/>
        </w:rPr>
        <w:t>organisations have already invested significant time and resources on this issue.</w:t>
      </w:r>
    </w:p>
    <w:p w14:paraId="0B2FDFF6" w14:textId="16626E64" w:rsidR="002F3437" w:rsidRDefault="003B3162" w:rsidP="00D058D2">
      <w:pPr>
        <w:spacing w:line="240" w:lineRule="auto"/>
        <w:rPr>
          <w:rFonts w:cstheme="minorHAnsi"/>
          <w:sz w:val="24"/>
          <w:szCs w:val="24"/>
        </w:rPr>
      </w:pPr>
      <w:r>
        <w:rPr>
          <w:rFonts w:cstheme="minorHAnsi"/>
          <w:sz w:val="24"/>
          <w:szCs w:val="24"/>
        </w:rPr>
        <w:t xml:space="preserve">VACC therefore sincerely requests that the Federal Government provide a co-contribution of $250,000 to establish an industry-led body to administer the </w:t>
      </w:r>
      <w:r w:rsidRPr="003B3162">
        <w:rPr>
          <w:rFonts w:cstheme="minorHAnsi"/>
          <w:sz w:val="24"/>
          <w:szCs w:val="24"/>
        </w:rPr>
        <w:t>mandatory information sharing scheme for motor vehicle service and repair information</w:t>
      </w:r>
      <w:r>
        <w:rPr>
          <w:rFonts w:cstheme="minorHAnsi"/>
          <w:sz w:val="24"/>
          <w:szCs w:val="24"/>
        </w:rPr>
        <w:t xml:space="preserve">, with the </w:t>
      </w:r>
      <w:r w:rsidR="00445976">
        <w:rPr>
          <w:rFonts w:cstheme="minorHAnsi"/>
          <w:sz w:val="24"/>
          <w:szCs w:val="24"/>
        </w:rPr>
        <w:t>knowledge that this body will become self-sustaining.</w:t>
      </w:r>
    </w:p>
    <w:p w14:paraId="111FF966" w14:textId="139E5F0B" w:rsidR="00D058D2" w:rsidRPr="00445976" w:rsidRDefault="00445976" w:rsidP="00941B0D">
      <w:pPr>
        <w:spacing w:line="240" w:lineRule="auto"/>
        <w:rPr>
          <w:rFonts w:cstheme="minorHAnsi"/>
          <w:b/>
          <w:sz w:val="24"/>
          <w:szCs w:val="24"/>
        </w:rPr>
      </w:pPr>
      <w:r w:rsidRPr="00445976">
        <w:rPr>
          <w:rFonts w:cstheme="minorHAnsi"/>
          <w:b/>
          <w:sz w:val="24"/>
          <w:szCs w:val="24"/>
        </w:rPr>
        <w:t>Recommendation</w:t>
      </w:r>
      <w:r w:rsidR="004F502C">
        <w:rPr>
          <w:rFonts w:cstheme="minorHAnsi"/>
          <w:b/>
          <w:sz w:val="24"/>
          <w:szCs w:val="24"/>
        </w:rPr>
        <w:t xml:space="preserve"> 1</w:t>
      </w:r>
      <w:r w:rsidRPr="00445976">
        <w:rPr>
          <w:rFonts w:cstheme="minorHAnsi"/>
          <w:b/>
          <w:sz w:val="24"/>
          <w:szCs w:val="24"/>
        </w:rPr>
        <w:t>:</w:t>
      </w:r>
    </w:p>
    <w:p w14:paraId="0638F014" w14:textId="3A4ACBDA" w:rsidR="00D058D2" w:rsidRPr="004F502C" w:rsidRDefault="00445976" w:rsidP="004F502C">
      <w:pPr>
        <w:pStyle w:val="ListParagraph"/>
        <w:numPr>
          <w:ilvl w:val="0"/>
          <w:numId w:val="44"/>
        </w:numPr>
        <w:spacing w:line="240" w:lineRule="auto"/>
        <w:rPr>
          <w:rFonts w:cstheme="minorHAnsi"/>
          <w:i/>
          <w:sz w:val="24"/>
          <w:szCs w:val="24"/>
        </w:rPr>
      </w:pPr>
      <w:bookmarkStart w:id="8" w:name="_Hlk26536179"/>
      <w:r w:rsidRPr="004F502C">
        <w:rPr>
          <w:rFonts w:cstheme="minorHAnsi"/>
          <w:i/>
          <w:sz w:val="24"/>
          <w:szCs w:val="24"/>
        </w:rPr>
        <w:t>That the government allocate seed funding of $250,000 in the 2020-21 Federal Budget for the establishment of an industry body to administer the mandatory information sharing scheme for motor vehicle service and repair information.</w:t>
      </w:r>
      <w:bookmarkEnd w:id="8"/>
    </w:p>
    <w:p w14:paraId="42F084E2" w14:textId="4454F7B9" w:rsidR="00D058D2" w:rsidRDefault="00D058D2" w:rsidP="00941B0D">
      <w:pPr>
        <w:spacing w:line="240" w:lineRule="auto"/>
        <w:rPr>
          <w:rFonts w:cstheme="minorHAnsi"/>
          <w:sz w:val="24"/>
          <w:szCs w:val="24"/>
        </w:rPr>
      </w:pPr>
    </w:p>
    <w:p w14:paraId="1A9781E9" w14:textId="77777777" w:rsidR="004F502C" w:rsidRPr="008410F3" w:rsidRDefault="004F502C" w:rsidP="004F502C">
      <w:pPr>
        <w:rPr>
          <w:rFonts w:cstheme="minorHAnsi"/>
          <w:b/>
          <w:sz w:val="24"/>
          <w:szCs w:val="24"/>
        </w:rPr>
      </w:pPr>
    </w:p>
    <w:p w14:paraId="415F9186" w14:textId="130B5DB3" w:rsidR="004F502C" w:rsidRPr="008410F3" w:rsidRDefault="004F502C" w:rsidP="004F502C">
      <w:pPr>
        <w:pStyle w:val="Heading1"/>
        <w:shd w:val="clear" w:color="auto" w:fill="4472C4"/>
        <w:rPr>
          <w:rFonts w:asciiTheme="minorHAnsi" w:hAnsiTheme="minorHAnsi" w:cstheme="minorHAnsi"/>
          <w:sz w:val="24"/>
          <w:szCs w:val="24"/>
        </w:rPr>
      </w:pPr>
      <w:bookmarkStart w:id="9" w:name="_Toc27403118"/>
      <w:r>
        <w:rPr>
          <w:rFonts w:asciiTheme="minorHAnsi" w:hAnsiTheme="minorHAnsi" w:cstheme="minorHAnsi"/>
          <w:sz w:val="24"/>
          <w:szCs w:val="24"/>
        </w:rPr>
        <w:t>2</w:t>
      </w:r>
      <w:r w:rsidRPr="008410F3">
        <w:rPr>
          <w:rFonts w:asciiTheme="minorHAnsi" w:hAnsiTheme="minorHAnsi" w:cstheme="minorHAnsi"/>
          <w:sz w:val="24"/>
          <w:szCs w:val="24"/>
        </w:rPr>
        <w:t>. End-of-LIFE VEHICLE PROGRAM</w:t>
      </w:r>
      <w:bookmarkEnd w:id="9"/>
    </w:p>
    <w:p w14:paraId="0A5E9F45" w14:textId="77777777" w:rsidR="004F502C" w:rsidRPr="008410F3" w:rsidRDefault="004F502C" w:rsidP="004F502C">
      <w:pPr>
        <w:spacing w:line="240" w:lineRule="auto"/>
        <w:rPr>
          <w:rFonts w:cstheme="minorHAnsi"/>
          <w:sz w:val="24"/>
          <w:szCs w:val="24"/>
        </w:rPr>
      </w:pPr>
    </w:p>
    <w:p w14:paraId="6B10C885" w14:textId="77777777" w:rsidR="004F502C" w:rsidRPr="008410F3" w:rsidRDefault="004F502C" w:rsidP="004F502C">
      <w:pPr>
        <w:rPr>
          <w:rFonts w:cstheme="minorHAnsi"/>
          <w:sz w:val="24"/>
          <w:szCs w:val="24"/>
        </w:rPr>
      </w:pPr>
      <w:r w:rsidRPr="008410F3">
        <w:rPr>
          <w:rFonts w:cstheme="minorHAnsi"/>
          <w:sz w:val="24"/>
          <w:szCs w:val="24"/>
        </w:rPr>
        <w:t>Australia does not have a national policy dealing with end-of-life vehicles (ELVs). Such a policy vacuum leaves the auto recycling sector vulnerable to rogue traders and environmental breaches.</w:t>
      </w:r>
    </w:p>
    <w:p w14:paraId="7DE987D4" w14:textId="77777777" w:rsidR="004F502C" w:rsidRPr="008410F3" w:rsidRDefault="004F502C" w:rsidP="004F502C">
      <w:pPr>
        <w:rPr>
          <w:rFonts w:cstheme="minorHAnsi"/>
          <w:sz w:val="24"/>
          <w:szCs w:val="24"/>
        </w:rPr>
      </w:pPr>
      <w:r w:rsidRPr="008410F3">
        <w:rPr>
          <w:rFonts w:cstheme="minorHAnsi"/>
          <w:sz w:val="24"/>
          <w:szCs w:val="24"/>
        </w:rPr>
        <w:lastRenderedPageBreak/>
        <w:t xml:space="preserve">The emergence of illegal </w:t>
      </w:r>
      <w:r>
        <w:rPr>
          <w:rFonts w:cstheme="minorHAnsi"/>
          <w:sz w:val="24"/>
          <w:szCs w:val="24"/>
        </w:rPr>
        <w:t xml:space="preserve">vehicle </w:t>
      </w:r>
      <w:r w:rsidRPr="008410F3">
        <w:rPr>
          <w:rFonts w:cstheme="minorHAnsi"/>
          <w:sz w:val="24"/>
          <w:szCs w:val="24"/>
        </w:rPr>
        <w:t>wreckers who operate outside the regulatory guidelines is a serious problem across all jurisdictions and has the capacity to make lawful vehicle recycling operations unviable. The effects of such practices include tax evasion, and non-compliance with environmental protection and occupational health and safety laws. It is constantly reported that illegal operators provide components to the black market, supporting underground and often illegal operations.</w:t>
      </w:r>
      <w:r>
        <w:rPr>
          <w:rFonts w:cstheme="minorHAnsi"/>
          <w:sz w:val="24"/>
          <w:szCs w:val="24"/>
        </w:rPr>
        <w:t xml:space="preserve"> Illegal vehicle recycling is funding an Australian black market that has links to international illegal traders and other illegal business activities.</w:t>
      </w:r>
    </w:p>
    <w:p w14:paraId="030CD76A" w14:textId="77777777" w:rsidR="004F502C" w:rsidRPr="008410F3" w:rsidRDefault="004F502C" w:rsidP="004F502C">
      <w:pPr>
        <w:rPr>
          <w:rFonts w:cstheme="minorHAnsi"/>
          <w:sz w:val="24"/>
          <w:szCs w:val="24"/>
        </w:rPr>
      </w:pPr>
      <w:r w:rsidRPr="008410F3">
        <w:rPr>
          <w:rFonts w:cstheme="minorHAnsi"/>
          <w:sz w:val="24"/>
          <w:szCs w:val="24"/>
        </w:rPr>
        <w:t>Landfill is also a serious concern for this sector. The variation in quality, quantity and consistency of plastics, along with the extent to which plastic is distributed throughout the vehicle, make it difficult to determine what is worth recycling. The recycling process is costly, and plastic is in direct competition with other more valuable materials such as steel and aluminium. As a result, most of the plastic recovered from vehicles (over 200,000 tonnes per annum), is sent to landfill.</w:t>
      </w:r>
    </w:p>
    <w:p w14:paraId="1EB0B9AD" w14:textId="77777777" w:rsidR="004F502C" w:rsidRPr="008410F3" w:rsidRDefault="004F502C" w:rsidP="004F502C">
      <w:pPr>
        <w:rPr>
          <w:rFonts w:cstheme="minorHAnsi"/>
          <w:sz w:val="24"/>
          <w:szCs w:val="24"/>
        </w:rPr>
      </w:pPr>
      <w:r w:rsidRPr="008410F3">
        <w:rPr>
          <w:rFonts w:cstheme="minorHAnsi"/>
          <w:sz w:val="24"/>
          <w:szCs w:val="24"/>
        </w:rPr>
        <w:t>Countries including Germany, South Korea, Japan, the United Kingdom and Norway have implemented regulated ELV policies. They acknowledge that a sound ELV strategy is essential to good environmental and economic management and contributes to meeting environmental obligations under international law.</w:t>
      </w:r>
    </w:p>
    <w:p w14:paraId="7CCFF637" w14:textId="77777777" w:rsidR="004F502C" w:rsidRPr="008410F3" w:rsidRDefault="004F502C" w:rsidP="004F502C">
      <w:pPr>
        <w:rPr>
          <w:rFonts w:cstheme="minorHAnsi"/>
          <w:sz w:val="24"/>
          <w:szCs w:val="24"/>
        </w:rPr>
      </w:pPr>
      <w:r w:rsidRPr="008410F3">
        <w:rPr>
          <w:rFonts w:cstheme="minorHAnsi"/>
          <w:sz w:val="24"/>
          <w:szCs w:val="24"/>
        </w:rPr>
        <w:t>Recognising the environmental and economic concerns associated with the disposal of ELVs, VACC recommends that Federal Government allocate funding in the 2020-21 Federal Budget towards the development of a national ELV program.</w:t>
      </w:r>
    </w:p>
    <w:p w14:paraId="5125A10D" w14:textId="14C90D70" w:rsidR="004F502C" w:rsidRPr="008410F3" w:rsidRDefault="004F502C" w:rsidP="004F502C">
      <w:pPr>
        <w:rPr>
          <w:rFonts w:cstheme="minorHAnsi"/>
          <w:b/>
          <w:sz w:val="24"/>
          <w:szCs w:val="24"/>
        </w:rPr>
      </w:pPr>
      <w:r w:rsidRPr="008410F3">
        <w:rPr>
          <w:rFonts w:cstheme="minorHAnsi"/>
          <w:b/>
          <w:sz w:val="24"/>
          <w:szCs w:val="24"/>
        </w:rPr>
        <w:t>Recommendation</w:t>
      </w:r>
      <w:r>
        <w:rPr>
          <w:rFonts w:cstheme="minorHAnsi"/>
          <w:b/>
          <w:sz w:val="24"/>
          <w:szCs w:val="24"/>
        </w:rPr>
        <w:t xml:space="preserve"> 2</w:t>
      </w:r>
      <w:r w:rsidRPr="008410F3">
        <w:rPr>
          <w:rFonts w:cstheme="minorHAnsi"/>
          <w:b/>
          <w:sz w:val="24"/>
          <w:szCs w:val="24"/>
        </w:rPr>
        <w:t>:</w:t>
      </w:r>
    </w:p>
    <w:p w14:paraId="2BA06057" w14:textId="77777777" w:rsidR="004F502C" w:rsidRPr="008410F3" w:rsidRDefault="004F502C" w:rsidP="004F502C">
      <w:pPr>
        <w:pStyle w:val="ListParagraph"/>
        <w:numPr>
          <w:ilvl w:val="0"/>
          <w:numId w:val="41"/>
        </w:numPr>
        <w:rPr>
          <w:rFonts w:cstheme="minorHAnsi"/>
          <w:i/>
          <w:sz w:val="24"/>
          <w:szCs w:val="24"/>
        </w:rPr>
      </w:pPr>
      <w:r w:rsidRPr="008410F3">
        <w:rPr>
          <w:rFonts w:cstheme="minorHAnsi"/>
          <w:i/>
          <w:sz w:val="24"/>
          <w:szCs w:val="24"/>
        </w:rPr>
        <w:t>That funding is allocated within the 2020-21 Federal Budget towards the development of a national program aimed at the proper disposal of end-of-life vehicles.</w:t>
      </w:r>
    </w:p>
    <w:p w14:paraId="0AB059BD" w14:textId="24EABB0B" w:rsidR="00445976" w:rsidRDefault="00445976" w:rsidP="00941B0D">
      <w:pPr>
        <w:spacing w:line="240" w:lineRule="auto"/>
        <w:rPr>
          <w:rFonts w:cstheme="minorHAnsi"/>
          <w:sz w:val="24"/>
          <w:szCs w:val="24"/>
        </w:rPr>
      </w:pPr>
    </w:p>
    <w:p w14:paraId="13D1DCD1" w14:textId="21960D86" w:rsidR="00BB2DF5" w:rsidRPr="008410F3" w:rsidRDefault="004F502C" w:rsidP="00BB2DF5">
      <w:pPr>
        <w:pStyle w:val="Heading1"/>
        <w:shd w:val="clear" w:color="auto" w:fill="4472C4"/>
        <w:rPr>
          <w:rFonts w:asciiTheme="minorHAnsi" w:hAnsiTheme="minorHAnsi" w:cstheme="minorHAnsi"/>
          <w:sz w:val="24"/>
          <w:szCs w:val="24"/>
        </w:rPr>
      </w:pPr>
      <w:bookmarkStart w:id="10" w:name="_Toc27403119"/>
      <w:r>
        <w:rPr>
          <w:rFonts w:asciiTheme="minorHAnsi" w:hAnsiTheme="minorHAnsi" w:cstheme="minorHAnsi"/>
          <w:sz w:val="24"/>
          <w:szCs w:val="24"/>
        </w:rPr>
        <w:t>3</w:t>
      </w:r>
      <w:r w:rsidR="00BB2DF5" w:rsidRPr="008410F3">
        <w:rPr>
          <w:rFonts w:asciiTheme="minorHAnsi" w:hAnsiTheme="minorHAnsi" w:cstheme="minorHAnsi"/>
          <w:sz w:val="24"/>
          <w:szCs w:val="24"/>
        </w:rPr>
        <w:t xml:space="preserve">. </w:t>
      </w:r>
      <w:r w:rsidR="00063FF0" w:rsidRPr="008410F3">
        <w:rPr>
          <w:rFonts w:asciiTheme="minorHAnsi" w:hAnsiTheme="minorHAnsi" w:cstheme="minorHAnsi"/>
          <w:sz w:val="24"/>
          <w:szCs w:val="24"/>
        </w:rPr>
        <w:t xml:space="preserve">VOCATIONAL </w:t>
      </w:r>
      <w:r w:rsidR="00C37764" w:rsidRPr="008410F3">
        <w:rPr>
          <w:rFonts w:asciiTheme="minorHAnsi" w:hAnsiTheme="minorHAnsi" w:cstheme="minorHAnsi"/>
          <w:sz w:val="24"/>
          <w:szCs w:val="24"/>
        </w:rPr>
        <w:t>Education and training</w:t>
      </w:r>
      <w:bookmarkEnd w:id="10"/>
    </w:p>
    <w:p w14:paraId="7510FC57" w14:textId="529890CA" w:rsidR="00BB2DF5" w:rsidRPr="008410F3" w:rsidRDefault="00BB2DF5" w:rsidP="00BB2DF5">
      <w:pPr>
        <w:spacing w:line="240" w:lineRule="auto"/>
        <w:rPr>
          <w:rFonts w:cstheme="minorHAnsi"/>
          <w:sz w:val="24"/>
          <w:szCs w:val="24"/>
        </w:rPr>
      </w:pPr>
    </w:p>
    <w:p w14:paraId="41F77D9C" w14:textId="25BE6160" w:rsidR="00573DE1" w:rsidRPr="008410F3" w:rsidRDefault="00902CC8" w:rsidP="00573DE1">
      <w:pPr>
        <w:pStyle w:val="Heading2"/>
        <w:rPr>
          <w:rFonts w:asciiTheme="minorHAnsi" w:hAnsiTheme="minorHAnsi" w:cstheme="minorHAnsi"/>
          <w:sz w:val="24"/>
          <w:szCs w:val="24"/>
        </w:rPr>
      </w:pPr>
      <w:bookmarkStart w:id="11" w:name="_Toc27403120"/>
      <w:r w:rsidRPr="008410F3">
        <w:rPr>
          <w:rFonts w:asciiTheme="minorHAnsi" w:hAnsiTheme="minorHAnsi" w:cstheme="minorHAnsi"/>
          <w:sz w:val="24"/>
          <w:szCs w:val="24"/>
        </w:rPr>
        <w:t xml:space="preserve">Genuine </w:t>
      </w:r>
      <w:r w:rsidR="00573DE1" w:rsidRPr="008410F3">
        <w:rPr>
          <w:rFonts w:asciiTheme="minorHAnsi" w:hAnsiTheme="minorHAnsi" w:cstheme="minorHAnsi"/>
          <w:sz w:val="24"/>
          <w:szCs w:val="24"/>
        </w:rPr>
        <w:t>Industry</w:t>
      </w:r>
      <w:r w:rsidR="003E3A07" w:rsidRPr="008410F3">
        <w:rPr>
          <w:rFonts w:asciiTheme="minorHAnsi" w:hAnsiTheme="minorHAnsi" w:cstheme="minorHAnsi"/>
          <w:sz w:val="24"/>
          <w:szCs w:val="24"/>
        </w:rPr>
        <w:t>-</w:t>
      </w:r>
      <w:r w:rsidRPr="008410F3">
        <w:rPr>
          <w:rFonts w:asciiTheme="minorHAnsi" w:hAnsiTheme="minorHAnsi" w:cstheme="minorHAnsi"/>
          <w:sz w:val="24"/>
          <w:szCs w:val="24"/>
        </w:rPr>
        <w:t>l</w:t>
      </w:r>
      <w:r w:rsidR="00573DE1" w:rsidRPr="008410F3">
        <w:rPr>
          <w:rFonts w:asciiTheme="minorHAnsi" w:hAnsiTheme="minorHAnsi" w:cstheme="minorHAnsi"/>
          <w:sz w:val="24"/>
          <w:szCs w:val="24"/>
        </w:rPr>
        <w:t xml:space="preserve">ed </w:t>
      </w:r>
      <w:r w:rsidRPr="008410F3">
        <w:rPr>
          <w:rFonts w:asciiTheme="minorHAnsi" w:hAnsiTheme="minorHAnsi" w:cstheme="minorHAnsi"/>
          <w:sz w:val="24"/>
          <w:szCs w:val="24"/>
        </w:rPr>
        <w:t>T</w:t>
      </w:r>
      <w:r w:rsidR="00573DE1" w:rsidRPr="008410F3">
        <w:rPr>
          <w:rFonts w:asciiTheme="minorHAnsi" w:hAnsiTheme="minorHAnsi" w:cstheme="minorHAnsi"/>
          <w:sz w:val="24"/>
          <w:szCs w:val="24"/>
        </w:rPr>
        <w:t>raining</w:t>
      </w:r>
      <w:bookmarkEnd w:id="11"/>
    </w:p>
    <w:p w14:paraId="0AC2BE6F" w14:textId="6C2298E2" w:rsidR="00BD72E7" w:rsidRPr="008410F3" w:rsidRDefault="00BD72E7" w:rsidP="0055116E">
      <w:pPr>
        <w:rPr>
          <w:rFonts w:cstheme="minorHAnsi"/>
          <w:sz w:val="24"/>
          <w:szCs w:val="24"/>
        </w:rPr>
      </w:pPr>
      <w:r w:rsidRPr="008410F3">
        <w:rPr>
          <w:rFonts w:cstheme="minorHAnsi"/>
          <w:sz w:val="24"/>
          <w:szCs w:val="24"/>
        </w:rPr>
        <w:t xml:space="preserve">The automotive industry is one of the largest employers of apprentices and trainees in Australia, with almost 30,000 apprentices and trainees commencing annually in </w:t>
      </w:r>
      <w:r w:rsidR="0041040E" w:rsidRPr="008410F3">
        <w:rPr>
          <w:rFonts w:cstheme="minorHAnsi"/>
          <w:sz w:val="24"/>
          <w:szCs w:val="24"/>
        </w:rPr>
        <w:t xml:space="preserve">vocational </w:t>
      </w:r>
      <w:r w:rsidRPr="008410F3">
        <w:rPr>
          <w:rFonts w:cstheme="minorHAnsi"/>
          <w:sz w:val="24"/>
          <w:szCs w:val="24"/>
        </w:rPr>
        <w:t xml:space="preserve">automotive </w:t>
      </w:r>
      <w:r w:rsidR="0041040E" w:rsidRPr="008410F3">
        <w:rPr>
          <w:rFonts w:cstheme="minorHAnsi"/>
          <w:sz w:val="24"/>
          <w:szCs w:val="24"/>
        </w:rPr>
        <w:t>training.</w:t>
      </w:r>
    </w:p>
    <w:p w14:paraId="5DDB114F" w14:textId="185A9D51" w:rsidR="008B7A8C" w:rsidRPr="008410F3" w:rsidRDefault="003E340E" w:rsidP="0055116E">
      <w:pPr>
        <w:rPr>
          <w:rFonts w:cstheme="minorHAnsi"/>
          <w:sz w:val="24"/>
          <w:szCs w:val="24"/>
        </w:rPr>
      </w:pPr>
      <w:r w:rsidRPr="008410F3">
        <w:rPr>
          <w:rFonts w:cstheme="minorHAnsi"/>
          <w:sz w:val="24"/>
          <w:szCs w:val="24"/>
        </w:rPr>
        <w:t xml:space="preserve">Industry feedback </w:t>
      </w:r>
      <w:r w:rsidR="0055116E" w:rsidRPr="008410F3">
        <w:rPr>
          <w:rFonts w:cstheme="minorHAnsi"/>
          <w:sz w:val="24"/>
          <w:szCs w:val="24"/>
        </w:rPr>
        <w:t xml:space="preserve">received by VACC </w:t>
      </w:r>
      <w:r w:rsidR="00C81862" w:rsidRPr="008410F3">
        <w:rPr>
          <w:rFonts w:cstheme="minorHAnsi"/>
          <w:sz w:val="24"/>
          <w:szCs w:val="24"/>
        </w:rPr>
        <w:t xml:space="preserve">indicates </w:t>
      </w:r>
      <w:r w:rsidR="008B7A8C" w:rsidRPr="008410F3">
        <w:rPr>
          <w:rFonts w:cstheme="minorHAnsi"/>
          <w:sz w:val="24"/>
          <w:szCs w:val="24"/>
        </w:rPr>
        <w:t xml:space="preserve">that </w:t>
      </w:r>
      <w:r w:rsidR="0055116E" w:rsidRPr="008410F3">
        <w:rPr>
          <w:rFonts w:cstheme="minorHAnsi"/>
          <w:sz w:val="24"/>
          <w:szCs w:val="24"/>
        </w:rPr>
        <w:t>current programs of industry engagement are very limited</w:t>
      </w:r>
      <w:r w:rsidR="008B7A8C" w:rsidRPr="008410F3">
        <w:rPr>
          <w:rFonts w:cstheme="minorHAnsi"/>
          <w:sz w:val="24"/>
          <w:szCs w:val="24"/>
        </w:rPr>
        <w:t>,</w:t>
      </w:r>
      <w:r w:rsidR="0055116E" w:rsidRPr="008410F3">
        <w:rPr>
          <w:rFonts w:cstheme="minorHAnsi"/>
          <w:sz w:val="24"/>
          <w:szCs w:val="24"/>
        </w:rPr>
        <w:t xml:space="preserve"> </w:t>
      </w:r>
      <w:r w:rsidR="008B7A8C" w:rsidRPr="008410F3">
        <w:rPr>
          <w:rFonts w:cstheme="minorHAnsi"/>
          <w:sz w:val="24"/>
          <w:szCs w:val="24"/>
        </w:rPr>
        <w:t xml:space="preserve">with </w:t>
      </w:r>
      <w:r w:rsidR="0055116E" w:rsidRPr="008410F3">
        <w:rPr>
          <w:rFonts w:cstheme="minorHAnsi"/>
          <w:sz w:val="24"/>
          <w:szCs w:val="24"/>
        </w:rPr>
        <w:t>little industry consultation</w:t>
      </w:r>
      <w:r w:rsidR="0058016D" w:rsidRPr="008410F3">
        <w:rPr>
          <w:rFonts w:cstheme="minorHAnsi"/>
          <w:sz w:val="24"/>
          <w:szCs w:val="24"/>
        </w:rPr>
        <w:t xml:space="preserve"> </w:t>
      </w:r>
      <w:r w:rsidR="00C81862" w:rsidRPr="008410F3">
        <w:rPr>
          <w:rFonts w:cstheme="minorHAnsi"/>
          <w:sz w:val="24"/>
          <w:szCs w:val="24"/>
        </w:rPr>
        <w:t>occurring towards qualification and skills design</w:t>
      </w:r>
      <w:r w:rsidR="0055116E" w:rsidRPr="008410F3">
        <w:rPr>
          <w:rFonts w:cstheme="minorHAnsi"/>
          <w:sz w:val="24"/>
          <w:szCs w:val="24"/>
        </w:rPr>
        <w:t xml:space="preserve">. </w:t>
      </w:r>
      <w:r w:rsidR="008B7A8C" w:rsidRPr="008410F3">
        <w:rPr>
          <w:rFonts w:cstheme="minorHAnsi"/>
          <w:sz w:val="24"/>
          <w:szCs w:val="24"/>
        </w:rPr>
        <w:t xml:space="preserve">This has resulted in qualification design and skill selections that are unrepresentative of the </w:t>
      </w:r>
      <w:r w:rsidR="00BC5750" w:rsidRPr="008410F3">
        <w:rPr>
          <w:rFonts w:cstheme="minorHAnsi"/>
          <w:sz w:val="24"/>
          <w:szCs w:val="24"/>
        </w:rPr>
        <w:t xml:space="preserve">actual </w:t>
      </w:r>
      <w:r w:rsidR="008B7A8C" w:rsidRPr="008410F3">
        <w:rPr>
          <w:rFonts w:cstheme="minorHAnsi"/>
          <w:sz w:val="24"/>
          <w:szCs w:val="24"/>
        </w:rPr>
        <w:t xml:space="preserve">needs industry, thus depriving </w:t>
      </w:r>
      <w:r w:rsidR="008B7A8C" w:rsidRPr="008410F3">
        <w:rPr>
          <w:rFonts w:cstheme="minorHAnsi"/>
          <w:sz w:val="24"/>
          <w:szCs w:val="24"/>
        </w:rPr>
        <w:lastRenderedPageBreak/>
        <w:t xml:space="preserve">students of the real skills that are </w:t>
      </w:r>
      <w:r w:rsidR="00BC5750" w:rsidRPr="008410F3">
        <w:rPr>
          <w:rFonts w:cstheme="minorHAnsi"/>
          <w:sz w:val="24"/>
          <w:szCs w:val="24"/>
        </w:rPr>
        <w:t xml:space="preserve">required </w:t>
      </w:r>
      <w:r w:rsidR="008B7A8C" w:rsidRPr="008410F3">
        <w:rPr>
          <w:rFonts w:cstheme="minorHAnsi"/>
          <w:sz w:val="24"/>
          <w:szCs w:val="24"/>
        </w:rPr>
        <w:t>in the workplace. There is also a perceived lack of transparency in decision making</w:t>
      </w:r>
      <w:r w:rsidR="00BC5750" w:rsidRPr="008410F3">
        <w:rPr>
          <w:rFonts w:cstheme="minorHAnsi"/>
          <w:sz w:val="24"/>
          <w:szCs w:val="24"/>
        </w:rPr>
        <w:t xml:space="preserve"> </w:t>
      </w:r>
      <w:r w:rsidR="008B7A8C" w:rsidRPr="008410F3">
        <w:rPr>
          <w:rFonts w:cstheme="minorHAnsi"/>
          <w:sz w:val="24"/>
          <w:szCs w:val="24"/>
        </w:rPr>
        <w:t xml:space="preserve">relating to the design and skills content of training packages and qualifications. </w:t>
      </w:r>
    </w:p>
    <w:p w14:paraId="1D773765" w14:textId="16E68965" w:rsidR="00A777A6" w:rsidRPr="008410F3" w:rsidRDefault="00A777A6" w:rsidP="0055116E">
      <w:pPr>
        <w:rPr>
          <w:rFonts w:cstheme="minorHAnsi"/>
          <w:sz w:val="24"/>
          <w:szCs w:val="24"/>
        </w:rPr>
      </w:pPr>
      <w:r w:rsidRPr="008410F3">
        <w:rPr>
          <w:rFonts w:cstheme="minorHAnsi"/>
          <w:sz w:val="24"/>
          <w:szCs w:val="24"/>
        </w:rPr>
        <w:t xml:space="preserve">The industry is calling for a skills framework that genuinely places industry at the centre of the national vocational education and training (VET) system. This should include a skills advisory council with the commensurate knowledge, affinity and understanding of the industry needed to inform the development of VET </w:t>
      </w:r>
      <w:r w:rsidR="000942A5">
        <w:rPr>
          <w:rFonts w:cstheme="minorHAnsi"/>
          <w:sz w:val="24"/>
          <w:szCs w:val="24"/>
        </w:rPr>
        <w:t xml:space="preserve">qualifications and </w:t>
      </w:r>
      <w:r w:rsidRPr="008410F3">
        <w:rPr>
          <w:rFonts w:cstheme="minorHAnsi"/>
          <w:sz w:val="24"/>
          <w:szCs w:val="24"/>
        </w:rPr>
        <w:t xml:space="preserve">programs. This </w:t>
      </w:r>
      <w:r w:rsidR="008B7A8C" w:rsidRPr="008410F3">
        <w:rPr>
          <w:rFonts w:cstheme="minorHAnsi"/>
          <w:sz w:val="24"/>
          <w:szCs w:val="24"/>
        </w:rPr>
        <w:t xml:space="preserve">function </w:t>
      </w:r>
      <w:r w:rsidRPr="008410F3">
        <w:rPr>
          <w:rFonts w:cstheme="minorHAnsi"/>
          <w:sz w:val="24"/>
          <w:szCs w:val="24"/>
        </w:rPr>
        <w:t xml:space="preserve">has been outsourced to consulting firms who have </w:t>
      </w:r>
      <w:r w:rsidR="00BC5750" w:rsidRPr="008410F3">
        <w:rPr>
          <w:rFonts w:cstheme="minorHAnsi"/>
          <w:sz w:val="24"/>
          <w:szCs w:val="24"/>
        </w:rPr>
        <w:t xml:space="preserve">only </w:t>
      </w:r>
      <w:r w:rsidRPr="008410F3">
        <w:rPr>
          <w:rFonts w:cstheme="minorHAnsi"/>
          <w:sz w:val="24"/>
          <w:szCs w:val="24"/>
        </w:rPr>
        <w:t xml:space="preserve">a superficial understanding of the automotive industry, which subsequently affects the efficacy and quality of the training offered. </w:t>
      </w:r>
    </w:p>
    <w:p w14:paraId="4A1F3754" w14:textId="02C3EDED" w:rsidR="00BC5750" w:rsidRPr="008410F3" w:rsidRDefault="008B7A8C" w:rsidP="0055116E">
      <w:pPr>
        <w:rPr>
          <w:rFonts w:cstheme="minorHAnsi"/>
          <w:sz w:val="24"/>
          <w:szCs w:val="24"/>
        </w:rPr>
      </w:pPr>
      <w:r w:rsidRPr="008410F3">
        <w:rPr>
          <w:rFonts w:cstheme="minorHAnsi"/>
          <w:sz w:val="24"/>
          <w:szCs w:val="24"/>
        </w:rPr>
        <w:t>T</w:t>
      </w:r>
      <w:r w:rsidR="0055116E" w:rsidRPr="008410F3">
        <w:rPr>
          <w:rFonts w:cstheme="minorHAnsi"/>
          <w:sz w:val="24"/>
          <w:szCs w:val="24"/>
        </w:rPr>
        <w:t xml:space="preserve">he creation of the Australian Industry Skills Committee (AISC) and Industry Reference Committees (IRCs) has not delivered the desired quality of industry engagement or input towards the design and content of VET training packages. </w:t>
      </w:r>
      <w:r w:rsidR="00AD045E" w:rsidRPr="008410F3">
        <w:rPr>
          <w:rFonts w:cstheme="minorHAnsi"/>
          <w:sz w:val="24"/>
          <w:szCs w:val="24"/>
        </w:rPr>
        <w:t>T</w:t>
      </w:r>
      <w:r w:rsidR="0055116E" w:rsidRPr="008410F3">
        <w:rPr>
          <w:rFonts w:cstheme="minorHAnsi"/>
          <w:sz w:val="24"/>
          <w:szCs w:val="24"/>
        </w:rPr>
        <w:t xml:space="preserve">he composition of many IRCs is quite narrow and the overall performance of the of AISC as an industry governance body for VET has been disappointing. </w:t>
      </w:r>
    </w:p>
    <w:p w14:paraId="144EA1F8" w14:textId="31E36105" w:rsidR="0055116E" w:rsidRPr="008410F3" w:rsidRDefault="00BC5750" w:rsidP="0055116E">
      <w:pPr>
        <w:rPr>
          <w:rFonts w:cstheme="minorHAnsi"/>
          <w:sz w:val="24"/>
          <w:szCs w:val="24"/>
        </w:rPr>
      </w:pPr>
      <w:r w:rsidRPr="008410F3">
        <w:rPr>
          <w:rFonts w:cstheme="minorHAnsi"/>
          <w:sz w:val="24"/>
          <w:szCs w:val="24"/>
        </w:rPr>
        <w:t xml:space="preserve">VACC also believes that </w:t>
      </w:r>
      <w:r w:rsidR="0055116E" w:rsidRPr="008410F3">
        <w:rPr>
          <w:rFonts w:cstheme="minorHAnsi"/>
          <w:sz w:val="24"/>
          <w:szCs w:val="24"/>
        </w:rPr>
        <w:t xml:space="preserve">the AISC </w:t>
      </w:r>
      <w:r w:rsidRPr="008410F3">
        <w:rPr>
          <w:rFonts w:cstheme="minorHAnsi"/>
          <w:sz w:val="24"/>
          <w:szCs w:val="24"/>
        </w:rPr>
        <w:t xml:space="preserve">has </w:t>
      </w:r>
      <w:r w:rsidR="0055116E" w:rsidRPr="008410F3">
        <w:rPr>
          <w:rFonts w:cstheme="minorHAnsi"/>
          <w:sz w:val="24"/>
          <w:szCs w:val="24"/>
        </w:rPr>
        <w:t xml:space="preserve">failed in its strategic leadership role as an advisory body to COAG </w:t>
      </w:r>
      <w:proofErr w:type="gramStart"/>
      <w:r w:rsidR="0055116E" w:rsidRPr="008410F3">
        <w:rPr>
          <w:rFonts w:cstheme="minorHAnsi"/>
          <w:sz w:val="24"/>
          <w:szCs w:val="24"/>
        </w:rPr>
        <w:t>in regard to</w:t>
      </w:r>
      <w:proofErr w:type="gramEnd"/>
      <w:r w:rsidR="0055116E" w:rsidRPr="008410F3">
        <w:rPr>
          <w:rFonts w:cstheme="minorHAnsi"/>
          <w:sz w:val="24"/>
          <w:szCs w:val="24"/>
        </w:rPr>
        <w:t xml:space="preserve"> the operation of the VET system.</w:t>
      </w:r>
    </w:p>
    <w:p w14:paraId="28CD4FA6" w14:textId="49B02C59" w:rsidR="0055116E" w:rsidRPr="008410F3" w:rsidRDefault="0055116E" w:rsidP="0055116E">
      <w:pPr>
        <w:rPr>
          <w:rFonts w:cstheme="minorHAnsi"/>
          <w:sz w:val="24"/>
          <w:szCs w:val="24"/>
        </w:rPr>
      </w:pPr>
      <w:r w:rsidRPr="008410F3">
        <w:rPr>
          <w:rFonts w:cstheme="minorHAnsi"/>
          <w:sz w:val="24"/>
          <w:szCs w:val="24"/>
        </w:rPr>
        <w:t>VACC therefore recommends:</w:t>
      </w:r>
    </w:p>
    <w:p w14:paraId="1E2CF952" w14:textId="5206B770" w:rsidR="0055116E" w:rsidRPr="008410F3" w:rsidRDefault="0055116E" w:rsidP="0055116E">
      <w:pPr>
        <w:rPr>
          <w:rFonts w:cstheme="minorHAnsi"/>
          <w:b/>
          <w:sz w:val="24"/>
          <w:szCs w:val="24"/>
        </w:rPr>
      </w:pPr>
      <w:r w:rsidRPr="008410F3">
        <w:rPr>
          <w:rFonts w:cstheme="minorHAnsi"/>
          <w:b/>
          <w:sz w:val="24"/>
          <w:szCs w:val="24"/>
        </w:rPr>
        <w:t>Recommendation</w:t>
      </w:r>
      <w:r w:rsidR="004F502C">
        <w:rPr>
          <w:rFonts w:cstheme="minorHAnsi"/>
          <w:b/>
          <w:sz w:val="24"/>
          <w:szCs w:val="24"/>
        </w:rPr>
        <w:t xml:space="preserve"> 3</w:t>
      </w:r>
      <w:r w:rsidRPr="008410F3">
        <w:rPr>
          <w:rFonts w:cstheme="minorHAnsi"/>
          <w:b/>
          <w:sz w:val="24"/>
          <w:szCs w:val="24"/>
        </w:rPr>
        <w:t>:</w:t>
      </w:r>
    </w:p>
    <w:p w14:paraId="3E657A82" w14:textId="224D58CF" w:rsidR="0055116E" w:rsidRPr="008410F3" w:rsidRDefault="0055116E" w:rsidP="0055116E">
      <w:pPr>
        <w:pStyle w:val="ListParagraph"/>
        <w:numPr>
          <w:ilvl w:val="0"/>
          <w:numId w:val="39"/>
        </w:numPr>
        <w:rPr>
          <w:rFonts w:cstheme="minorHAnsi"/>
          <w:i/>
          <w:sz w:val="24"/>
          <w:szCs w:val="24"/>
        </w:rPr>
      </w:pPr>
      <w:bookmarkStart w:id="12" w:name="_Hlk26276934"/>
      <w:r w:rsidRPr="008410F3">
        <w:rPr>
          <w:rFonts w:cstheme="minorHAnsi"/>
          <w:i/>
          <w:sz w:val="24"/>
          <w:szCs w:val="24"/>
        </w:rPr>
        <w:t>That current models of industry engagement in VET as determined by Australian Industry Skills Committee (AISC) and Industry Reference Committees (IRCs) be re-evaluated with a view to strengthening the level of industry engagement towards the design and skills content of VET qualifications</w:t>
      </w:r>
    </w:p>
    <w:bookmarkEnd w:id="12"/>
    <w:p w14:paraId="43A18F90" w14:textId="297340C4" w:rsidR="004F502C" w:rsidRPr="004F502C" w:rsidRDefault="004F502C" w:rsidP="004F502C">
      <w:pPr>
        <w:rPr>
          <w:rFonts w:cstheme="minorHAnsi"/>
          <w:b/>
          <w:sz w:val="24"/>
          <w:szCs w:val="24"/>
        </w:rPr>
      </w:pPr>
      <w:r w:rsidRPr="004F502C">
        <w:rPr>
          <w:rFonts w:cstheme="minorHAnsi"/>
          <w:b/>
          <w:sz w:val="24"/>
          <w:szCs w:val="24"/>
        </w:rPr>
        <w:t>Recommendation 4:</w:t>
      </w:r>
    </w:p>
    <w:p w14:paraId="1A5CCA7E" w14:textId="13AB320A" w:rsidR="0055116E" w:rsidRPr="008410F3" w:rsidRDefault="0055116E" w:rsidP="0055116E">
      <w:pPr>
        <w:pStyle w:val="ListParagraph"/>
        <w:numPr>
          <w:ilvl w:val="0"/>
          <w:numId w:val="39"/>
        </w:numPr>
        <w:rPr>
          <w:rFonts w:cstheme="minorHAnsi"/>
          <w:i/>
          <w:sz w:val="24"/>
          <w:szCs w:val="24"/>
        </w:rPr>
      </w:pPr>
      <w:r w:rsidRPr="008410F3">
        <w:rPr>
          <w:rFonts w:cstheme="minorHAnsi"/>
          <w:i/>
          <w:sz w:val="24"/>
          <w:szCs w:val="24"/>
        </w:rPr>
        <w:t>A strengthening of industry governance and strategic leadership arrangements within the VET sector, including a review of the role of the AISC within this process.</w:t>
      </w:r>
    </w:p>
    <w:p w14:paraId="3903BDB0" w14:textId="13AA5FF1" w:rsidR="00A777A6" w:rsidRPr="008410F3" w:rsidRDefault="00A777A6" w:rsidP="009D1839">
      <w:pPr>
        <w:pStyle w:val="Heading2"/>
        <w:rPr>
          <w:rFonts w:asciiTheme="minorHAnsi" w:hAnsiTheme="minorHAnsi" w:cstheme="minorHAnsi"/>
          <w:sz w:val="24"/>
          <w:szCs w:val="24"/>
        </w:rPr>
      </w:pPr>
    </w:p>
    <w:p w14:paraId="1A5F1CF6" w14:textId="50C5380A" w:rsidR="00561238" w:rsidRPr="008410F3" w:rsidRDefault="00063FF0" w:rsidP="009D1839">
      <w:pPr>
        <w:pStyle w:val="Heading2"/>
        <w:rPr>
          <w:rFonts w:asciiTheme="minorHAnsi" w:hAnsiTheme="minorHAnsi" w:cstheme="minorHAnsi"/>
          <w:sz w:val="24"/>
          <w:szCs w:val="24"/>
        </w:rPr>
      </w:pPr>
      <w:bookmarkStart w:id="13" w:name="_Toc27403121"/>
      <w:r w:rsidRPr="008410F3">
        <w:rPr>
          <w:rFonts w:asciiTheme="minorHAnsi" w:hAnsiTheme="minorHAnsi" w:cstheme="minorHAnsi"/>
          <w:sz w:val="24"/>
          <w:szCs w:val="24"/>
        </w:rPr>
        <w:t xml:space="preserve">Apprentice </w:t>
      </w:r>
      <w:r w:rsidR="00561238" w:rsidRPr="008410F3">
        <w:rPr>
          <w:rFonts w:asciiTheme="minorHAnsi" w:hAnsiTheme="minorHAnsi" w:cstheme="minorHAnsi"/>
          <w:sz w:val="24"/>
          <w:szCs w:val="24"/>
        </w:rPr>
        <w:t>Mentoring</w:t>
      </w:r>
      <w:bookmarkEnd w:id="13"/>
    </w:p>
    <w:p w14:paraId="62A791BD" w14:textId="1ED566FA" w:rsidR="00F36F13" w:rsidRPr="008410F3" w:rsidRDefault="00310F23" w:rsidP="00941B0D">
      <w:pPr>
        <w:spacing w:line="240" w:lineRule="auto"/>
        <w:rPr>
          <w:rFonts w:cstheme="minorHAnsi"/>
          <w:sz w:val="24"/>
          <w:szCs w:val="24"/>
        </w:rPr>
      </w:pPr>
      <w:r w:rsidRPr="008410F3">
        <w:rPr>
          <w:rFonts w:cstheme="minorHAnsi"/>
          <w:sz w:val="24"/>
          <w:szCs w:val="24"/>
        </w:rPr>
        <w:t xml:space="preserve">The </w:t>
      </w:r>
      <w:r w:rsidR="00F36F13" w:rsidRPr="008410F3">
        <w:rPr>
          <w:rFonts w:cstheme="minorHAnsi"/>
          <w:i/>
          <w:sz w:val="24"/>
          <w:szCs w:val="24"/>
        </w:rPr>
        <w:t>Industry Specialist Mentoring for Australian Apprentices</w:t>
      </w:r>
      <w:r w:rsidR="00F36F13" w:rsidRPr="008410F3">
        <w:rPr>
          <w:rFonts w:cstheme="minorHAnsi"/>
          <w:sz w:val="24"/>
          <w:szCs w:val="24"/>
        </w:rPr>
        <w:t xml:space="preserve"> (ISMAA) program </w:t>
      </w:r>
      <w:r w:rsidRPr="008410F3">
        <w:rPr>
          <w:rFonts w:cstheme="minorHAnsi"/>
          <w:sz w:val="24"/>
          <w:szCs w:val="24"/>
        </w:rPr>
        <w:t xml:space="preserve">commissioned by the Government </w:t>
      </w:r>
      <w:r w:rsidR="00F36F13" w:rsidRPr="008410F3">
        <w:rPr>
          <w:rFonts w:cstheme="minorHAnsi"/>
          <w:sz w:val="24"/>
          <w:szCs w:val="24"/>
        </w:rPr>
        <w:t xml:space="preserve">in the 2017-18 Federal Budget, </w:t>
      </w:r>
      <w:r w:rsidRPr="008410F3">
        <w:rPr>
          <w:rFonts w:cstheme="minorHAnsi"/>
          <w:sz w:val="24"/>
          <w:szCs w:val="24"/>
        </w:rPr>
        <w:t>is due to expire on 31 December 2019.</w:t>
      </w:r>
    </w:p>
    <w:p w14:paraId="7BB2EB6F" w14:textId="37B1DFD4" w:rsidR="000942A5" w:rsidRDefault="00310F23" w:rsidP="00941B0D">
      <w:pPr>
        <w:spacing w:line="240" w:lineRule="auto"/>
        <w:rPr>
          <w:rFonts w:cstheme="minorHAnsi"/>
          <w:sz w:val="24"/>
          <w:szCs w:val="24"/>
        </w:rPr>
      </w:pPr>
      <w:r w:rsidRPr="008410F3">
        <w:rPr>
          <w:rFonts w:cstheme="minorHAnsi"/>
          <w:sz w:val="24"/>
          <w:szCs w:val="24"/>
        </w:rPr>
        <w:t xml:space="preserve">The ISMAA program has helped provide intensive support to apprentices and trainees in the first two years of their training in industries that are undergoing structural change, </w:t>
      </w:r>
      <w:r w:rsidR="0041040E" w:rsidRPr="008410F3">
        <w:rPr>
          <w:rFonts w:cstheme="minorHAnsi"/>
          <w:sz w:val="24"/>
          <w:szCs w:val="24"/>
        </w:rPr>
        <w:t xml:space="preserve">such as </w:t>
      </w:r>
      <w:r w:rsidRPr="008410F3">
        <w:rPr>
          <w:rFonts w:cstheme="minorHAnsi"/>
          <w:sz w:val="24"/>
          <w:szCs w:val="24"/>
        </w:rPr>
        <w:t xml:space="preserve">the automotive industry. </w:t>
      </w:r>
      <w:r w:rsidR="000942A5">
        <w:rPr>
          <w:rFonts w:cstheme="minorHAnsi"/>
          <w:sz w:val="24"/>
          <w:szCs w:val="24"/>
        </w:rPr>
        <w:t xml:space="preserve">Compounding structural changes </w:t>
      </w:r>
      <w:r w:rsidR="000942A5">
        <w:rPr>
          <w:rFonts w:cstheme="minorHAnsi"/>
          <w:sz w:val="24"/>
          <w:szCs w:val="24"/>
        </w:rPr>
        <w:lastRenderedPageBreak/>
        <w:t>in the industry are significant and debilitating skills shortages that have persisted for over a decade. Specialist mentoring programs have been shown to lift apprentice retention and satisfaction rates and consequently this important government action is seen as crucial in the Australian VET landscape and particularly for trade apprentices.</w:t>
      </w:r>
    </w:p>
    <w:p w14:paraId="3DE4AAEC" w14:textId="0A2BD272" w:rsidR="000942A5" w:rsidRDefault="000942A5" w:rsidP="00941B0D">
      <w:pPr>
        <w:spacing w:line="240" w:lineRule="auto"/>
        <w:rPr>
          <w:rFonts w:cstheme="minorHAnsi"/>
          <w:sz w:val="24"/>
          <w:szCs w:val="24"/>
        </w:rPr>
      </w:pPr>
      <w:r>
        <w:rPr>
          <w:rFonts w:cstheme="minorHAnsi"/>
          <w:sz w:val="24"/>
          <w:szCs w:val="24"/>
        </w:rPr>
        <w:t xml:space="preserve">VACC has concerns that a continuation of the program would be bundled into apprenticeship support activities, provided through Australian Government established apprenticeship centres. History has shown that where these services are separated from direct industry actions they fail. Previous attempts to deliver similar programs through apprentice centres have provided poor results for </w:t>
      </w:r>
      <w:r w:rsidR="00FC556B">
        <w:rPr>
          <w:rFonts w:cstheme="minorHAnsi"/>
          <w:sz w:val="24"/>
          <w:szCs w:val="24"/>
        </w:rPr>
        <w:t>industry and similarly for trade apprentices.</w:t>
      </w:r>
    </w:p>
    <w:p w14:paraId="689C7656" w14:textId="14725806" w:rsidR="000942A5" w:rsidRDefault="00FC556B" w:rsidP="00941B0D">
      <w:pPr>
        <w:spacing w:line="240" w:lineRule="auto"/>
        <w:rPr>
          <w:rFonts w:cstheme="minorHAnsi"/>
          <w:sz w:val="24"/>
          <w:szCs w:val="24"/>
        </w:rPr>
      </w:pPr>
      <w:r>
        <w:rPr>
          <w:rFonts w:cstheme="minorHAnsi"/>
          <w:sz w:val="24"/>
          <w:szCs w:val="24"/>
        </w:rPr>
        <w:t>VACC strongly advocates for the provision of apprentice mentoring service to be delivered and managed through industry organisations.</w:t>
      </w:r>
    </w:p>
    <w:p w14:paraId="732ED328" w14:textId="7EF98808" w:rsidR="00F36F13" w:rsidRPr="008410F3" w:rsidRDefault="00310F23" w:rsidP="00941B0D">
      <w:pPr>
        <w:spacing w:line="240" w:lineRule="auto"/>
        <w:rPr>
          <w:rFonts w:cstheme="minorHAnsi"/>
          <w:sz w:val="24"/>
          <w:szCs w:val="24"/>
        </w:rPr>
      </w:pPr>
      <w:r w:rsidRPr="008410F3">
        <w:rPr>
          <w:rFonts w:cstheme="minorHAnsi"/>
          <w:sz w:val="24"/>
          <w:szCs w:val="24"/>
        </w:rPr>
        <w:t>VACC research shows that this mentoring support in the early years of training is crucial in helping increase the retention rates of new apprentices in the workplace</w:t>
      </w:r>
      <w:r w:rsidR="009D1839" w:rsidRPr="008410F3">
        <w:rPr>
          <w:rFonts w:cstheme="minorHAnsi"/>
          <w:sz w:val="24"/>
          <w:szCs w:val="24"/>
        </w:rPr>
        <w:t>, and to this extent the ISMAA program has</w:t>
      </w:r>
      <w:r w:rsidR="00CE6515" w:rsidRPr="008410F3">
        <w:rPr>
          <w:rFonts w:cstheme="minorHAnsi"/>
          <w:sz w:val="24"/>
          <w:szCs w:val="24"/>
        </w:rPr>
        <w:t xml:space="preserve"> made a</w:t>
      </w:r>
      <w:r w:rsidR="00C81862" w:rsidRPr="008410F3">
        <w:rPr>
          <w:rFonts w:cstheme="minorHAnsi"/>
          <w:sz w:val="24"/>
          <w:szCs w:val="24"/>
        </w:rPr>
        <w:t xml:space="preserve"> </w:t>
      </w:r>
      <w:r w:rsidR="00CE6515" w:rsidRPr="008410F3">
        <w:rPr>
          <w:rFonts w:cstheme="minorHAnsi"/>
          <w:sz w:val="24"/>
          <w:szCs w:val="24"/>
        </w:rPr>
        <w:t>positive contribution</w:t>
      </w:r>
      <w:r w:rsidR="009D1839" w:rsidRPr="008410F3">
        <w:rPr>
          <w:rFonts w:cstheme="minorHAnsi"/>
          <w:sz w:val="24"/>
          <w:szCs w:val="24"/>
        </w:rPr>
        <w:t>.</w:t>
      </w:r>
    </w:p>
    <w:p w14:paraId="3701D8B9" w14:textId="5D8DF845" w:rsidR="009D1839" w:rsidRPr="008410F3" w:rsidRDefault="009D1839" w:rsidP="00941B0D">
      <w:pPr>
        <w:spacing w:line="240" w:lineRule="auto"/>
        <w:rPr>
          <w:rFonts w:cstheme="minorHAnsi"/>
          <w:sz w:val="24"/>
          <w:szCs w:val="24"/>
        </w:rPr>
      </w:pPr>
      <w:r w:rsidRPr="008410F3">
        <w:rPr>
          <w:rFonts w:cstheme="minorHAnsi"/>
          <w:sz w:val="24"/>
          <w:szCs w:val="24"/>
        </w:rPr>
        <w:t>The program</w:t>
      </w:r>
      <w:r w:rsidR="00FC556B">
        <w:rPr>
          <w:rFonts w:cstheme="minorHAnsi"/>
          <w:sz w:val="24"/>
          <w:szCs w:val="24"/>
        </w:rPr>
        <w:t>, when industry led,</w:t>
      </w:r>
      <w:r w:rsidRPr="008410F3">
        <w:rPr>
          <w:rFonts w:cstheme="minorHAnsi"/>
          <w:sz w:val="24"/>
          <w:szCs w:val="24"/>
        </w:rPr>
        <w:t xml:space="preserve"> also effectively complements other Australian Government support for apprentices, trainees and their employers through the Australian Apprenticeships Incentives program, Trade Support Loans and the Australian Apprenticeship Support Network.</w:t>
      </w:r>
    </w:p>
    <w:p w14:paraId="0B04CF5B" w14:textId="77777777" w:rsidR="009D1839" w:rsidRPr="008410F3" w:rsidRDefault="009D1839" w:rsidP="00941B0D">
      <w:pPr>
        <w:spacing w:line="240" w:lineRule="auto"/>
        <w:rPr>
          <w:rFonts w:cstheme="minorHAnsi"/>
          <w:sz w:val="24"/>
          <w:szCs w:val="24"/>
        </w:rPr>
      </w:pPr>
      <w:r w:rsidRPr="008410F3">
        <w:rPr>
          <w:rFonts w:cstheme="minorHAnsi"/>
          <w:sz w:val="24"/>
          <w:szCs w:val="24"/>
        </w:rPr>
        <w:t xml:space="preserve">VACC therefore recommends </w:t>
      </w:r>
      <w:bookmarkStart w:id="14" w:name="_Hlk24622057"/>
      <w:r w:rsidRPr="008410F3">
        <w:rPr>
          <w:rFonts w:cstheme="minorHAnsi"/>
          <w:sz w:val="24"/>
          <w:szCs w:val="24"/>
        </w:rPr>
        <w:t>that funding be allocated within the 2020-21 Federal Budget for the continuation of the ISMAA program for a further two years</w:t>
      </w:r>
      <w:bookmarkEnd w:id="14"/>
      <w:r w:rsidRPr="008410F3">
        <w:rPr>
          <w:rFonts w:cstheme="minorHAnsi"/>
          <w:sz w:val="24"/>
          <w:szCs w:val="24"/>
        </w:rPr>
        <w:t>.</w:t>
      </w:r>
    </w:p>
    <w:p w14:paraId="309D35EC" w14:textId="7C920166" w:rsidR="009D1839" w:rsidRPr="008410F3" w:rsidRDefault="009D1839" w:rsidP="00941B0D">
      <w:pPr>
        <w:spacing w:line="240" w:lineRule="auto"/>
        <w:rPr>
          <w:rFonts w:cstheme="minorHAnsi"/>
          <w:b/>
          <w:sz w:val="24"/>
          <w:szCs w:val="24"/>
        </w:rPr>
      </w:pPr>
      <w:r w:rsidRPr="008410F3">
        <w:rPr>
          <w:rFonts w:cstheme="minorHAnsi"/>
          <w:b/>
          <w:sz w:val="24"/>
          <w:szCs w:val="24"/>
        </w:rPr>
        <w:t>Recommendation</w:t>
      </w:r>
      <w:r w:rsidR="004F502C">
        <w:rPr>
          <w:rFonts w:cstheme="minorHAnsi"/>
          <w:b/>
          <w:sz w:val="24"/>
          <w:szCs w:val="24"/>
        </w:rPr>
        <w:t xml:space="preserve"> 5</w:t>
      </w:r>
      <w:r w:rsidRPr="008410F3">
        <w:rPr>
          <w:rFonts w:cstheme="minorHAnsi"/>
          <w:b/>
          <w:sz w:val="24"/>
          <w:szCs w:val="24"/>
        </w:rPr>
        <w:t>:</w:t>
      </w:r>
    </w:p>
    <w:p w14:paraId="073C26D2" w14:textId="4CAB3FC0" w:rsidR="00310F23" w:rsidRPr="008410F3" w:rsidRDefault="009D1839" w:rsidP="009D1839">
      <w:pPr>
        <w:pStyle w:val="ListParagraph"/>
        <w:numPr>
          <w:ilvl w:val="0"/>
          <w:numId w:val="38"/>
        </w:numPr>
        <w:spacing w:line="240" w:lineRule="auto"/>
        <w:rPr>
          <w:rFonts w:cstheme="minorHAnsi"/>
          <w:i/>
          <w:sz w:val="24"/>
          <w:szCs w:val="24"/>
        </w:rPr>
      </w:pPr>
      <w:bookmarkStart w:id="15" w:name="_Hlk26277054"/>
      <w:r w:rsidRPr="008410F3">
        <w:rPr>
          <w:rFonts w:cstheme="minorHAnsi"/>
          <w:i/>
          <w:sz w:val="24"/>
          <w:szCs w:val="24"/>
        </w:rPr>
        <w:t>That funding be allocated within the 2020-21 Federal Budget for the continuation of the ISMAA program for a further two years</w:t>
      </w:r>
      <w:r w:rsidR="00200DF3">
        <w:rPr>
          <w:rFonts w:cstheme="minorHAnsi"/>
          <w:i/>
          <w:sz w:val="24"/>
          <w:szCs w:val="24"/>
        </w:rPr>
        <w:t>.</w:t>
      </w:r>
    </w:p>
    <w:p w14:paraId="682A1D8E" w14:textId="2A7A5C2A" w:rsidR="00063FF0" w:rsidRPr="008410F3" w:rsidRDefault="008120F7" w:rsidP="00EB6F7E">
      <w:pPr>
        <w:pStyle w:val="Heading2"/>
        <w:rPr>
          <w:rFonts w:asciiTheme="minorHAnsi" w:hAnsiTheme="minorHAnsi" w:cstheme="minorHAnsi"/>
          <w:sz w:val="24"/>
          <w:szCs w:val="24"/>
        </w:rPr>
      </w:pPr>
      <w:bookmarkStart w:id="16" w:name="_Toc27403122"/>
      <w:bookmarkEnd w:id="15"/>
      <w:r w:rsidRPr="008410F3">
        <w:rPr>
          <w:rFonts w:asciiTheme="minorHAnsi" w:hAnsiTheme="minorHAnsi" w:cstheme="minorHAnsi"/>
          <w:sz w:val="24"/>
          <w:szCs w:val="24"/>
        </w:rPr>
        <w:t>Training</w:t>
      </w:r>
      <w:r w:rsidR="0070255E" w:rsidRPr="008410F3">
        <w:rPr>
          <w:rFonts w:asciiTheme="minorHAnsi" w:hAnsiTheme="minorHAnsi" w:cstheme="minorHAnsi"/>
          <w:sz w:val="24"/>
          <w:szCs w:val="24"/>
        </w:rPr>
        <w:t xml:space="preserve"> </w:t>
      </w:r>
      <w:r w:rsidR="001915D4" w:rsidRPr="008410F3">
        <w:rPr>
          <w:rFonts w:asciiTheme="minorHAnsi" w:hAnsiTheme="minorHAnsi" w:cstheme="minorHAnsi"/>
          <w:sz w:val="24"/>
          <w:szCs w:val="24"/>
        </w:rPr>
        <w:t>Currency</w:t>
      </w:r>
      <w:bookmarkEnd w:id="16"/>
    </w:p>
    <w:p w14:paraId="7B651841" w14:textId="3EB9666E" w:rsidR="00B6670C" w:rsidRPr="008410F3" w:rsidRDefault="00047171" w:rsidP="00941B0D">
      <w:pPr>
        <w:spacing w:line="240" w:lineRule="auto"/>
        <w:rPr>
          <w:rFonts w:cstheme="minorHAnsi"/>
          <w:sz w:val="24"/>
          <w:szCs w:val="24"/>
        </w:rPr>
      </w:pPr>
      <w:r w:rsidRPr="008410F3">
        <w:rPr>
          <w:rFonts w:cstheme="minorHAnsi"/>
          <w:sz w:val="24"/>
          <w:szCs w:val="24"/>
        </w:rPr>
        <w:t xml:space="preserve">Industry feedback received by VACC indicates that vocational training providers are </w:t>
      </w:r>
      <w:r w:rsidR="004C42B3" w:rsidRPr="008410F3">
        <w:rPr>
          <w:rFonts w:cstheme="minorHAnsi"/>
          <w:sz w:val="24"/>
          <w:szCs w:val="24"/>
        </w:rPr>
        <w:t xml:space="preserve">ill-equipped </w:t>
      </w:r>
      <w:r w:rsidR="00622748" w:rsidRPr="008410F3">
        <w:rPr>
          <w:rFonts w:cstheme="minorHAnsi"/>
          <w:sz w:val="24"/>
          <w:szCs w:val="24"/>
        </w:rPr>
        <w:t xml:space="preserve">at </w:t>
      </w:r>
      <w:r w:rsidRPr="008410F3">
        <w:rPr>
          <w:rFonts w:cstheme="minorHAnsi"/>
          <w:sz w:val="24"/>
          <w:szCs w:val="24"/>
        </w:rPr>
        <w:t>providing automotive training that is of a standard acceptable to industry</w:t>
      </w:r>
      <w:r w:rsidR="00622748" w:rsidRPr="008410F3">
        <w:rPr>
          <w:rFonts w:cstheme="minorHAnsi"/>
          <w:sz w:val="24"/>
          <w:szCs w:val="24"/>
        </w:rPr>
        <w:t xml:space="preserve"> and in-line with Australia’s modern vehicle fleet.</w:t>
      </w:r>
    </w:p>
    <w:p w14:paraId="6DC85078" w14:textId="6DAE1732" w:rsidR="00622748" w:rsidRPr="008410F3" w:rsidRDefault="00622748" w:rsidP="00941B0D">
      <w:pPr>
        <w:spacing w:line="240" w:lineRule="auto"/>
        <w:rPr>
          <w:rFonts w:cstheme="minorHAnsi"/>
          <w:sz w:val="24"/>
          <w:szCs w:val="24"/>
        </w:rPr>
      </w:pPr>
      <w:r w:rsidRPr="008410F3">
        <w:rPr>
          <w:rFonts w:cstheme="minorHAnsi"/>
          <w:sz w:val="24"/>
          <w:szCs w:val="24"/>
        </w:rPr>
        <w:t xml:space="preserve">An increase in funding is required so that TAFEs can purchase up-to-date vehicles and componentry that is equivalent to what an apprentice experiences in the workplace. Delivering training that incorporates the latest in automotive technology enables the apprentice to acquire the relevant skills and knowledge to meet </w:t>
      </w:r>
      <w:r w:rsidR="008213A8" w:rsidRPr="008410F3">
        <w:rPr>
          <w:rFonts w:cstheme="minorHAnsi"/>
          <w:sz w:val="24"/>
          <w:szCs w:val="24"/>
        </w:rPr>
        <w:t xml:space="preserve">the </w:t>
      </w:r>
      <w:r w:rsidR="00CE6515" w:rsidRPr="008410F3">
        <w:rPr>
          <w:rFonts w:cstheme="minorHAnsi"/>
          <w:sz w:val="24"/>
          <w:szCs w:val="24"/>
        </w:rPr>
        <w:t xml:space="preserve">immediate </w:t>
      </w:r>
      <w:r w:rsidR="00F31459" w:rsidRPr="008410F3">
        <w:rPr>
          <w:rFonts w:cstheme="minorHAnsi"/>
          <w:sz w:val="24"/>
          <w:szCs w:val="24"/>
        </w:rPr>
        <w:t xml:space="preserve">and future </w:t>
      </w:r>
      <w:r w:rsidR="008213A8" w:rsidRPr="008410F3">
        <w:rPr>
          <w:rFonts w:cstheme="minorHAnsi"/>
          <w:sz w:val="24"/>
          <w:szCs w:val="24"/>
        </w:rPr>
        <w:t>needs of employers</w:t>
      </w:r>
      <w:r w:rsidR="004B23E0" w:rsidRPr="008410F3">
        <w:rPr>
          <w:rFonts w:cstheme="minorHAnsi"/>
          <w:sz w:val="24"/>
          <w:szCs w:val="24"/>
        </w:rPr>
        <w:t>.</w:t>
      </w:r>
    </w:p>
    <w:p w14:paraId="3D13DD93" w14:textId="57E7F796" w:rsidR="004B23E0" w:rsidRPr="008410F3" w:rsidRDefault="004B23E0" w:rsidP="00941B0D">
      <w:pPr>
        <w:spacing w:line="240" w:lineRule="auto"/>
        <w:rPr>
          <w:rFonts w:cstheme="minorHAnsi"/>
          <w:sz w:val="24"/>
          <w:szCs w:val="24"/>
        </w:rPr>
      </w:pPr>
      <w:r w:rsidRPr="008410F3">
        <w:rPr>
          <w:rFonts w:cstheme="minorHAnsi"/>
          <w:sz w:val="24"/>
          <w:szCs w:val="24"/>
        </w:rPr>
        <w:t xml:space="preserve">Commensurate with </w:t>
      </w:r>
      <w:r w:rsidR="00DA03D2" w:rsidRPr="008410F3">
        <w:rPr>
          <w:rFonts w:cstheme="minorHAnsi"/>
          <w:sz w:val="24"/>
          <w:szCs w:val="24"/>
        </w:rPr>
        <w:t xml:space="preserve">this </w:t>
      </w:r>
      <w:r w:rsidR="00F31459" w:rsidRPr="008410F3">
        <w:rPr>
          <w:rFonts w:cstheme="minorHAnsi"/>
          <w:sz w:val="24"/>
          <w:szCs w:val="24"/>
        </w:rPr>
        <w:t xml:space="preserve">funding </w:t>
      </w:r>
      <w:r w:rsidR="00DA03D2" w:rsidRPr="008410F3">
        <w:rPr>
          <w:rFonts w:cstheme="minorHAnsi"/>
          <w:sz w:val="24"/>
          <w:szCs w:val="24"/>
        </w:rPr>
        <w:t>injection f</w:t>
      </w:r>
      <w:r w:rsidR="00F31459" w:rsidRPr="008410F3">
        <w:rPr>
          <w:rFonts w:cstheme="minorHAnsi"/>
          <w:sz w:val="24"/>
          <w:szCs w:val="24"/>
        </w:rPr>
        <w:t>or</w:t>
      </w:r>
      <w:r w:rsidR="00DA03D2" w:rsidRPr="008410F3">
        <w:rPr>
          <w:rFonts w:cstheme="minorHAnsi"/>
          <w:sz w:val="24"/>
          <w:szCs w:val="24"/>
        </w:rPr>
        <w:t xml:space="preserve"> new capital equipment is </w:t>
      </w:r>
      <w:r w:rsidR="00F31459" w:rsidRPr="008410F3">
        <w:rPr>
          <w:rFonts w:cstheme="minorHAnsi"/>
          <w:sz w:val="24"/>
          <w:szCs w:val="24"/>
        </w:rPr>
        <w:t>the</w:t>
      </w:r>
      <w:r w:rsidR="00DA03D2" w:rsidRPr="008410F3">
        <w:rPr>
          <w:rFonts w:cstheme="minorHAnsi"/>
          <w:sz w:val="24"/>
          <w:szCs w:val="24"/>
        </w:rPr>
        <w:t xml:space="preserve"> </w:t>
      </w:r>
      <w:r w:rsidR="00F31459" w:rsidRPr="008410F3">
        <w:rPr>
          <w:rFonts w:cstheme="minorHAnsi"/>
          <w:sz w:val="24"/>
          <w:szCs w:val="24"/>
        </w:rPr>
        <w:t>require</w:t>
      </w:r>
      <w:r w:rsidR="0075622C" w:rsidRPr="008410F3">
        <w:rPr>
          <w:rFonts w:cstheme="minorHAnsi"/>
          <w:sz w:val="24"/>
          <w:szCs w:val="24"/>
        </w:rPr>
        <w:t xml:space="preserve">ment </w:t>
      </w:r>
      <w:r w:rsidR="00DA03D2" w:rsidRPr="008410F3">
        <w:rPr>
          <w:rFonts w:cstheme="minorHAnsi"/>
          <w:sz w:val="24"/>
          <w:szCs w:val="24"/>
        </w:rPr>
        <w:t>to adjust the vocational student hourly rate</w:t>
      </w:r>
      <w:r w:rsidRPr="008410F3">
        <w:rPr>
          <w:rFonts w:cstheme="minorHAnsi"/>
          <w:sz w:val="24"/>
          <w:szCs w:val="24"/>
        </w:rPr>
        <w:t xml:space="preserve"> </w:t>
      </w:r>
      <w:r w:rsidR="00DA03D2" w:rsidRPr="008410F3">
        <w:rPr>
          <w:rFonts w:cstheme="minorHAnsi"/>
          <w:sz w:val="24"/>
          <w:szCs w:val="24"/>
        </w:rPr>
        <w:t xml:space="preserve">from its current low level. VACC recommends that a 35 per cent increase in the student hourly rate or $3.00 per hour is </w:t>
      </w:r>
      <w:r w:rsidR="008213A8" w:rsidRPr="008410F3">
        <w:rPr>
          <w:rFonts w:cstheme="minorHAnsi"/>
          <w:sz w:val="24"/>
          <w:szCs w:val="24"/>
        </w:rPr>
        <w:t xml:space="preserve">necessary to help meet these objectives. </w:t>
      </w:r>
      <w:r w:rsidR="00FC556B">
        <w:rPr>
          <w:rFonts w:cstheme="minorHAnsi"/>
          <w:sz w:val="24"/>
          <w:szCs w:val="24"/>
        </w:rPr>
        <w:t xml:space="preserve">VACC maintains that poor funding for the Australian VET system is a key limitation to the delivery of quality vocational training. A recent VACC VET study tour to the UK identified that </w:t>
      </w:r>
      <w:r w:rsidR="00FC556B">
        <w:rPr>
          <w:rFonts w:cstheme="minorHAnsi"/>
          <w:sz w:val="24"/>
          <w:szCs w:val="24"/>
        </w:rPr>
        <w:lastRenderedPageBreak/>
        <w:t xml:space="preserve">automotive </w:t>
      </w:r>
      <w:r w:rsidR="00F45B2F">
        <w:rPr>
          <w:rFonts w:cstheme="minorHAnsi"/>
          <w:sz w:val="24"/>
          <w:szCs w:val="24"/>
        </w:rPr>
        <w:t>trade apprenticeship training is at least double the funding level of that in Australia. Australia’s funding for apprenticeship training has fallen</w:t>
      </w:r>
      <w:r w:rsidR="008D2327">
        <w:rPr>
          <w:rFonts w:cstheme="minorHAnsi"/>
          <w:sz w:val="24"/>
          <w:szCs w:val="24"/>
        </w:rPr>
        <w:t xml:space="preserve"> in real terms for over a decade, and serious adjustment in this is needed.</w:t>
      </w:r>
    </w:p>
    <w:p w14:paraId="5BB0B292" w14:textId="40A46977" w:rsidR="004C42B3" w:rsidRPr="008410F3" w:rsidRDefault="008213A8" w:rsidP="00941B0D">
      <w:pPr>
        <w:spacing w:line="240" w:lineRule="auto"/>
        <w:rPr>
          <w:rFonts w:cstheme="minorHAnsi"/>
          <w:b/>
          <w:sz w:val="24"/>
          <w:szCs w:val="24"/>
        </w:rPr>
      </w:pPr>
      <w:r w:rsidRPr="008410F3">
        <w:rPr>
          <w:rFonts w:cstheme="minorHAnsi"/>
          <w:b/>
          <w:sz w:val="24"/>
          <w:szCs w:val="24"/>
        </w:rPr>
        <w:t>Recommendation</w:t>
      </w:r>
      <w:r w:rsidR="004F502C">
        <w:rPr>
          <w:rFonts w:cstheme="minorHAnsi"/>
          <w:b/>
          <w:sz w:val="24"/>
          <w:szCs w:val="24"/>
        </w:rPr>
        <w:t xml:space="preserve"> 6</w:t>
      </w:r>
      <w:r w:rsidRPr="008410F3">
        <w:rPr>
          <w:rFonts w:cstheme="minorHAnsi"/>
          <w:b/>
          <w:sz w:val="24"/>
          <w:szCs w:val="24"/>
        </w:rPr>
        <w:t>:</w:t>
      </w:r>
    </w:p>
    <w:p w14:paraId="501E9931" w14:textId="7912177F" w:rsidR="008213A8" w:rsidRPr="008410F3" w:rsidRDefault="008213A8" w:rsidP="008213A8">
      <w:pPr>
        <w:pStyle w:val="ListParagraph"/>
        <w:numPr>
          <w:ilvl w:val="0"/>
          <w:numId w:val="38"/>
        </w:numPr>
        <w:spacing w:line="240" w:lineRule="auto"/>
        <w:rPr>
          <w:rFonts w:cstheme="minorHAnsi"/>
          <w:i/>
          <w:sz w:val="24"/>
          <w:szCs w:val="24"/>
        </w:rPr>
      </w:pPr>
      <w:bookmarkStart w:id="17" w:name="_Hlk26277135"/>
      <w:r w:rsidRPr="008410F3">
        <w:rPr>
          <w:rFonts w:cstheme="minorHAnsi"/>
          <w:i/>
          <w:sz w:val="24"/>
          <w:szCs w:val="24"/>
        </w:rPr>
        <w:t>That funding is allocated within the next Federal Budget for Registered Training Providers to purchase up-to-date vehicles and componentry for automotive apprentice training</w:t>
      </w:r>
      <w:r w:rsidR="008D2327">
        <w:rPr>
          <w:rFonts w:cstheme="minorHAnsi"/>
          <w:i/>
          <w:sz w:val="24"/>
          <w:szCs w:val="24"/>
        </w:rPr>
        <w:t>.</w:t>
      </w:r>
    </w:p>
    <w:bookmarkEnd w:id="17"/>
    <w:p w14:paraId="3E7D83F9" w14:textId="5526810F" w:rsidR="004F502C" w:rsidRPr="004F502C" w:rsidRDefault="004F502C" w:rsidP="004F502C">
      <w:pPr>
        <w:spacing w:line="240" w:lineRule="auto"/>
        <w:rPr>
          <w:rFonts w:cstheme="minorHAnsi"/>
          <w:b/>
          <w:sz w:val="24"/>
          <w:szCs w:val="24"/>
        </w:rPr>
      </w:pPr>
      <w:r w:rsidRPr="004F502C">
        <w:rPr>
          <w:rFonts w:cstheme="minorHAnsi"/>
          <w:b/>
          <w:sz w:val="24"/>
          <w:szCs w:val="24"/>
        </w:rPr>
        <w:t>Recommendation 7:</w:t>
      </w:r>
    </w:p>
    <w:p w14:paraId="527B41E9" w14:textId="461C5374" w:rsidR="008213A8" w:rsidRPr="008410F3" w:rsidRDefault="008213A8" w:rsidP="008213A8">
      <w:pPr>
        <w:pStyle w:val="ListParagraph"/>
        <w:numPr>
          <w:ilvl w:val="0"/>
          <w:numId w:val="38"/>
        </w:numPr>
        <w:spacing w:line="240" w:lineRule="auto"/>
        <w:rPr>
          <w:rFonts w:cstheme="minorHAnsi"/>
          <w:i/>
          <w:sz w:val="24"/>
          <w:szCs w:val="24"/>
        </w:rPr>
      </w:pPr>
      <w:r w:rsidRPr="008410F3">
        <w:rPr>
          <w:rFonts w:cstheme="minorHAnsi"/>
          <w:i/>
          <w:sz w:val="24"/>
          <w:szCs w:val="24"/>
        </w:rPr>
        <w:t xml:space="preserve">That the vocational student hourly rate for automotive training be </w:t>
      </w:r>
      <w:r w:rsidR="00A504C5" w:rsidRPr="008410F3">
        <w:rPr>
          <w:rFonts w:cstheme="minorHAnsi"/>
          <w:i/>
          <w:sz w:val="24"/>
          <w:szCs w:val="24"/>
        </w:rPr>
        <w:t>increased by 35 per cent or $3.00 per hour</w:t>
      </w:r>
      <w:r w:rsidR="008D2327">
        <w:rPr>
          <w:rFonts w:cstheme="minorHAnsi"/>
          <w:i/>
          <w:sz w:val="24"/>
          <w:szCs w:val="24"/>
        </w:rPr>
        <w:t>.</w:t>
      </w:r>
    </w:p>
    <w:p w14:paraId="27807EFB" w14:textId="4CBC375E" w:rsidR="00A504C5" w:rsidRPr="008410F3" w:rsidRDefault="00CE6515" w:rsidP="00CE6515">
      <w:pPr>
        <w:pStyle w:val="Heading2"/>
        <w:rPr>
          <w:rFonts w:asciiTheme="minorHAnsi" w:hAnsiTheme="minorHAnsi" w:cstheme="minorHAnsi"/>
          <w:sz w:val="24"/>
          <w:szCs w:val="24"/>
        </w:rPr>
      </w:pPr>
      <w:bookmarkStart w:id="18" w:name="_Hlk24536048"/>
      <w:bookmarkStart w:id="19" w:name="_Toc27403123"/>
      <w:r w:rsidRPr="008410F3">
        <w:rPr>
          <w:rFonts w:asciiTheme="minorHAnsi" w:hAnsiTheme="minorHAnsi" w:cstheme="minorHAnsi"/>
          <w:sz w:val="24"/>
          <w:szCs w:val="24"/>
        </w:rPr>
        <w:t>Support for Group Training Organisations (GTOs)</w:t>
      </w:r>
      <w:bookmarkEnd w:id="19"/>
    </w:p>
    <w:p w14:paraId="7B598705" w14:textId="0E1A092D" w:rsidR="008611DC" w:rsidRPr="008410F3" w:rsidRDefault="00CE6515" w:rsidP="00D474A9">
      <w:pPr>
        <w:spacing w:line="240" w:lineRule="auto"/>
        <w:rPr>
          <w:rFonts w:cstheme="minorHAnsi"/>
          <w:sz w:val="24"/>
          <w:szCs w:val="24"/>
        </w:rPr>
      </w:pPr>
      <w:r w:rsidRPr="008410F3">
        <w:rPr>
          <w:rFonts w:cstheme="minorHAnsi"/>
          <w:sz w:val="24"/>
          <w:szCs w:val="24"/>
        </w:rPr>
        <w:t xml:space="preserve">Group training is a </w:t>
      </w:r>
      <w:r w:rsidR="00A733A0" w:rsidRPr="008410F3">
        <w:rPr>
          <w:rFonts w:cstheme="minorHAnsi"/>
          <w:sz w:val="24"/>
          <w:szCs w:val="24"/>
        </w:rPr>
        <w:t xml:space="preserve">vital </w:t>
      </w:r>
      <w:r w:rsidRPr="008410F3">
        <w:rPr>
          <w:rFonts w:cstheme="minorHAnsi"/>
          <w:sz w:val="24"/>
          <w:szCs w:val="24"/>
        </w:rPr>
        <w:t>component of Australia's skill formation system</w:t>
      </w:r>
      <w:r w:rsidR="008611DC" w:rsidRPr="008410F3">
        <w:rPr>
          <w:rFonts w:cstheme="minorHAnsi"/>
          <w:sz w:val="24"/>
          <w:szCs w:val="24"/>
        </w:rPr>
        <w:t>.</w:t>
      </w:r>
      <w:r w:rsidRPr="008410F3">
        <w:rPr>
          <w:rFonts w:cstheme="minorHAnsi"/>
          <w:sz w:val="24"/>
          <w:szCs w:val="24"/>
        </w:rPr>
        <w:t xml:space="preserve"> GTOs </w:t>
      </w:r>
      <w:r w:rsidR="008611DC" w:rsidRPr="008410F3">
        <w:rPr>
          <w:rFonts w:cstheme="minorHAnsi"/>
          <w:sz w:val="24"/>
          <w:szCs w:val="24"/>
        </w:rPr>
        <w:t xml:space="preserve">improve the quality and range of training available to apprentices and trainees, particularly within small and medium business. </w:t>
      </w:r>
      <w:r w:rsidR="00A733A0" w:rsidRPr="008410F3">
        <w:rPr>
          <w:rFonts w:cstheme="minorHAnsi"/>
          <w:sz w:val="24"/>
          <w:szCs w:val="24"/>
        </w:rPr>
        <w:t xml:space="preserve">GTO’s also generally experience much higher retention rates for apprentices and trainees, with some averaging over 90 per cent apprentice retention. </w:t>
      </w:r>
      <w:r w:rsidR="00323E53" w:rsidRPr="008410F3">
        <w:rPr>
          <w:rFonts w:cstheme="minorHAnsi"/>
          <w:sz w:val="24"/>
          <w:szCs w:val="24"/>
        </w:rPr>
        <w:t xml:space="preserve">This has resulted in more favourable labour market outcomes for </w:t>
      </w:r>
      <w:r w:rsidR="0036062A" w:rsidRPr="008410F3">
        <w:rPr>
          <w:rFonts w:cstheme="minorHAnsi"/>
          <w:sz w:val="24"/>
          <w:szCs w:val="24"/>
        </w:rPr>
        <w:t>apprentices and employers.</w:t>
      </w:r>
    </w:p>
    <w:p w14:paraId="2AD8C780" w14:textId="55B3F2D9" w:rsidR="00323E53" w:rsidRPr="008410F3" w:rsidRDefault="00A733A0" w:rsidP="00D474A9">
      <w:pPr>
        <w:spacing w:line="240" w:lineRule="auto"/>
        <w:rPr>
          <w:rFonts w:cstheme="minorHAnsi"/>
          <w:sz w:val="24"/>
          <w:szCs w:val="24"/>
        </w:rPr>
      </w:pPr>
      <w:r w:rsidRPr="008410F3">
        <w:rPr>
          <w:rFonts w:cstheme="minorHAnsi"/>
          <w:sz w:val="24"/>
          <w:szCs w:val="24"/>
        </w:rPr>
        <w:t xml:space="preserve">VACC believes that </w:t>
      </w:r>
      <w:r w:rsidR="00323E53" w:rsidRPr="008410F3">
        <w:rPr>
          <w:rFonts w:cstheme="minorHAnsi"/>
          <w:sz w:val="24"/>
          <w:szCs w:val="24"/>
        </w:rPr>
        <w:t xml:space="preserve">high </w:t>
      </w:r>
      <w:r w:rsidRPr="008410F3">
        <w:rPr>
          <w:rFonts w:cstheme="minorHAnsi"/>
          <w:sz w:val="24"/>
          <w:szCs w:val="24"/>
        </w:rPr>
        <w:t xml:space="preserve">performing GTOs </w:t>
      </w:r>
      <w:r w:rsidR="00323E53" w:rsidRPr="008410F3">
        <w:rPr>
          <w:rFonts w:cstheme="minorHAnsi"/>
          <w:sz w:val="24"/>
          <w:szCs w:val="24"/>
        </w:rPr>
        <w:t>need to be recognised and better</w:t>
      </w:r>
      <w:r w:rsidR="0036062A" w:rsidRPr="008410F3">
        <w:rPr>
          <w:rFonts w:cstheme="minorHAnsi"/>
          <w:sz w:val="24"/>
          <w:szCs w:val="24"/>
        </w:rPr>
        <w:t xml:space="preserve"> </w:t>
      </w:r>
      <w:r w:rsidR="00323E53" w:rsidRPr="008410F3">
        <w:rPr>
          <w:rFonts w:cstheme="minorHAnsi"/>
          <w:sz w:val="24"/>
          <w:szCs w:val="24"/>
        </w:rPr>
        <w:t xml:space="preserve">supported in their role in helping young people achieve that initial start in their chosen field. </w:t>
      </w:r>
      <w:r w:rsidR="00C31345" w:rsidRPr="008410F3">
        <w:rPr>
          <w:rFonts w:cstheme="minorHAnsi"/>
          <w:sz w:val="24"/>
          <w:szCs w:val="24"/>
        </w:rPr>
        <w:t>This is particularly important given that t</w:t>
      </w:r>
      <w:r w:rsidR="00323E53" w:rsidRPr="008410F3">
        <w:rPr>
          <w:rFonts w:cstheme="minorHAnsi"/>
          <w:sz w:val="24"/>
          <w:szCs w:val="24"/>
        </w:rPr>
        <w:t xml:space="preserve">he introduction of new labour hire laws </w:t>
      </w:r>
      <w:r w:rsidR="00C31345" w:rsidRPr="008410F3">
        <w:rPr>
          <w:rFonts w:cstheme="minorHAnsi"/>
          <w:sz w:val="24"/>
          <w:szCs w:val="24"/>
        </w:rPr>
        <w:t xml:space="preserve">has </w:t>
      </w:r>
      <w:r w:rsidR="00B714D5" w:rsidRPr="008410F3">
        <w:rPr>
          <w:rFonts w:cstheme="minorHAnsi"/>
          <w:sz w:val="24"/>
          <w:szCs w:val="24"/>
        </w:rPr>
        <w:t xml:space="preserve">now </w:t>
      </w:r>
      <w:r w:rsidR="00C31345" w:rsidRPr="008410F3">
        <w:rPr>
          <w:rFonts w:cstheme="minorHAnsi"/>
          <w:sz w:val="24"/>
          <w:szCs w:val="24"/>
        </w:rPr>
        <w:t>placed an additional regulatory</w:t>
      </w:r>
      <w:r w:rsidR="00323E53" w:rsidRPr="008410F3">
        <w:rPr>
          <w:rFonts w:cstheme="minorHAnsi"/>
          <w:sz w:val="24"/>
          <w:szCs w:val="24"/>
        </w:rPr>
        <w:t xml:space="preserve"> burden on </w:t>
      </w:r>
      <w:r w:rsidR="00C31345" w:rsidRPr="008410F3">
        <w:rPr>
          <w:rFonts w:cstheme="minorHAnsi"/>
          <w:sz w:val="24"/>
          <w:szCs w:val="24"/>
        </w:rPr>
        <w:t>GTOs.</w:t>
      </w:r>
    </w:p>
    <w:p w14:paraId="0B250D76" w14:textId="0170A60C" w:rsidR="00C31345" w:rsidRPr="008410F3" w:rsidRDefault="00C31345" w:rsidP="00D474A9">
      <w:pPr>
        <w:spacing w:line="240" w:lineRule="auto"/>
        <w:rPr>
          <w:rFonts w:cstheme="minorHAnsi"/>
          <w:sz w:val="24"/>
          <w:szCs w:val="24"/>
        </w:rPr>
      </w:pPr>
      <w:r w:rsidRPr="008410F3">
        <w:rPr>
          <w:rFonts w:cstheme="minorHAnsi"/>
          <w:sz w:val="24"/>
          <w:szCs w:val="24"/>
        </w:rPr>
        <w:t xml:space="preserve">VACC therefore recommends that the work of high performing GTOs be recognised and </w:t>
      </w:r>
      <w:r w:rsidR="000300CF" w:rsidRPr="008410F3">
        <w:rPr>
          <w:rFonts w:cstheme="minorHAnsi"/>
          <w:sz w:val="24"/>
          <w:szCs w:val="24"/>
        </w:rPr>
        <w:t xml:space="preserve">further incentivised through a 35 per cent increase in government funding. This funding should only be made available to high performing GTOs that are able to </w:t>
      </w:r>
      <w:r w:rsidR="0036062A" w:rsidRPr="008410F3">
        <w:rPr>
          <w:rFonts w:cstheme="minorHAnsi"/>
          <w:sz w:val="24"/>
          <w:szCs w:val="24"/>
        </w:rPr>
        <w:t xml:space="preserve">demonstrate </w:t>
      </w:r>
      <w:r w:rsidR="000300CF" w:rsidRPr="008410F3">
        <w:rPr>
          <w:rFonts w:cstheme="minorHAnsi"/>
          <w:sz w:val="24"/>
          <w:szCs w:val="24"/>
        </w:rPr>
        <w:t>meet</w:t>
      </w:r>
      <w:r w:rsidR="0036062A" w:rsidRPr="008410F3">
        <w:rPr>
          <w:rFonts w:cstheme="minorHAnsi"/>
          <w:sz w:val="24"/>
          <w:szCs w:val="24"/>
        </w:rPr>
        <w:t>ing</w:t>
      </w:r>
      <w:r w:rsidR="000300CF" w:rsidRPr="008410F3">
        <w:rPr>
          <w:rFonts w:cstheme="minorHAnsi"/>
          <w:sz w:val="24"/>
          <w:szCs w:val="24"/>
        </w:rPr>
        <w:t xml:space="preserve"> specific targets for apprentice and trainee placement and retention. This policy will help encourage and reward best practice in training and skills delivery.</w:t>
      </w:r>
    </w:p>
    <w:p w14:paraId="0D498DFA" w14:textId="2E23DDDF" w:rsidR="000300CF" w:rsidRPr="008410F3" w:rsidRDefault="000300CF" w:rsidP="00D474A9">
      <w:pPr>
        <w:spacing w:line="240" w:lineRule="auto"/>
        <w:rPr>
          <w:rFonts w:cstheme="minorHAnsi"/>
          <w:b/>
          <w:sz w:val="24"/>
          <w:szCs w:val="24"/>
        </w:rPr>
      </w:pPr>
      <w:r w:rsidRPr="008410F3">
        <w:rPr>
          <w:rFonts w:cstheme="minorHAnsi"/>
          <w:b/>
          <w:sz w:val="24"/>
          <w:szCs w:val="24"/>
        </w:rPr>
        <w:t>Recommendation</w:t>
      </w:r>
      <w:r w:rsidR="004F502C">
        <w:rPr>
          <w:rFonts w:cstheme="minorHAnsi"/>
          <w:b/>
          <w:sz w:val="24"/>
          <w:szCs w:val="24"/>
        </w:rPr>
        <w:t xml:space="preserve"> 8</w:t>
      </w:r>
      <w:r w:rsidRPr="008410F3">
        <w:rPr>
          <w:rFonts w:cstheme="minorHAnsi"/>
          <w:b/>
          <w:sz w:val="24"/>
          <w:szCs w:val="24"/>
        </w:rPr>
        <w:t>:</w:t>
      </w:r>
    </w:p>
    <w:p w14:paraId="6D0137AC" w14:textId="46DD3056" w:rsidR="000300CF" w:rsidRPr="008410F3" w:rsidRDefault="000300CF" w:rsidP="00E83A4F">
      <w:pPr>
        <w:pStyle w:val="ListParagraph"/>
        <w:numPr>
          <w:ilvl w:val="0"/>
          <w:numId w:val="40"/>
        </w:numPr>
        <w:spacing w:line="240" w:lineRule="auto"/>
        <w:rPr>
          <w:rFonts w:cstheme="minorHAnsi"/>
          <w:i/>
          <w:sz w:val="24"/>
          <w:szCs w:val="24"/>
        </w:rPr>
      </w:pPr>
      <w:r w:rsidRPr="008410F3">
        <w:rPr>
          <w:rFonts w:cstheme="minorHAnsi"/>
          <w:i/>
          <w:sz w:val="24"/>
          <w:szCs w:val="24"/>
        </w:rPr>
        <w:t xml:space="preserve">That an increase in funding of 35 per cent be made available to Group Training Organisations that </w:t>
      </w:r>
      <w:r w:rsidR="00D81469" w:rsidRPr="008410F3">
        <w:rPr>
          <w:rFonts w:cstheme="minorHAnsi"/>
          <w:i/>
          <w:sz w:val="24"/>
          <w:szCs w:val="24"/>
        </w:rPr>
        <w:t xml:space="preserve">demonstrate </w:t>
      </w:r>
      <w:r w:rsidRPr="008410F3">
        <w:rPr>
          <w:rFonts w:cstheme="minorHAnsi"/>
          <w:i/>
          <w:sz w:val="24"/>
          <w:szCs w:val="24"/>
        </w:rPr>
        <w:t>meet</w:t>
      </w:r>
      <w:r w:rsidR="009F31FE" w:rsidRPr="008410F3">
        <w:rPr>
          <w:rFonts w:cstheme="minorHAnsi"/>
          <w:i/>
          <w:sz w:val="24"/>
          <w:szCs w:val="24"/>
        </w:rPr>
        <w:t>ing</w:t>
      </w:r>
      <w:r w:rsidRPr="008410F3">
        <w:rPr>
          <w:rFonts w:cstheme="minorHAnsi"/>
          <w:i/>
          <w:sz w:val="24"/>
          <w:szCs w:val="24"/>
        </w:rPr>
        <w:t xml:space="preserve"> </w:t>
      </w:r>
      <w:r w:rsidR="002B1A72" w:rsidRPr="008410F3">
        <w:rPr>
          <w:rFonts w:cstheme="minorHAnsi"/>
          <w:i/>
          <w:sz w:val="24"/>
          <w:szCs w:val="24"/>
        </w:rPr>
        <w:t>high standards for apprentice placement and retention</w:t>
      </w:r>
      <w:r w:rsidR="009F31FE" w:rsidRPr="008410F3">
        <w:rPr>
          <w:rFonts w:cstheme="minorHAnsi"/>
          <w:i/>
          <w:sz w:val="24"/>
          <w:szCs w:val="24"/>
        </w:rPr>
        <w:t>.</w:t>
      </w:r>
    </w:p>
    <w:p w14:paraId="006B51BD" w14:textId="77777777" w:rsidR="008410F3" w:rsidRDefault="008410F3" w:rsidP="000371E4">
      <w:pPr>
        <w:pStyle w:val="Heading2"/>
        <w:rPr>
          <w:rFonts w:asciiTheme="minorHAnsi" w:hAnsiTheme="minorHAnsi" w:cstheme="minorHAnsi"/>
          <w:sz w:val="24"/>
          <w:szCs w:val="24"/>
        </w:rPr>
      </w:pPr>
    </w:p>
    <w:p w14:paraId="76FC5E86" w14:textId="1F75AC9A" w:rsidR="00F12E54" w:rsidRPr="008410F3" w:rsidRDefault="000371E4" w:rsidP="000371E4">
      <w:pPr>
        <w:pStyle w:val="Heading2"/>
        <w:rPr>
          <w:rFonts w:asciiTheme="minorHAnsi" w:hAnsiTheme="minorHAnsi" w:cstheme="minorHAnsi"/>
          <w:sz w:val="24"/>
          <w:szCs w:val="24"/>
        </w:rPr>
      </w:pPr>
      <w:bookmarkStart w:id="20" w:name="_Toc27403124"/>
      <w:r w:rsidRPr="008410F3">
        <w:rPr>
          <w:rFonts w:asciiTheme="minorHAnsi" w:hAnsiTheme="minorHAnsi" w:cstheme="minorHAnsi"/>
          <w:sz w:val="24"/>
          <w:szCs w:val="24"/>
        </w:rPr>
        <w:t>National Heavy Vehicle Regulator Inspector Training</w:t>
      </w:r>
      <w:bookmarkEnd w:id="20"/>
    </w:p>
    <w:p w14:paraId="62CF1257" w14:textId="77777777" w:rsidR="000371E4" w:rsidRPr="008410F3" w:rsidRDefault="000371E4" w:rsidP="000371E4">
      <w:pPr>
        <w:spacing w:line="240" w:lineRule="auto"/>
        <w:rPr>
          <w:rFonts w:cstheme="minorHAnsi"/>
          <w:sz w:val="24"/>
          <w:szCs w:val="24"/>
        </w:rPr>
      </w:pPr>
      <w:r w:rsidRPr="008410F3">
        <w:rPr>
          <w:rFonts w:cstheme="minorHAnsi"/>
          <w:sz w:val="24"/>
          <w:szCs w:val="24"/>
        </w:rPr>
        <w:t xml:space="preserve">As the National Heavy Vehicle Regulator (NHVR) rolls out its cohort of heavy vehicle roadside inspectors, it is imperative each inspector is adequately trained to perform the task at hand. VACC is aware of instances where vehicles have been taken off the road for minor infringements due to the inspector’s lack of technical competency. </w:t>
      </w:r>
    </w:p>
    <w:p w14:paraId="3CFF7876" w14:textId="77777777" w:rsidR="000371E4" w:rsidRPr="008410F3" w:rsidRDefault="000371E4" w:rsidP="000371E4">
      <w:pPr>
        <w:spacing w:line="240" w:lineRule="auto"/>
        <w:rPr>
          <w:rFonts w:cstheme="minorHAnsi"/>
          <w:sz w:val="24"/>
          <w:szCs w:val="24"/>
        </w:rPr>
      </w:pPr>
      <w:r w:rsidRPr="008410F3">
        <w:rPr>
          <w:rFonts w:cstheme="minorHAnsi"/>
          <w:sz w:val="24"/>
          <w:szCs w:val="24"/>
        </w:rPr>
        <w:t xml:space="preserve">Given the nature of the position and related safety requirements, VACC (and its affiliated division the Commercial Vehicle Industry Association (CVIA)) argue that </w:t>
      </w:r>
      <w:r w:rsidRPr="008410F3">
        <w:rPr>
          <w:rFonts w:cstheme="minorHAnsi"/>
          <w:sz w:val="24"/>
          <w:szCs w:val="24"/>
        </w:rPr>
        <w:lastRenderedPageBreak/>
        <w:t xml:space="preserve">pre-training be undertaken to ensure all inspectors are both competent and confident to perform this role. </w:t>
      </w:r>
    </w:p>
    <w:p w14:paraId="2FBD0D14" w14:textId="0807ED43" w:rsidR="000371E4" w:rsidRPr="008410F3" w:rsidRDefault="000371E4" w:rsidP="000371E4">
      <w:pPr>
        <w:spacing w:line="240" w:lineRule="auto"/>
        <w:rPr>
          <w:rFonts w:cstheme="minorHAnsi"/>
          <w:sz w:val="24"/>
          <w:szCs w:val="24"/>
        </w:rPr>
      </w:pPr>
      <w:r w:rsidRPr="008410F3">
        <w:rPr>
          <w:rFonts w:cstheme="minorHAnsi"/>
          <w:sz w:val="24"/>
          <w:szCs w:val="24"/>
        </w:rPr>
        <w:t xml:space="preserve">Chain of </w:t>
      </w:r>
      <w:r w:rsidR="0016504A">
        <w:rPr>
          <w:rFonts w:cstheme="minorHAnsi"/>
          <w:sz w:val="24"/>
          <w:szCs w:val="24"/>
        </w:rPr>
        <w:t>R</w:t>
      </w:r>
      <w:r w:rsidRPr="008410F3">
        <w:rPr>
          <w:rFonts w:cstheme="minorHAnsi"/>
          <w:sz w:val="24"/>
          <w:szCs w:val="24"/>
        </w:rPr>
        <w:t xml:space="preserve">esponsibility </w:t>
      </w:r>
      <w:r w:rsidR="0016504A">
        <w:rPr>
          <w:rFonts w:cstheme="minorHAnsi"/>
          <w:sz w:val="24"/>
          <w:szCs w:val="24"/>
        </w:rPr>
        <w:t xml:space="preserve">legislation in Australia </w:t>
      </w:r>
      <w:r w:rsidRPr="008410F3">
        <w:rPr>
          <w:rFonts w:cstheme="minorHAnsi"/>
          <w:sz w:val="24"/>
          <w:szCs w:val="24"/>
        </w:rPr>
        <w:t>dictates that the NHVR has a duty of care to road users and its employees. As such</w:t>
      </w:r>
      <w:r w:rsidR="002C4194" w:rsidRPr="008410F3">
        <w:rPr>
          <w:rFonts w:cstheme="minorHAnsi"/>
          <w:sz w:val="24"/>
          <w:szCs w:val="24"/>
        </w:rPr>
        <w:t>,</w:t>
      </w:r>
      <w:r w:rsidRPr="008410F3">
        <w:rPr>
          <w:rFonts w:cstheme="minorHAnsi"/>
          <w:sz w:val="24"/>
          <w:szCs w:val="24"/>
        </w:rPr>
        <w:t xml:space="preserve"> all inspectors should be trained to a minimum Certificate II level in Automotive Servicing Technology or equivalent. </w:t>
      </w:r>
    </w:p>
    <w:p w14:paraId="3DB40D7D" w14:textId="1DA82E07" w:rsidR="00F12E54" w:rsidRPr="008410F3" w:rsidRDefault="000371E4" w:rsidP="000371E4">
      <w:pPr>
        <w:spacing w:line="240" w:lineRule="auto"/>
        <w:rPr>
          <w:rFonts w:cstheme="minorHAnsi"/>
          <w:sz w:val="24"/>
          <w:szCs w:val="24"/>
        </w:rPr>
      </w:pPr>
      <w:r w:rsidRPr="008410F3">
        <w:rPr>
          <w:rFonts w:cstheme="minorHAnsi"/>
          <w:sz w:val="24"/>
          <w:szCs w:val="24"/>
        </w:rPr>
        <w:t>The VACC and CVIA are calling for financial allo</w:t>
      </w:r>
      <w:r w:rsidR="0016504A">
        <w:rPr>
          <w:rFonts w:cstheme="minorHAnsi"/>
          <w:sz w:val="24"/>
          <w:szCs w:val="24"/>
        </w:rPr>
        <w:t>cations</w:t>
      </w:r>
      <w:r w:rsidRPr="008410F3">
        <w:rPr>
          <w:rFonts w:cstheme="minorHAnsi"/>
          <w:sz w:val="24"/>
          <w:szCs w:val="24"/>
        </w:rPr>
        <w:t xml:space="preserve"> in the 2020-21 Federal Budget to provide for curriculum framework development, administrative oversight and related services – ensuring all NHVR roadside inspectors are equipped with highest level of relevant technical training.</w:t>
      </w:r>
    </w:p>
    <w:p w14:paraId="6DA0C205" w14:textId="66633CB6" w:rsidR="00F12E54" w:rsidRPr="008410F3" w:rsidRDefault="000371E4" w:rsidP="00683A8E">
      <w:pPr>
        <w:spacing w:line="240" w:lineRule="auto"/>
        <w:rPr>
          <w:rFonts w:cstheme="minorHAnsi"/>
          <w:b/>
          <w:sz w:val="24"/>
          <w:szCs w:val="24"/>
        </w:rPr>
      </w:pPr>
      <w:r w:rsidRPr="008410F3">
        <w:rPr>
          <w:rFonts w:cstheme="minorHAnsi"/>
          <w:b/>
          <w:sz w:val="24"/>
          <w:szCs w:val="24"/>
        </w:rPr>
        <w:t>Recommendation</w:t>
      </w:r>
      <w:r w:rsidR="004F502C">
        <w:rPr>
          <w:rFonts w:cstheme="minorHAnsi"/>
          <w:b/>
          <w:sz w:val="24"/>
          <w:szCs w:val="24"/>
        </w:rPr>
        <w:t xml:space="preserve"> 9</w:t>
      </w:r>
      <w:r w:rsidRPr="008410F3">
        <w:rPr>
          <w:rFonts w:cstheme="minorHAnsi"/>
          <w:b/>
          <w:sz w:val="24"/>
          <w:szCs w:val="24"/>
        </w:rPr>
        <w:t>:</w:t>
      </w:r>
    </w:p>
    <w:p w14:paraId="7CDF58F8" w14:textId="2DA2FA96" w:rsidR="000371E4" w:rsidRPr="008410F3" w:rsidRDefault="000371E4" w:rsidP="008410F3">
      <w:pPr>
        <w:pStyle w:val="ListParagraph"/>
        <w:numPr>
          <w:ilvl w:val="0"/>
          <w:numId w:val="40"/>
        </w:numPr>
        <w:spacing w:line="240" w:lineRule="auto"/>
        <w:rPr>
          <w:rFonts w:cstheme="minorHAnsi"/>
          <w:i/>
          <w:sz w:val="24"/>
          <w:szCs w:val="24"/>
        </w:rPr>
      </w:pPr>
      <w:r w:rsidRPr="008410F3">
        <w:rPr>
          <w:rFonts w:cstheme="minorHAnsi"/>
          <w:i/>
          <w:sz w:val="24"/>
          <w:szCs w:val="24"/>
        </w:rPr>
        <w:t>That financial allo</w:t>
      </w:r>
      <w:r w:rsidR="0016504A">
        <w:rPr>
          <w:rFonts w:cstheme="minorHAnsi"/>
          <w:i/>
          <w:sz w:val="24"/>
          <w:szCs w:val="24"/>
        </w:rPr>
        <w:t>cations</w:t>
      </w:r>
      <w:r w:rsidRPr="008410F3">
        <w:rPr>
          <w:rFonts w:cstheme="minorHAnsi"/>
          <w:i/>
          <w:sz w:val="24"/>
          <w:szCs w:val="24"/>
        </w:rPr>
        <w:t xml:space="preserve"> are made in the 2020-21 Federal Budget for the training of heavy vehicle roadside inspectors to a minimum Certificate II level in Automotive Servicing Technology qualification or equivalent.</w:t>
      </w:r>
    </w:p>
    <w:p w14:paraId="0440C230" w14:textId="77777777" w:rsidR="000371E4" w:rsidRPr="008410F3" w:rsidRDefault="000371E4" w:rsidP="00683A8E">
      <w:pPr>
        <w:spacing w:line="240" w:lineRule="auto"/>
        <w:rPr>
          <w:rFonts w:cstheme="minorHAnsi"/>
          <w:b/>
          <w:sz w:val="24"/>
          <w:szCs w:val="24"/>
        </w:rPr>
      </w:pPr>
    </w:p>
    <w:p w14:paraId="35E3FA51" w14:textId="6C82EA75" w:rsidR="00683A8E" w:rsidRPr="008410F3" w:rsidRDefault="00683A8E" w:rsidP="00683A8E">
      <w:pPr>
        <w:pStyle w:val="Heading1"/>
        <w:shd w:val="clear" w:color="auto" w:fill="4472C4"/>
        <w:rPr>
          <w:rFonts w:asciiTheme="minorHAnsi" w:hAnsiTheme="minorHAnsi" w:cstheme="minorHAnsi"/>
          <w:sz w:val="24"/>
          <w:szCs w:val="24"/>
        </w:rPr>
      </w:pPr>
      <w:bookmarkStart w:id="21" w:name="_Toc27403125"/>
      <w:r w:rsidRPr="008410F3">
        <w:rPr>
          <w:rFonts w:asciiTheme="minorHAnsi" w:hAnsiTheme="minorHAnsi" w:cstheme="minorHAnsi"/>
          <w:sz w:val="24"/>
          <w:szCs w:val="24"/>
        </w:rPr>
        <w:t>2. SKILLING AUSTRALIANS FUND MIGRATION TRAINING LEVY</w:t>
      </w:r>
      <w:bookmarkEnd w:id="21"/>
    </w:p>
    <w:p w14:paraId="0606CB5F" w14:textId="77777777" w:rsidR="00683A8E" w:rsidRPr="008410F3" w:rsidRDefault="00683A8E" w:rsidP="00683A8E">
      <w:pPr>
        <w:spacing w:line="240" w:lineRule="auto"/>
        <w:rPr>
          <w:rFonts w:cstheme="minorHAnsi"/>
          <w:sz w:val="24"/>
          <w:szCs w:val="24"/>
        </w:rPr>
      </w:pPr>
    </w:p>
    <w:p w14:paraId="7B92656E" w14:textId="503B1ACD" w:rsidR="00683A8E" w:rsidRPr="008410F3" w:rsidRDefault="00683A8E" w:rsidP="00941B0D">
      <w:pPr>
        <w:spacing w:line="240" w:lineRule="auto"/>
        <w:rPr>
          <w:rFonts w:cstheme="minorHAnsi"/>
          <w:sz w:val="24"/>
          <w:szCs w:val="24"/>
        </w:rPr>
      </w:pPr>
      <w:r w:rsidRPr="008410F3">
        <w:rPr>
          <w:rFonts w:cstheme="minorHAnsi"/>
          <w:sz w:val="24"/>
          <w:szCs w:val="24"/>
        </w:rPr>
        <w:t>VACC research indicates that the Skilling Australians Fund (SAF) levy has acted as both an administrative and financial barrier towards the uptake of skilled migration</w:t>
      </w:r>
      <w:r w:rsidR="009D6283" w:rsidRPr="008410F3">
        <w:rPr>
          <w:rFonts w:cstheme="minorHAnsi"/>
          <w:sz w:val="24"/>
          <w:szCs w:val="24"/>
        </w:rPr>
        <w:t xml:space="preserve"> within the automotive industry.</w:t>
      </w:r>
    </w:p>
    <w:p w14:paraId="06801087" w14:textId="400CB238" w:rsidR="009D6283" w:rsidRPr="008410F3" w:rsidRDefault="009D6283" w:rsidP="009D6283">
      <w:pPr>
        <w:spacing w:line="240" w:lineRule="auto"/>
        <w:rPr>
          <w:rFonts w:cstheme="minorHAnsi"/>
          <w:sz w:val="24"/>
          <w:szCs w:val="24"/>
        </w:rPr>
      </w:pPr>
      <w:r w:rsidRPr="008410F3">
        <w:rPr>
          <w:rFonts w:cstheme="minorHAnsi"/>
          <w:sz w:val="24"/>
          <w:szCs w:val="24"/>
        </w:rPr>
        <w:t xml:space="preserve">The </w:t>
      </w:r>
      <w:r w:rsidR="003141CC" w:rsidRPr="008410F3">
        <w:rPr>
          <w:rFonts w:cstheme="minorHAnsi"/>
          <w:sz w:val="24"/>
          <w:szCs w:val="24"/>
        </w:rPr>
        <w:t xml:space="preserve">upfront </w:t>
      </w:r>
      <w:r w:rsidRPr="008410F3">
        <w:rPr>
          <w:rFonts w:cstheme="minorHAnsi"/>
          <w:sz w:val="24"/>
          <w:szCs w:val="24"/>
        </w:rPr>
        <w:t xml:space="preserve">SAF levy </w:t>
      </w:r>
      <w:r w:rsidR="003141CC" w:rsidRPr="008410F3">
        <w:rPr>
          <w:rFonts w:cstheme="minorHAnsi"/>
          <w:sz w:val="24"/>
          <w:szCs w:val="24"/>
        </w:rPr>
        <w:t xml:space="preserve">payments </w:t>
      </w:r>
      <w:r w:rsidRPr="008410F3">
        <w:rPr>
          <w:rFonts w:cstheme="minorHAnsi"/>
          <w:sz w:val="24"/>
          <w:szCs w:val="24"/>
        </w:rPr>
        <w:t>of $1200 per year for small business and $1800 per year for large business per visa holder</w:t>
      </w:r>
      <w:r w:rsidR="003141CC" w:rsidRPr="008410F3">
        <w:rPr>
          <w:rFonts w:cstheme="minorHAnsi"/>
          <w:sz w:val="24"/>
          <w:szCs w:val="24"/>
        </w:rPr>
        <w:t>, are deemed to be excessive, hence despite critical skill shortages there has been very limited use of temporary skills shortage visa migrants within the automotive industry.</w:t>
      </w:r>
    </w:p>
    <w:p w14:paraId="421DDB85" w14:textId="17A172AF" w:rsidR="00742912" w:rsidRPr="008410F3" w:rsidRDefault="00742912" w:rsidP="009D6283">
      <w:pPr>
        <w:spacing w:line="240" w:lineRule="auto"/>
        <w:rPr>
          <w:rFonts w:cstheme="minorHAnsi"/>
          <w:sz w:val="24"/>
          <w:szCs w:val="24"/>
        </w:rPr>
      </w:pPr>
      <w:r w:rsidRPr="008410F3">
        <w:rPr>
          <w:rFonts w:cstheme="minorHAnsi"/>
          <w:sz w:val="24"/>
          <w:szCs w:val="24"/>
        </w:rPr>
        <w:t>In addition to these costs, there is also an upfront levy for employers using the permanent Employer Nomination Scheme of $3000 for small business and $5000 for large business. Both these levies have adversely impacted on business access to skilled migrants. Furthermore, sponsoring employers cannot obtain a refund of training levy if their application is unsuccessful other than on health or character grounds. A refund of the training levy should be available in all cases where the application has not been successful.</w:t>
      </w:r>
    </w:p>
    <w:p w14:paraId="27B9516F" w14:textId="2A97A890" w:rsidR="00742912" w:rsidRPr="008410F3" w:rsidRDefault="00EB2540" w:rsidP="009D6283">
      <w:pPr>
        <w:spacing w:line="240" w:lineRule="auto"/>
        <w:rPr>
          <w:rFonts w:cstheme="minorHAnsi"/>
          <w:sz w:val="24"/>
          <w:szCs w:val="24"/>
        </w:rPr>
      </w:pPr>
      <w:r w:rsidRPr="008410F3">
        <w:rPr>
          <w:rFonts w:cstheme="minorHAnsi"/>
          <w:sz w:val="24"/>
          <w:szCs w:val="24"/>
        </w:rPr>
        <w:t>VACC therefore recommends that the SAF levy be reduced by at least half for both temporary and permanent skilled employer nominated visas and that refunds are provided to employers for any unsuccessful applications.</w:t>
      </w:r>
    </w:p>
    <w:p w14:paraId="172A7016" w14:textId="063999E6" w:rsidR="00EB2540" w:rsidRPr="008410F3" w:rsidRDefault="00EB2540" w:rsidP="009D6283">
      <w:pPr>
        <w:spacing w:line="240" w:lineRule="auto"/>
        <w:rPr>
          <w:rFonts w:cstheme="minorHAnsi"/>
          <w:b/>
          <w:sz w:val="24"/>
          <w:szCs w:val="24"/>
        </w:rPr>
      </w:pPr>
      <w:r w:rsidRPr="008410F3">
        <w:rPr>
          <w:rFonts w:cstheme="minorHAnsi"/>
          <w:b/>
          <w:sz w:val="24"/>
          <w:szCs w:val="24"/>
        </w:rPr>
        <w:t>Recommendation</w:t>
      </w:r>
      <w:r w:rsidR="004F502C">
        <w:rPr>
          <w:rFonts w:cstheme="minorHAnsi"/>
          <w:b/>
          <w:sz w:val="24"/>
          <w:szCs w:val="24"/>
        </w:rPr>
        <w:t xml:space="preserve"> 10</w:t>
      </w:r>
      <w:r w:rsidRPr="008410F3">
        <w:rPr>
          <w:rFonts w:cstheme="minorHAnsi"/>
          <w:b/>
          <w:sz w:val="24"/>
          <w:szCs w:val="24"/>
        </w:rPr>
        <w:t>:</w:t>
      </w:r>
    </w:p>
    <w:p w14:paraId="54F5F958" w14:textId="389A8011" w:rsidR="00EB2540" w:rsidRPr="008410F3" w:rsidRDefault="00EB2540" w:rsidP="00EB2540">
      <w:pPr>
        <w:pStyle w:val="ListParagraph"/>
        <w:numPr>
          <w:ilvl w:val="0"/>
          <w:numId w:val="40"/>
        </w:numPr>
        <w:spacing w:line="240" w:lineRule="auto"/>
        <w:rPr>
          <w:rFonts w:cstheme="minorHAnsi"/>
          <w:i/>
          <w:sz w:val="24"/>
          <w:szCs w:val="24"/>
        </w:rPr>
      </w:pPr>
      <w:r w:rsidRPr="008410F3">
        <w:rPr>
          <w:rFonts w:cstheme="minorHAnsi"/>
          <w:i/>
          <w:sz w:val="24"/>
          <w:szCs w:val="24"/>
        </w:rPr>
        <w:t>That the Skilling Australians Fund levy be reduced by at least half for temporary and permanent employer nominated visas</w:t>
      </w:r>
      <w:r w:rsidR="00642229">
        <w:rPr>
          <w:rFonts w:cstheme="minorHAnsi"/>
          <w:i/>
          <w:sz w:val="24"/>
          <w:szCs w:val="24"/>
        </w:rPr>
        <w:t>.</w:t>
      </w:r>
    </w:p>
    <w:p w14:paraId="7E4BB3E4" w14:textId="77777777" w:rsidR="00D975CC" w:rsidRDefault="00D975CC" w:rsidP="00D975CC">
      <w:pPr>
        <w:spacing w:line="240" w:lineRule="auto"/>
        <w:rPr>
          <w:rFonts w:cstheme="minorHAnsi"/>
          <w:b/>
          <w:sz w:val="24"/>
          <w:szCs w:val="24"/>
        </w:rPr>
      </w:pPr>
    </w:p>
    <w:p w14:paraId="2BAECD49" w14:textId="43DD8623" w:rsidR="004F502C" w:rsidRPr="00D975CC" w:rsidRDefault="00D975CC" w:rsidP="00D975CC">
      <w:pPr>
        <w:spacing w:line="240" w:lineRule="auto"/>
        <w:rPr>
          <w:rFonts w:cstheme="minorHAnsi"/>
          <w:b/>
          <w:sz w:val="24"/>
          <w:szCs w:val="24"/>
        </w:rPr>
      </w:pPr>
      <w:r w:rsidRPr="00D975CC">
        <w:rPr>
          <w:rFonts w:cstheme="minorHAnsi"/>
          <w:b/>
          <w:sz w:val="24"/>
          <w:szCs w:val="24"/>
        </w:rPr>
        <w:lastRenderedPageBreak/>
        <w:t>Recommendation 1</w:t>
      </w:r>
      <w:r>
        <w:rPr>
          <w:rFonts w:cstheme="minorHAnsi"/>
          <w:b/>
          <w:sz w:val="24"/>
          <w:szCs w:val="24"/>
        </w:rPr>
        <w:t>1</w:t>
      </w:r>
      <w:r w:rsidRPr="00D975CC">
        <w:rPr>
          <w:rFonts w:cstheme="minorHAnsi"/>
          <w:b/>
          <w:sz w:val="24"/>
          <w:szCs w:val="24"/>
        </w:rPr>
        <w:t>:</w:t>
      </w:r>
    </w:p>
    <w:p w14:paraId="21C92990" w14:textId="38C32F19" w:rsidR="00EB2540" w:rsidRPr="008410F3" w:rsidRDefault="00EB2540" w:rsidP="00EB2540">
      <w:pPr>
        <w:pStyle w:val="ListParagraph"/>
        <w:numPr>
          <w:ilvl w:val="0"/>
          <w:numId w:val="40"/>
        </w:numPr>
        <w:spacing w:line="240" w:lineRule="auto"/>
        <w:rPr>
          <w:rFonts w:cstheme="minorHAnsi"/>
          <w:i/>
          <w:sz w:val="24"/>
          <w:szCs w:val="24"/>
        </w:rPr>
      </w:pPr>
      <w:r w:rsidRPr="008410F3">
        <w:rPr>
          <w:rFonts w:cstheme="minorHAnsi"/>
          <w:i/>
          <w:sz w:val="24"/>
          <w:szCs w:val="24"/>
        </w:rPr>
        <w:t>That a refund of the Skilled Australians Fund Levy is provided to employers in all cases where their application has not been successful.</w:t>
      </w:r>
    </w:p>
    <w:p w14:paraId="02EC627D" w14:textId="1FC8D23E" w:rsidR="008410F3" w:rsidRDefault="008410F3" w:rsidP="00EB2540">
      <w:pPr>
        <w:pStyle w:val="ListParagraph"/>
        <w:rPr>
          <w:rFonts w:cstheme="minorHAnsi"/>
          <w:sz w:val="24"/>
          <w:szCs w:val="24"/>
        </w:rPr>
      </w:pPr>
    </w:p>
    <w:p w14:paraId="763664D8" w14:textId="77777777" w:rsidR="008410F3" w:rsidRPr="008410F3" w:rsidRDefault="008410F3" w:rsidP="00EB2540">
      <w:pPr>
        <w:pStyle w:val="ListParagraph"/>
        <w:rPr>
          <w:rFonts w:cstheme="minorHAnsi"/>
          <w:sz w:val="24"/>
          <w:szCs w:val="24"/>
        </w:rPr>
      </w:pPr>
    </w:p>
    <w:p w14:paraId="08E4ECA6" w14:textId="3FD0040E" w:rsidR="00C81332" w:rsidRPr="008410F3" w:rsidRDefault="00F12685" w:rsidP="00F148FE">
      <w:pPr>
        <w:pStyle w:val="Heading1"/>
        <w:shd w:val="clear" w:color="auto" w:fill="4472C4"/>
        <w:rPr>
          <w:rFonts w:asciiTheme="minorHAnsi" w:hAnsiTheme="minorHAnsi" w:cstheme="minorHAnsi"/>
          <w:sz w:val="24"/>
          <w:szCs w:val="24"/>
        </w:rPr>
      </w:pPr>
      <w:bookmarkStart w:id="22" w:name="_Toc27403126"/>
      <w:bookmarkEnd w:id="18"/>
      <w:r w:rsidRPr="008410F3">
        <w:rPr>
          <w:rFonts w:asciiTheme="minorHAnsi" w:hAnsiTheme="minorHAnsi" w:cstheme="minorHAnsi"/>
          <w:sz w:val="24"/>
          <w:szCs w:val="24"/>
        </w:rPr>
        <w:t>3</w:t>
      </w:r>
      <w:r w:rsidR="00C81332" w:rsidRPr="008410F3">
        <w:rPr>
          <w:rFonts w:asciiTheme="minorHAnsi" w:hAnsiTheme="minorHAnsi" w:cstheme="minorHAnsi"/>
          <w:sz w:val="24"/>
          <w:szCs w:val="24"/>
        </w:rPr>
        <w:t>. LUXURY CAR TAX</w:t>
      </w:r>
      <w:bookmarkEnd w:id="22"/>
    </w:p>
    <w:p w14:paraId="7A806354" w14:textId="77777777" w:rsidR="002E2809" w:rsidRPr="008410F3" w:rsidRDefault="002E2809" w:rsidP="00941B0D">
      <w:pPr>
        <w:spacing w:line="240" w:lineRule="auto"/>
        <w:rPr>
          <w:rFonts w:cstheme="minorHAnsi"/>
          <w:sz w:val="24"/>
          <w:szCs w:val="24"/>
        </w:rPr>
      </w:pPr>
    </w:p>
    <w:p w14:paraId="4EC27F82" w14:textId="3D29D961" w:rsidR="00E028C4" w:rsidRPr="008410F3" w:rsidRDefault="002E2809" w:rsidP="00941B0D">
      <w:pPr>
        <w:spacing w:line="240" w:lineRule="auto"/>
        <w:rPr>
          <w:rFonts w:cstheme="minorHAnsi"/>
          <w:sz w:val="24"/>
          <w:szCs w:val="24"/>
        </w:rPr>
      </w:pPr>
      <w:r w:rsidRPr="008410F3">
        <w:rPr>
          <w:rFonts w:cstheme="minorHAnsi"/>
          <w:sz w:val="24"/>
          <w:szCs w:val="24"/>
        </w:rPr>
        <w:t xml:space="preserve">The Luxury Car Tax (LCT) is widely recognised as an anomaly and </w:t>
      </w:r>
      <w:r w:rsidR="00E83A4F" w:rsidRPr="008410F3">
        <w:rPr>
          <w:rFonts w:cstheme="minorHAnsi"/>
          <w:sz w:val="24"/>
          <w:szCs w:val="24"/>
        </w:rPr>
        <w:t xml:space="preserve">constraint </w:t>
      </w:r>
      <w:r w:rsidRPr="008410F3">
        <w:rPr>
          <w:rFonts w:cstheme="minorHAnsi"/>
          <w:sz w:val="24"/>
          <w:szCs w:val="24"/>
        </w:rPr>
        <w:t xml:space="preserve">on the economy by more than just the automotive industry. VACC supports recent legislative measures by Federal Government that increase </w:t>
      </w:r>
      <w:r w:rsidR="00FB2D43" w:rsidRPr="008410F3">
        <w:rPr>
          <w:rFonts w:cstheme="minorHAnsi"/>
          <w:sz w:val="24"/>
          <w:szCs w:val="24"/>
        </w:rPr>
        <w:t>both the proportion and maximum LCT refund available to primary producers and tourism operators.</w:t>
      </w:r>
    </w:p>
    <w:p w14:paraId="41342B4B" w14:textId="56802C0A" w:rsidR="00E028C4" w:rsidRPr="008410F3" w:rsidRDefault="00E028C4" w:rsidP="00E028C4">
      <w:pPr>
        <w:spacing w:line="240" w:lineRule="auto"/>
        <w:rPr>
          <w:rFonts w:cstheme="minorHAnsi"/>
          <w:sz w:val="24"/>
          <w:szCs w:val="24"/>
        </w:rPr>
      </w:pPr>
      <w:r w:rsidRPr="008410F3">
        <w:rPr>
          <w:rFonts w:cstheme="minorHAnsi"/>
          <w:sz w:val="24"/>
          <w:szCs w:val="24"/>
        </w:rPr>
        <w:t>Whilst VACC welcomes these legislative amendments that provide LCT relief for primary producers and tourism operators, VACC believes that the Federal Government must address the broader issue of removing the LCT altogether. The fact is that the LCT remains an unfair and discriminatory tax that penalises both motor car dealers and consumers. This</w:t>
      </w:r>
      <w:r w:rsidR="00E83A4F" w:rsidRPr="008410F3">
        <w:rPr>
          <w:rFonts w:cstheme="minorHAnsi"/>
          <w:sz w:val="24"/>
          <w:szCs w:val="24"/>
        </w:rPr>
        <w:t xml:space="preserve"> </w:t>
      </w:r>
      <w:r w:rsidRPr="008410F3">
        <w:rPr>
          <w:rFonts w:cstheme="minorHAnsi"/>
          <w:sz w:val="24"/>
          <w:szCs w:val="24"/>
        </w:rPr>
        <w:t>discrimination has been compounded even further through additional luxury car taxes imposed by Victoria and Queensland that set a dangerous precedent for the rest of the country. The LCT also directly undermines Australia’s free trade agreements that have been negotiated for the importation of motor vehicles.</w:t>
      </w:r>
    </w:p>
    <w:p w14:paraId="096DB9FC" w14:textId="3311CAF6" w:rsidR="00E028C4" w:rsidRPr="008410F3" w:rsidRDefault="00E028C4" w:rsidP="00E028C4">
      <w:pPr>
        <w:spacing w:line="240" w:lineRule="auto"/>
        <w:rPr>
          <w:rFonts w:cstheme="minorHAnsi"/>
          <w:sz w:val="24"/>
          <w:szCs w:val="24"/>
        </w:rPr>
      </w:pPr>
      <w:r w:rsidRPr="008410F3">
        <w:rPr>
          <w:rFonts w:cstheme="minorHAnsi"/>
          <w:sz w:val="24"/>
          <w:szCs w:val="24"/>
        </w:rPr>
        <w:t>In an era where new motor vehicle sales have been in decline by eight per cent for the past 1</w:t>
      </w:r>
      <w:r w:rsidR="00FB2D43" w:rsidRPr="008410F3">
        <w:rPr>
          <w:rFonts w:cstheme="minorHAnsi"/>
          <w:sz w:val="24"/>
          <w:szCs w:val="24"/>
        </w:rPr>
        <w:t>8</w:t>
      </w:r>
      <w:r w:rsidRPr="008410F3">
        <w:rPr>
          <w:rFonts w:cstheme="minorHAnsi"/>
          <w:sz w:val="24"/>
          <w:szCs w:val="24"/>
        </w:rPr>
        <w:t xml:space="preserve"> months and dealer margins have been squeezed to just 1.5 per cent, there is </w:t>
      </w:r>
      <w:r w:rsidR="00DC5A3E" w:rsidRPr="008410F3">
        <w:rPr>
          <w:rFonts w:cstheme="minorHAnsi"/>
          <w:sz w:val="24"/>
          <w:szCs w:val="24"/>
        </w:rPr>
        <w:t>little</w:t>
      </w:r>
      <w:r w:rsidRPr="008410F3">
        <w:rPr>
          <w:rFonts w:cstheme="minorHAnsi"/>
          <w:sz w:val="24"/>
          <w:szCs w:val="24"/>
        </w:rPr>
        <w:t xml:space="preserve"> justification for any luxury car tax, let alone the double luxury car tax impost served on a large section of the automotive industry. The discrimination against the automotive industry is further enforced by the fact that other goods traditionally deemed as ‘luxury’ items such as motorboats, yachts and jewellery, are not taxed as such.</w:t>
      </w:r>
    </w:p>
    <w:p w14:paraId="0061C3BE" w14:textId="71062282" w:rsidR="00E028C4" w:rsidRPr="008410F3" w:rsidRDefault="00E028C4" w:rsidP="00E028C4">
      <w:pPr>
        <w:spacing w:line="240" w:lineRule="auto"/>
        <w:rPr>
          <w:rFonts w:cstheme="minorHAnsi"/>
          <w:sz w:val="24"/>
          <w:szCs w:val="24"/>
        </w:rPr>
      </w:pPr>
      <w:r w:rsidRPr="008410F3">
        <w:rPr>
          <w:rFonts w:cstheme="minorHAnsi"/>
          <w:sz w:val="24"/>
          <w:szCs w:val="24"/>
        </w:rPr>
        <w:t xml:space="preserve">VACC </w:t>
      </w:r>
      <w:r w:rsidR="00E83A4F" w:rsidRPr="008410F3">
        <w:rPr>
          <w:rFonts w:cstheme="minorHAnsi"/>
          <w:sz w:val="24"/>
          <w:szCs w:val="24"/>
        </w:rPr>
        <w:t>therefore strongly argues</w:t>
      </w:r>
      <w:r w:rsidRPr="008410F3">
        <w:rPr>
          <w:rFonts w:cstheme="minorHAnsi"/>
          <w:sz w:val="24"/>
          <w:szCs w:val="24"/>
        </w:rPr>
        <w:t xml:space="preserve"> that the removal of the LCT must be a key policy focus for the Federal Government</w:t>
      </w:r>
      <w:r w:rsidR="004709B3" w:rsidRPr="008410F3">
        <w:rPr>
          <w:rFonts w:cstheme="minorHAnsi"/>
          <w:sz w:val="24"/>
          <w:szCs w:val="24"/>
        </w:rPr>
        <w:t>, or at a minimum the LCT threshold by raised to $125,000.</w:t>
      </w:r>
    </w:p>
    <w:p w14:paraId="03354494" w14:textId="7AA0E806" w:rsidR="00E028C4" w:rsidRPr="008410F3" w:rsidRDefault="00FB2D43" w:rsidP="00E028C4">
      <w:pPr>
        <w:spacing w:line="240" w:lineRule="auto"/>
        <w:rPr>
          <w:rFonts w:cstheme="minorHAnsi"/>
          <w:b/>
          <w:sz w:val="24"/>
          <w:szCs w:val="24"/>
        </w:rPr>
      </w:pPr>
      <w:r w:rsidRPr="008410F3">
        <w:rPr>
          <w:rFonts w:cstheme="minorHAnsi"/>
          <w:b/>
          <w:sz w:val="24"/>
          <w:szCs w:val="24"/>
        </w:rPr>
        <w:t>Recommendation</w:t>
      </w:r>
      <w:r w:rsidR="00D975CC">
        <w:rPr>
          <w:rFonts w:cstheme="minorHAnsi"/>
          <w:b/>
          <w:sz w:val="24"/>
          <w:szCs w:val="24"/>
        </w:rPr>
        <w:t xml:space="preserve"> 12</w:t>
      </w:r>
      <w:r w:rsidRPr="008410F3">
        <w:rPr>
          <w:rFonts w:cstheme="minorHAnsi"/>
          <w:b/>
          <w:sz w:val="24"/>
          <w:szCs w:val="24"/>
        </w:rPr>
        <w:t>:</w:t>
      </w:r>
    </w:p>
    <w:p w14:paraId="52C58A2A" w14:textId="1366C34D" w:rsidR="00FB2D43" w:rsidRPr="008410F3" w:rsidRDefault="00FB2D43" w:rsidP="008410F3">
      <w:pPr>
        <w:pStyle w:val="ListParagraph"/>
        <w:numPr>
          <w:ilvl w:val="0"/>
          <w:numId w:val="41"/>
        </w:numPr>
        <w:spacing w:line="240" w:lineRule="auto"/>
        <w:rPr>
          <w:rFonts w:cstheme="minorHAnsi"/>
          <w:i/>
          <w:sz w:val="24"/>
          <w:szCs w:val="24"/>
        </w:rPr>
      </w:pPr>
      <w:r w:rsidRPr="008410F3">
        <w:rPr>
          <w:rFonts w:cstheme="minorHAnsi"/>
          <w:i/>
          <w:sz w:val="24"/>
          <w:szCs w:val="24"/>
        </w:rPr>
        <w:t>Th</w:t>
      </w:r>
      <w:r w:rsidR="00DC5A3E" w:rsidRPr="008410F3">
        <w:rPr>
          <w:rFonts w:cstheme="minorHAnsi"/>
          <w:i/>
          <w:sz w:val="24"/>
          <w:szCs w:val="24"/>
        </w:rPr>
        <w:t>e Federal Government remove the Luxury Car Tax, or at a minimum increase the Luxury Car Tax threshold to $125,000</w:t>
      </w:r>
      <w:r w:rsidR="004709B3" w:rsidRPr="008410F3">
        <w:rPr>
          <w:rFonts w:cstheme="minorHAnsi"/>
          <w:i/>
          <w:sz w:val="24"/>
          <w:szCs w:val="24"/>
        </w:rPr>
        <w:t>.</w:t>
      </w:r>
    </w:p>
    <w:p w14:paraId="7C9A4080" w14:textId="2052A269" w:rsidR="00D10DBC" w:rsidRDefault="00D10DBC" w:rsidP="00D10DBC">
      <w:pPr>
        <w:rPr>
          <w:rFonts w:cstheme="minorHAnsi"/>
          <w:b/>
          <w:sz w:val="24"/>
          <w:szCs w:val="24"/>
        </w:rPr>
      </w:pPr>
    </w:p>
    <w:p w14:paraId="1D2D6772" w14:textId="0C45947C" w:rsidR="004E386E" w:rsidRDefault="004E386E" w:rsidP="00D10DBC">
      <w:pPr>
        <w:rPr>
          <w:rFonts w:cstheme="minorHAnsi"/>
          <w:b/>
          <w:sz w:val="24"/>
          <w:szCs w:val="24"/>
        </w:rPr>
      </w:pPr>
    </w:p>
    <w:p w14:paraId="645E173C" w14:textId="77777777" w:rsidR="004E386E" w:rsidRDefault="004E386E" w:rsidP="00D10DBC">
      <w:pPr>
        <w:rPr>
          <w:rFonts w:cstheme="minorHAnsi"/>
          <w:b/>
          <w:sz w:val="24"/>
          <w:szCs w:val="24"/>
        </w:rPr>
      </w:pPr>
      <w:bookmarkStart w:id="23" w:name="_GoBack"/>
      <w:bookmarkEnd w:id="23"/>
    </w:p>
    <w:p w14:paraId="43B31408" w14:textId="1F3141A9" w:rsidR="00D10DBC" w:rsidRPr="008410F3" w:rsidRDefault="00D10DBC" w:rsidP="00D10DBC">
      <w:pPr>
        <w:pStyle w:val="Heading1"/>
        <w:shd w:val="clear" w:color="auto" w:fill="4472C4"/>
        <w:rPr>
          <w:rFonts w:asciiTheme="minorHAnsi" w:hAnsiTheme="minorHAnsi" w:cstheme="minorHAnsi"/>
          <w:sz w:val="24"/>
          <w:szCs w:val="24"/>
        </w:rPr>
      </w:pPr>
      <w:bookmarkStart w:id="24" w:name="_Toc27403127"/>
      <w:r>
        <w:rPr>
          <w:rFonts w:asciiTheme="minorHAnsi" w:hAnsiTheme="minorHAnsi" w:cstheme="minorHAnsi"/>
          <w:sz w:val="24"/>
          <w:szCs w:val="24"/>
        </w:rPr>
        <w:lastRenderedPageBreak/>
        <w:t>5</w:t>
      </w:r>
      <w:r w:rsidRPr="008410F3">
        <w:rPr>
          <w:rFonts w:asciiTheme="minorHAnsi" w:hAnsiTheme="minorHAnsi" w:cstheme="minorHAnsi"/>
          <w:sz w:val="24"/>
          <w:szCs w:val="24"/>
        </w:rPr>
        <w:t xml:space="preserve">. </w:t>
      </w:r>
      <w:r w:rsidRPr="00D10DBC">
        <w:rPr>
          <w:rFonts w:asciiTheme="minorHAnsi" w:hAnsiTheme="minorHAnsi" w:cstheme="minorHAnsi"/>
          <w:sz w:val="24"/>
          <w:szCs w:val="24"/>
        </w:rPr>
        <w:t>Hayne Royal Commission Recommendation</w:t>
      </w:r>
      <w:r>
        <w:rPr>
          <w:rFonts w:asciiTheme="minorHAnsi" w:hAnsiTheme="minorHAnsi" w:cstheme="minorHAnsi"/>
          <w:sz w:val="24"/>
          <w:szCs w:val="24"/>
        </w:rPr>
        <w:t xml:space="preserve"> 1.7</w:t>
      </w:r>
      <w:r w:rsidRPr="00D10DBC">
        <w:rPr>
          <w:rFonts w:asciiTheme="minorHAnsi" w:hAnsiTheme="minorHAnsi" w:cstheme="minorHAnsi"/>
          <w:sz w:val="24"/>
          <w:szCs w:val="24"/>
        </w:rPr>
        <w:t>— Removal of point of sale exemption</w:t>
      </w:r>
      <w:bookmarkEnd w:id="24"/>
    </w:p>
    <w:p w14:paraId="177B2C8E" w14:textId="77777777" w:rsidR="00D10DBC" w:rsidRDefault="00D10DBC" w:rsidP="00D10DBC">
      <w:pPr>
        <w:rPr>
          <w:rFonts w:cstheme="minorHAnsi"/>
          <w:b/>
          <w:sz w:val="24"/>
          <w:szCs w:val="24"/>
        </w:rPr>
      </w:pPr>
    </w:p>
    <w:p w14:paraId="5DA965AB" w14:textId="3B8D8AE0" w:rsidR="00D10DBC" w:rsidRPr="00D10DBC" w:rsidRDefault="00D10DBC" w:rsidP="00D10DBC">
      <w:pPr>
        <w:rPr>
          <w:rFonts w:cstheme="minorHAnsi"/>
          <w:sz w:val="24"/>
          <w:szCs w:val="24"/>
        </w:rPr>
      </w:pPr>
      <w:r w:rsidRPr="00D10DBC">
        <w:rPr>
          <w:rFonts w:cstheme="minorHAnsi"/>
          <w:sz w:val="24"/>
          <w:szCs w:val="24"/>
        </w:rPr>
        <w:t xml:space="preserve">VACC </w:t>
      </w:r>
      <w:r>
        <w:rPr>
          <w:rFonts w:cstheme="minorHAnsi"/>
          <w:sz w:val="24"/>
          <w:szCs w:val="24"/>
        </w:rPr>
        <w:t>strongly maintains that t</w:t>
      </w:r>
      <w:r w:rsidRPr="00D10DBC">
        <w:rPr>
          <w:rFonts w:cstheme="minorHAnsi"/>
          <w:sz w:val="24"/>
          <w:szCs w:val="24"/>
        </w:rPr>
        <w:t xml:space="preserve">he exemption of retail </w:t>
      </w:r>
      <w:r>
        <w:rPr>
          <w:rFonts w:cstheme="minorHAnsi"/>
          <w:sz w:val="24"/>
          <w:szCs w:val="24"/>
        </w:rPr>
        <w:t xml:space="preserve">motor vehicle dealers </w:t>
      </w:r>
      <w:r w:rsidRPr="00D10DBC">
        <w:rPr>
          <w:rFonts w:cstheme="minorHAnsi"/>
          <w:sz w:val="24"/>
          <w:szCs w:val="24"/>
        </w:rPr>
        <w:t xml:space="preserve">from the operation of the </w:t>
      </w:r>
      <w:r>
        <w:rPr>
          <w:rFonts w:cstheme="minorHAnsi"/>
          <w:sz w:val="24"/>
          <w:szCs w:val="24"/>
        </w:rPr>
        <w:t>National Consumer Credit Protection (</w:t>
      </w:r>
      <w:r w:rsidRPr="00D10DBC">
        <w:rPr>
          <w:rFonts w:cstheme="minorHAnsi"/>
          <w:sz w:val="24"/>
          <w:szCs w:val="24"/>
        </w:rPr>
        <w:t>NCCP</w:t>
      </w:r>
      <w:r>
        <w:rPr>
          <w:rFonts w:cstheme="minorHAnsi"/>
          <w:sz w:val="24"/>
          <w:szCs w:val="24"/>
        </w:rPr>
        <w:t>)</w:t>
      </w:r>
      <w:r w:rsidRPr="00D10DBC">
        <w:rPr>
          <w:rFonts w:cstheme="minorHAnsi"/>
          <w:sz w:val="24"/>
          <w:szCs w:val="24"/>
        </w:rPr>
        <w:t xml:space="preserve"> Act should not be removed.</w:t>
      </w:r>
    </w:p>
    <w:p w14:paraId="7E36BFAF" w14:textId="38FA1AAA" w:rsidR="0052047D" w:rsidRDefault="0052047D" w:rsidP="00D10DBC">
      <w:pPr>
        <w:rPr>
          <w:rFonts w:cstheme="minorHAnsi"/>
          <w:sz w:val="24"/>
          <w:szCs w:val="24"/>
        </w:rPr>
      </w:pPr>
      <w:r w:rsidRPr="0052047D">
        <w:rPr>
          <w:rFonts w:cstheme="minorHAnsi"/>
          <w:sz w:val="24"/>
          <w:szCs w:val="24"/>
        </w:rPr>
        <w:t>Removing the point of sale exemption will require third party vendors to acquire an Australian Credit Licence.  This is impractical and a major impost on an industry already suffering in deplorable trading conditions.</w:t>
      </w:r>
    </w:p>
    <w:p w14:paraId="50D964DD" w14:textId="05BEAD05" w:rsidR="0052047D" w:rsidRDefault="0052047D" w:rsidP="00D10DBC">
      <w:pPr>
        <w:rPr>
          <w:rFonts w:cstheme="minorHAnsi"/>
          <w:sz w:val="24"/>
          <w:szCs w:val="24"/>
        </w:rPr>
      </w:pPr>
      <w:r w:rsidRPr="0052047D">
        <w:rPr>
          <w:rFonts w:cstheme="minorHAnsi"/>
          <w:sz w:val="24"/>
          <w:szCs w:val="24"/>
        </w:rPr>
        <w:t xml:space="preserve">Importantly, the removal of the point of sale exemption will provide another roadblock to consumers </w:t>
      </w:r>
      <w:r>
        <w:rPr>
          <w:rFonts w:cstheme="minorHAnsi"/>
          <w:sz w:val="24"/>
          <w:szCs w:val="24"/>
        </w:rPr>
        <w:t xml:space="preserve">ability </w:t>
      </w:r>
      <w:r w:rsidRPr="0052047D">
        <w:rPr>
          <w:rFonts w:cstheme="minorHAnsi"/>
          <w:sz w:val="24"/>
          <w:szCs w:val="24"/>
        </w:rPr>
        <w:t xml:space="preserve">to access appropriate motor vehicle financing </w:t>
      </w:r>
      <w:r>
        <w:rPr>
          <w:rFonts w:cstheme="minorHAnsi"/>
          <w:sz w:val="24"/>
          <w:szCs w:val="24"/>
        </w:rPr>
        <w:t xml:space="preserve">with potentially </w:t>
      </w:r>
      <w:r w:rsidRPr="0052047D">
        <w:rPr>
          <w:rFonts w:cstheme="minorHAnsi"/>
          <w:sz w:val="24"/>
          <w:szCs w:val="24"/>
        </w:rPr>
        <w:t xml:space="preserve">disastrous </w:t>
      </w:r>
      <w:r>
        <w:rPr>
          <w:rFonts w:cstheme="minorHAnsi"/>
          <w:sz w:val="24"/>
          <w:szCs w:val="24"/>
        </w:rPr>
        <w:t xml:space="preserve">consequences for the </w:t>
      </w:r>
      <w:r w:rsidRPr="0052047D">
        <w:rPr>
          <w:rFonts w:cstheme="minorHAnsi"/>
          <w:sz w:val="24"/>
          <w:szCs w:val="24"/>
        </w:rPr>
        <w:t>retail automotive</w:t>
      </w:r>
      <w:r>
        <w:rPr>
          <w:rFonts w:cstheme="minorHAnsi"/>
          <w:sz w:val="24"/>
          <w:szCs w:val="24"/>
        </w:rPr>
        <w:t xml:space="preserve"> industry.</w:t>
      </w:r>
    </w:p>
    <w:p w14:paraId="6320D8E8" w14:textId="2D9AFD67" w:rsidR="0052047D" w:rsidRDefault="0052047D" w:rsidP="00D10DBC">
      <w:pPr>
        <w:rPr>
          <w:rFonts w:cstheme="minorHAnsi"/>
          <w:sz w:val="24"/>
          <w:szCs w:val="24"/>
        </w:rPr>
      </w:pPr>
      <w:r w:rsidRPr="0052047D">
        <w:rPr>
          <w:rFonts w:cstheme="minorHAnsi"/>
          <w:sz w:val="24"/>
          <w:szCs w:val="24"/>
        </w:rPr>
        <w:t xml:space="preserve">The decrease in new vehicle sales is already being felt with the decline in sales currently at 8.8%. </w:t>
      </w:r>
      <w:bookmarkStart w:id="25" w:name="_Hlk26452052"/>
      <w:r w:rsidRPr="0052047D">
        <w:rPr>
          <w:rFonts w:cstheme="minorHAnsi"/>
          <w:sz w:val="24"/>
          <w:szCs w:val="24"/>
        </w:rPr>
        <w:t>The decline in sales is largely attributable to the current regulatory approach to financing</w:t>
      </w:r>
      <w:r w:rsidR="008F285C">
        <w:rPr>
          <w:rFonts w:cstheme="minorHAnsi"/>
          <w:sz w:val="24"/>
          <w:szCs w:val="24"/>
        </w:rPr>
        <w:t xml:space="preserve">, which </w:t>
      </w:r>
      <w:r w:rsidR="008F285C" w:rsidRPr="0052047D">
        <w:rPr>
          <w:rFonts w:cstheme="minorHAnsi"/>
          <w:sz w:val="24"/>
          <w:szCs w:val="24"/>
        </w:rPr>
        <w:t>is</w:t>
      </w:r>
      <w:r w:rsidRPr="0052047D">
        <w:rPr>
          <w:rFonts w:cstheme="minorHAnsi"/>
          <w:sz w:val="24"/>
          <w:szCs w:val="24"/>
        </w:rPr>
        <w:t xml:space="preserve"> hurting sales. This </w:t>
      </w:r>
      <w:r w:rsidR="008F285C">
        <w:rPr>
          <w:rFonts w:cstheme="minorHAnsi"/>
          <w:sz w:val="24"/>
          <w:szCs w:val="24"/>
        </w:rPr>
        <w:t xml:space="preserve">sales decline </w:t>
      </w:r>
      <w:r w:rsidRPr="0052047D">
        <w:rPr>
          <w:rFonts w:cstheme="minorHAnsi"/>
          <w:sz w:val="24"/>
          <w:szCs w:val="24"/>
        </w:rPr>
        <w:t>will impact future GST income estimates and other taxes and duties impose by the states.</w:t>
      </w:r>
    </w:p>
    <w:bookmarkEnd w:id="25"/>
    <w:p w14:paraId="46AE38BF" w14:textId="72AFC8AC" w:rsidR="00D10DBC" w:rsidRPr="00D10DBC" w:rsidRDefault="008F285C" w:rsidP="00D10DBC">
      <w:pPr>
        <w:rPr>
          <w:rFonts w:cstheme="minorHAnsi"/>
          <w:sz w:val="24"/>
          <w:szCs w:val="24"/>
        </w:rPr>
      </w:pPr>
      <w:r>
        <w:rPr>
          <w:rFonts w:cstheme="minorHAnsi"/>
          <w:sz w:val="24"/>
          <w:szCs w:val="24"/>
        </w:rPr>
        <w:t>VACC therefore advises that t</w:t>
      </w:r>
      <w:r w:rsidR="00D10DBC" w:rsidRPr="00D10DBC">
        <w:rPr>
          <w:rFonts w:cstheme="minorHAnsi"/>
          <w:sz w:val="24"/>
          <w:szCs w:val="24"/>
        </w:rPr>
        <w:t xml:space="preserve">he Financial Services Reform Implementation Taskforce must not agree to remove the point of sale exemption for retail automotive industry participants. </w:t>
      </w:r>
      <w:r>
        <w:rPr>
          <w:rFonts w:cstheme="minorHAnsi"/>
          <w:sz w:val="24"/>
          <w:szCs w:val="24"/>
        </w:rPr>
        <w:t>In addition, t</w:t>
      </w:r>
      <w:r w:rsidR="00D10DBC" w:rsidRPr="00D10DBC">
        <w:rPr>
          <w:rFonts w:cstheme="minorHAnsi"/>
          <w:sz w:val="24"/>
          <w:szCs w:val="24"/>
        </w:rPr>
        <w:t xml:space="preserve">here has been no government Regulatory or Business Impact Statement conducted by the Taskforce that has provided </w:t>
      </w:r>
      <w:r>
        <w:rPr>
          <w:rFonts w:cstheme="minorHAnsi"/>
          <w:sz w:val="24"/>
          <w:szCs w:val="24"/>
        </w:rPr>
        <w:t xml:space="preserve">an </w:t>
      </w:r>
      <w:r w:rsidR="00D10DBC" w:rsidRPr="00D10DBC">
        <w:rPr>
          <w:rFonts w:cstheme="minorHAnsi"/>
          <w:sz w:val="24"/>
          <w:szCs w:val="24"/>
        </w:rPr>
        <w:t xml:space="preserve">evidence portfolio that necessitates that the government should </w:t>
      </w:r>
      <w:r>
        <w:rPr>
          <w:rFonts w:cstheme="minorHAnsi"/>
          <w:sz w:val="24"/>
          <w:szCs w:val="24"/>
        </w:rPr>
        <w:t xml:space="preserve">support </w:t>
      </w:r>
      <w:r w:rsidR="00D10DBC" w:rsidRPr="00D10DBC">
        <w:rPr>
          <w:rFonts w:cstheme="minorHAnsi"/>
          <w:sz w:val="24"/>
          <w:szCs w:val="24"/>
        </w:rPr>
        <w:t xml:space="preserve">this decision. </w:t>
      </w:r>
    </w:p>
    <w:p w14:paraId="667536B0" w14:textId="74714765" w:rsidR="00D10DBC" w:rsidRPr="00D10DBC" w:rsidRDefault="00D10DBC" w:rsidP="00D10DBC">
      <w:pPr>
        <w:rPr>
          <w:rFonts w:cstheme="minorHAnsi"/>
          <w:b/>
          <w:sz w:val="24"/>
          <w:szCs w:val="24"/>
        </w:rPr>
      </w:pPr>
      <w:r w:rsidRPr="00D10DBC">
        <w:rPr>
          <w:rFonts w:cstheme="minorHAnsi"/>
          <w:b/>
          <w:sz w:val="24"/>
          <w:szCs w:val="24"/>
        </w:rPr>
        <w:t>Recommendation</w:t>
      </w:r>
      <w:r w:rsidR="00D975CC">
        <w:rPr>
          <w:rFonts w:cstheme="minorHAnsi"/>
          <w:b/>
          <w:sz w:val="24"/>
          <w:szCs w:val="24"/>
        </w:rPr>
        <w:t xml:space="preserve"> 13</w:t>
      </w:r>
      <w:r w:rsidRPr="00D10DBC">
        <w:rPr>
          <w:rFonts w:cstheme="minorHAnsi"/>
          <w:b/>
          <w:sz w:val="24"/>
          <w:szCs w:val="24"/>
        </w:rPr>
        <w:t>:</w:t>
      </w:r>
    </w:p>
    <w:p w14:paraId="39BFE770" w14:textId="4D5A4AA0" w:rsidR="00D10DBC" w:rsidRPr="00D975CC" w:rsidRDefault="00D10DBC" w:rsidP="00820FF0">
      <w:pPr>
        <w:pStyle w:val="ListParagraph"/>
        <w:numPr>
          <w:ilvl w:val="0"/>
          <w:numId w:val="41"/>
        </w:numPr>
        <w:rPr>
          <w:rFonts w:cstheme="minorHAnsi"/>
          <w:i/>
          <w:sz w:val="24"/>
          <w:szCs w:val="24"/>
        </w:rPr>
      </w:pPr>
      <w:bookmarkStart w:id="26" w:name="_Hlk26536990"/>
      <w:r w:rsidRPr="00D975CC">
        <w:rPr>
          <w:rFonts w:cstheme="minorHAnsi"/>
          <w:i/>
          <w:sz w:val="24"/>
          <w:szCs w:val="24"/>
        </w:rPr>
        <w:t>That retail motor industry participants are exempted from Hayne Recommendation 1.7 and be able to trade under the current Point of Sale exemption</w:t>
      </w:r>
      <w:r w:rsidR="00D975CC">
        <w:rPr>
          <w:rFonts w:cstheme="minorHAnsi"/>
          <w:i/>
          <w:sz w:val="24"/>
          <w:szCs w:val="24"/>
        </w:rPr>
        <w:t>.</w:t>
      </w:r>
      <w:bookmarkEnd w:id="26"/>
      <w:r w:rsidRPr="00D975CC">
        <w:rPr>
          <w:rFonts w:cstheme="minorHAnsi"/>
          <w:i/>
          <w:sz w:val="24"/>
          <w:szCs w:val="24"/>
        </w:rPr>
        <w:t xml:space="preserve"> </w:t>
      </w:r>
    </w:p>
    <w:p w14:paraId="1520C221" w14:textId="4DC978E4" w:rsidR="00820FF0" w:rsidRDefault="00820FF0" w:rsidP="00D10DBC">
      <w:pPr>
        <w:rPr>
          <w:rFonts w:cstheme="minorHAnsi"/>
          <w:b/>
          <w:sz w:val="24"/>
          <w:szCs w:val="24"/>
        </w:rPr>
      </w:pPr>
    </w:p>
    <w:p w14:paraId="14DF2686" w14:textId="37A524B2" w:rsidR="00820FF0" w:rsidRPr="008410F3" w:rsidRDefault="00820FF0" w:rsidP="00820FF0">
      <w:pPr>
        <w:pStyle w:val="Heading1"/>
        <w:shd w:val="clear" w:color="auto" w:fill="4472C4"/>
        <w:rPr>
          <w:rFonts w:asciiTheme="minorHAnsi" w:hAnsiTheme="minorHAnsi" w:cstheme="minorHAnsi"/>
          <w:sz w:val="24"/>
          <w:szCs w:val="24"/>
        </w:rPr>
      </w:pPr>
      <w:bookmarkStart w:id="27" w:name="_Toc27403128"/>
      <w:r>
        <w:rPr>
          <w:rFonts w:asciiTheme="minorHAnsi" w:hAnsiTheme="minorHAnsi" w:cstheme="minorHAnsi"/>
          <w:sz w:val="24"/>
          <w:szCs w:val="24"/>
        </w:rPr>
        <w:t>6</w:t>
      </w:r>
      <w:r w:rsidRPr="008410F3">
        <w:rPr>
          <w:rFonts w:asciiTheme="minorHAnsi" w:hAnsiTheme="minorHAnsi" w:cstheme="minorHAnsi"/>
          <w:sz w:val="24"/>
          <w:szCs w:val="24"/>
        </w:rPr>
        <w:t xml:space="preserve">. </w:t>
      </w:r>
      <w:r w:rsidRPr="00820FF0">
        <w:rPr>
          <w:rFonts w:asciiTheme="minorHAnsi" w:hAnsiTheme="minorHAnsi" w:cstheme="minorHAnsi"/>
          <w:sz w:val="24"/>
          <w:szCs w:val="24"/>
        </w:rPr>
        <w:t>Personal Property Security Reform</w:t>
      </w:r>
      <w:bookmarkEnd w:id="27"/>
    </w:p>
    <w:p w14:paraId="4FD58EBD" w14:textId="77777777" w:rsidR="00820FF0" w:rsidRPr="008410F3" w:rsidRDefault="00820FF0" w:rsidP="00820FF0">
      <w:pPr>
        <w:spacing w:line="240" w:lineRule="auto"/>
        <w:rPr>
          <w:rFonts w:cstheme="minorHAnsi"/>
          <w:sz w:val="24"/>
          <w:szCs w:val="24"/>
        </w:rPr>
      </w:pPr>
    </w:p>
    <w:p w14:paraId="35D264DE" w14:textId="5D47712C" w:rsidR="00D10DBC" w:rsidRPr="00820FF0" w:rsidRDefault="00D10DBC" w:rsidP="00D10DBC">
      <w:pPr>
        <w:rPr>
          <w:rFonts w:cstheme="minorHAnsi"/>
          <w:sz w:val="24"/>
          <w:szCs w:val="24"/>
        </w:rPr>
      </w:pPr>
      <w:r w:rsidRPr="00820FF0">
        <w:rPr>
          <w:rFonts w:cstheme="minorHAnsi"/>
          <w:sz w:val="24"/>
          <w:szCs w:val="24"/>
        </w:rPr>
        <w:t xml:space="preserve">The </w:t>
      </w:r>
      <w:bookmarkStart w:id="28" w:name="_Hlk26537428"/>
      <w:r w:rsidRPr="00820FF0">
        <w:rPr>
          <w:rFonts w:cstheme="minorHAnsi"/>
          <w:sz w:val="24"/>
          <w:szCs w:val="24"/>
        </w:rPr>
        <w:t xml:space="preserve">Personal Property Security Register (PPSR) </w:t>
      </w:r>
      <w:bookmarkEnd w:id="28"/>
      <w:r w:rsidRPr="00820FF0">
        <w:rPr>
          <w:rFonts w:cstheme="minorHAnsi"/>
          <w:sz w:val="24"/>
          <w:szCs w:val="24"/>
        </w:rPr>
        <w:t>is a vital tool for industry and consumer</w:t>
      </w:r>
      <w:r w:rsidR="00820FF0">
        <w:rPr>
          <w:rFonts w:cstheme="minorHAnsi"/>
          <w:sz w:val="24"/>
          <w:szCs w:val="24"/>
        </w:rPr>
        <w:t>s</w:t>
      </w:r>
      <w:r w:rsidRPr="00820FF0">
        <w:rPr>
          <w:rFonts w:cstheme="minorHAnsi"/>
          <w:sz w:val="24"/>
          <w:szCs w:val="24"/>
        </w:rPr>
        <w:t xml:space="preserve"> in the sale or acquisition of any motor vehicle. </w:t>
      </w:r>
      <w:bookmarkStart w:id="29" w:name="_Hlk26537132"/>
      <w:r w:rsidRPr="00820FF0">
        <w:rPr>
          <w:rFonts w:cstheme="minorHAnsi"/>
          <w:sz w:val="24"/>
          <w:szCs w:val="24"/>
        </w:rPr>
        <w:t>The Australian Financial Security Authority (AFSA)</w:t>
      </w:r>
      <w:bookmarkEnd w:id="29"/>
      <w:r w:rsidRPr="00820FF0">
        <w:rPr>
          <w:rFonts w:cstheme="minorHAnsi"/>
          <w:sz w:val="24"/>
          <w:szCs w:val="24"/>
        </w:rPr>
        <w:t xml:space="preserve"> are the administrators of the P</w:t>
      </w:r>
      <w:r w:rsidR="00820FF0">
        <w:rPr>
          <w:rFonts w:cstheme="minorHAnsi"/>
          <w:sz w:val="24"/>
          <w:szCs w:val="24"/>
        </w:rPr>
        <w:t>PSR.</w:t>
      </w:r>
    </w:p>
    <w:p w14:paraId="63745D48" w14:textId="77777777" w:rsidR="00D10DBC" w:rsidRPr="00820FF0" w:rsidRDefault="00D10DBC" w:rsidP="00D10DBC">
      <w:pPr>
        <w:rPr>
          <w:rFonts w:cstheme="minorHAnsi"/>
          <w:sz w:val="24"/>
          <w:szCs w:val="24"/>
        </w:rPr>
      </w:pPr>
      <w:r w:rsidRPr="00820FF0">
        <w:rPr>
          <w:rFonts w:cstheme="minorHAnsi"/>
          <w:sz w:val="24"/>
          <w:szCs w:val="24"/>
        </w:rPr>
        <w:t xml:space="preserve">As part of the Australian Government announcement of the Takata Airbag Recall, AFSA agreed to a VACC recommendation that the PPSR be updated to provide consumers and industry with information about whether a car has affected Takata Airbags and is under Recall. The PPSR will now advise if the vehicle searched is </w:t>
      </w:r>
      <w:r w:rsidRPr="00820FF0">
        <w:rPr>
          <w:rFonts w:cstheme="minorHAnsi"/>
          <w:sz w:val="24"/>
          <w:szCs w:val="24"/>
        </w:rPr>
        <w:lastRenderedPageBreak/>
        <w:t>identified as part of the compulsory Takata recall on a search certificate.</w:t>
      </w:r>
    </w:p>
    <w:p w14:paraId="022B7BAF" w14:textId="02AFA512" w:rsidR="00D10DBC" w:rsidRPr="00820FF0" w:rsidRDefault="00D10DBC" w:rsidP="00D10DBC">
      <w:pPr>
        <w:rPr>
          <w:rFonts w:cstheme="minorHAnsi"/>
          <w:sz w:val="24"/>
          <w:szCs w:val="24"/>
        </w:rPr>
      </w:pPr>
      <w:r w:rsidRPr="00820FF0">
        <w:rPr>
          <w:rFonts w:cstheme="minorHAnsi"/>
          <w:sz w:val="24"/>
          <w:szCs w:val="24"/>
        </w:rPr>
        <w:t xml:space="preserve">VACC believes that enhancements should be made to the PPSR that will allow for all recalls announced by vehicle manufacturers </w:t>
      </w:r>
      <w:r w:rsidR="00820FF0">
        <w:rPr>
          <w:rFonts w:cstheme="minorHAnsi"/>
          <w:sz w:val="24"/>
          <w:szCs w:val="24"/>
        </w:rPr>
        <w:t xml:space="preserve">to be </w:t>
      </w:r>
      <w:r w:rsidRPr="00820FF0">
        <w:rPr>
          <w:rFonts w:cstheme="minorHAnsi"/>
          <w:sz w:val="24"/>
          <w:szCs w:val="24"/>
        </w:rPr>
        <w:t xml:space="preserve">made available on a PPSR search certificate. This will provide greater surety to industry in retailing and acquiring vehicles to and from the public as well as provide consumers in the private to private </w:t>
      </w:r>
      <w:r w:rsidR="00820FF0">
        <w:rPr>
          <w:rFonts w:cstheme="minorHAnsi"/>
          <w:sz w:val="24"/>
          <w:szCs w:val="24"/>
        </w:rPr>
        <w:t xml:space="preserve">sales </w:t>
      </w:r>
      <w:r w:rsidRPr="00820FF0">
        <w:rPr>
          <w:rFonts w:cstheme="minorHAnsi"/>
          <w:sz w:val="24"/>
          <w:szCs w:val="24"/>
        </w:rPr>
        <w:t>market with valuable information</w:t>
      </w:r>
    </w:p>
    <w:p w14:paraId="5934AAF6" w14:textId="3BDD95D6" w:rsidR="00D10DBC" w:rsidRPr="00D10DBC" w:rsidRDefault="00D10DBC" w:rsidP="00D10DBC">
      <w:pPr>
        <w:rPr>
          <w:rFonts w:cstheme="minorHAnsi"/>
          <w:b/>
          <w:sz w:val="24"/>
          <w:szCs w:val="24"/>
        </w:rPr>
      </w:pPr>
      <w:r w:rsidRPr="00D10DBC">
        <w:rPr>
          <w:rFonts w:cstheme="minorHAnsi"/>
          <w:b/>
          <w:sz w:val="24"/>
          <w:szCs w:val="24"/>
        </w:rPr>
        <w:t>Recommendation</w:t>
      </w:r>
      <w:r w:rsidR="00D975CC">
        <w:rPr>
          <w:rFonts w:cstheme="minorHAnsi"/>
          <w:b/>
          <w:sz w:val="24"/>
          <w:szCs w:val="24"/>
        </w:rPr>
        <w:t xml:space="preserve"> 14</w:t>
      </w:r>
      <w:r w:rsidRPr="00D10DBC">
        <w:rPr>
          <w:rFonts w:cstheme="minorHAnsi"/>
          <w:b/>
          <w:sz w:val="24"/>
          <w:szCs w:val="24"/>
        </w:rPr>
        <w:t>:</w:t>
      </w:r>
    </w:p>
    <w:p w14:paraId="286FB22B" w14:textId="2092ABBB" w:rsidR="005F59ED" w:rsidRPr="00D975CC" w:rsidRDefault="00D10DBC" w:rsidP="00820FF0">
      <w:pPr>
        <w:pStyle w:val="ListParagraph"/>
        <w:numPr>
          <w:ilvl w:val="0"/>
          <w:numId w:val="41"/>
        </w:numPr>
        <w:rPr>
          <w:rFonts w:cstheme="minorHAnsi"/>
          <w:i/>
          <w:sz w:val="24"/>
          <w:szCs w:val="24"/>
        </w:rPr>
      </w:pPr>
      <w:bookmarkStart w:id="30" w:name="_Hlk26537628"/>
      <w:r w:rsidRPr="00D975CC">
        <w:rPr>
          <w:rFonts w:cstheme="minorHAnsi"/>
          <w:i/>
          <w:sz w:val="24"/>
          <w:szCs w:val="24"/>
        </w:rPr>
        <w:t>That the Federal Government provide addition funding to</w:t>
      </w:r>
      <w:r w:rsidR="00D975CC" w:rsidRPr="00D975CC">
        <w:t xml:space="preserve"> </w:t>
      </w:r>
      <w:r w:rsidR="00D975CC" w:rsidRPr="00D975CC">
        <w:rPr>
          <w:rFonts w:cstheme="minorHAnsi"/>
          <w:i/>
          <w:sz w:val="24"/>
          <w:szCs w:val="24"/>
        </w:rPr>
        <w:t>AFSA</w:t>
      </w:r>
      <w:r w:rsidRPr="00D975CC">
        <w:rPr>
          <w:rFonts w:cstheme="minorHAnsi"/>
          <w:i/>
          <w:sz w:val="24"/>
          <w:szCs w:val="24"/>
        </w:rPr>
        <w:t xml:space="preserve"> for further development of the </w:t>
      </w:r>
      <w:r w:rsidR="00D975CC" w:rsidRPr="00D975CC">
        <w:rPr>
          <w:rFonts w:cstheme="minorHAnsi"/>
          <w:i/>
          <w:sz w:val="24"/>
          <w:szCs w:val="24"/>
        </w:rPr>
        <w:t xml:space="preserve">Personal Property Security Register (PPSR) </w:t>
      </w:r>
      <w:r w:rsidRPr="00D975CC">
        <w:rPr>
          <w:rFonts w:cstheme="minorHAnsi"/>
          <w:i/>
          <w:sz w:val="24"/>
          <w:szCs w:val="24"/>
        </w:rPr>
        <w:t>for the purposes of increasing vehicle recall information on a PPSR Search Certificate.</w:t>
      </w:r>
      <w:bookmarkEnd w:id="30"/>
    </w:p>
    <w:sectPr w:rsidR="005F59ED" w:rsidRPr="00D975CC" w:rsidSect="00710356">
      <w:footerReference w:type="default" r:id="rId17"/>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516F3" w14:textId="77777777" w:rsidR="002D143D" w:rsidRDefault="002D143D" w:rsidP="004E4F43">
      <w:pPr>
        <w:spacing w:after="0" w:line="240" w:lineRule="auto"/>
      </w:pPr>
      <w:r>
        <w:separator/>
      </w:r>
    </w:p>
  </w:endnote>
  <w:endnote w:type="continuationSeparator" w:id="0">
    <w:p w14:paraId="6B1ED6A7" w14:textId="77777777" w:rsidR="002D143D" w:rsidRDefault="002D143D" w:rsidP="004E4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BB62" w14:textId="77777777" w:rsidR="006323A7" w:rsidRDefault="00632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242729"/>
      <w:docPartObj>
        <w:docPartGallery w:val="Page Numbers (Bottom of Page)"/>
        <w:docPartUnique/>
      </w:docPartObj>
    </w:sdtPr>
    <w:sdtEndPr>
      <w:rPr>
        <w:noProof/>
      </w:rPr>
    </w:sdtEndPr>
    <w:sdtContent>
      <w:p w14:paraId="26025197" w14:textId="77777777" w:rsidR="002D143D" w:rsidRDefault="002D143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200DDBB" w14:textId="77777777" w:rsidR="002D143D" w:rsidRDefault="002D1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9235F" w14:textId="77777777" w:rsidR="006323A7" w:rsidRDefault="006323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sz w:val="20"/>
        <w:szCs w:val="20"/>
      </w:rPr>
      <w:id w:val="-334534986"/>
      <w:docPartObj>
        <w:docPartGallery w:val="Page Numbers (Bottom of Page)"/>
        <w:docPartUnique/>
      </w:docPartObj>
    </w:sdtPr>
    <w:sdtEndPr>
      <w:rPr>
        <w:noProof/>
      </w:rPr>
    </w:sdtEndPr>
    <w:sdtContent>
      <w:p w14:paraId="60D1DE2C" w14:textId="6B3081CF" w:rsidR="002D143D" w:rsidRPr="00A25372" w:rsidRDefault="002D143D" w:rsidP="008E78B0">
        <w:pPr>
          <w:pStyle w:val="Footer"/>
          <w:jc w:val="right"/>
          <w:rPr>
            <w:rFonts w:ascii="Calibri" w:hAnsi="Calibri"/>
            <w:sz w:val="20"/>
            <w:szCs w:val="20"/>
          </w:rPr>
        </w:pPr>
        <w:r w:rsidRPr="00A25372">
          <w:rPr>
            <w:rFonts w:ascii="Calibri" w:hAnsi="Calibri"/>
            <w:color w:val="1F3864"/>
            <w:sz w:val="20"/>
            <w:szCs w:val="20"/>
          </w:rPr>
          <w:fldChar w:fldCharType="begin"/>
        </w:r>
        <w:r w:rsidRPr="00A25372">
          <w:rPr>
            <w:rFonts w:ascii="Calibri" w:hAnsi="Calibri"/>
            <w:color w:val="1F3864"/>
            <w:sz w:val="20"/>
            <w:szCs w:val="20"/>
          </w:rPr>
          <w:instrText xml:space="preserve"> PAGE   \* MERGEFORMAT </w:instrText>
        </w:r>
        <w:r w:rsidRPr="00A25372">
          <w:rPr>
            <w:rFonts w:ascii="Calibri" w:hAnsi="Calibri"/>
            <w:color w:val="1F3864"/>
            <w:sz w:val="20"/>
            <w:szCs w:val="20"/>
          </w:rPr>
          <w:fldChar w:fldCharType="separate"/>
        </w:r>
        <w:r w:rsidR="002922CE">
          <w:rPr>
            <w:rFonts w:ascii="Calibri" w:hAnsi="Calibri"/>
            <w:noProof/>
            <w:color w:val="1F3864"/>
            <w:sz w:val="20"/>
            <w:szCs w:val="20"/>
          </w:rPr>
          <w:t>14</w:t>
        </w:r>
        <w:r w:rsidRPr="00A25372">
          <w:rPr>
            <w:rFonts w:ascii="Calibri" w:hAnsi="Calibri"/>
            <w:noProof/>
            <w:color w:val="1F3864"/>
            <w:sz w:val="20"/>
            <w:szCs w:val="20"/>
          </w:rPr>
          <w:fldChar w:fldCharType="end"/>
        </w:r>
        <w:r w:rsidRPr="00A25372">
          <w:rPr>
            <w:rFonts w:ascii="Calibri" w:hAnsi="Calibri"/>
            <w:noProof/>
            <w:sz w:val="20"/>
            <w:szCs w:val="20"/>
          </w:rPr>
          <w:t xml:space="preserve">  </w:t>
        </w:r>
        <w:r w:rsidRPr="00A25372">
          <w:rPr>
            <w:rFonts w:ascii="Calibri" w:hAnsi="Calibri"/>
            <w:b/>
            <w:noProof/>
            <w:color w:val="2F5496"/>
            <w:sz w:val="20"/>
            <w:szCs w:val="20"/>
          </w:rPr>
          <w:t>V</w:t>
        </w:r>
        <w:r w:rsidRPr="00A25372">
          <w:rPr>
            <w:rFonts w:ascii="Calibri" w:hAnsi="Calibri"/>
            <w:b/>
            <w:i/>
            <w:noProof/>
            <w:color w:val="FF6600"/>
            <w:sz w:val="20"/>
            <w:szCs w:val="20"/>
          </w:rPr>
          <w:t>A</w:t>
        </w:r>
        <w:r w:rsidRPr="00A25372">
          <w:rPr>
            <w:rFonts w:ascii="Calibri" w:hAnsi="Calibri"/>
            <w:b/>
            <w:noProof/>
            <w:color w:val="2F5496"/>
            <w:sz w:val="20"/>
            <w:szCs w:val="20"/>
          </w:rPr>
          <w:t>CC</w:t>
        </w:r>
        <w:r w:rsidRPr="00A25372">
          <w:rPr>
            <w:rFonts w:ascii="Calibri" w:hAnsi="Calibri"/>
            <w:noProof/>
            <w:sz w:val="20"/>
            <w:szCs w:val="20"/>
          </w:rPr>
          <w:t xml:space="preserve"> </w:t>
        </w:r>
        <w:r w:rsidR="00837581">
          <w:rPr>
            <w:rFonts w:ascii="Calibri" w:hAnsi="Calibri"/>
            <w:noProof/>
            <w:color w:val="1F3864"/>
            <w:sz w:val="20"/>
            <w:szCs w:val="20"/>
          </w:rPr>
          <w:t>Dec 201</w:t>
        </w:r>
        <w:r w:rsidR="006323A7">
          <w:rPr>
            <w:rFonts w:ascii="Calibri" w:hAnsi="Calibri"/>
            <w:noProof/>
            <w:color w:val="1F3864"/>
            <w:sz w:val="20"/>
            <w:szCs w:val="20"/>
          </w:rPr>
          <w:t>7</w:t>
        </w:r>
        <w:r w:rsidRPr="00A25372">
          <w:rPr>
            <w:rFonts w:ascii="Calibri" w:hAnsi="Calibri"/>
            <w:noProof/>
            <w:color w:val="1F3864"/>
            <w:sz w:val="20"/>
            <w:szCs w:val="20"/>
          </w:rPr>
          <w:t xml:space="preserve"> </w:t>
        </w:r>
      </w:p>
    </w:sdtContent>
  </w:sdt>
  <w:p w14:paraId="6E45271B" w14:textId="77777777" w:rsidR="002D143D" w:rsidRDefault="002D143D">
    <w:pPr>
      <w:pStyle w:val="Footer"/>
      <w:jc w:val="right"/>
    </w:pPr>
  </w:p>
  <w:p w14:paraId="6DFA30F0" w14:textId="77777777" w:rsidR="002D143D" w:rsidRDefault="002D1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B602D" w14:textId="77777777" w:rsidR="002D143D" w:rsidRDefault="002D143D" w:rsidP="004E4F43">
      <w:pPr>
        <w:spacing w:after="0" w:line="240" w:lineRule="auto"/>
      </w:pPr>
      <w:r>
        <w:separator/>
      </w:r>
    </w:p>
  </w:footnote>
  <w:footnote w:type="continuationSeparator" w:id="0">
    <w:p w14:paraId="4DB003C6" w14:textId="77777777" w:rsidR="002D143D" w:rsidRDefault="002D143D" w:rsidP="004E4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6E25" w14:textId="77777777" w:rsidR="006323A7" w:rsidRDefault="00632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1060C" w14:textId="77777777" w:rsidR="006323A7" w:rsidRDefault="006323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95267" w14:textId="77777777" w:rsidR="006323A7" w:rsidRDefault="00632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9E4"/>
    <w:multiLevelType w:val="hybridMultilevel"/>
    <w:tmpl w:val="95A09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97EB5"/>
    <w:multiLevelType w:val="hybridMultilevel"/>
    <w:tmpl w:val="132A9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6532C0"/>
    <w:multiLevelType w:val="hybridMultilevel"/>
    <w:tmpl w:val="5D62D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505038"/>
    <w:multiLevelType w:val="hybridMultilevel"/>
    <w:tmpl w:val="7E4EE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8C0BB3"/>
    <w:multiLevelType w:val="hybridMultilevel"/>
    <w:tmpl w:val="5950B6A6"/>
    <w:lvl w:ilvl="0" w:tplc="0C09000F">
      <w:start w:val="1"/>
      <w:numFmt w:val="decimal"/>
      <w:lvlText w:val="%1."/>
      <w:lvlJc w:val="left"/>
      <w:pPr>
        <w:ind w:left="720" w:hanging="360"/>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3F05F8"/>
    <w:multiLevelType w:val="hybridMultilevel"/>
    <w:tmpl w:val="43CA18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8B62CC7"/>
    <w:multiLevelType w:val="hybridMultilevel"/>
    <w:tmpl w:val="105E6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A421DD"/>
    <w:multiLevelType w:val="hybridMultilevel"/>
    <w:tmpl w:val="7242E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546BC4"/>
    <w:multiLevelType w:val="hybridMultilevel"/>
    <w:tmpl w:val="BB1496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1CFF0A83"/>
    <w:multiLevelType w:val="hybridMultilevel"/>
    <w:tmpl w:val="19842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702C84"/>
    <w:multiLevelType w:val="hybridMultilevel"/>
    <w:tmpl w:val="16306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2E577B"/>
    <w:multiLevelType w:val="hybridMultilevel"/>
    <w:tmpl w:val="BA3E6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167F61"/>
    <w:multiLevelType w:val="hybridMultilevel"/>
    <w:tmpl w:val="E028E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F65437"/>
    <w:multiLevelType w:val="hybridMultilevel"/>
    <w:tmpl w:val="06FEB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F22C0D"/>
    <w:multiLevelType w:val="hybridMultilevel"/>
    <w:tmpl w:val="587AC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F43851"/>
    <w:multiLevelType w:val="hybridMultilevel"/>
    <w:tmpl w:val="CACEC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C533C4"/>
    <w:multiLevelType w:val="hybridMultilevel"/>
    <w:tmpl w:val="55527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FC64DA"/>
    <w:multiLevelType w:val="hybridMultilevel"/>
    <w:tmpl w:val="A59CE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6734D5"/>
    <w:multiLevelType w:val="hybridMultilevel"/>
    <w:tmpl w:val="FD66E34A"/>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9" w15:restartNumberingAfterBreak="0">
    <w:nsid w:val="370E5303"/>
    <w:multiLevelType w:val="hybridMultilevel"/>
    <w:tmpl w:val="B23AE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227F82"/>
    <w:multiLevelType w:val="hybridMultilevel"/>
    <w:tmpl w:val="548A8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785EF6"/>
    <w:multiLevelType w:val="hybridMultilevel"/>
    <w:tmpl w:val="19AE8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AB02E9"/>
    <w:multiLevelType w:val="hybridMultilevel"/>
    <w:tmpl w:val="C2501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C21A31"/>
    <w:multiLevelType w:val="hybridMultilevel"/>
    <w:tmpl w:val="03A2B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0273DA"/>
    <w:multiLevelType w:val="hybridMultilevel"/>
    <w:tmpl w:val="68060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961F7B"/>
    <w:multiLevelType w:val="hybridMultilevel"/>
    <w:tmpl w:val="BB1A7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CC2EB1"/>
    <w:multiLevelType w:val="hybridMultilevel"/>
    <w:tmpl w:val="49B64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0E65AA"/>
    <w:multiLevelType w:val="hybridMultilevel"/>
    <w:tmpl w:val="31A283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2F51E2"/>
    <w:multiLevelType w:val="hybridMultilevel"/>
    <w:tmpl w:val="063A28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9F6F82"/>
    <w:multiLevelType w:val="hybridMultilevel"/>
    <w:tmpl w:val="522279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96D7BFE"/>
    <w:multiLevelType w:val="hybridMultilevel"/>
    <w:tmpl w:val="43023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870E2E"/>
    <w:multiLevelType w:val="hybridMultilevel"/>
    <w:tmpl w:val="B400F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F13DBE"/>
    <w:multiLevelType w:val="hybridMultilevel"/>
    <w:tmpl w:val="BB426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00197C"/>
    <w:multiLevelType w:val="hybridMultilevel"/>
    <w:tmpl w:val="D20EE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3B125E"/>
    <w:multiLevelType w:val="hybridMultilevel"/>
    <w:tmpl w:val="BF3AA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75135A"/>
    <w:multiLevelType w:val="hybridMultilevel"/>
    <w:tmpl w:val="45789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783DA0"/>
    <w:multiLevelType w:val="hybridMultilevel"/>
    <w:tmpl w:val="A48C0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9F3546"/>
    <w:multiLevelType w:val="hybridMultilevel"/>
    <w:tmpl w:val="01046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3B4219"/>
    <w:multiLevelType w:val="hybridMultilevel"/>
    <w:tmpl w:val="D338B5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D54112E"/>
    <w:multiLevelType w:val="hybridMultilevel"/>
    <w:tmpl w:val="FAEA7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4C191A"/>
    <w:multiLevelType w:val="hybridMultilevel"/>
    <w:tmpl w:val="6CE0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D16DA3"/>
    <w:multiLevelType w:val="hybridMultilevel"/>
    <w:tmpl w:val="B8CE3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1E013E"/>
    <w:multiLevelType w:val="hybridMultilevel"/>
    <w:tmpl w:val="8E025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5B290B"/>
    <w:multiLevelType w:val="hybridMultilevel"/>
    <w:tmpl w:val="E4EE4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35"/>
  </w:num>
  <w:num w:numId="3">
    <w:abstractNumId w:val="6"/>
  </w:num>
  <w:num w:numId="4">
    <w:abstractNumId w:val="1"/>
  </w:num>
  <w:num w:numId="5">
    <w:abstractNumId w:val="14"/>
  </w:num>
  <w:num w:numId="6">
    <w:abstractNumId w:val="3"/>
  </w:num>
  <w:num w:numId="7">
    <w:abstractNumId w:val="38"/>
  </w:num>
  <w:num w:numId="8">
    <w:abstractNumId w:val="17"/>
  </w:num>
  <w:num w:numId="9">
    <w:abstractNumId w:val="43"/>
  </w:num>
  <w:num w:numId="10">
    <w:abstractNumId w:val="30"/>
  </w:num>
  <w:num w:numId="11">
    <w:abstractNumId w:val="16"/>
  </w:num>
  <w:num w:numId="12">
    <w:abstractNumId w:val="5"/>
  </w:num>
  <w:num w:numId="13">
    <w:abstractNumId w:val="15"/>
  </w:num>
  <w:num w:numId="14">
    <w:abstractNumId w:val="24"/>
  </w:num>
  <w:num w:numId="15">
    <w:abstractNumId w:val="9"/>
  </w:num>
  <w:num w:numId="16">
    <w:abstractNumId w:val="0"/>
  </w:num>
  <w:num w:numId="17">
    <w:abstractNumId w:val="4"/>
  </w:num>
  <w:num w:numId="18">
    <w:abstractNumId w:val="12"/>
  </w:num>
  <w:num w:numId="19">
    <w:abstractNumId w:val="42"/>
  </w:num>
  <w:num w:numId="20">
    <w:abstractNumId w:val="25"/>
  </w:num>
  <w:num w:numId="21">
    <w:abstractNumId w:val="40"/>
  </w:num>
  <w:num w:numId="22">
    <w:abstractNumId w:val="23"/>
  </w:num>
  <w:num w:numId="23">
    <w:abstractNumId w:val="7"/>
  </w:num>
  <w:num w:numId="24">
    <w:abstractNumId w:val="36"/>
  </w:num>
  <w:num w:numId="25">
    <w:abstractNumId w:val="32"/>
  </w:num>
  <w:num w:numId="26">
    <w:abstractNumId w:val="34"/>
  </w:num>
  <w:num w:numId="27">
    <w:abstractNumId w:val="27"/>
  </w:num>
  <w:num w:numId="28">
    <w:abstractNumId w:val="13"/>
  </w:num>
  <w:num w:numId="29">
    <w:abstractNumId w:val="11"/>
  </w:num>
  <w:num w:numId="30">
    <w:abstractNumId w:val="33"/>
  </w:num>
  <w:num w:numId="31">
    <w:abstractNumId w:val="37"/>
  </w:num>
  <w:num w:numId="32">
    <w:abstractNumId w:val="28"/>
  </w:num>
  <w:num w:numId="33">
    <w:abstractNumId w:val="29"/>
  </w:num>
  <w:num w:numId="34">
    <w:abstractNumId w:val="10"/>
  </w:num>
  <w:num w:numId="35">
    <w:abstractNumId w:val="18"/>
  </w:num>
  <w:num w:numId="36">
    <w:abstractNumId w:val="2"/>
  </w:num>
  <w:num w:numId="37">
    <w:abstractNumId w:val="22"/>
  </w:num>
  <w:num w:numId="38">
    <w:abstractNumId w:val="8"/>
  </w:num>
  <w:num w:numId="39">
    <w:abstractNumId w:val="26"/>
  </w:num>
  <w:num w:numId="40">
    <w:abstractNumId w:val="39"/>
  </w:num>
  <w:num w:numId="41">
    <w:abstractNumId w:val="31"/>
  </w:num>
  <w:num w:numId="42">
    <w:abstractNumId w:val="41"/>
  </w:num>
  <w:num w:numId="43">
    <w:abstractNumId w:val="21"/>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B24"/>
    <w:rsid w:val="00013323"/>
    <w:rsid w:val="000158ED"/>
    <w:rsid w:val="00017B01"/>
    <w:rsid w:val="00020229"/>
    <w:rsid w:val="000211E2"/>
    <w:rsid w:val="000300CF"/>
    <w:rsid w:val="00036E2F"/>
    <w:rsid w:val="000371E4"/>
    <w:rsid w:val="0004128A"/>
    <w:rsid w:val="00046DF3"/>
    <w:rsid w:val="00047171"/>
    <w:rsid w:val="00054BB8"/>
    <w:rsid w:val="00063A55"/>
    <w:rsid w:val="00063FF0"/>
    <w:rsid w:val="00064417"/>
    <w:rsid w:val="00064AA0"/>
    <w:rsid w:val="00076071"/>
    <w:rsid w:val="00085F06"/>
    <w:rsid w:val="000911D3"/>
    <w:rsid w:val="000942A5"/>
    <w:rsid w:val="00094B95"/>
    <w:rsid w:val="000A2974"/>
    <w:rsid w:val="000A2E0B"/>
    <w:rsid w:val="000B7B97"/>
    <w:rsid w:val="000D0344"/>
    <w:rsid w:val="000D285D"/>
    <w:rsid w:val="000D57A4"/>
    <w:rsid w:val="000D5B0B"/>
    <w:rsid w:val="000F30E6"/>
    <w:rsid w:val="000F4EFC"/>
    <w:rsid w:val="00103B6F"/>
    <w:rsid w:val="0010753D"/>
    <w:rsid w:val="001126AA"/>
    <w:rsid w:val="001332A3"/>
    <w:rsid w:val="00133E23"/>
    <w:rsid w:val="00137C09"/>
    <w:rsid w:val="00137EDB"/>
    <w:rsid w:val="00143E7F"/>
    <w:rsid w:val="001446A0"/>
    <w:rsid w:val="0016504A"/>
    <w:rsid w:val="00177F92"/>
    <w:rsid w:val="00180624"/>
    <w:rsid w:val="00181EC4"/>
    <w:rsid w:val="001915D4"/>
    <w:rsid w:val="001961F3"/>
    <w:rsid w:val="0019669E"/>
    <w:rsid w:val="001B2015"/>
    <w:rsid w:val="001B69D1"/>
    <w:rsid w:val="001C43FC"/>
    <w:rsid w:val="001C6ED6"/>
    <w:rsid w:val="001E1065"/>
    <w:rsid w:val="001E2E83"/>
    <w:rsid w:val="001E6F4B"/>
    <w:rsid w:val="001F43CE"/>
    <w:rsid w:val="001F4551"/>
    <w:rsid w:val="001F6B2C"/>
    <w:rsid w:val="00200DF3"/>
    <w:rsid w:val="002074AF"/>
    <w:rsid w:val="00226D65"/>
    <w:rsid w:val="00234CF2"/>
    <w:rsid w:val="00243A91"/>
    <w:rsid w:val="00246B42"/>
    <w:rsid w:val="00254AA8"/>
    <w:rsid w:val="00262C2A"/>
    <w:rsid w:val="00280359"/>
    <w:rsid w:val="002837C7"/>
    <w:rsid w:val="002922CE"/>
    <w:rsid w:val="0029395D"/>
    <w:rsid w:val="00294BC8"/>
    <w:rsid w:val="002A3E59"/>
    <w:rsid w:val="002A4623"/>
    <w:rsid w:val="002B1A72"/>
    <w:rsid w:val="002B2500"/>
    <w:rsid w:val="002C03C5"/>
    <w:rsid w:val="002C4194"/>
    <w:rsid w:val="002C43F9"/>
    <w:rsid w:val="002C5737"/>
    <w:rsid w:val="002D143D"/>
    <w:rsid w:val="002D1463"/>
    <w:rsid w:val="002D6BAD"/>
    <w:rsid w:val="002E0650"/>
    <w:rsid w:val="002E2809"/>
    <w:rsid w:val="002F07C1"/>
    <w:rsid w:val="002F3437"/>
    <w:rsid w:val="002F5CD7"/>
    <w:rsid w:val="00300E95"/>
    <w:rsid w:val="003045B1"/>
    <w:rsid w:val="00304C59"/>
    <w:rsid w:val="0030697F"/>
    <w:rsid w:val="00310F23"/>
    <w:rsid w:val="00313940"/>
    <w:rsid w:val="003141CC"/>
    <w:rsid w:val="0032164D"/>
    <w:rsid w:val="00323E53"/>
    <w:rsid w:val="003425AD"/>
    <w:rsid w:val="003470BA"/>
    <w:rsid w:val="00351758"/>
    <w:rsid w:val="0036062A"/>
    <w:rsid w:val="0036650B"/>
    <w:rsid w:val="00374844"/>
    <w:rsid w:val="00377320"/>
    <w:rsid w:val="0038285D"/>
    <w:rsid w:val="00385C20"/>
    <w:rsid w:val="00392395"/>
    <w:rsid w:val="003A25ED"/>
    <w:rsid w:val="003A4994"/>
    <w:rsid w:val="003B0D82"/>
    <w:rsid w:val="003B3162"/>
    <w:rsid w:val="003B4363"/>
    <w:rsid w:val="003C30B7"/>
    <w:rsid w:val="003C31D1"/>
    <w:rsid w:val="003C5041"/>
    <w:rsid w:val="003D630B"/>
    <w:rsid w:val="003E340E"/>
    <w:rsid w:val="003E3A07"/>
    <w:rsid w:val="003F2A4E"/>
    <w:rsid w:val="003F54F8"/>
    <w:rsid w:val="00405851"/>
    <w:rsid w:val="0041040E"/>
    <w:rsid w:val="004107EB"/>
    <w:rsid w:val="00445976"/>
    <w:rsid w:val="00446C73"/>
    <w:rsid w:val="00450426"/>
    <w:rsid w:val="00463EF7"/>
    <w:rsid w:val="004651D5"/>
    <w:rsid w:val="004709B3"/>
    <w:rsid w:val="004820D1"/>
    <w:rsid w:val="004869C2"/>
    <w:rsid w:val="00490B9B"/>
    <w:rsid w:val="00495374"/>
    <w:rsid w:val="00497E66"/>
    <w:rsid w:val="004A0C6D"/>
    <w:rsid w:val="004A26D3"/>
    <w:rsid w:val="004A5C97"/>
    <w:rsid w:val="004A5FAF"/>
    <w:rsid w:val="004B23E0"/>
    <w:rsid w:val="004B5B35"/>
    <w:rsid w:val="004C105B"/>
    <w:rsid w:val="004C42B3"/>
    <w:rsid w:val="004C57D2"/>
    <w:rsid w:val="004C6201"/>
    <w:rsid w:val="004D01E2"/>
    <w:rsid w:val="004D3FD7"/>
    <w:rsid w:val="004D6B6E"/>
    <w:rsid w:val="004E386E"/>
    <w:rsid w:val="004E4F43"/>
    <w:rsid w:val="004F4E1A"/>
    <w:rsid w:val="004F502C"/>
    <w:rsid w:val="005156FC"/>
    <w:rsid w:val="0052047D"/>
    <w:rsid w:val="005224D6"/>
    <w:rsid w:val="00544440"/>
    <w:rsid w:val="0055116E"/>
    <w:rsid w:val="00553E72"/>
    <w:rsid w:val="00561238"/>
    <w:rsid w:val="005620F6"/>
    <w:rsid w:val="0056394E"/>
    <w:rsid w:val="0056502A"/>
    <w:rsid w:val="00571039"/>
    <w:rsid w:val="00573DE1"/>
    <w:rsid w:val="00576951"/>
    <w:rsid w:val="0058012C"/>
    <w:rsid w:val="0058016D"/>
    <w:rsid w:val="00583C61"/>
    <w:rsid w:val="00585A04"/>
    <w:rsid w:val="005B3D37"/>
    <w:rsid w:val="005B3F25"/>
    <w:rsid w:val="005D02EB"/>
    <w:rsid w:val="005F07BB"/>
    <w:rsid w:val="005F59ED"/>
    <w:rsid w:val="00611F05"/>
    <w:rsid w:val="00615A3F"/>
    <w:rsid w:val="00620617"/>
    <w:rsid w:val="00622519"/>
    <w:rsid w:val="00622748"/>
    <w:rsid w:val="006323A7"/>
    <w:rsid w:val="00632C04"/>
    <w:rsid w:val="00635AD1"/>
    <w:rsid w:val="00637CD6"/>
    <w:rsid w:val="00637E7C"/>
    <w:rsid w:val="00642229"/>
    <w:rsid w:val="006548C6"/>
    <w:rsid w:val="006548E5"/>
    <w:rsid w:val="006602FC"/>
    <w:rsid w:val="00664CAA"/>
    <w:rsid w:val="00672165"/>
    <w:rsid w:val="00683016"/>
    <w:rsid w:val="00683A8E"/>
    <w:rsid w:val="00683C9D"/>
    <w:rsid w:val="0068740E"/>
    <w:rsid w:val="0068759F"/>
    <w:rsid w:val="00687658"/>
    <w:rsid w:val="00687CD5"/>
    <w:rsid w:val="00693A1E"/>
    <w:rsid w:val="00693C50"/>
    <w:rsid w:val="006A508E"/>
    <w:rsid w:val="006A7408"/>
    <w:rsid w:val="006B18E6"/>
    <w:rsid w:val="006C4649"/>
    <w:rsid w:val="006C6806"/>
    <w:rsid w:val="006D4E30"/>
    <w:rsid w:val="006F3925"/>
    <w:rsid w:val="0070255E"/>
    <w:rsid w:val="00705589"/>
    <w:rsid w:val="00710356"/>
    <w:rsid w:val="00726D3B"/>
    <w:rsid w:val="00731847"/>
    <w:rsid w:val="00742912"/>
    <w:rsid w:val="00742923"/>
    <w:rsid w:val="00744B78"/>
    <w:rsid w:val="0075622C"/>
    <w:rsid w:val="00761516"/>
    <w:rsid w:val="007646A7"/>
    <w:rsid w:val="00765ED8"/>
    <w:rsid w:val="0077422A"/>
    <w:rsid w:val="0078002C"/>
    <w:rsid w:val="00784E32"/>
    <w:rsid w:val="00792299"/>
    <w:rsid w:val="007B1216"/>
    <w:rsid w:val="007C2444"/>
    <w:rsid w:val="007D63DC"/>
    <w:rsid w:val="007E1E94"/>
    <w:rsid w:val="007E2865"/>
    <w:rsid w:val="008012B3"/>
    <w:rsid w:val="00801A37"/>
    <w:rsid w:val="008046F9"/>
    <w:rsid w:val="0080684A"/>
    <w:rsid w:val="00807819"/>
    <w:rsid w:val="008120F7"/>
    <w:rsid w:val="008122F0"/>
    <w:rsid w:val="00816042"/>
    <w:rsid w:val="0081644D"/>
    <w:rsid w:val="008168D4"/>
    <w:rsid w:val="00820FF0"/>
    <w:rsid w:val="008213A8"/>
    <w:rsid w:val="0082486E"/>
    <w:rsid w:val="00827F16"/>
    <w:rsid w:val="008361F1"/>
    <w:rsid w:val="00837581"/>
    <w:rsid w:val="008410F3"/>
    <w:rsid w:val="00844433"/>
    <w:rsid w:val="00851850"/>
    <w:rsid w:val="0085217D"/>
    <w:rsid w:val="008611DC"/>
    <w:rsid w:val="0088112D"/>
    <w:rsid w:val="0088468F"/>
    <w:rsid w:val="008936DB"/>
    <w:rsid w:val="008A00A8"/>
    <w:rsid w:val="008A11B8"/>
    <w:rsid w:val="008A2987"/>
    <w:rsid w:val="008B1B21"/>
    <w:rsid w:val="008B295E"/>
    <w:rsid w:val="008B2D9E"/>
    <w:rsid w:val="008B7A8C"/>
    <w:rsid w:val="008D177B"/>
    <w:rsid w:val="008D2327"/>
    <w:rsid w:val="008D7897"/>
    <w:rsid w:val="008E25B2"/>
    <w:rsid w:val="008E78B0"/>
    <w:rsid w:val="008F285C"/>
    <w:rsid w:val="008F3C38"/>
    <w:rsid w:val="008F4B24"/>
    <w:rsid w:val="008F5EC4"/>
    <w:rsid w:val="00902CC8"/>
    <w:rsid w:val="009041CC"/>
    <w:rsid w:val="00925C4F"/>
    <w:rsid w:val="00941B0D"/>
    <w:rsid w:val="00970655"/>
    <w:rsid w:val="00971B91"/>
    <w:rsid w:val="00983F2A"/>
    <w:rsid w:val="009857C6"/>
    <w:rsid w:val="0099457A"/>
    <w:rsid w:val="009B4BD2"/>
    <w:rsid w:val="009B78DF"/>
    <w:rsid w:val="009C38D7"/>
    <w:rsid w:val="009C5BE5"/>
    <w:rsid w:val="009D1839"/>
    <w:rsid w:val="009D23FB"/>
    <w:rsid w:val="009D3393"/>
    <w:rsid w:val="009D5062"/>
    <w:rsid w:val="009D6283"/>
    <w:rsid w:val="009F31FE"/>
    <w:rsid w:val="00A05630"/>
    <w:rsid w:val="00A10E74"/>
    <w:rsid w:val="00A12D9F"/>
    <w:rsid w:val="00A145C1"/>
    <w:rsid w:val="00A42A2F"/>
    <w:rsid w:val="00A504C5"/>
    <w:rsid w:val="00A53F63"/>
    <w:rsid w:val="00A55BCE"/>
    <w:rsid w:val="00A733A0"/>
    <w:rsid w:val="00A75307"/>
    <w:rsid w:val="00A772D3"/>
    <w:rsid w:val="00A777A6"/>
    <w:rsid w:val="00A979C3"/>
    <w:rsid w:val="00AB57DE"/>
    <w:rsid w:val="00AC289D"/>
    <w:rsid w:val="00AC493D"/>
    <w:rsid w:val="00AD045E"/>
    <w:rsid w:val="00AD612F"/>
    <w:rsid w:val="00AD786B"/>
    <w:rsid w:val="00B00EDD"/>
    <w:rsid w:val="00B03F60"/>
    <w:rsid w:val="00B06B92"/>
    <w:rsid w:val="00B44118"/>
    <w:rsid w:val="00B6670C"/>
    <w:rsid w:val="00B714D5"/>
    <w:rsid w:val="00B77927"/>
    <w:rsid w:val="00B808B0"/>
    <w:rsid w:val="00B81A1A"/>
    <w:rsid w:val="00B82B88"/>
    <w:rsid w:val="00B946E4"/>
    <w:rsid w:val="00B95E21"/>
    <w:rsid w:val="00B97D74"/>
    <w:rsid w:val="00BB2DF5"/>
    <w:rsid w:val="00BB4E97"/>
    <w:rsid w:val="00BB59C9"/>
    <w:rsid w:val="00BC07DD"/>
    <w:rsid w:val="00BC1F8F"/>
    <w:rsid w:val="00BC5750"/>
    <w:rsid w:val="00BC604F"/>
    <w:rsid w:val="00BD1462"/>
    <w:rsid w:val="00BD72E7"/>
    <w:rsid w:val="00BE0CBB"/>
    <w:rsid w:val="00BE11B7"/>
    <w:rsid w:val="00BE2A4B"/>
    <w:rsid w:val="00BF17A9"/>
    <w:rsid w:val="00BF1F54"/>
    <w:rsid w:val="00C0001A"/>
    <w:rsid w:val="00C01E41"/>
    <w:rsid w:val="00C1238A"/>
    <w:rsid w:val="00C130C0"/>
    <w:rsid w:val="00C275CE"/>
    <w:rsid w:val="00C27BEA"/>
    <w:rsid w:val="00C31345"/>
    <w:rsid w:val="00C34B4E"/>
    <w:rsid w:val="00C35D6F"/>
    <w:rsid w:val="00C37764"/>
    <w:rsid w:val="00C629C4"/>
    <w:rsid w:val="00C63A91"/>
    <w:rsid w:val="00C66E9F"/>
    <w:rsid w:val="00C74253"/>
    <w:rsid w:val="00C8044A"/>
    <w:rsid w:val="00C8049F"/>
    <w:rsid w:val="00C81332"/>
    <w:rsid w:val="00C81862"/>
    <w:rsid w:val="00C84C4C"/>
    <w:rsid w:val="00CB2E2D"/>
    <w:rsid w:val="00CC6A18"/>
    <w:rsid w:val="00CD4B0A"/>
    <w:rsid w:val="00CD7FC7"/>
    <w:rsid w:val="00CE1ADE"/>
    <w:rsid w:val="00CE3CA1"/>
    <w:rsid w:val="00CE6515"/>
    <w:rsid w:val="00CF69CF"/>
    <w:rsid w:val="00CF7A0E"/>
    <w:rsid w:val="00D058D2"/>
    <w:rsid w:val="00D06218"/>
    <w:rsid w:val="00D10DBC"/>
    <w:rsid w:val="00D12060"/>
    <w:rsid w:val="00D13B3D"/>
    <w:rsid w:val="00D146E8"/>
    <w:rsid w:val="00D16E6B"/>
    <w:rsid w:val="00D356E4"/>
    <w:rsid w:val="00D474A9"/>
    <w:rsid w:val="00D5422F"/>
    <w:rsid w:val="00D55FF7"/>
    <w:rsid w:val="00D56D70"/>
    <w:rsid w:val="00D61446"/>
    <w:rsid w:val="00D623BB"/>
    <w:rsid w:val="00D70DC8"/>
    <w:rsid w:val="00D713C7"/>
    <w:rsid w:val="00D75DD7"/>
    <w:rsid w:val="00D80768"/>
    <w:rsid w:val="00D81469"/>
    <w:rsid w:val="00D818E3"/>
    <w:rsid w:val="00D92AA8"/>
    <w:rsid w:val="00D96B78"/>
    <w:rsid w:val="00D975CC"/>
    <w:rsid w:val="00DA03D2"/>
    <w:rsid w:val="00DB68C1"/>
    <w:rsid w:val="00DC026D"/>
    <w:rsid w:val="00DC1EA8"/>
    <w:rsid w:val="00DC5A3E"/>
    <w:rsid w:val="00DD6B5F"/>
    <w:rsid w:val="00DE14C3"/>
    <w:rsid w:val="00DE15AF"/>
    <w:rsid w:val="00DE1D5C"/>
    <w:rsid w:val="00DE379D"/>
    <w:rsid w:val="00DE3EED"/>
    <w:rsid w:val="00E028C4"/>
    <w:rsid w:val="00E03E96"/>
    <w:rsid w:val="00E11129"/>
    <w:rsid w:val="00E13B21"/>
    <w:rsid w:val="00E156D0"/>
    <w:rsid w:val="00E15778"/>
    <w:rsid w:val="00E15CA4"/>
    <w:rsid w:val="00E31BC4"/>
    <w:rsid w:val="00E43B9A"/>
    <w:rsid w:val="00E4501F"/>
    <w:rsid w:val="00E63B03"/>
    <w:rsid w:val="00E64D68"/>
    <w:rsid w:val="00E76560"/>
    <w:rsid w:val="00E8053A"/>
    <w:rsid w:val="00E83A4F"/>
    <w:rsid w:val="00E946F3"/>
    <w:rsid w:val="00EA4B02"/>
    <w:rsid w:val="00EB0135"/>
    <w:rsid w:val="00EB2540"/>
    <w:rsid w:val="00EB2DF4"/>
    <w:rsid w:val="00EB6F7E"/>
    <w:rsid w:val="00EC1764"/>
    <w:rsid w:val="00EC1F9A"/>
    <w:rsid w:val="00EC6D53"/>
    <w:rsid w:val="00EC7E04"/>
    <w:rsid w:val="00ED2DC7"/>
    <w:rsid w:val="00ED6C4D"/>
    <w:rsid w:val="00EE02A8"/>
    <w:rsid w:val="00EE2F95"/>
    <w:rsid w:val="00EE75D9"/>
    <w:rsid w:val="00EE780E"/>
    <w:rsid w:val="00EF0D21"/>
    <w:rsid w:val="00F02913"/>
    <w:rsid w:val="00F05122"/>
    <w:rsid w:val="00F1054D"/>
    <w:rsid w:val="00F12685"/>
    <w:rsid w:val="00F12E54"/>
    <w:rsid w:val="00F148FE"/>
    <w:rsid w:val="00F161D9"/>
    <w:rsid w:val="00F2392D"/>
    <w:rsid w:val="00F300A4"/>
    <w:rsid w:val="00F312F2"/>
    <w:rsid w:val="00F31459"/>
    <w:rsid w:val="00F36F13"/>
    <w:rsid w:val="00F4174E"/>
    <w:rsid w:val="00F421A8"/>
    <w:rsid w:val="00F45649"/>
    <w:rsid w:val="00F45B2F"/>
    <w:rsid w:val="00F47709"/>
    <w:rsid w:val="00F56DF0"/>
    <w:rsid w:val="00F57DA1"/>
    <w:rsid w:val="00F6148A"/>
    <w:rsid w:val="00F672B3"/>
    <w:rsid w:val="00F756B2"/>
    <w:rsid w:val="00F82DB8"/>
    <w:rsid w:val="00F96CE7"/>
    <w:rsid w:val="00FA0474"/>
    <w:rsid w:val="00FA393D"/>
    <w:rsid w:val="00FA3CC8"/>
    <w:rsid w:val="00FB2D43"/>
    <w:rsid w:val="00FC3B2D"/>
    <w:rsid w:val="00FC556B"/>
    <w:rsid w:val="00FD3C23"/>
    <w:rsid w:val="00FD5C7B"/>
    <w:rsid w:val="00FD68DD"/>
    <w:rsid w:val="00FF15E2"/>
    <w:rsid w:val="00FF56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2BC9D80"/>
  <w15:docId w15:val="{EE559232-CF65-489E-ABBD-38B095B3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5CC"/>
    <w:rPr>
      <w:lang w:val="en-AU"/>
    </w:rPr>
  </w:style>
  <w:style w:type="paragraph" w:styleId="Heading1">
    <w:name w:val="heading 1"/>
    <w:basedOn w:val="Normal"/>
    <w:next w:val="Normal"/>
    <w:link w:val="Heading1Char"/>
    <w:uiPriority w:val="9"/>
    <w:qFormat/>
    <w:rsid w:val="005B3F25"/>
    <w:pPr>
      <w:keepNext/>
      <w:keepLines/>
      <w:widowControl/>
      <w:spacing w:after="0" w:line="240" w:lineRule="auto"/>
      <w:outlineLvl w:val="0"/>
    </w:pPr>
    <w:rPr>
      <w:rFonts w:ascii="Calibri" w:eastAsiaTheme="majorEastAsia" w:hAnsi="Calibri" w:cstheme="majorBidi"/>
      <w:caps/>
      <w:color w:val="FFFFFF" w:themeColor="background1"/>
      <w:spacing w:val="15"/>
      <w:szCs w:val="32"/>
    </w:rPr>
  </w:style>
  <w:style w:type="paragraph" w:styleId="Heading2">
    <w:name w:val="heading 2"/>
    <w:basedOn w:val="Normal"/>
    <w:next w:val="Normal"/>
    <w:link w:val="Heading2Char"/>
    <w:uiPriority w:val="9"/>
    <w:unhideWhenUsed/>
    <w:qFormat/>
    <w:rsid w:val="00B81A1A"/>
    <w:pPr>
      <w:keepNext/>
      <w:keepLines/>
      <w:widowControl/>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25"/>
    <w:rPr>
      <w:rFonts w:ascii="Calibri" w:eastAsiaTheme="majorEastAsia" w:hAnsi="Calibri" w:cstheme="majorBidi"/>
      <w:caps/>
      <w:color w:val="FFFFFF" w:themeColor="background1"/>
      <w:spacing w:val="15"/>
      <w:szCs w:val="32"/>
      <w:lang w:val="en-AU"/>
    </w:rPr>
  </w:style>
  <w:style w:type="character" w:customStyle="1" w:styleId="Heading2Char">
    <w:name w:val="Heading 2 Char"/>
    <w:basedOn w:val="DefaultParagraphFont"/>
    <w:link w:val="Heading2"/>
    <w:uiPriority w:val="9"/>
    <w:rsid w:val="00B81A1A"/>
    <w:rPr>
      <w:rFonts w:asciiTheme="majorHAnsi" w:eastAsiaTheme="majorEastAsia" w:hAnsiTheme="majorHAnsi" w:cstheme="majorBidi"/>
      <w:color w:val="365F91" w:themeColor="accent1" w:themeShade="BF"/>
      <w:sz w:val="26"/>
      <w:szCs w:val="26"/>
      <w:lang w:val="en-AU"/>
    </w:rPr>
  </w:style>
  <w:style w:type="paragraph" w:styleId="ListParagraph">
    <w:name w:val="List Paragraph"/>
    <w:basedOn w:val="Normal"/>
    <w:uiPriority w:val="34"/>
    <w:qFormat/>
    <w:rsid w:val="00B81A1A"/>
    <w:pPr>
      <w:widowControl/>
      <w:ind w:left="720"/>
      <w:contextualSpacing/>
    </w:pPr>
  </w:style>
  <w:style w:type="paragraph" w:styleId="TOCHeading">
    <w:name w:val="TOC Heading"/>
    <w:basedOn w:val="Heading1"/>
    <w:next w:val="Normal"/>
    <w:uiPriority w:val="39"/>
    <w:unhideWhenUsed/>
    <w:qFormat/>
    <w:rsid w:val="00B81A1A"/>
    <w:pPr>
      <w:spacing w:before="240" w:line="259" w:lineRule="auto"/>
      <w:outlineLvl w:val="9"/>
    </w:pPr>
    <w:rPr>
      <w:rFonts w:asciiTheme="majorHAnsi" w:hAnsiTheme="majorHAnsi"/>
      <w:b/>
      <w:sz w:val="32"/>
      <w:lang w:val="en-US"/>
    </w:rPr>
  </w:style>
  <w:style w:type="paragraph" w:styleId="TOC1">
    <w:name w:val="toc 1"/>
    <w:basedOn w:val="Normal"/>
    <w:next w:val="Normal"/>
    <w:autoRedefine/>
    <w:uiPriority w:val="39"/>
    <w:unhideWhenUsed/>
    <w:rsid w:val="00B81A1A"/>
    <w:pPr>
      <w:widowControl/>
      <w:tabs>
        <w:tab w:val="right" w:leader="dot" w:pos="8755"/>
      </w:tabs>
      <w:spacing w:after="100" w:line="240" w:lineRule="auto"/>
    </w:pPr>
    <w:rPr>
      <w:rFonts w:ascii="Calibri" w:eastAsiaTheme="minorEastAsia" w:hAnsi="Calibri"/>
      <w:sz w:val="24"/>
      <w:szCs w:val="24"/>
    </w:rPr>
  </w:style>
  <w:style w:type="character" w:styleId="Hyperlink">
    <w:name w:val="Hyperlink"/>
    <w:basedOn w:val="DefaultParagraphFont"/>
    <w:uiPriority w:val="99"/>
    <w:unhideWhenUsed/>
    <w:rsid w:val="00B81A1A"/>
    <w:rPr>
      <w:color w:val="0000FF" w:themeColor="hyperlink"/>
      <w:u w:val="single"/>
    </w:rPr>
  </w:style>
  <w:style w:type="paragraph" w:styleId="TOC2">
    <w:name w:val="toc 2"/>
    <w:basedOn w:val="Normal"/>
    <w:next w:val="Normal"/>
    <w:autoRedefine/>
    <w:uiPriority w:val="39"/>
    <w:unhideWhenUsed/>
    <w:rsid w:val="00B81A1A"/>
    <w:pPr>
      <w:widowControl/>
      <w:spacing w:after="100" w:line="240" w:lineRule="auto"/>
      <w:ind w:left="240"/>
    </w:pPr>
    <w:rPr>
      <w:rFonts w:ascii="Calibri" w:eastAsiaTheme="minorEastAsia" w:hAnsi="Calibri"/>
      <w:sz w:val="24"/>
      <w:szCs w:val="24"/>
    </w:rPr>
  </w:style>
  <w:style w:type="paragraph" w:styleId="Header">
    <w:name w:val="header"/>
    <w:basedOn w:val="Normal"/>
    <w:link w:val="HeaderChar"/>
    <w:uiPriority w:val="99"/>
    <w:unhideWhenUsed/>
    <w:rsid w:val="004E4F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F43"/>
  </w:style>
  <w:style w:type="paragraph" w:styleId="Footer">
    <w:name w:val="footer"/>
    <w:basedOn w:val="Normal"/>
    <w:link w:val="FooterChar"/>
    <w:uiPriority w:val="99"/>
    <w:unhideWhenUsed/>
    <w:rsid w:val="004E4F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F43"/>
  </w:style>
  <w:style w:type="paragraph" w:styleId="BalloonText">
    <w:name w:val="Balloon Text"/>
    <w:basedOn w:val="Normal"/>
    <w:link w:val="BalloonTextChar"/>
    <w:uiPriority w:val="99"/>
    <w:semiHidden/>
    <w:unhideWhenUsed/>
    <w:rsid w:val="00726D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D3B"/>
    <w:rPr>
      <w:rFonts w:ascii="Segoe UI" w:hAnsi="Segoe UI" w:cs="Segoe UI"/>
      <w:sz w:val="18"/>
      <w:szCs w:val="18"/>
    </w:rPr>
  </w:style>
  <w:style w:type="paragraph" w:styleId="FootnoteText">
    <w:name w:val="footnote text"/>
    <w:basedOn w:val="Normal"/>
    <w:link w:val="FootnoteTextChar"/>
    <w:rsid w:val="00C81332"/>
    <w:pPr>
      <w:widowControl/>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C81332"/>
    <w:rPr>
      <w:rFonts w:ascii="Arial" w:eastAsia="Times New Roman" w:hAnsi="Arial" w:cs="Times New Roman"/>
      <w:sz w:val="20"/>
      <w:szCs w:val="20"/>
      <w:lang w:val="en-AU"/>
    </w:rPr>
  </w:style>
  <w:style w:type="character" w:styleId="FootnoteReference">
    <w:name w:val="footnote reference"/>
    <w:basedOn w:val="DefaultParagraphFont"/>
    <w:rsid w:val="00C81332"/>
    <w:rPr>
      <w:vertAlign w:val="superscript"/>
    </w:rPr>
  </w:style>
  <w:style w:type="table" w:styleId="GridTable5Dark-Accent1">
    <w:name w:val="Grid Table 5 Dark Accent 1"/>
    <w:basedOn w:val="TableNormal"/>
    <w:uiPriority w:val="50"/>
    <w:rsid w:val="00C81332"/>
    <w:pPr>
      <w:widowControl/>
      <w:spacing w:after="0" w:line="240" w:lineRule="auto"/>
    </w:pPr>
    <w:rPr>
      <w:rFonts w:ascii="Times New Roman" w:eastAsia="Times New Roman" w:hAnsi="Times New Roman" w:cs="Times New Roman"/>
      <w:sz w:val="20"/>
      <w:szCs w:val="20"/>
      <w:lang w:val="en-AU"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7Colorful-Accent1">
    <w:name w:val="Grid Table 7 Colorful Accent 1"/>
    <w:basedOn w:val="TableNormal"/>
    <w:uiPriority w:val="52"/>
    <w:rsid w:val="00F300A4"/>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92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customXml" Target="../customXml/item7.xml"/><Relationship Id="rId2" Type="http://schemas.openxmlformats.org/officeDocument/2006/relationships/numbering" Target="numbering.xml"/><Relationship Id="rId16" Type="http://schemas.openxmlformats.org/officeDocument/2006/relationships/hyperlink" Target="file://svfap04/depart/Research/Submissions/Federal%20Budget%20submissions/www.vacc.com.a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2020FG-108-9788</_dlc_DocId>
    <_dlc_DocIdUrl xmlns="0f563589-9cf9-4143-b1eb-fb0534803d38">
      <Url>http://tweb/sites/fg/bpd/_layouts/15/DocIdRedir.aspx?ID=2020FG-108-9788</Url>
      <Description>2020FG-108-9788</Description>
    </_dlc_DocIdUrl>
    <RoutingTargetPath xmlns="http://schemas.microsoft.com/sharepoint/v3">n/a</RoutingTargetPath>
    <RoutingTargetFolder xmlns="http://schemas.microsoft.com/sharepoint/v3">n/a</RoutingTargetFolder>
  </documentManagement>
</p:properties>
</file>

<file path=customXml/itemProps1.xml><?xml version="1.0" encoding="utf-8"?>
<ds:datastoreItem xmlns:ds="http://schemas.openxmlformats.org/officeDocument/2006/customXml" ds:itemID="{CC81AEDC-1CA2-4A84-BB75-0D4D458399B4}">
  <ds:schemaRefs>
    <ds:schemaRef ds:uri="http://schemas.openxmlformats.org/officeDocument/2006/bibliography"/>
  </ds:schemaRefs>
</ds:datastoreItem>
</file>

<file path=customXml/itemProps2.xml><?xml version="1.0" encoding="utf-8"?>
<ds:datastoreItem xmlns:ds="http://schemas.openxmlformats.org/officeDocument/2006/customXml" ds:itemID="{30A9A6B2-76C7-4A9C-90CC-B74CF9D6BD7C}"/>
</file>

<file path=customXml/itemProps3.xml><?xml version="1.0" encoding="utf-8"?>
<ds:datastoreItem xmlns:ds="http://schemas.openxmlformats.org/officeDocument/2006/customXml" ds:itemID="{83BF75AC-F0A2-4BF0-83A2-3E322BB8D512}"/>
</file>

<file path=customXml/itemProps4.xml><?xml version="1.0" encoding="utf-8"?>
<ds:datastoreItem xmlns:ds="http://schemas.openxmlformats.org/officeDocument/2006/customXml" ds:itemID="{70450F35-4CCE-4649-AC81-4B28CF2DC154}"/>
</file>

<file path=customXml/itemProps5.xml><?xml version="1.0" encoding="utf-8"?>
<ds:datastoreItem xmlns:ds="http://schemas.openxmlformats.org/officeDocument/2006/customXml" ds:itemID="{6E33FA2A-229A-4353-8B8C-10B48663490D}"/>
</file>

<file path=customXml/itemProps6.xml><?xml version="1.0" encoding="utf-8"?>
<ds:datastoreItem xmlns:ds="http://schemas.openxmlformats.org/officeDocument/2006/customXml" ds:itemID="{E01B992A-EC89-4A02-9AD0-C464B91549D9}"/>
</file>

<file path=customXml/itemProps7.xml><?xml version="1.0" encoding="utf-8"?>
<ds:datastoreItem xmlns:ds="http://schemas.openxmlformats.org/officeDocument/2006/customXml" ds:itemID="{2168B42D-F1AA-48C3-8336-E286C8628EE4}"/>
</file>

<file path=docProps/app.xml><?xml version="1.0" encoding="utf-8"?>
<Properties xmlns="http://schemas.openxmlformats.org/officeDocument/2006/extended-properties" xmlns:vt="http://schemas.openxmlformats.org/officeDocument/2006/docPropsVTypes">
  <Template>ACDB69AB.dotm</Template>
  <TotalTime>1590</TotalTime>
  <Pages>15</Pages>
  <Words>3989</Words>
  <Characters>22739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Hoang</dc:creator>
  <cp:lastModifiedBy>Steve Bletsos</cp:lastModifiedBy>
  <cp:revision>48</cp:revision>
  <cp:lastPrinted>2019-12-03T00:21:00Z</cp:lastPrinted>
  <dcterms:created xsi:type="dcterms:W3CDTF">2019-11-11T04:47:00Z</dcterms:created>
  <dcterms:modified xsi:type="dcterms:W3CDTF">2019-12-16T04:39:00Z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2016-01-18T00:00:00Z</vt:filetime>
  </property>
  <property fmtid="{D5CDD505-2E9C-101B-9397-08002B2CF9AE}" pid="3" name="LastSaved">
    <vt:filetime>2017-01-16T00:00:00Z</vt:filetime>
  </property>
  <property fmtid="{D5CDD505-2E9C-101B-9397-08002B2CF9AE}" pid="4" name="ContentTypeId">
    <vt:lpwstr>0x010100348D01E61E107C4DA4B97E380EA20D470058EB9BF65DAD8C42B8B4A94A1D11A674</vt:lpwstr>
  </property>
  <property fmtid="{D5CDD505-2E9C-101B-9397-08002B2CF9AE}" pid="5" name="_dlc_DocIdItemGuid">
    <vt:lpwstr>b8ab4d2c-1d73-4ce8-9697-e709fe400f0b</vt:lpwstr>
  </property>
  <property fmtid="{D5CDD505-2E9C-101B-9397-08002B2CF9AE}" pid="6" name="TSYRecordClass">
    <vt:lpwstr>7;#TSY RA-8730 - Retain as national archives|77f958b9-774b-411f-8853-551bb899336c</vt:lpwstr>
  </property>
  <property fmtid="{D5CDD505-2E9C-101B-9397-08002B2CF9AE}" pid="7" name="RecordPoint_WorkflowType">
    <vt:lpwstr>ActiveSubmitStub</vt:lpwstr>
  </property>
  <property fmtid="{D5CDD505-2E9C-101B-9397-08002B2CF9AE}" pid="8" name="RecordPoint_ActiveItemSiteId">
    <vt:lpwstr>{a3a280d1-e8f1-4ce7-94f0-aaa2322da0dd}</vt:lpwstr>
  </property>
  <property fmtid="{D5CDD505-2E9C-101B-9397-08002B2CF9AE}" pid="9" name="RecordPoint_ActiveItemListId">
    <vt:lpwstr>{11a07c86-5882-407a-83c1-3607840816f8}</vt:lpwstr>
  </property>
  <property fmtid="{D5CDD505-2E9C-101B-9397-08002B2CF9AE}" pid="10" name="RecordPoint_ActiveItemUniqueId">
    <vt:lpwstr>{0ff93acd-dfeb-411a-bcd1-d655cd82180c}</vt:lpwstr>
  </property>
  <property fmtid="{D5CDD505-2E9C-101B-9397-08002B2CF9AE}" pid="11" name="RecordPoint_ActiveItemWebId">
    <vt:lpwstr>{2af1fd9f-9360-4de3-abf2-ccd65f89a90c}</vt:lpwstr>
  </property>
  <property fmtid="{D5CDD505-2E9C-101B-9397-08002B2CF9AE}" pid="12" name="RecordPoint_RecordNumberSubmitted">
    <vt:lpwstr>R0002181184</vt:lpwstr>
  </property>
  <property fmtid="{D5CDD505-2E9C-101B-9397-08002B2CF9AE}" pid="13" name="RecordPoint_SubmissionCompleted">
    <vt:lpwstr>2019-12-27T13:26:53.1992310+11:00</vt:lpwstr>
  </property>
</Properties>
</file>