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1.xml" ContentType="application/vnd.openxmlformats-officedocument.drawingml.chart+xml"/>
  <Override PartName="/word/charts/chart2.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45" w:rsidRPr="00F62B03" w:rsidRDefault="00157645" w:rsidP="00454530">
      <w:pPr>
        <w:spacing w:after="120" w:line="360" w:lineRule="auto"/>
        <w:jc w:val="both"/>
        <w:rPr>
          <w:rFonts w:ascii="Times New Roman" w:eastAsia="Times New Roman" w:hAnsi="Times New Roman" w:cs="Times New Roman"/>
          <w:b/>
          <w:sz w:val="24"/>
          <w:szCs w:val="24"/>
          <w:lang w:eastAsia="en-AU"/>
        </w:rPr>
      </w:pPr>
      <w:r w:rsidRPr="00F62B03">
        <w:rPr>
          <w:rFonts w:ascii="Times New Roman" w:eastAsia="Times New Roman" w:hAnsi="Times New Roman" w:cs="Times New Roman"/>
          <w:b/>
          <w:noProof/>
          <w:sz w:val="24"/>
          <w:szCs w:val="24"/>
          <w:lang w:val="en-US"/>
        </w:rPr>
        <w:drawing>
          <wp:inline distT="0" distB="0" distL="0" distR="0">
            <wp:extent cx="2692400" cy="1841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AGraphics_Logo_Colour -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2400" cy="1841500"/>
                    </a:xfrm>
                    <a:prstGeom prst="rect">
                      <a:avLst/>
                    </a:prstGeom>
                  </pic:spPr>
                </pic:pic>
              </a:graphicData>
            </a:graphic>
          </wp:inline>
        </w:drawing>
      </w:r>
    </w:p>
    <w:p w:rsidR="00157645" w:rsidRPr="00F62B03" w:rsidRDefault="00157645" w:rsidP="00454530">
      <w:pPr>
        <w:spacing w:after="120" w:line="360" w:lineRule="auto"/>
        <w:jc w:val="both"/>
        <w:rPr>
          <w:rFonts w:ascii="Times New Roman" w:eastAsia="Times New Roman" w:hAnsi="Times New Roman" w:cs="Times New Roman"/>
          <w:b/>
          <w:sz w:val="24"/>
          <w:szCs w:val="24"/>
          <w:lang w:eastAsia="en-AU"/>
        </w:rPr>
      </w:pPr>
    </w:p>
    <w:p w:rsidR="00157645" w:rsidRPr="00F62B03" w:rsidRDefault="00157645" w:rsidP="00454530">
      <w:pPr>
        <w:spacing w:after="120" w:line="360" w:lineRule="auto"/>
        <w:jc w:val="both"/>
        <w:rPr>
          <w:rFonts w:ascii="Times New Roman" w:eastAsia="Times New Roman" w:hAnsi="Times New Roman" w:cs="Times New Roman"/>
          <w:b/>
          <w:sz w:val="24"/>
          <w:szCs w:val="24"/>
          <w:lang w:eastAsia="en-AU"/>
        </w:rPr>
      </w:pPr>
    </w:p>
    <w:p w:rsidR="00157645" w:rsidRPr="00F62B03" w:rsidRDefault="00157645" w:rsidP="00454530">
      <w:pPr>
        <w:spacing w:after="120" w:line="360" w:lineRule="auto"/>
        <w:jc w:val="both"/>
        <w:rPr>
          <w:rFonts w:ascii="Times New Roman" w:eastAsia="Times New Roman" w:hAnsi="Times New Roman" w:cs="Times New Roman"/>
          <w:b/>
          <w:sz w:val="24"/>
          <w:szCs w:val="24"/>
          <w:lang w:eastAsia="en-AU"/>
        </w:rPr>
      </w:pPr>
    </w:p>
    <w:p w:rsidR="00157645" w:rsidRPr="00F62B03" w:rsidRDefault="00157645" w:rsidP="00AF7DF1">
      <w:pPr>
        <w:spacing w:after="120" w:line="360" w:lineRule="auto"/>
        <w:jc w:val="center"/>
        <w:rPr>
          <w:rFonts w:ascii="Times New Roman" w:eastAsia="Times New Roman" w:hAnsi="Times New Roman" w:cs="Times New Roman"/>
          <w:b/>
          <w:sz w:val="24"/>
          <w:szCs w:val="24"/>
          <w:lang w:eastAsia="en-AU"/>
        </w:rPr>
      </w:pPr>
      <w:r w:rsidRPr="00F62B03">
        <w:rPr>
          <w:rFonts w:ascii="Times New Roman" w:eastAsia="Times New Roman" w:hAnsi="Times New Roman" w:cs="Times New Roman"/>
          <w:b/>
          <w:sz w:val="24"/>
          <w:szCs w:val="24"/>
          <w:lang w:eastAsia="en-AU"/>
        </w:rPr>
        <w:t xml:space="preserve">REIA </w:t>
      </w:r>
      <w:r w:rsidR="008C6214" w:rsidRPr="00F62B03">
        <w:rPr>
          <w:rFonts w:ascii="Times New Roman" w:eastAsia="Times New Roman" w:hAnsi="Times New Roman" w:cs="Times New Roman"/>
          <w:b/>
          <w:sz w:val="24"/>
          <w:szCs w:val="24"/>
          <w:lang w:eastAsia="en-AU"/>
        </w:rPr>
        <w:t>PRE BUDGET SUBMISSION 20</w:t>
      </w:r>
      <w:r w:rsidR="00565703">
        <w:rPr>
          <w:rFonts w:ascii="Times New Roman" w:eastAsia="Times New Roman" w:hAnsi="Times New Roman" w:cs="Times New Roman"/>
          <w:b/>
          <w:sz w:val="24"/>
          <w:szCs w:val="24"/>
          <w:lang w:eastAsia="en-AU"/>
        </w:rPr>
        <w:t>20</w:t>
      </w:r>
      <w:r w:rsidR="008C6214" w:rsidRPr="00F62B03">
        <w:rPr>
          <w:rFonts w:ascii="Times New Roman" w:eastAsia="Times New Roman" w:hAnsi="Times New Roman" w:cs="Times New Roman"/>
          <w:b/>
          <w:sz w:val="24"/>
          <w:szCs w:val="24"/>
          <w:lang w:eastAsia="en-AU"/>
        </w:rPr>
        <w:t>-20</w:t>
      </w:r>
      <w:r w:rsidR="00E32356">
        <w:rPr>
          <w:rFonts w:ascii="Times New Roman" w:eastAsia="Times New Roman" w:hAnsi="Times New Roman" w:cs="Times New Roman"/>
          <w:b/>
          <w:sz w:val="24"/>
          <w:szCs w:val="24"/>
          <w:lang w:eastAsia="en-AU"/>
        </w:rPr>
        <w:t>2</w:t>
      </w:r>
      <w:r w:rsidR="00565703">
        <w:rPr>
          <w:rFonts w:ascii="Times New Roman" w:eastAsia="Times New Roman" w:hAnsi="Times New Roman" w:cs="Times New Roman"/>
          <w:b/>
          <w:sz w:val="24"/>
          <w:szCs w:val="24"/>
          <w:lang w:eastAsia="en-AU"/>
        </w:rPr>
        <w:t>1</w:t>
      </w:r>
    </w:p>
    <w:p w:rsidR="00157645" w:rsidRPr="00F62B03" w:rsidRDefault="00565703" w:rsidP="00AF7DF1">
      <w:pPr>
        <w:spacing w:after="120" w:line="36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DECEMBER </w:t>
      </w:r>
      <w:r w:rsidR="00157645" w:rsidRPr="00F62B03">
        <w:rPr>
          <w:rFonts w:ascii="Times New Roman" w:eastAsia="Times New Roman" w:hAnsi="Times New Roman" w:cs="Times New Roman"/>
          <w:b/>
          <w:sz w:val="24"/>
          <w:szCs w:val="24"/>
          <w:lang w:eastAsia="en-AU"/>
        </w:rPr>
        <w:t>201</w:t>
      </w:r>
      <w:r w:rsidR="00E32356">
        <w:rPr>
          <w:rFonts w:ascii="Times New Roman" w:eastAsia="Times New Roman" w:hAnsi="Times New Roman" w:cs="Times New Roman"/>
          <w:b/>
          <w:sz w:val="24"/>
          <w:szCs w:val="24"/>
          <w:lang w:eastAsia="en-AU"/>
        </w:rPr>
        <w:t>9</w:t>
      </w:r>
    </w:p>
    <w:p w:rsidR="00157645" w:rsidRPr="00F62B03" w:rsidRDefault="00157645" w:rsidP="00454530">
      <w:pPr>
        <w:spacing w:after="120" w:line="360" w:lineRule="auto"/>
        <w:jc w:val="both"/>
        <w:rPr>
          <w:rFonts w:ascii="Times New Roman" w:hAnsi="Times New Roman" w:cs="Times New Roman"/>
          <w:b/>
          <w:sz w:val="24"/>
          <w:szCs w:val="24"/>
        </w:rPr>
      </w:pPr>
    </w:p>
    <w:p w:rsidR="00157645" w:rsidRPr="00F62B03" w:rsidRDefault="00157645" w:rsidP="00454530">
      <w:pPr>
        <w:spacing w:after="120" w:line="360" w:lineRule="auto"/>
        <w:jc w:val="both"/>
        <w:rPr>
          <w:rFonts w:ascii="Times New Roman" w:hAnsi="Times New Roman" w:cs="Times New Roman"/>
          <w:b/>
          <w:sz w:val="24"/>
          <w:szCs w:val="24"/>
        </w:rPr>
      </w:pPr>
    </w:p>
    <w:p w:rsidR="00157645" w:rsidRPr="00F62B03" w:rsidRDefault="00157645" w:rsidP="00454530">
      <w:pPr>
        <w:spacing w:after="120" w:line="360" w:lineRule="auto"/>
        <w:jc w:val="both"/>
        <w:rPr>
          <w:rFonts w:ascii="Times New Roman" w:hAnsi="Times New Roman" w:cs="Times New Roman"/>
          <w:b/>
          <w:sz w:val="24"/>
          <w:szCs w:val="24"/>
        </w:rPr>
      </w:pPr>
    </w:p>
    <w:p w:rsidR="00E42E8C" w:rsidRPr="00F62B03" w:rsidRDefault="00E42E8C" w:rsidP="00454530">
      <w:pPr>
        <w:spacing w:after="120" w:line="360" w:lineRule="auto"/>
        <w:jc w:val="both"/>
        <w:rPr>
          <w:rFonts w:ascii="Times New Roman" w:hAnsi="Times New Roman" w:cs="Times New Roman"/>
          <w:b/>
          <w:sz w:val="24"/>
          <w:szCs w:val="24"/>
        </w:rPr>
      </w:pPr>
    </w:p>
    <w:p w:rsidR="00E42E8C" w:rsidRPr="00F62B03" w:rsidRDefault="00E42E8C" w:rsidP="00454530">
      <w:pPr>
        <w:spacing w:after="120" w:line="360" w:lineRule="auto"/>
        <w:jc w:val="both"/>
        <w:rPr>
          <w:rFonts w:ascii="Times New Roman" w:hAnsi="Times New Roman" w:cs="Times New Roman"/>
          <w:b/>
          <w:sz w:val="24"/>
          <w:szCs w:val="24"/>
        </w:rPr>
      </w:pPr>
    </w:p>
    <w:p w:rsidR="00157645" w:rsidRPr="00F62B03" w:rsidRDefault="00157645" w:rsidP="00454530">
      <w:pPr>
        <w:spacing w:after="120" w:line="360" w:lineRule="auto"/>
        <w:jc w:val="both"/>
        <w:rPr>
          <w:rFonts w:ascii="Times New Roman" w:hAnsi="Times New Roman" w:cs="Times New Roman"/>
          <w:b/>
          <w:sz w:val="24"/>
          <w:szCs w:val="24"/>
        </w:rPr>
      </w:pPr>
    </w:p>
    <w:p w:rsidR="00157645" w:rsidRPr="00F62B03" w:rsidRDefault="00157645" w:rsidP="00454530">
      <w:pPr>
        <w:spacing w:after="120" w:line="360" w:lineRule="auto"/>
        <w:jc w:val="both"/>
        <w:rPr>
          <w:rFonts w:ascii="Times New Roman" w:hAnsi="Times New Roman" w:cs="Times New Roman"/>
          <w:b/>
          <w:sz w:val="24"/>
          <w:szCs w:val="24"/>
        </w:rPr>
      </w:pPr>
      <w:r w:rsidRPr="00F62B03">
        <w:rPr>
          <w:rFonts w:ascii="Times New Roman" w:hAnsi="Times New Roman" w:cs="Times New Roman"/>
          <w:b/>
          <w:sz w:val="24"/>
          <w:szCs w:val="24"/>
        </w:rPr>
        <w:t>PREPARED BY</w:t>
      </w:r>
    </w:p>
    <w:p w:rsidR="00157645" w:rsidRPr="00F62B03" w:rsidRDefault="00157645" w:rsidP="00454530">
      <w:pPr>
        <w:spacing w:after="120" w:line="360" w:lineRule="auto"/>
        <w:jc w:val="both"/>
        <w:rPr>
          <w:rFonts w:ascii="Times New Roman" w:hAnsi="Times New Roman" w:cs="Times New Roman"/>
          <w:b/>
          <w:sz w:val="24"/>
          <w:szCs w:val="24"/>
        </w:rPr>
      </w:pPr>
      <w:r w:rsidRPr="00F62B03">
        <w:rPr>
          <w:rFonts w:ascii="Times New Roman" w:hAnsi="Times New Roman" w:cs="Times New Roman"/>
          <w:b/>
          <w:sz w:val="24"/>
          <w:szCs w:val="24"/>
        </w:rPr>
        <w:t xml:space="preserve">Real Estate Institute of Australia (REIA) </w:t>
      </w:r>
    </w:p>
    <w:p w:rsidR="00157645" w:rsidRPr="00F62B03" w:rsidRDefault="00157645" w:rsidP="00454530">
      <w:pPr>
        <w:spacing w:after="120" w:line="360" w:lineRule="auto"/>
        <w:jc w:val="both"/>
        <w:rPr>
          <w:rFonts w:ascii="Times New Roman" w:hAnsi="Times New Roman" w:cs="Times New Roman"/>
          <w:sz w:val="24"/>
          <w:szCs w:val="24"/>
        </w:rPr>
      </w:pPr>
      <w:r w:rsidRPr="00F62B03">
        <w:rPr>
          <w:rFonts w:ascii="Times New Roman" w:hAnsi="Times New Roman" w:cs="Times New Roman"/>
          <w:sz w:val="24"/>
          <w:szCs w:val="24"/>
        </w:rPr>
        <w:t>PO Box 234</w:t>
      </w:r>
    </w:p>
    <w:p w:rsidR="00157645" w:rsidRPr="00F62B03" w:rsidRDefault="00892093" w:rsidP="0045453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DEAKIN WEST</w:t>
      </w:r>
      <w:r w:rsidR="00157645" w:rsidRPr="00F62B03">
        <w:rPr>
          <w:rFonts w:ascii="Times New Roman" w:hAnsi="Times New Roman" w:cs="Times New Roman"/>
          <w:sz w:val="24"/>
          <w:szCs w:val="24"/>
        </w:rPr>
        <w:t xml:space="preserve"> ACT 2600</w:t>
      </w:r>
    </w:p>
    <w:p w:rsidR="00157645" w:rsidRPr="00F62B03" w:rsidRDefault="00157645" w:rsidP="00454530">
      <w:pPr>
        <w:spacing w:after="120" w:line="360" w:lineRule="auto"/>
        <w:jc w:val="both"/>
        <w:rPr>
          <w:rFonts w:ascii="Times New Roman" w:hAnsi="Times New Roman" w:cs="Times New Roman"/>
          <w:sz w:val="24"/>
          <w:szCs w:val="24"/>
        </w:rPr>
      </w:pPr>
      <w:proofErr w:type="spellStart"/>
      <w:r w:rsidRPr="00F62B03">
        <w:rPr>
          <w:rFonts w:ascii="Times New Roman" w:hAnsi="Times New Roman" w:cs="Times New Roman"/>
          <w:sz w:val="24"/>
          <w:szCs w:val="24"/>
        </w:rPr>
        <w:t>Ph</w:t>
      </w:r>
      <w:proofErr w:type="spellEnd"/>
      <w:r w:rsidRPr="00F62B03">
        <w:rPr>
          <w:rFonts w:ascii="Times New Roman" w:hAnsi="Times New Roman" w:cs="Times New Roman"/>
          <w:sz w:val="24"/>
          <w:szCs w:val="24"/>
        </w:rPr>
        <w:t xml:space="preserve">: 02 6282 4277                                                                                  </w:t>
      </w:r>
    </w:p>
    <w:p w:rsidR="00157645" w:rsidRPr="00F62B03" w:rsidRDefault="00157645" w:rsidP="00454530">
      <w:pPr>
        <w:spacing w:after="120" w:line="360" w:lineRule="auto"/>
        <w:ind w:left="720"/>
        <w:rPr>
          <w:rFonts w:ascii="Times New Roman" w:hAnsi="Times New Roman" w:cs="Times New Roman"/>
          <w:sz w:val="24"/>
          <w:szCs w:val="24"/>
        </w:rPr>
      </w:pPr>
      <w:r w:rsidRPr="00F62B03">
        <w:rPr>
          <w:rFonts w:ascii="Times New Roman" w:hAnsi="Times New Roman" w:cs="Times New Roman"/>
          <w:noProof/>
          <w:sz w:val="24"/>
          <w:szCs w:val="24"/>
          <w:lang w:val="en-US"/>
        </w:rPr>
        <w:drawing>
          <wp:inline distT="0" distB="0" distL="0" distR="0">
            <wp:extent cx="199623" cy="199623"/>
            <wp:effectExtent l="0" t="0" r="0" b="0"/>
            <wp:docPr id="6" name="Picture 6"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782" cy="199782"/>
                    </a:xfrm>
                    <a:prstGeom prst="rect">
                      <a:avLst/>
                    </a:prstGeom>
                    <a:noFill/>
                    <a:ln>
                      <a:noFill/>
                    </a:ln>
                  </pic:spPr>
                </pic:pic>
              </a:graphicData>
            </a:graphic>
          </wp:inline>
        </w:drawing>
      </w:r>
      <w:r w:rsidRPr="00F62B03">
        <w:rPr>
          <w:rFonts w:ascii="Times New Roman" w:hAnsi="Times New Roman" w:cs="Times New Roman"/>
          <w:sz w:val="24"/>
          <w:szCs w:val="24"/>
        </w:rPr>
        <w:t xml:space="preserve"> </w:t>
      </w:r>
      <w:hyperlink r:id="rId12" w:history="1">
        <w:r w:rsidRPr="00F62B03">
          <w:rPr>
            <w:rStyle w:val="Hyperlink"/>
            <w:rFonts w:ascii="Times New Roman" w:hAnsi="Times New Roman" w:cs="Times New Roman"/>
            <w:color w:val="auto"/>
            <w:sz w:val="24"/>
            <w:szCs w:val="24"/>
          </w:rPr>
          <w:t>@</w:t>
        </w:r>
        <w:proofErr w:type="spellStart"/>
        <w:r w:rsidRPr="00F62B03">
          <w:rPr>
            <w:rStyle w:val="Hyperlink"/>
            <w:rFonts w:ascii="Times New Roman" w:hAnsi="Times New Roman" w:cs="Times New Roman"/>
            <w:color w:val="auto"/>
            <w:sz w:val="24"/>
            <w:szCs w:val="24"/>
          </w:rPr>
          <w:t>REIANational</w:t>
        </w:r>
        <w:proofErr w:type="spellEnd"/>
      </w:hyperlink>
      <w:r w:rsidRPr="00F62B03">
        <w:rPr>
          <w:rStyle w:val="screen-name4"/>
          <w:rFonts w:ascii="Times New Roman" w:hAnsi="Times New Roman" w:cs="Times New Roman"/>
          <w:sz w:val="24"/>
          <w:szCs w:val="24"/>
        </w:rPr>
        <w:br/>
      </w:r>
      <w:r w:rsidRPr="00F62B03">
        <w:rPr>
          <w:rFonts w:ascii="Times New Roman" w:hAnsi="Times New Roman" w:cs="Times New Roman"/>
          <w:noProof/>
          <w:sz w:val="24"/>
          <w:szCs w:val="24"/>
          <w:lang w:val="en-US"/>
        </w:rPr>
        <w:drawing>
          <wp:inline distT="0" distB="0" distL="0" distR="0">
            <wp:extent cx="199623" cy="199623"/>
            <wp:effectExtent l="0" t="0" r="0" b="0"/>
            <wp:docPr id="7" name="Picture 7" descr="Facebook">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783" cy="199783"/>
                    </a:xfrm>
                    <a:prstGeom prst="rect">
                      <a:avLst/>
                    </a:prstGeom>
                    <a:noFill/>
                    <a:ln>
                      <a:noFill/>
                    </a:ln>
                  </pic:spPr>
                </pic:pic>
              </a:graphicData>
            </a:graphic>
          </wp:inline>
        </w:drawing>
      </w:r>
      <w:r w:rsidRPr="00F62B03">
        <w:rPr>
          <w:rStyle w:val="screen-name4"/>
          <w:rFonts w:ascii="Times New Roman" w:hAnsi="Times New Roman" w:cs="Times New Roman"/>
          <w:sz w:val="24"/>
          <w:szCs w:val="24"/>
        </w:rPr>
        <w:t xml:space="preserve"> </w:t>
      </w:r>
      <w:hyperlink r:id="rId15" w:history="1">
        <w:r w:rsidRPr="00F62B03">
          <w:rPr>
            <w:rStyle w:val="Hyperlink"/>
            <w:rFonts w:ascii="Times New Roman" w:hAnsi="Times New Roman" w:cs="Times New Roman"/>
            <w:color w:val="auto"/>
            <w:sz w:val="24"/>
            <w:szCs w:val="24"/>
          </w:rPr>
          <w:t>REIA</w:t>
        </w:r>
      </w:hyperlink>
    </w:p>
    <w:p w:rsidR="00AF7DF1" w:rsidRDefault="00157645" w:rsidP="00F62B03">
      <w:pPr>
        <w:rPr>
          <w:rFonts w:ascii="Times New Roman" w:hAnsi="Times New Roman" w:cs="Times New Roman"/>
        </w:rPr>
      </w:pPr>
      <w:r w:rsidRPr="00F62B03">
        <w:rPr>
          <w:rFonts w:ascii="Times New Roman" w:hAnsi="Times New Roman" w:cs="Times New Roman"/>
        </w:rPr>
        <w:br w:type="page"/>
      </w:r>
    </w:p>
    <w:p w:rsidR="00AF7DF1" w:rsidRDefault="00AF7DF1" w:rsidP="00F62B03">
      <w:pPr>
        <w:rPr>
          <w:rFonts w:ascii="Times New Roman" w:eastAsia="Times New Roman" w:hAnsi="Times New Roman" w:cs="Times New Roman"/>
          <w:b/>
          <w:noProof/>
          <w:sz w:val="24"/>
          <w:szCs w:val="24"/>
          <w:lang w:eastAsia="en-AU"/>
        </w:rPr>
      </w:pPr>
    </w:p>
    <w:p w:rsidR="00AF7DF1" w:rsidRDefault="00AF7DF1" w:rsidP="00F62B03">
      <w:pPr>
        <w:rPr>
          <w:rFonts w:ascii="Times New Roman" w:eastAsia="Times New Roman" w:hAnsi="Times New Roman" w:cs="Times New Roman"/>
          <w:b/>
          <w:noProof/>
          <w:sz w:val="24"/>
          <w:szCs w:val="24"/>
          <w:lang w:eastAsia="en-AU"/>
        </w:rPr>
      </w:pPr>
    </w:p>
    <w:p w:rsidR="00AF7DF1" w:rsidRDefault="00AF7DF1" w:rsidP="00F62B03">
      <w:pPr>
        <w:rPr>
          <w:rFonts w:ascii="Times New Roman" w:eastAsia="Times New Roman" w:hAnsi="Times New Roman" w:cs="Times New Roman"/>
          <w:b/>
          <w:noProof/>
          <w:sz w:val="24"/>
          <w:szCs w:val="24"/>
          <w:lang w:eastAsia="en-AU"/>
        </w:rPr>
      </w:pPr>
    </w:p>
    <w:p w:rsidR="00AF7DF1" w:rsidRDefault="00AF7DF1" w:rsidP="00F62B03">
      <w:pPr>
        <w:rPr>
          <w:rFonts w:ascii="Times New Roman" w:hAnsi="Times New Roman" w:cs="Times New Roman"/>
        </w:rPr>
      </w:pPr>
    </w:p>
    <w:p w:rsidR="00AF7DF1" w:rsidRDefault="00AF7DF1" w:rsidP="00F62B03">
      <w:pPr>
        <w:rPr>
          <w:rFonts w:ascii="Times New Roman" w:hAnsi="Times New Roman" w:cs="Times New Roman"/>
        </w:rPr>
      </w:pPr>
    </w:p>
    <w:p w:rsidR="00E32356" w:rsidRDefault="00A053D1" w:rsidP="00F62B03">
      <w:pPr>
        <w:rPr>
          <w:rFonts w:ascii="Times New Roman" w:hAnsi="Times New Roman" w:cs="Times New Roman"/>
          <w:b/>
        </w:rPr>
      </w:pPr>
      <w:r w:rsidRPr="00F62B03">
        <w:rPr>
          <w:rFonts w:ascii="Times New Roman" w:hAnsi="Times New Roman" w:cs="Times New Roman"/>
          <w:b/>
        </w:rPr>
        <w:t xml:space="preserve">REIA </w:t>
      </w:r>
      <w:r w:rsidR="00483C12" w:rsidRPr="00F62B03">
        <w:rPr>
          <w:rFonts w:ascii="Times New Roman" w:hAnsi="Times New Roman" w:cs="Times New Roman"/>
          <w:b/>
        </w:rPr>
        <w:t>PRESENTS THE GOVERNMENT WITH PROPOSALS FOR THE 201</w:t>
      </w:r>
      <w:r w:rsidR="00E32356">
        <w:rPr>
          <w:rFonts w:ascii="Times New Roman" w:hAnsi="Times New Roman" w:cs="Times New Roman"/>
          <w:b/>
        </w:rPr>
        <w:t>9</w:t>
      </w:r>
      <w:r w:rsidR="00483C12" w:rsidRPr="00F62B03">
        <w:rPr>
          <w:rFonts w:ascii="Times New Roman" w:hAnsi="Times New Roman" w:cs="Times New Roman"/>
          <w:b/>
        </w:rPr>
        <w:t>/</w:t>
      </w:r>
      <w:r w:rsidR="00E32356">
        <w:rPr>
          <w:rFonts w:ascii="Times New Roman" w:hAnsi="Times New Roman" w:cs="Times New Roman"/>
          <w:b/>
        </w:rPr>
        <w:t>20</w:t>
      </w:r>
    </w:p>
    <w:p w:rsidR="003B6D40" w:rsidRPr="00F62B03" w:rsidRDefault="00483C12" w:rsidP="00F62B03">
      <w:pPr>
        <w:rPr>
          <w:rFonts w:ascii="Times New Roman" w:hAnsi="Times New Roman" w:cs="Times New Roman"/>
          <w:b/>
        </w:rPr>
      </w:pPr>
      <w:r w:rsidRPr="00F62B03">
        <w:rPr>
          <w:rFonts w:ascii="Times New Roman" w:hAnsi="Times New Roman" w:cs="Times New Roman"/>
          <w:b/>
        </w:rPr>
        <w:t>FEDERAL BUDGET</w:t>
      </w:r>
    </w:p>
    <w:p w:rsidR="009C56BF" w:rsidRPr="00F62B03" w:rsidRDefault="009C56BF" w:rsidP="00F62B03">
      <w:pPr>
        <w:rPr>
          <w:rFonts w:ascii="Times New Roman" w:hAnsi="Times New Roman" w:cs="Times New Roman"/>
        </w:rPr>
      </w:pPr>
      <w:r w:rsidRPr="00F62B03">
        <w:rPr>
          <w:rFonts w:ascii="Times New Roman" w:hAnsi="Times New Roman" w:cs="Times New Roman"/>
        </w:rPr>
        <w:t xml:space="preserve">The Real Estate Institute of Australia (REIA) is the peak national association for the real estate profession in Australia. </w:t>
      </w:r>
    </w:p>
    <w:p w:rsidR="009C56BF" w:rsidRPr="00F62B03" w:rsidRDefault="009C56BF" w:rsidP="00F62B03">
      <w:pPr>
        <w:rPr>
          <w:rFonts w:ascii="Times New Roman" w:hAnsi="Times New Roman" w:cs="Times New Roman"/>
        </w:rPr>
      </w:pPr>
      <w:r w:rsidRPr="00F62B03">
        <w:rPr>
          <w:rFonts w:ascii="Times New Roman" w:hAnsi="Times New Roman" w:cs="Times New Roman"/>
        </w:rPr>
        <w:t>REIA’s members are the State and Territory Real Estate Institutes, through which around 75</w:t>
      </w:r>
      <w:r w:rsidR="000D0544" w:rsidRPr="00F62B03">
        <w:rPr>
          <w:rFonts w:ascii="Times New Roman" w:hAnsi="Times New Roman" w:cs="Times New Roman"/>
        </w:rPr>
        <w:t>%</w:t>
      </w:r>
      <w:r w:rsidR="000845C0" w:rsidRPr="00F62B03">
        <w:rPr>
          <w:rFonts w:ascii="Times New Roman" w:hAnsi="Times New Roman" w:cs="Times New Roman"/>
        </w:rPr>
        <w:t xml:space="preserve"> </w:t>
      </w:r>
      <w:r w:rsidRPr="00F62B03">
        <w:rPr>
          <w:rFonts w:ascii="Times New Roman" w:hAnsi="Times New Roman" w:cs="Times New Roman"/>
        </w:rPr>
        <w:t xml:space="preserve">of real estate agencies are collectively represented. The 2011 Census records the Rental, Hiring and Real Estate Services Industry employment </w:t>
      </w:r>
      <w:r w:rsidR="001E6324" w:rsidRPr="00F62B03">
        <w:rPr>
          <w:rFonts w:ascii="Times New Roman" w:hAnsi="Times New Roman" w:cs="Times New Roman"/>
        </w:rPr>
        <w:t xml:space="preserve">as </w:t>
      </w:r>
      <w:r w:rsidRPr="00F62B03">
        <w:rPr>
          <w:rFonts w:ascii="Times New Roman" w:hAnsi="Times New Roman" w:cs="Times New Roman"/>
        </w:rPr>
        <w:t xml:space="preserve">sitting at a total of 117,880. </w:t>
      </w:r>
      <w:r w:rsidR="001E3EF1" w:rsidRPr="00F62B03">
        <w:rPr>
          <w:rFonts w:ascii="Times New Roman" w:hAnsi="Times New Roman" w:cs="Times New Roman"/>
        </w:rPr>
        <w:t xml:space="preserve">Key </w:t>
      </w:r>
      <w:r w:rsidRPr="00F62B03">
        <w:rPr>
          <w:rFonts w:ascii="Times New Roman" w:hAnsi="Times New Roman" w:cs="Times New Roman"/>
        </w:rPr>
        <w:t xml:space="preserve">data recorded by </w:t>
      </w:r>
      <w:r w:rsidR="00F562D1" w:rsidRPr="00F62B03">
        <w:rPr>
          <w:rFonts w:ascii="Times New Roman" w:hAnsi="Times New Roman" w:cs="Times New Roman"/>
        </w:rPr>
        <w:t>the Australian Bureau of Statistics (</w:t>
      </w:r>
      <w:r w:rsidRPr="00F62B03">
        <w:rPr>
          <w:rFonts w:ascii="Times New Roman" w:hAnsi="Times New Roman" w:cs="Times New Roman"/>
        </w:rPr>
        <w:t>ABS</w:t>
      </w:r>
      <w:r w:rsidR="00F562D1" w:rsidRPr="00F62B03">
        <w:rPr>
          <w:rFonts w:ascii="Times New Roman" w:hAnsi="Times New Roman" w:cs="Times New Roman"/>
        </w:rPr>
        <w:t>)</w:t>
      </w:r>
      <w:r w:rsidRPr="00F62B03">
        <w:rPr>
          <w:rFonts w:ascii="Times New Roman" w:hAnsi="Times New Roman" w:cs="Times New Roman"/>
        </w:rPr>
        <w:t xml:space="preserve"> Census </w:t>
      </w:r>
      <w:r w:rsidR="001E3EF1" w:rsidRPr="00F62B03">
        <w:rPr>
          <w:rFonts w:ascii="Times New Roman" w:hAnsi="Times New Roman" w:cs="Times New Roman"/>
        </w:rPr>
        <w:t>identified</w:t>
      </w:r>
      <w:r w:rsidR="00F562D1" w:rsidRPr="00F62B03">
        <w:rPr>
          <w:rFonts w:ascii="Times New Roman" w:hAnsi="Times New Roman" w:cs="Times New Roman"/>
        </w:rPr>
        <w:t xml:space="preserve">, </w:t>
      </w:r>
      <w:r w:rsidR="001E3EF1" w:rsidRPr="00F62B03">
        <w:rPr>
          <w:rFonts w:ascii="Times New Roman" w:hAnsi="Times New Roman" w:cs="Times New Roman"/>
        </w:rPr>
        <w:t>by occupation</w:t>
      </w:r>
      <w:r w:rsidR="00F562D1" w:rsidRPr="00F62B03">
        <w:rPr>
          <w:rFonts w:ascii="Times New Roman" w:hAnsi="Times New Roman" w:cs="Times New Roman"/>
        </w:rPr>
        <w:t>,</w:t>
      </w:r>
      <w:r w:rsidR="001E3EF1" w:rsidRPr="00F62B03">
        <w:rPr>
          <w:rFonts w:ascii="Times New Roman" w:hAnsi="Times New Roman" w:cs="Times New Roman"/>
        </w:rPr>
        <w:t xml:space="preserve"> </w:t>
      </w:r>
      <w:r w:rsidRPr="00F62B03">
        <w:rPr>
          <w:rFonts w:ascii="Times New Roman" w:hAnsi="Times New Roman" w:cs="Times New Roman"/>
        </w:rPr>
        <w:t xml:space="preserve">64,699 </w:t>
      </w:r>
      <w:r w:rsidR="002A7C15" w:rsidRPr="00F62B03">
        <w:rPr>
          <w:rFonts w:ascii="Times New Roman" w:hAnsi="Times New Roman" w:cs="Times New Roman"/>
        </w:rPr>
        <w:t>business brokers, property managers, principals, real estate agents and representatives</w:t>
      </w:r>
      <w:r w:rsidRPr="00F62B03">
        <w:rPr>
          <w:rFonts w:ascii="Times New Roman" w:hAnsi="Times New Roman" w:cs="Times New Roman"/>
        </w:rPr>
        <w:t>.</w:t>
      </w:r>
    </w:p>
    <w:p w:rsidR="009C56BF" w:rsidRPr="00F62B03" w:rsidRDefault="009C56BF" w:rsidP="00F62B03">
      <w:pPr>
        <w:rPr>
          <w:rFonts w:ascii="Times New Roman" w:hAnsi="Times New Roman" w:cs="Times New Roman"/>
        </w:rPr>
      </w:pPr>
      <w:r w:rsidRPr="00F62B03">
        <w:rPr>
          <w:rFonts w:ascii="Times New Roman" w:hAnsi="Times New Roman" w:cs="Times New Roman"/>
        </w:rPr>
        <w:t>REIA represents an important element of the broader property and construction sector which together makes a significant contribution to Australia’s social climate and economic development. Property contributes $300 billion annually in economic activity.</w:t>
      </w:r>
    </w:p>
    <w:p w:rsidR="009C56BF" w:rsidRPr="00F62B03" w:rsidRDefault="009C56BF" w:rsidP="00F62B03">
      <w:pPr>
        <w:rPr>
          <w:rFonts w:ascii="Times New Roman" w:hAnsi="Times New Roman" w:cs="Times New Roman"/>
        </w:rPr>
      </w:pPr>
      <w:r w:rsidRPr="00F62B03">
        <w:rPr>
          <w:rFonts w:ascii="Times New Roman" w:hAnsi="Times New Roman" w:cs="Times New Roman"/>
        </w:rPr>
        <w:t>Importantly, REIA represents an integral element of the small business sector. Some 99</w:t>
      </w:r>
      <w:r w:rsidR="000D0544" w:rsidRPr="00F62B03">
        <w:rPr>
          <w:rFonts w:ascii="Times New Roman" w:hAnsi="Times New Roman" w:cs="Times New Roman"/>
        </w:rPr>
        <w:t>%</w:t>
      </w:r>
      <w:r w:rsidRPr="00F62B03">
        <w:rPr>
          <w:rFonts w:ascii="Times New Roman" w:hAnsi="Times New Roman" w:cs="Times New Roman"/>
        </w:rPr>
        <w:t xml:space="preserve"> of real estate agencies are small businesses and 11</w:t>
      </w:r>
      <w:r w:rsidR="000D0544" w:rsidRPr="00F62B03">
        <w:rPr>
          <w:rFonts w:ascii="Times New Roman" w:hAnsi="Times New Roman" w:cs="Times New Roman"/>
        </w:rPr>
        <w:t>%</w:t>
      </w:r>
      <w:r w:rsidR="000845C0" w:rsidRPr="00F62B03">
        <w:rPr>
          <w:rFonts w:ascii="Times New Roman" w:hAnsi="Times New Roman" w:cs="Times New Roman"/>
        </w:rPr>
        <w:t xml:space="preserve"> </w:t>
      </w:r>
      <w:r w:rsidRPr="00F62B03">
        <w:rPr>
          <w:rFonts w:ascii="Times New Roman" w:hAnsi="Times New Roman" w:cs="Times New Roman"/>
        </w:rPr>
        <w:t>of all small businesses in Australia are involved in real estate. Only 0.6</w:t>
      </w:r>
      <w:r w:rsidR="000D0544" w:rsidRPr="00F62B03">
        <w:rPr>
          <w:rFonts w:ascii="Times New Roman" w:hAnsi="Times New Roman" w:cs="Times New Roman"/>
        </w:rPr>
        <w:t>%</w:t>
      </w:r>
      <w:r w:rsidR="000845C0" w:rsidRPr="00F62B03">
        <w:rPr>
          <w:rFonts w:ascii="Times New Roman" w:hAnsi="Times New Roman" w:cs="Times New Roman"/>
        </w:rPr>
        <w:t xml:space="preserve"> </w:t>
      </w:r>
      <w:r w:rsidRPr="00F62B03">
        <w:rPr>
          <w:rFonts w:ascii="Times New Roman" w:hAnsi="Times New Roman" w:cs="Times New Roman"/>
        </w:rPr>
        <w:t xml:space="preserve">of businesses employ 50 or more persons. </w:t>
      </w:r>
    </w:p>
    <w:p w:rsidR="009C56BF" w:rsidRDefault="009C56BF" w:rsidP="00F62B03">
      <w:pPr>
        <w:rPr>
          <w:rFonts w:ascii="Times New Roman" w:hAnsi="Times New Roman" w:cs="Times New Roman"/>
        </w:rPr>
      </w:pPr>
      <w:r w:rsidRPr="00F62B03">
        <w:rPr>
          <w:rFonts w:ascii="Times New Roman" w:hAnsi="Times New Roman" w:cs="Times New Roman"/>
        </w:rPr>
        <w:t xml:space="preserve">REIA is committed to providing and assisting </w:t>
      </w:r>
      <w:r w:rsidR="001E3EF1" w:rsidRPr="00F62B03">
        <w:rPr>
          <w:rFonts w:ascii="Times New Roman" w:hAnsi="Times New Roman" w:cs="Times New Roman"/>
        </w:rPr>
        <w:t xml:space="preserve">with </w:t>
      </w:r>
      <w:r w:rsidRPr="00F62B03">
        <w:rPr>
          <w:rFonts w:ascii="Times New Roman" w:hAnsi="Times New Roman" w:cs="Times New Roman"/>
        </w:rPr>
        <w:t xml:space="preserve">research and well-informed advice to the Federal Government, Opposition, professional members of the real estate sector, media and the public on a range of issues affecting the property market. </w:t>
      </w:r>
    </w:p>
    <w:p w:rsidR="001228C7" w:rsidRDefault="001228C7">
      <w:pPr>
        <w:rPr>
          <w:rFonts w:ascii="Times New Roman" w:hAnsi="Times New Roman" w:cs="Times New Roman"/>
        </w:rPr>
      </w:pPr>
      <w:r>
        <w:rPr>
          <w:rFonts w:ascii="Times New Roman" w:hAnsi="Times New Roman" w:cs="Times New Roman"/>
        </w:rPr>
        <w:br w:type="page"/>
      </w:r>
    </w:p>
    <w:p w:rsidR="009C56BF" w:rsidRPr="00F62B03" w:rsidRDefault="009C56BF" w:rsidP="00F62B03">
      <w:pPr>
        <w:rPr>
          <w:rFonts w:ascii="Times New Roman" w:hAnsi="Times New Roman" w:cs="Times New Roman"/>
          <w:b/>
        </w:rPr>
      </w:pPr>
      <w:r w:rsidRPr="00F62B03">
        <w:rPr>
          <w:rFonts w:ascii="Times New Roman" w:hAnsi="Times New Roman" w:cs="Times New Roman"/>
          <w:b/>
        </w:rPr>
        <w:lastRenderedPageBreak/>
        <w:t>Introduction</w:t>
      </w:r>
      <w:r w:rsidR="009A6828" w:rsidRPr="00F62B03">
        <w:rPr>
          <w:rFonts w:ascii="Times New Roman" w:hAnsi="Times New Roman" w:cs="Times New Roman"/>
          <w:b/>
        </w:rPr>
        <w:t xml:space="preserve"> </w:t>
      </w:r>
    </w:p>
    <w:p w:rsidR="00B77B1A" w:rsidRPr="00B46640" w:rsidRDefault="00B77B1A" w:rsidP="00F62B03">
      <w:pPr>
        <w:rPr>
          <w:rFonts w:ascii="Times New Roman" w:hAnsi="Times New Roman" w:cs="Times New Roman"/>
        </w:rPr>
      </w:pPr>
      <w:r w:rsidRPr="00B46640">
        <w:rPr>
          <w:rFonts w:ascii="Times New Roman" w:hAnsi="Times New Roman" w:cs="Times New Roman"/>
        </w:rPr>
        <w:t>The Real Estate Institute of Australia (REIA) welcomes the opportunity to present the Govern</w:t>
      </w:r>
      <w:r w:rsidR="000462C1" w:rsidRPr="00B46640">
        <w:rPr>
          <w:rFonts w:ascii="Times New Roman" w:hAnsi="Times New Roman" w:cs="Times New Roman"/>
        </w:rPr>
        <w:t>ment with proposals for the 20</w:t>
      </w:r>
      <w:r w:rsidR="00565703">
        <w:rPr>
          <w:rFonts w:ascii="Times New Roman" w:hAnsi="Times New Roman" w:cs="Times New Roman"/>
        </w:rPr>
        <w:t>20/</w:t>
      </w:r>
      <w:r w:rsidR="00E32356">
        <w:rPr>
          <w:rFonts w:ascii="Times New Roman" w:hAnsi="Times New Roman" w:cs="Times New Roman"/>
        </w:rPr>
        <w:t>2</w:t>
      </w:r>
      <w:r w:rsidR="00565703">
        <w:rPr>
          <w:rFonts w:ascii="Times New Roman" w:hAnsi="Times New Roman" w:cs="Times New Roman"/>
        </w:rPr>
        <w:t>1</w:t>
      </w:r>
      <w:r w:rsidR="002970C5" w:rsidRPr="00B46640">
        <w:rPr>
          <w:rFonts w:ascii="Times New Roman" w:hAnsi="Times New Roman" w:cs="Times New Roman"/>
        </w:rPr>
        <w:t xml:space="preserve"> </w:t>
      </w:r>
      <w:r w:rsidR="00A84DD8" w:rsidRPr="00B46640">
        <w:rPr>
          <w:rFonts w:ascii="Times New Roman" w:hAnsi="Times New Roman" w:cs="Times New Roman"/>
        </w:rPr>
        <w:t xml:space="preserve">Federal Budget and </w:t>
      </w:r>
      <w:r w:rsidR="00BE7348" w:rsidRPr="00B46640">
        <w:rPr>
          <w:rFonts w:ascii="Times New Roman" w:hAnsi="Times New Roman" w:cs="Times New Roman"/>
        </w:rPr>
        <w:t xml:space="preserve">in the context of </w:t>
      </w:r>
      <w:r w:rsidR="00A84DD8" w:rsidRPr="00B46640">
        <w:rPr>
          <w:rFonts w:ascii="Times New Roman" w:hAnsi="Times New Roman" w:cs="Times New Roman"/>
        </w:rPr>
        <w:t xml:space="preserve">its preparation, seeks Government consideration </w:t>
      </w:r>
      <w:r w:rsidR="00A84DD8" w:rsidRPr="00155E47">
        <w:rPr>
          <w:rFonts w:ascii="Times New Roman" w:hAnsi="Times New Roman" w:cs="Times New Roman"/>
        </w:rPr>
        <w:t>of</w:t>
      </w:r>
      <w:r w:rsidR="004316EC" w:rsidRPr="00155E47">
        <w:rPr>
          <w:rFonts w:ascii="Times New Roman" w:hAnsi="Times New Roman" w:cs="Times New Roman"/>
        </w:rPr>
        <w:t xml:space="preserve"> </w:t>
      </w:r>
      <w:r w:rsidR="00B362BB" w:rsidRPr="007D5E86">
        <w:rPr>
          <w:rFonts w:ascii="Times New Roman" w:hAnsi="Times New Roman" w:cs="Times New Roman"/>
        </w:rPr>
        <w:t>f</w:t>
      </w:r>
      <w:r w:rsidR="007D5E86" w:rsidRPr="007D5E86">
        <w:rPr>
          <w:rFonts w:ascii="Times New Roman" w:hAnsi="Times New Roman" w:cs="Times New Roman"/>
        </w:rPr>
        <w:t>our</w:t>
      </w:r>
      <w:r w:rsidR="0085692D" w:rsidRPr="00B46640">
        <w:rPr>
          <w:rFonts w:ascii="Times New Roman" w:hAnsi="Times New Roman" w:cs="Times New Roman"/>
        </w:rPr>
        <w:t xml:space="preserve"> </w:t>
      </w:r>
      <w:r w:rsidRPr="00B46640">
        <w:rPr>
          <w:rFonts w:ascii="Times New Roman" w:hAnsi="Times New Roman" w:cs="Times New Roman"/>
        </w:rPr>
        <w:t>specific matters.</w:t>
      </w:r>
    </w:p>
    <w:p w:rsidR="0080446E" w:rsidRPr="00B46640" w:rsidRDefault="00B77B1A" w:rsidP="00F62B03">
      <w:pPr>
        <w:rPr>
          <w:rFonts w:ascii="Times New Roman" w:hAnsi="Times New Roman" w:cs="Times New Roman"/>
        </w:rPr>
      </w:pPr>
      <w:r w:rsidRPr="00B46640">
        <w:rPr>
          <w:rFonts w:ascii="Times New Roman" w:hAnsi="Times New Roman" w:cs="Times New Roman"/>
        </w:rPr>
        <w:t xml:space="preserve">The two </w:t>
      </w:r>
      <w:r w:rsidR="002970C5" w:rsidRPr="00B46640">
        <w:rPr>
          <w:rFonts w:ascii="Times New Roman" w:hAnsi="Times New Roman" w:cs="Times New Roman"/>
        </w:rPr>
        <w:t xml:space="preserve">primary </w:t>
      </w:r>
      <w:r w:rsidRPr="00B46640">
        <w:rPr>
          <w:rFonts w:ascii="Times New Roman" w:hAnsi="Times New Roman" w:cs="Times New Roman"/>
        </w:rPr>
        <w:t xml:space="preserve">focuses of REIA’s proposals are </w:t>
      </w:r>
      <w:r w:rsidR="001E6324" w:rsidRPr="00B46640">
        <w:rPr>
          <w:rFonts w:ascii="Times New Roman" w:hAnsi="Times New Roman" w:cs="Times New Roman"/>
        </w:rPr>
        <w:t xml:space="preserve">firstly </w:t>
      </w:r>
      <w:r w:rsidR="00FF32FD" w:rsidRPr="00B46640">
        <w:rPr>
          <w:rFonts w:ascii="Times New Roman" w:hAnsi="Times New Roman" w:cs="Times New Roman"/>
        </w:rPr>
        <w:t xml:space="preserve">taxation as it relates to property </w:t>
      </w:r>
      <w:r w:rsidR="0080446E" w:rsidRPr="00B46640">
        <w:rPr>
          <w:rFonts w:ascii="Times New Roman" w:hAnsi="Times New Roman" w:cs="Times New Roman"/>
        </w:rPr>
        <w:t xml:space="preserve">and </w:t>
      </w:r>
      <w:r w:rsidR="00FF32FD" w:rsidRPr="00B46640">
        <w:rPr>
          <w:rFonts w:ascii="Times New Roman" w:hAnsi="Times New Roman" w:cs="Times New Roman"/>
        </w:rPr>
        <w:t xml:space="preserve">the need for </w:t>
      </w:r>
      <w:r w:rsidR="0080446E" w:rsidRPr="00B46640">
        <w:rPr>
          <w:rFonts w:ascii="Times New Roman" w:hAnsi="Times New Roman" w:cs="Times New Roman"/>
        </w:rPr>
        <w:t xml:space="preserve">a holistic approach and secondly </w:t>
      </w:r>
      <w:r w:rsidRPr="00B46640">
        <w:rPr>
          <w:rFonts w:ascii="Times New Roman" w:hAnsi="Times New Roman" w:cs="Times New Roman"/>
        </w:rPr>
        <w:t>housing affordability</w:t>
      </w:r>
      <w:r w:rsidR="00155E47">
        <w:rPr>
          <w:rFonts w:ascii="Times New Roman" w:hAnsi="Times New Roman" w:cs="Times New Roman"/>
        </w:rPr>
        <w:t xml:space="preserve"> for first home buyers.</w:t>
      </w:r>
    </w:p>
    <w:p w:rsidR="002C780C" w:rsidRDefault="000C34C6" w:rsidP="00F62B03">
      <w:pPr>
        <w:rPr>
          <w:rFonts w:ascii="Times New Roman" w:hAnsi="Times New Roman" w:cs="Times New Roman"/>
        </w:rPr>
      </w:pPr>
      <w:r w:rsidRPr="00B46640">
        <w:rPr>
          <w:rFonts w:ascii="Times New Roman" w:hAnsi="Times New Roman" w:cs="Times New Roman"/>
        </w:rPr>
        <w:t>T</w:t>
      </w:r>
      <w:r w:rsidR="00D00845" w:rsidRPr="00B46640">
        <w:rPr>
          <w:rFonts w:ascii="Times New Roman" w:hAnsi="Times New Roman" w:cs="Times New Roman"/>
        </w:rPr>
        <w:t>he</w:t>
      </w:r>
      <w:r w:rsidR="00797D99">
        <w:rPr>
          <w:rFonts w:ascii="Times New Roman" w:hAnsi="Times New Roman" w:cs="Times New Roman"/>
        </w:rPr>
        <w:t xml:space="preserve"> REIA welcomes the </w:t>
      </w:r>
      <w:r w:rsidR="0080446E" w:rsidRPr="00B46640">
        <w:rPr>
          <w:rFonts w:ascii="Times New Roman" w:hAnsi="Times New Roman" w:cs="Times New Roman"/>
        </w:rPr>
        <w:t>Government</w:t>
      </w:r>
      <w:r w:rsidR="00797D99">
        <w:rPr>
          <w:rFonts w:ascii="Times New Roman" w:hAnsi="Times New Roman" w:cs="Times New Roman"/>
        </w:rPr>
        <w:t xml:space="preserve">’s </w:t>
      </w:r>
      <w:r w:rsidR="002C780C">
        <w:rPr>
          <w:rFonts w:ascii="Times New Roman" w:hAnsi="Times New Roman" w:cs="Times New Roman"/>
        </w:rPr>
        <w:t xml:space="preserve">post Election </w:t>
      </w:r>
      <w:r w:rsidR="00797D99">
        <w:rPr>
          <w:rFonts w:ascii="Times New Roman" w:hAnsi="Times New Roman" w:cs="Times New Roman"/>
        </w:rPr>
        <w:t xml:space="preserve">appointment of a Minister for </w:t>
      </w:r>
      <w:r w:rsidR="002C780C">
        <w:rPr>
          <w:rFonts w:ascii="Times New Roman" w:hAnsi="Times New Roman" w:cs="Times New Roman"/>
        </w:rPr>
        <w:t xml:space="preserve">Housing </w:t>
      </w:r>
      <w:r w:rsidR="002C780C" w:rsidRPr="00B46640">
        <w:rPr>
          <w:rFonts w:ascii="Times New Roman" w:hAnsi="Times New Roman" w:cs="Times New Roman"/>
        </w:rPr>
        <w:t>as</w:t>
      </w:r>
      <w:r w:rsidR="002C780C">
        <w:rPr>
          <w:rFonts w:ascii="Times New Roman" w:hAnsi="Times New Roman" w:cs="Times New Roman"/>
        </w:rPr>
        <w:t xml:space="preserve"> recognition of the</w:t>
      </w:r>
      <w:r w:rsidR="0080446E" w:rsidRPr="00B46640">
        <w:rPr>
          <w:rFonts w:ascii="Times New Roman" w:hAnsi="Times New Roman" w:cs="Times New Roman"/>
        </w:rPr>
        <w:t xml:space="preserve"> importance of the </w:t>
      </w:r>
      <w:r w:rsidR="000D46CC" w:rsidRPr="00B46640">
        <w:rPr>
          <w:rFonts w:ascii="Times New Roman" w:hAnsi="Times New Roman" w:cs="Times New Roman"/>
        </w:rPr>
        <w:t xml:space="preserve">property sector </w:t>
      </w:r>
      <w:r w:rsidR="0080446E" w:rsidRPr="00B46640">
        <w:rPr>
          <w:rFonts w:ascii="Times New Roman" w:hAnsi="Times New Roman" w:cs="Times New Roman"/>
        </w:rPr>
        <w:t xml:space="preserve">as a driver of economic </w:t>
      </w:r>
      <w:r w:rsidR="00914954" w:rsidRPr="00B46640">
        <w:rPr>
          <w:rFonts w:ascii="Times New Roman" w:hAnsi="Times New Roman" w:cs="Times New Roman"/>
        </w:rPr>
        <w:t>growth</w:t>
      </w:r>
      <w:r w:rsidR="002C780C">
        <w:rPr>
          <w:rFonts w:ascii="Times New Roman" w:hAnsi="Times New Roman" w:cs="Times New Roman"/>
        </w:rPr>
        <w:t xml:space="preserve">. </w:t>
      </w:r>
      <w:r w:rsidR="00914954" w:rsidRPr="00B46640">
        <w:rPr>
          <w:rFonts w:ascii="Times New Roman" w:hAnsi="Times New Roman" w:cs="Times New Roman"/>
        </w:rPr>
        <w:t xml:space="preserve"> </w:t>
      </w:r>
      <w:r w:rsidR="002C780C" w:rsidRPr="002C780C">
        <w:rPr>
          <w:rFonts w:ascii="Times New Roman" w:hAnsi="Times New Roman" w:cs="Times New Roman"/>
        </w:rPr>
        <w:t>REIA has long advocated for housing being a ministerial responsibility</w:t>
      </w:r>
      <w:r w:rsidR="002C780C">
        <w:rPr>
          <w:rFonts w:ascii="Times New Roman" w:hAnsi="Times New Roman" w:cs="Times New Roman"/>
        </w:rPr>
        <w:t xml:space="preserve"> and has proposed that in past Pre Budget Submissions.</w:t>
      </w:r>
    </w:p>
    <w:p w:rsidR="00B77B1A" w:rsidRPr="00B46640" w:rsidRDefault="00B77B1A" w:rsidP="00F62B03">
      <w:pPr>
        <w:rPr>
          <w:rFonts w:ascii="Times New Roman" w:hAnsi="Times New Roman" w:cs="Times New Roman"/>
        </w:rPr>
      </w:pPr>
      <w:r w:rsidRPr="00B46640">
        <w:rPr>
          <w:rFonts w:ascii="Times New Roman" w:hAnsi="Times New Roman" w:cs="Times New Roman"/>
        </w:rPr>
        <w:t xml:space="preserve">REIA’s </w:t>
      </w:r>
      <w:r w:rsidR="002C780C">
        <w:rPr>
          <w:rFonts w:ascii="Times New Roman" w:hAnsi="Times New Roman" w:cs="Times New Roman"/>
        </w:rPr>
        <w:t xml:space="preserve">2020/21 Pre Budget </w:t>
      </w:r>
      <w:r w:rsidRPr="00B46640">
        <w:rPr>
          <w:rFonts w:ascii="Times New Roman" w:hAnsi="Times New Roman" w:cs="Times New Roman"/>
        </w:rPr>
        <w:t xml:space="preserve">proposals are aimed at contributing to Australia’s continuing economic development and productivity. </w:t>
      </w:r>
    </w:p>
    <w:p w:rsidR="00231B6D" w:rsidRPr="00B46640" w:rsidRDefault="006D42AA" w:rsidP="00F62B03">
      <w:pPr>
        <w:rPr>
          <w:rFonts w:ascii="Times New Roman" w:hAnsi="Times New Roman" w:cs="Times New Roman"/>
          <w:b/>
        </w:rPr>
      </w:pPr>
      <w:r w:rsidRPr="00B46640">
        <w:rPr>
          <w:rFonts w:ascii="Times New Roman" w:hAnsi="Times New Roman" w:cs="Times New Roman"/>
          <w:b/>
        </w:rPr>
        <w:t>Economic Background</w:t>
      </w:r>
    </w:p>
    <w:p w:rsidR="00E764ED" w:rsidRDefault="00876AD1" w:rsidP="00F62B03">
      <w:pPr>
        <w:rPr>
          <w:rFonts w:ascii="Times New Roman" w:hAnsi="Times New Roman" w:cs="Times New Roman"/>
        </w:rPr>
      </w:pPr>
      <w:r w:rsidRPr="00876AD1">
        <w:rPr>
          <w:rFonts w:ascii="Times New Roman" w:hAnsi="Times New Roman" w:cs="Times New Roman"/>
        </w:rPr>
        <w:t xml:space="preserve">The </w:t>
      </w:r>
      <w:r w:rsidRPr="00876AD1">
        <w:rPr>
          <w:rFonts w:ascii="Times New Roman" w:hAnsi="Times New Roman" w:cs="Times New Roman"/>
        </w:rPr>
        <w:t xml:space="preserve">2019-20 Mid-Year Economic and Fiscal Outlook </w:t>
      </w:r>
      <w:r w:rsidRPr="00876AD1">
        <w:rPr>
          <w:rFonts w:ascii="Times New Roman" w:hAnsi="Times New Roman" w:cs="Times New Roman"/>
        </w:rPr>
        <w:t>(MYEFO) shows that whilst t</w:t>
      </w:r>
      <w:r w:rsidR="00E764ED" w:rsidRPr="00876AD1">
        <w:rPr>
          <w:rFonts w:ascii="Times New Roman" w:hAnsi="Times New Roman" w:cs="Times New Roman"/>
        </w:rPr>
        <w:t xml:space="preserve">he economic circumstances </w:t>
      </w:r>
      <w:r w:rsidRPr="00876AD1">
        <w:rPr>
          <w:rFonts w:ascii="Times New Roman" w:hAnsi="Times New Roman" w:cs="Times New Roman"/>
        </w:rPr>
        <w:t xml:space="preserve">are </w:t>
      </w:r>
      <w:r w:rsidR="00CF2272" w:rsidRPr="00876AD1">
        <w:rPr>
          <w:rFonts w:ascii="Times New Roman" w:hAnsi="Times New Roman" w:cs="Times New Roman"/>
        </w:rPr>
        <w:t xml:space="preserve">showing signs of improvement </w:t>
      </w:r>
      <w:r w:rsidRPr="00876AD1">
        <w:rPr>
          <w:rFonts w:ascii="Times New Roman" w:hAnsi="Times New Roman" w:cs="Times New Roman"/>
        </w:rPr>
        <w:t>the outlook has deteriorated since</w:t>
      </w:r>
      <w:r w:rsidR="00054274">
        <w:rPr>
          <w:rFonts w:ascii="Times New Roman" w:hAnsi="Times New Roman" w:cs="Times New Roman"/>
        </w:rPr>
        <w:t xml:space="preserve"> the</w:t>
      </w:r>
      <w:r w:rsidRPr="00876AD1">
        <w:rPr>
          <w:rFonts w:ascii="Times New Roman" w:hAnsi="Times New Roman" w:cs="Times New Roman"/>
        </w:rPr>
        <w:t xml:space="preserve"> </w:t>
      </w:r>
      <w:r w:rsidR="00E764ED" w:rsidRPr="00876AD1">
        <w:rPr>
          <w:rFonts w:ascii="Times New Roman" w:hAnsi="Times New Roman" w:cs="Times New Roman"/>
        </w:rPr>
        <w:t>201</w:t>
      </w:r>
      <w:r w:rsidRPr="00876AD1">
        <w:rPr>
          <w:rFonts w:ascii="Times New Roman" w:hAnsi="Times New Roman" w:cs="Times New Roman"/>
        </w:rPr>
        <w:t>9</w:t>
      </w:r>
      <w:r w:rsidR="00E764ED" w:rsidRPr="00876AD1">
        <w:rPr>
          <w:rFonts w:ascii="Times New Roman" w:hAnsi="Times New Roman" w:cs="Times New Roman"/>
        </w:rPr>
        <w:t>-</w:t>
      </w:r>
      <w:r w:rsidRPr="00876AD1">
        <w:rPr>
          <w:rFonts w:ascii="Times New Roman" w:hAnsi="Times New Roman" w:cs="Times New Roman"/>
        </w:rPr>
        <w:t>20</w:t>
      </w:r>
      <w:r w:rsidR="00E764ED" w:rsidRPr="00876AD1">
        <w:rPr>
          <w:rFonts w:ascii="Times New Roman" w:hAnsi="Times New Roman" w:cs="Times New Roman"/>
        </w:rPr>
        <w:t xml:space="preserve"> Budget was </w:t>
      </w:r>
      <w:r w:rsidR="003A6F12" w:rsidRPr="003B7114">
        <w:rPr>
          <w:rFonts w:ascii="Times New Roman" w:hAnsi="Times New Roman" w:cs="Times New Roman"/>
        </w:rPr>
        <w:t>delivered</w:t>
      </w:r>
      <w:r w:rsidR="007C3B21" w:rsidRPr="003B7114">
        <w:rPr>
          <w:rFonts w:ascii="Times New Roman" w:hAnsi="Times New Roman" w:cs="Times New Roman"/>
        </w:rPr>
        <w:t xml:space="preserve"> </w:t>
      </w:r>
      <w:r w:rsidR="00E764ED" w:rsidRPr="003B7114">
        <w:rPr>
          <w:rFonts w:ascii="Times New Roman" w:hAnsi="Times New Roman" w:cs="Times New Roman"/>
        </w:rPr>
        <w:t xml:space="preserve">and business and consumer confidence </w:t>
      </w:r>
      <w:r w:rsidR="003B7114">
        <w:rPr>
          <w:rFonts w:ascii="Times New Roman" w:hAnsi="Times New Roman" w:cs="Times New Roman"/>
        </w:rPr>
        <w:t xml:space="preserve">is </w:t>
      </w:r>
      <w:r w:rsidR="00E764ED" w:rsidRPr="003B7114">
        <w:rPr>
          <w:rFonts w:ascii="Times New Roman" w:hAnsi="Times New Roman" w:cs="Times New Roman"/>
        </w:rPr>
        <w:t xml:space="preserve">still low despite </w:t>
      </w:r>
      <w:r w:rsidR="007906C6" w:rsidRPr="003B7114">
        <w:rPr>
          <w:rFonts w:ascii="Times New Roman" w:hAnsi="Times New Roman" w:cs="Times New Roman"/>
        </w:rPr>
        <w:t xml:space="preserve">six </w:t>
      </w:r>
      <w:r w:rsidR="00E764ED" w:rsidRPr="003B7114">
        <w:rPr>
          <w:rFonts w:ascii="Times New Roman" w:hAnsi="Times New Roman" w:cs="Times New Roman"/>
        </w:rPr>
        <w:t>year</w:t>
      </w:r>
      <w:r w:rsidR="002970C5" w:rsidRPr="003B7114">
        <w:rPr>
          <w:rFonts w:ascii="Times New Roman" w:hAnsi="Times New Roman" w:cs="Times New Roman"/>
        </w:rPr>
        <w:t xml:space="preserve">s </w:t>
      </w:r>
      <w:r w:rsidR="00E764ED" w:rsidRPr="003B7114">
        <w:rPr>
          <w:rFonts w:ascii="Times New Roman" w:hAnsi="Times New Roman" w:cs="Times New Roman"/>
        </w:rPr>
        <w:t>of record low interest rates.</w:t>
      </w:r>
      <w:r>
        <w:rPr>
          <w:rFonts w:ascii="Times New Roman" w:hAnsi="Times New Roman" w:cs="Times New Roman"/>
        </w:rPr>
        <w:t xml:space="preserve"> </w:t>
      </w:r>
    </w:p>
    <w:p w:rsidR="00876AD1" w:rsidRPr="00B46640" w:rsidRDefault="00876AD1" w:rsidP="00F62B03">
      <w:pPr>
        <w:rPr>
          <w:rFonts w:ascii="Times New Roman" w:hAnsi="Times New Roman" w:cs="Times New Roman"/>
        </w:rPr>
      </w:pPr>
      <w:r w:rsidRPr="00876AD1">
        <w:rPr>
          <w:rFonts w:ascii="Times New Roman" w:hAnsi="Times New Roman" w:cs="Times New Roman"/>
        </w:rPr>
        <w:t>Real GDP growth is forecast to be 2¼ per cent in 2019-20, which is half a percentage point less than was previously expected. Growth is expected to strengthen to 2¾ per cent in 2020-21.</w:t>
      </w:r>
      <w:r>
        <w:rPr>
          <w:rFonts w:ascii="Times New Roman" w:hAnsi="Times New Roman" w:cs="Times New Roman"/>
        </w:rPr>
        <w:t xml:space="preserve"> </w:t>
      </w:r>
      <w:r w:rsidRPr="00876AD1">
        <w:rPr>
          <w:rFonts w:ascii="Times New Roman" w:hAnsi="Times New Roman" w:cs="Times New Roman"/>
        </w:rPr>
        <w:t>MYEFO predicts wages growth at lower levels than forecast at Budget time</w:t>
      </w:r>
      <w:r>
        <w:rPr>
          <w:rFonts w:ascii="Times New Roman" w:hAnsi="Times New Roman" w:cs="Times New Roman"/>
        </w:rPr>
        <w:t>.</w:t>
      </w:r>
      <w:r w:rsidRPr="00876AD1">
        <w:rPr>
          <w:rFonts w:ascii="Times New Roman" w:hAnsi="Times New Roman" w:cs="Times New Roman"/>
        </w:rPr>
        <w:t xml:space="preserve"> </w:t>
      </w:r>
      <w:r w:rsidR="003B7114">
        <w:rPr>
          <w:rFonts w:ascii="Times New Roman" w:hAnsi="Times New Roman" w:cs="Times New Roman"/>
        </w:rPr>
        <w:t>U</w:t>
      </w:r>
      <w:r w:rsidR="003B7114" w:rsidRPr="003B7114">
        <w:rPr>
          <w:rFonts w:ascii="Times New Roman" w:hAnsi="Times New Roman" w:cs="Times New Roman"/>
        </w:rPr>
        <w:t>nemployment remains at 5.3%</w:t>
      </w:r>
      <w:r w:rsidR="003B7114">
        <w:rPr>
          <w:rFonts w:ascii="Times New Roman" w:hAnsi="Times New Roman" w:cs="Times New Roman"/>
        </w:rPr>
        <w:t xml:space="preserve">, which </w:t>
      </w:r>
      <w:r w:rsidR="003B7114" w:rsidRPr="003B7114">
        <w:rPr>
          <w:rFonts w:ascii="Times New Roman" w:hAnsi="Times New Roman" w:cs="Times New Roman"/>
        </w:rPr>
        <w:t>is 0.2% higher than the forecast unemployment rate</w:t>
      </w:r>
      <w:r w:rsidR="003B7114">
        <w:rPr>
          <w:rFonts w:ascii="Times New Roman" w:hAnsi="Times New Roman" w:cs="Times New Roman"/>
        </w:rPr>
        <w:t>.</w:t>
      </w:r>
    </w:p>
    <w:p w:rsidR="00C6027A" w:rsidRDefault="00C6027A" w:rsidP="00F62B03">
      <w:pPr>
        <w:rPr>
          <w:rFonts w:ascii="Times New Roman" w:hAnsi="Times New Roman" w:cs="Times New Roman"/>
        </w:rPr>
      </w:pPr>
      <w:r w:rsidRPr="00B46640">
        <w:rPr>
          <w:rFonts w:ascii="Times New Roman" w:hAnsi="Times New Roman" w:cs="Times New Roman"/>
        </w:rPr>
        <w:t>In 201</w:t>
      </w:r>
      <w:r w:rsidR="007906C6">
        <w:rPr>
          <w:rFonts w:ascii="Times New Roman" w:hAnsi="Times New Roman" w:cs="Times New Roman"/>
        </w:rPr>
        <w:t>9</w:t>
      </w:r>
      <w:r w:rsidRPr="00B46640">
        <w:rPr>
          <w:rFonts w:ascii="Times New Roman" w:hAnsi="Times New Roman" w:cs="Times New Roman"/>
        </w:rPr>
        <w:t>, the recovery of the global economy continued</w:t>
      </w:r>
      <w:r w:rsidR="00454530" w:rsidRPr="00B46640">
        <w:rPr>
          <w:rFonts w:ascii="Times New Roman" w:hAnsi="Times New Roman" w:cs="Times New Roman"/>
        </w:rPr>
        <w:t>,</w:t>
      </w:r>
      <w:r w:rsidRPr="00B46640">
        <w:rPr>
          <w:rFonts w:ascii="Times New Roman" w:hAnsi="Times New Roman" w:cs="Times New Roman"/>
        </w:rPr>
        <w:t xml:space="preserve"> </w:t>
      </w:r>
      <w:r w:rsidR="00CD799B" w:rsidRPr="00B46640">
        <w:rPr>
          <w:rFonts w:ascii="Times New Roman" w:hAnsi="Times New Roman" w:cs="Times New Roman"/>
        </w:rPr>
        <w:t>albeit at a slower-</w:t>
      </w:r>
      <w:r w:rsidRPr="00B46640">
        <w:rPr>
          <w:rFonts w:ascii="Times New Roman" w:hAnsi="Times New Roman" w:cs="Times New Roman"/>
        </w:rPr>
        <w:t>than</w:t>
      </w:r>
      <w:r w:rsidR="00CD799B" w:rsidRPr="00B46640">
        <w:rPr>
          <w:rFonts w:ascii="Times New Roman" w:hAnsi="Times New Roman" w:cs="Times New Roman"/>
        </w:rPr>
        <w:t>-</w:t>
      </w:r>
      <w:r w:rsidRPr="00B46640">
        <w:rPr>
          <w:rFonts w:ascii="Times New Roman" w:hAnsi="Times New Roman" w:cs="Times New Roman"/>
        </w:rPr>
        <w:t xml:space="preserve">expected </w:t>
      </w:r>
      <w:r w:rsidR="00CD799B" w:rsidRPr="00B46640">
        <w:rPr>
          <w:rFonts w:ascii="Times New Roman" w:hAnsi="Times New Roman" w:cs="Times New Roman"/>
        </w:rPr>
        <w:t xml:space="preserve">rate with growth in </w:t>
      </w:r>
      <w:r w:rsidR="00503258" w:rsidRPr="00B46640">
        <w:rPr>
          <w:rFonts w:ascii="Times New Roman" w:hAnsi="Times New Roman" w:cs="Times New Roman"/>
        </w:rPr>
        <w:t xml:space="preserve">the </w:t>
      </w:r>
      <w:r w:rsidR="00CD799B" w:rsidRPr="00B46640">
        <w:rPr>
          <w:rFonts w:ascii="Times New Roman" w:hAnsi="Times New Roman" w:cs="Times New Roman"/>
        </w:rPr>
        <w:t xml:space="preserve">economies of Australia’s major trading partners being </w:t>
      </w:r>
      <w:r w:rsidR="00BD4317" w:rsidRPr="00B46640">
        <w:rPr>
          <w:rFonts w:ascii="Times New Roman" w:hAnsi="Times New Roman" w:cs="Times New Roman"/>
        </w:rPr>
        <w:t xml:space="preserve">below </w:t>
      </w:r>
      <w:r w:rsidR="00CD799B" w:rsidRPr="00B46640">
        <w:rPr>
          <w:rFonts w:ascii="Times New Roman" w:hAnsi="Times New Roman" w:cs="Times New Roman"/>
        </w:rPr>
        <w:t>their historical average.</w:t>
      </w:r>
    </w:p>
    <w:p w:rsidR="00042137" w:rsidRDefault="00042137" w:rsidP="00F96ADA">
      <w:pPr>
        <w:rPr>
          <w:rFonts w:ascii="Times New Roman" w:hAnsi="Times New Roman" w:cs="Times New Roman"/>
        </w:rPr>
      </w:pPr>
      <w:r>
        <w:rPr>
          <w:rFonts w:ascii="Times New Roman" w:hAnsi="Times New Roman" w:cs="Times New Roman"/>
        </w:rPr>
        <w:t>The RBA’s Minutes of its December 201</w:t>
      </w:r>
      <w:r w:rsidR="007906C6">
        <w:rPr>
          <w:rFonts w:ascii="Times New Roman" w:hAnsi="Times New Roman" w:cs="Times New Roman"/>
        </w:rPr>
        <w:t>9</w:t>
      </w:r>
      <w:r>
        <w:rPr>
          <w:rFonts w:ascii="Times New Roman" w:hAnsi="Times New Roman" w:cs="Times New Roman"/>
        </w:rPr>
        <w:t xml:space="preserve"> Board meeting note that “</w:t>
      </w:r>
      <w:r w:rsidR="00F96ADA" w:rsidRPr="00F96ADA">
        <w:rPr>
          <w:rFonts w:ascii="Times New Roman" w:hAnsi="Times New Roman" w:cs="Times New Roman"/>
        </w:rPr>
        <w:t>Members observed that there had been little change in the global outlook over the previous month, but that some of the downside risks had receded</w:t>
      </w:r>
      <w:r w:rsidR="00F96ADA">
        <w:rPr>
          <w:rFonts w:ascii="Times New Roman" w:hAnsi="Times New Roman" w:cs="Times New Roman"/>
        </w:rPr>
        <w:t>” and that “w</w:t>
      </w:r>
      <w:r w:rsidR="00F96ADA" w:rsidRPr="00F96ADA">
        <w:rPr>
          <w:rFonts w:ascii="Times New Roman" w:hAnsi="Times New Roman" w:cs="Times New Roman"/>
        </w:rPr>
        <w:t>eak trade outcomes had continued to restrain growth in output, particularly for export-oriented economies.</w:t>
      </w:r>
      <w:r>
        <w:rPr>
          <w:rFonts w:ascii="Times New Roman" w:hAnsi="Times New Roman" w:cs="Times New Roman"/>
        </w:rPr>
        <w:t>”</w:t>
      </w:r>
    </w:p>
    <w:p w:rsidR="00F96ADA" w:rsidRPr="00042137" w:rsidRDefault="00F96ADA" w:rsidP="00F96ADA">
      <w:pPr>
        <w:rPr>
          <w:rFonts w:ascii="Times New Roman" w:hAnsi="Times New Roman" w:cs="Times New Roman"/>
        </w:rPr>
      </w:pPr>
      <w:r>
        <w:rPr>
          <w:rFonts w:ascii="Times New Roman" w:hAnsi="Times New Roman" w:cs="Times New Roman"/>
        </w:rPr>
        <w:t>On the domestic economy the RBA states “</w:t>
      </w:r>
      <w:r w:rsidRPr="00F96ADA">
        <w:rPr>
          <w:rFonts w:ascii="Times New Roman" w:hAnsi="Times New Roman" w:cs="Times New Roman"/>
        </w:rPr>
        <w:t>Australia had continued at a moderate pace since the middle of the year</w:t>
      </w:r>
      <w:r>
        <w:rPr>
          <w:rFonts w:ascii="Times New Roman" w:hAnsi="Times New Roman" w:cs="Times New Roman"/>
        </w:rPr>
        <w:t>” and that “h</w:t>
      </w:r>
      <w:r w:rsidRPr="00F96ADA">
        <w:rPr>
          <w:rFonts w:ascii="Times New Roman" w:hAnsi="Times New Roman" w:cs="Times New Roman"/>
        </w:rPr>
        <w:t>ouseholds' expectations about future economic conditions had declined significantly since June. Members noted that the prolonged period of slow income growth had affected both consumer sentiment and growth in household consumption</w:t>
      </w:r>
      <w:r>
        <w:rPr>
          <w:rFonts w:ascii="Times New Roman" w:hAnsi="Times New Roman" w:cs="Times New Roman"/>
        </w:rPr>
        <w:t>”.</w:t>
      </w:r>
    </w:p>
    <w:p w:rsidR="00C454AE" w:rsidRPr="00B46640" w:rsidRDefault="003B7114" w:rsidP="0085031A">
      <w:pPr>
        <w:rPr>
          <w:rFonts w:ascii="Times New Roman" w:hAnsi="Times New Roman" w:cs="Times New Roman"/>
        </w:rPr>
      </w:pPr>
      <w:r>
        <w:rPr>
          <w:rFonts w:ascii="Times New Roman" w:hAnsi="Times New Roman" w:cs="Times New Roman"/>
        </w:rPr>
        <w:t xml:space="preserve">September </w:t>
      </w:r>
      <w:r w:rsidRPr="00B46640">
        <w:rPr>
          <w:rFonts w:ascii="Times New Roman" w:hAnsi="Times New Roman" w:cs="Times New Roman"/>
        </w:rPr>
        <w:t>quarter 201</w:t>
      </w:r>
      <w:r>
        <w:rPr>
          <w:rFonts w:ascii="Times New Roman" w:hAnsi="Times New Roman" w:cs="Times New Roman"/>
        </w:rPr>
        <w:t>9</w:t>
      </w:r>
      <w:r w:rsidRPr="00B46640">
        <w:rPr>
          <w:rFonts w:ascii="Times New Roman" w:hAnsi="Times New Roman" w:cs="Times New Roman"/>
        </w:rPr>
        <w:t xml:space="preserve"> National </w:t>
      </w:r>
      <w:r>
        <w:rPr>
          <w:rFonts w:ascii="Times New Roman" w:hAnsi="Times New Roman" w:cs="Times New Roman"/>
        </w:rPr>
        <w:t>A</w:t>
      </w:r>
      <w:r w:rsidRPr="00B46640">
        <w:rPr>
          <w:rFonts w:ascii="Times New Roman" w:hAnsi="Times New Roman" w:cs="Times New Roman"/>
        </w:rPr>
        <w:t xml:space="preserve">ccounts show that </w:t>
      </w:r>
      <w:r>
        <w:rPr>
          <w:rFonts w:ascii="Times New Roman" w:hAnsi="Times New Roman" w:cs="Times New Roman"/>
        </w:rPr>
        <w:t xml:space="preserve">quarterly growth </w:t>
      </w:r>
      <w:r w:rsidRPr="00B46640">
        <w:rPr>
          <w:rFonts w:ascii="Times New Roman" w:hAnsi="Times New Roman" w:cs="Times New Roman"/>
        </w:rPr>
        <w:t xml:space="preserve">in </w:t>
      </w:r>
      <w:r>
        <w:rPr>
          <w:rFonts w:ascii="Times New Roman" w:hAnsi="Times New Roman" w:cs="Times New Roman"/>
        </w:rPr>
        <w:t xml:space="preserve">Australian </w:t>
      </w:r>
      <w:r w:rsidRPr="00B46640">
        <w:rPr>
          <w:rFonts w:ascii="Times New Roman" w:hAnsi="Times New Roman" w:cs="Times New Roman"/>
        </w:rPr>
        <w:t>GDP slumped</w:t>
      </w:r>
      <w:r>
        <w:rPr>
          <w:rFonts w:ascii="Times New Roman" w:hAnsi="Times New Roman" w:cs="Times New Roman"/>
        </w:rPr>
        <w:t>.</w:t>
      </w:r>
      <w:r w:rsidRPr="00B46640">
        <w:rPr>
          <w:rFonts w:ascii="Times New Roman" w:hAnsi="Times New Roman" w:cs="Times New Roman"/>
        </w:rPr>
        <w:t xml:space="preserve"> </w:t>
      </w:r>
      <w:proofErr w:type="gramStart"/>
      <w:r w:rsidRPr="003B7114">
        <w:rPr>
          <w:rFonts w:ascii="Times New Roman" w:hAnsi="Times New Roman" w:cs="Times New Roman"/>
        </w:rPr>
        <w:t>Australia’s economy expanded by just 0.4% during the</w:t>
      </w:r>
      <w:r>
        <w:rPr>
          <w:rFonts w:ascii="Times New Roman" w:hAnsi="Times New Roman" w:cs="Times New Roman"/>
        </w:rPr>
        <w:t xml:space="preserve"> quarter.</w:t>
      </w:r>
      <w:proofErr w:type="gramEnd"/>
      <w:r>
        <w:rPr>
          <w:rFonts w:ascii="Times New Roman" w:hAnsi="Times New Roman" w:cs="Times New Roman"/>
        </w:rPr>
        <w:t xml:space="preserve"> </w:t>
      </w:r>
      <w:r w:rsidRPr="003B7114">
        <w:rPr>
          <w:rFonts w:ascii="Times New Roman" w:hAnsi="Times New Roman" w:cs="Times New Roman"/>
        </w:rPr>
        <w:t xml:space="preserve">The annual </w:t>
      </w:r>
      <w:r>
        <w:rPr>
          <w:rFonts w:ascii="Times New Roman" w:hAnsi="Times New Roman" w:cs="Times New Roman"/>
        </w:rPr>
        <w:t xml:space="preserve">rate </w:t>
      </w:r>
      <w:r w:rsidRPr="003B7114">
        <w:rPr>
          <w:rFonts w:ascii="Times New Roman" w:hAnsi="Times New Roman" w:cs="Times New Roman"/>
        </w:rPr>
        <w:t>of GDP growth was 1.7% over the year to September, well short of the economy’s 3% trend rate of growth</w:t>
      </w:r>
      <w:r w:rsidR="004A7AD9">
        <w:rPr>
          <w:rFonts w:ascii="Times New Roman" w:hAnsi="Times New Roman" w:cs="Times New Roman"/>
        </w:rPr>
        <w:t xml:space="preserve">. </w:t>
      </w:r>
      <w:r w:rsidR="0085031A" w:rsidRPr="003B7114">
        <w:rPr>
          <w:rFonts w:ascii="Times New Roman" w:hAnsi="Times New Roman" w:cs="Times New Roman"/>
        </w:rPr>
        <w:t xml:space="preserve">The three </w:t>
      </w:r>
      <w:r w:rsidR="0085031A">
        <w:rPr>
          <w:rFonts w:ascii="Times New Roman" w:hAnsi="Times New Roman" w:cs="Times New Roman"/>
        </w:rPr>
        <w:t xml:space="preserve">sectors </w:t>
      </w:r>
      <w:r w:rsidR="0085031A" w:rsidRPr="003B7114">
        <w:rPr>
          <w:rFonts w:ascii="Times New Roman" w:hAnsi="Times New Roman" w:cs="Times New Roman"/>
        </w:rPr>
        <w:t>of the economy which shrank during the quarter were engineering construction, residential building and private business investment</w:t>
      </w:r>
      <w:r w:rsidR="0085031A">
        <w:rPr>
          <w:rFonts w:ascii="Times New Roman" w:hAnsi="Times New Roman" w:cs="Times New Roman"/>
        </w:rPr>
        <w:t xml:space="preserve">. </w:t>
      </w:r>
      <w:r w:rsidR="0085031A" w:rsidRPr="00B46640">
        <w:rPr>
          <w:rFonts w:ascii="Times New Roman" w:hAnsi="Times New Roman" w:cs="Times New Roman"/>
        </w:rPr>
        <w:t xml:space="preserve"> </w:t>
      </w:r>
    </w:p>
    <w:p w:rsidR="00305FEA" w:rsidRPr="00F62B03" w:rsidRDefault="00B77B1A" w:rsidP="00F62B03">
      <w:pPr>
        <w:rPr>
          <w:rFonts w:ascii="Times New Roman" w:hAnsi="Times New Roman" w:cs="Times New Roman"/>
        </w:rPr>
      </w:pPr>
      <w:r w:rsidRPr="00F62B03">
        <w:rPr>
          <w:rFonts w:ascii="Times New Roman" w:hAnsi="Times New Roman" w:cs="Times New Roman"/>
        </w:rPr>
        <w:t>For a number of years</w:t>
      </w:r>
      <w:r w:rsidR="00505B93" w:rsidRPr="00F62B03">
        <w:rPr>
          <w:rFonts w:ascii="Times New Roman" w:hAnsi="Times New Roman" w:cs="Times New Roman"/>
        </w:rPr>
        <w:t xml:space="preserve"> now, as Australia’s economy transition</w:t>
      </w:r>
      <w:r w:rsidR="002E568F">
        <w:rPr>
          <w:rFonts w:ascii="Times New Roman" w:hAnsi="Times New Roman" w:cs="Times New Roman"/>
        </w:rPr>
        <w:t>s</w:t>
      </w:r>
      <w:r w:rsidR="00505B93" w:rsidRPr="00F62B03">
        <w:rPr>
          <w:rFonts w:ascii="Times New Roman" w:hAnsi="Times New Roman" w:cs="Times New Roman"/>
        </w:rPr>
        <w:t xml:space="preserve"> from resource investment to other drivers of growth and economic activity</w:t>
      </w:r>
      <w:r w:rsidRPr="00F62B03">
        <w:rPr>
          <w:rFonts w:ascii="Times New Roman" w:hAnsi="Times New Roman" w:cs="Times New Roman"/>
        </w:rPr>
        <w:t xml:space="preserve">, </w:t>
      </w:r>
      <w:r w:rsidR="00440079" w:rsidRPr="00F62B03">
        <w:rPr>
          <w:rFonts w:ascii="Times New Roman" w:hAnsi="Times New Roman" w:cs="Times New Roman"/>
        </w:rPr>
        <w:t>significant differences in economic performance across industries and regions have</w:t>
      </w:r>
      <w:r w:rsidRPr="00F62B03">
        <w:rPr>
          <w:rFonts w:ascii="Times New Roman" w:hAnsi="Times New Roman" w:cs="Times New Roman"/>
        </w:rPr>
        <w:t xml:space="preserve"> been a distinctive feature of the economy.</w:t>
      </w:r>
      <w:r w:rsidR="00262573" w:rsidRPr="00F62B03">
        <w:rPr>
          <w:rFonts w:ascii="Times New Roman" w:hAnsi="Times New Roman" w:cs="Times New Roman"/>
        </w:rPr>
        <w:t xml:space="preserve"> </w:t>
      </w:r>
      <w:r w:rsidR="00305FEA" w:rsidRPr="00F62B03">
        <w:rPr>
          <w:rFonts w:ascii="Times New Roman" w:hAnsi="Times New Roman" w:cs="Times New Roman"/>
        </w:rPr>
        <w:t xml:space="preserve">Whilst it </w:t>
      </w:r>
      <w:r w:rsidR="00A37A9A">
        <w:rPr>
          <w:rFonts w:ascii="Times New Roman" w:hAnsi="Times New Roman" w:cs="Times New Roman"/>
        </w:rPr>
        <w:t>has been</w:t>
      </w:r>
      <w:r w:rsidR="00305FEA" w:rsidRPr="00F62B03">
        <w:rPr>
          <w:rFonts w:ascii="Times New Roman" w:hAnsi="Times New Roman" w:cs="Times New Roman"/>
        </w:rPr>
        <w:t xml:space="preserve"> expected that </w:t>
      </w:r>
      <w:r w:rsidR="00305FEA" w:rsidRPr="00F62B03">
        <w:rPr>
          <w:rFonts w:ascii="Times New Roman" w:hAnsi="Times New Roman" w:cs="Times New Roman"/>
        </w:rPr>
        <w:lastRenderedPageBreak/>
        <w:t>the weakening Australian dollar w</w:t>
      </w:r>
      <w:r w:rsidR="00A37A9A">
        <w:rPr>
          <w:rFonts w:ascii="Times New Roman" w:hAnsi="Times New Roman" w:cs="Times New Roman"/>
        </w:rPr>
        <w:t xml:space="preserve">ould </w:t>
      </w:r>
      <w:r w:rsidR="00305FEA" w:rsidRPr="00F62B03">
        <w:rPr>
          <w:rFonts w:ascii="Times New Roman" w:hAnsi="Times New Roman" w:cs="Times New Roman"/>
        </w:rPr>
        <w:t>provide a much needed stimulus to a number of sectors the impact of t</w:t>
      </w:r>
      <w:r w:rsidR="00832A63" w:rsidRPr="00F62B03">
        <w:rPr>
          <w:rFonts w:ascii="Times New Roman" w:hAnsi="Times New Roman" w:cs="Times New Roman"/>
        </w:rPr>
        <w:t>h</w:t>
      </w:r>
      <w:r w:rsidR="00305FEA" w:rsidRPr="00F62B03">
        <w:rPr>
          <w:rFonts w:ascii="Times New Roman" w:hAnsi="Times New Roman" w:cs="Times New Roman"/>
        </w:rPr>
        <w:t xml:space="preserve">is is still </w:t>
      </w:r>
      <w:r w:rsidR="0085031A">
        <w:rPr>
          <w:rFonts w:ascii="Times New Roman" w:hAnsi="Times New Roman" w:cs="Times New Roman"/>
        </w:rPr>
        <w:t>to be seen.</w:t>
      </w:r>
    </w:p>
    <w:p w:rsidR="0085031A" w:rsidRDefault="00305FEA" w:rsidP="0085031A">
      <w:pPr>
        <w:rPr>
          <w:rFonts w:ascii="Times New Roman" w:hAnsi="Times New Roman" w:cs="Times New Roman"/>
        </w:rPr>
      </w:pPr>
      <w:r w:rsidRPr="00F62B03">
        <w:rPr>
          <w:rFonts w:ascii="Times New Roman" w:hAnsi="Times New Roman" w:cs="Times New Roman"/>
        </w:rPr>
        <w:t>Importantly,</w:t>
      </w:r>
      <w:r w:rsidR="00262573" w:rsidRPr="00F62B03">
        <w:rPr>
          <w:rFonts w:ascii="Times New Roman" w:hAnsi="Times New Roman" w:cs="Times New Roman"/>
        </w:rPr>
        <w:t xml:space="preserve"> dwelling investment </w:t>
      </w:r>
      <w:r w:rsidRPr="00F62B03">
        <w:rPr>
          <w:rFonts w:ascii="Times New Roman" w:hAnsi="Times New Roman" w:cs="Times New Roman"/>
        </w:rPr>
        <w:t>supported by historically low interest rates ha</w:t>
      </w:r>
      <w:r w:rsidR="0085031A">
        <w:rPr>
          <w:rFonts w:ascii="Times New Roman" w:hAnsi="Times New Roman" w:cs="Times New Roman"/>
        </w:rPr>
        <w:t>d</w:t>
      </w:r>
      <w:r w:rsidRPr="00F62B03">
        <w:rPr>
          <w:rFonts w:ascii="Times New Roman" w:hAnsi="Times New Roman" w:cs="Times New Roman"/>
        </w:rPr>
        <w:t xml:space="preserve"> </w:t>
      </w:r>
      <w:r w:rsidR="006D42AA" w:rsidRPr="00F62B03">
        <w:rPr>
          <w:rFonts w:ascii="Times New Roman" w:hAnsi="Times New Roman" w:cs="Times New Roman"/>
        </w:rPr>
        <w:t xml:space="preserve">been </w:t>
      </w:r>
      <w:r w:rsidR="00505B93" w:rsidRPr="00F62B03">
        <w:rPr>
          <w:rFonts w:ascii="Times New Roman" w:hAnsi="Times New Roman" w:cs="Times New Roman"/>
        </w:rPr>
        <w:t xml:space="preserve">a significant </w:t>
      </w:r>
      <w:r w:rsidR="00262573" w:rsidRPr="00F62B03">
        <w:rPr>
          <w:rFonts w:ascii="Times New Roman" w:hAnsi="Times New Roman" w:cs="Times New Roman"/>
        </w:rPr>
        <w:t xml:space="preserve">contributor to growth </w:t>
      </w:r>
      <w:r w:rsidRPr="00F62B03">
        <w:rPr>
          <w:rFonts w:ascii="Times New Roman" w:hAnsi="Times New Roman" w:cs="Times New Roman"/>
        </w:rPr>
        <w:t xml:space="preserve">in </w:t>
      </w:r>
      <w:r w:rsidR="00262573" w:rsidRPr="00F62B03">
        <w:rPr>
          <w:rFonts w:ascii="Times New Roman" w:hAnsi="Times New Roman" w:cs="Times New Roman"/>
        </w:rPr>
        <w:t>the Australian economy</w:t>
      </w:r>
      <w:r w:rsidR="00714581" w:rsidRPr="00F62B03">
        <w:rPr>
          <w:rFonts w:ascii="Times New Roman" w:hAnsi="Times New Roman" w:cs="Times New Roman"/>
        </w:rPr>
        <w:t xml:space="preserve"> </w:t>
      </w:r>
      <w:r w:rsidR="00505B93" w:rsidRPr="00F62B03">
        <w:rPr>
          <w:rFonts w:ascii="Times New Roman" w:hAnsi="Times New Roman" w:cs="Times New Roman"/>
        </w:rPr>
        <w:t>since</w:t>
      </w:r>
      <w:r w:rsidR="00714581" w:rsidRPr="00F62B03">
        <w:rPr>
          <w:rFonts w:ascii="Times New Roman" w:hAnsi="Times New Roman" w:cs="Times New Roman"/>
        </w:rPr>
        <w:t xml:space="preserve"> 2013</w:t>
      </w:r>
      <w:r w:rsidR="00503258">
        <w:rPr>
          <w:rFonts w:ascii="Times New Roman" w:hAnsi="Times New Roman" w:cs="Times New Roman"/>
        </w:rPr>
        <w:t>/</w:t>
      </w:r>
      <w:r w:rsidR="00714581" w:rsidRPr="00F62B03">
        <w:rPr>
          <w:rFonts w:ascii="Times New Roman" w:hAnsi="Times New Roman" w:cs="Times New Roman"/>
        </w:rPr>
        <w:t>14</w:t>
      </w:r>
      <w:r w:rsidR="00262573" w:rsidRPr="00F62B03">
        <w:rPr>
          <w:rFonts w:ascii="Times New Roman" w:hAnsi="Times New Roman" w:cs="Times New Roman"/>
        </w:rPr>
        <w:t xml:space="preserve">. </w:t>
      </w:r>
      <w:r w:rsidR="0085031A" w:rsidRPr="0085031A">
        <w:rPr>
          <w:rFonts w:ascii="Times New Roman" w:hAnsi="Times New Roman" w:cs="Times New Roman"/>
        </w:rPr>
        <w:t>This however is now on the wane.</w:t>
      </w:r>
      <w:r w:rsidR="0085031A">
        <w:rPr>
          <w:rFonts w:ascii="Times New Roman" w:hAnsi="Times New Roman" w:cs="Times New Roman"/>
        </w:rPr>
        <w:t xml:space="preserve"> </w:t>
      </w:r>
      <w:r w:rsidRPr="00F62B03">
        <w:rPr>
          <w:rFonts w:ascii="Times New Roman" w:hAnsi="Times New Roman" w:cs="Times New Roman"/>
        </w:rPr>
        <w:t>Au</w:t>
      </w:r>
      <w:r w:rsidR="00DA6F17" w:rsidRPr="00F62B03">
        <w:rPr>
          <w:rFonts w:ascii="Times New Roman" w:hAnsi="Times New Roman" w:cs="Times New Roman"/>
        </w:rPr>
        <w:t xml:space="preserve">stralia’s property industry </w:t>
      </w:r>
      <w:r w:rsidR="002E568F">
        <w:rPr>
          <w:rFonts w:ascii="Times New Roman" w:hAnsi="Times New Roman" w:cs="Times New Roman"/>
        </w:rPr>
        <w:t xml:space="preserve">has been a </w:t>
      </w:r>
      <w:r w:rsidR="00DA6F17" w:rsidRPr="00F62B03">
        <w:rPr>
          <w:rFonts w:ascii="Times New Roman" w:hAnsi="Times New Roman" w:cs="Times New Roman"/>
        </w:rPr>
        <w:t>main driver of economic growth and increased employment in the transition away from a decade-long reliance on mining.</w:t>
      </w:r>
      <w:r w:rsidR="0085031A">
        <w:rPr>
          <w:rFonts w:ascii="Times New Roman" w:hAnsi="Times New Roman" w:cs="Times New Roman"/>
        </w:rPr>
        <w:t xml:space="preserve"> </w:t>
      </w:r>
      <w:r w:rsidR="0085031A" w:rsidRPr="00F62B03">
        <w:rPr>
          <w:rFonts w:ascii="Times New Roman" w:hAnsi="Times New Roman" w:cs="Times New Roman"/>
        </w:rPr>
        <w:t>New home building has been a crucial support to economic growth over the p</w:t>
      </w:r>
      <w:r w:rsidR="0085031A">
        <w:rPr>
          <w:rFonts w:ascii="Times New Roman" w:hAnsi="Times New Roman" w:cs="Times New Roman"/>
        </w:rPr>
        <w:t xml:space="preserve">revious </w:t>
      </w:r>
      <w:r w:rsidR="0085031A" w:rsidRPr="00F62B03">
        <w:rPr>
          <w:rFonts w:ascii="Times New Roman" w:hAnsi="Times New Roman" w:cs="Times New Roman"/>
        </w:rPr>
        <w:t>t</w:t>
      </w:r>
      <w:r w:rsidR="0085031A">
        <w:rPr>
          <w:rFonts w:ascii="Times New Roman" w:hAnsi="Times New Roman" w:cs="Times New Roman"/>
        </w:rPr>
        <w:t>hree</w:t>
      </w:r>
      <w:r w:rsidR="0085031A" w:rsidRPr="00F62B03">
        <w:rPr>
          <w:rFonts w:ascii="Times New Roman" w:hAnsi="Times New Roman" w:cs="Times New Roman"/>
        </w:rPr>
        <w:t xml:space="preserve"> years. </w:t>
      </w:r>
    </w:p>
    <w:p w:rsidR="0031074C" w:rsidRPr="00F62B03" w:rsidRDefault="0031074C" w:rsidP="00F62B03">
      <w:pPr>
        <w:rPr>
          <w:rFonts w:ascii="Times New Roman" w:hAnsi="Times New Roman" w:cs="Times New Roman"/>
        </w:rPr>
      </w:pPr>
      <w:r w:rsidRPr="00F62B03">
        <w:rPr>
          <w:rFonts w:ascii="Times New Roman" w:hAnsi="Times New Roman" w:cs="Times New Roman"/>
        </w:rPr>
        <w:t>Providing a stimulus to economic activity outside the mining sector, including the housing and building sectors, was amongst the main reasons for the RBA to keep the official cash rate at record low levels since August 2013.</w:t>
      </w:r>
    </w:p>
    <w:p w:rsidR="00505B93" w:rsidRPr="00F62B03" w:rsidRDefault="008A455B" w:rsidP="00F62B03">
      <w:pPr>
        <w:rPr>
          <w:rFonts w:ascii="Times New Roman" w:hAnsi="Times New Roman" w:cs="Times New Roman"/>
        </w:rPr>
      </w:pPr>
      <w:r w:rsidRPr="00F62B03">
        <w:rPr>
          <w:rFonts w:ascii="Times New Roman" w:hAnsi="Times New Roman" w:cs="Times New Roman"/>
        </w:rPr>
        <w:t>The challenge during 20</w:t>
      </w:r>
      <w:r w:rsidR="0085031A">
        <w:rPr>
          <w:rFonts w:ascii="Times New Roman" w:hAnsi="Times New Roman" w:cs="Times New Roman"/>
        </w:rPr>
        <w:t>20</w:t>
      </w:r>
      <w:r w:rsidR="00503258">
        <w:rPr>
          <w:rFonts w:ascii="Times New Roman" w:hAnsi="Times New Roman" w:cs="Times New Roman"/>
        </w:rPr>
        <w:t>/</w:t>
      </w:r>
      <w:r w:rsidR="00D350EE">
        <w:rPr>
          <w:rFonts w:ascii="Times New Roman" w:hAnsi="Times New Roman" w:cs="Times New Roman"/>
        </w:rPr>
        <w:t>2</w:t>
      </w:r>
      <w:r w:rsidR="0085031A">
        <w:rPr>
          <w:rFonts w:ascii="Times New Roman" w:hAnsi="Times New Roman" w:cs="Times New Roman"/>
        </w:rPr>
        <w:t>1</w:t>
      </w:r>
      <w:r w:rsidRPr="00F62B03">
        <w:rPr>
          <w:rFonts w:ascii="Times New Roman" w:hAnsi="Times New Roman" w:cs="Times New Roman"/>
        </w:rPr>
        <w:t xml:space="preserve"> will be </w:t>
      </w:r>
      <w:r w:rsidR="005B0A61" w:rsidRPr="00F62B03">
        <w:rPr>
          <w:rFonts w:ascii="Times New Roman" w:hAnsi="Times New Roman" w:cs="Times New Roman"/>
        </w:rPr>
        <w:t xml:space="preserve">to </w:t>
      </w:r>
      <w:r w:rsidRPr="00F62B03">
        <w:rPr>
          <w:rFonts w:ascii="Times New Roman" w:hAnsi="Times New Roman" w:cs="Times New Roman"/>
        </w:rPr>
        <w:t>manage the transition to</w:t>
      </w:r>
      <w:r w:rsidR="0031074C" w:rsidRPr="00F62B03">
        <w:rPr>
          <w:rFonts w:ascii="Times New Roman" w:hAnsi="Times New Roman" w:cs="Times New Roman"/>
        </w:rPr>
        <w:t xml:space="preserve"> </w:t>
      </w:r>
      <w:r w:rsidRPr="00F62B03">
        <w:rPr>
          <w:rFonts w:ascii="Times New Roman" w:hAnsi="Times New Roman" w:cs="Times New Roman"/>
        </w:rPr>
        <w:t>lower volumes of new home building</w:t>
      </w:r>
      <w:r w:rsidR="0031074C" w:rsidRPr="00F62B03">
        <w:rPr>
          <w:rFonts w:ascii="Times New Roman" w:hAnsi="Times New Roman" w:cs="Times New Roman"/>
        </w:rPr>
        <w:t>.</w:t>
      </w:r>
    </w:p>
    <w:p w:rsidR="00DA6F17" w:rsidRPr="00F62B03" w:rsidRDefault="00305FEA" w:rsidP="00F62B03">
      <w:pPr>
        <w:rPr>
          <w:rFonts w:ascii="Times New Roman" w:hAnsi="Times New Roman" w:cs="Times New Roman"/>
        </w:rPr>
      </w:pPr>
      <w:r w:rsidRPr="00F62B03">
        <w:rPr>
          <w:rFonts w:ascii="Times New Roman" w:hAnsi="Times New Roman" w:cs="Times New Roman"/>
        </w:rPr>
        <w:t>It is against this background that REIA’s Pre Budget Submission for 20</w:t>
      </w:r>
      <w:r w:rsidR="0085031A">
        <w:rPr>
          <w:rFonts w:ascii="Times New Roman" w:hAnsi="Times New Roman" w:cs="Times New Roman"/>
        </w:rPr>
        <w:t>20</w:t>
      </w:r>
      <w:r w:rsidRPr="00F62B03">
        <w:rPr>
          <w:rFonts w:ascii="Times New Roman" w:hAnsi="Times New Roman" w:cs="Times New Roman"/>
        </w:rPr>
        <w:t>/</w:t>
      </w:r>
      <w:r w:rsidR="00EF49E5">
        <w:rPr>
          <w:rFonts w:ascii="Times New Roman" w:hAnsi="Times New Roman" w:cs="Times New Roman"/>
        </w:rPr>
        <w:t>2</w:t>
      </w:r>
      <w:r w:rsidR="0085031A">
        <w:rPr>
          <w:rFonts w:ascii="Times New Roman" w:hAnsi="Times New Roman" w:cs="Times New Roman"/>
        </w:rPr>
        <w:t>1</w:t>
      </w:r>
      <w:r w:rsidR="00C454AE">
        <w:rPr>
          <w:rFonts w:ascii="Times New Roman" w:hAnsi="Times New Roman" w:cs="Times New Roman"/>
        </w:rPr>
        <w:t xml:space="preserve"> </w:t>
      </w:r>
      <w:r w:rsidR="006D42AA" w:rsidRPr="00F62B03">
        <w:rPr>
          <w:rFonts w:ascii="Times New Roman" w:hAnsi="Times New Roman" w:cs="Times New Roman"/>
        </w:rPr>
        <w:t xml:space="preserve">is framed and seeks </w:t>
      </w:r>
      <w:r w:rsidR="00DA6F17" w:rsidRPr="00F62B03">
        <w:rPr>
          <w:rFonts w:ascii="Times New Roman" w:hAnsi="Times New Roman" w:cs="Times New Roman"/>
        </w:rPr>
        <w:t xml:space="preserve">Government </w:t>
      </w:r>
      <w:r w:rsidR="00454530" w:rsidRPr="00F62B03">
        <w:rPr>
          <w:rFonts w:ascii="Times New Roman" w:hAnsi="Times New Roman" w:cs="Times New Roman"/>
        </w:rPr>
        <w:t xml:space="preserve">action </w:t>
      </w:r>
      <w:r w:rsidR="00DA6F17" w:rsidRPr="00F62B03">
        <w:rPr>
          <w:rFonts w:ascii="Times New Roman" w:hAnsi="Times New Roman" w:cs="Times New Roman"/>
        </w:rPr>
        <w:t xml:space="preserve">to </w:t>
      </w:r>
      <w:r w:rsidR="00C030B0">
        <w:rPr>
          <w:rFonts w:ascii="Times New Roman" w:hAnsi="Times New Roman" w:cs="Times New Roman"/>
        </w:rPr>
        <w:t xml:space="preserve">maintain activity </w:t>
      </w:r>
      <w:r w:rsidR="00DA6F17" w:rsidRPr="00F62B03">
        <w:rPr>
          <w:rFonts w:ascii="Times New Roman" w:hAnsi="Times New Roman" w:cs="Times New Roman"/>
        </w:rPr>
        <w:t>in th</w:t>
      </w:r>
      <w:r w:rsidR="00FF1E56">
        <w:rPr>
          <w:rFonts w:ascii="Times New Roman" w:hAnsi="Times New Roman" w:cs="Times New Roman"/>
        </w:rPr>
        <w:t xml:space="preserve">e property sector which </w:t>
      </w:r>
      <w:r w:rsidR="00DA6F17" w:rsidRPr="00F62B03">
        <w:rPr>
          <w:rFonts w:ascii="Times New Roman" w:hAnsi="Times New Roman" w:cs="Times New Roman"/>
        </w:rPr>
        <w:t xml:space="preserve">is critical </w:t>
      </w:r>
      <w:r w:rsidR="00FF1E56">
        <w:rPr>
          <w:rFonts w:ascii="Times New Roman" w:hAnsi="Times New Roman" w:cs="Times New Roman"/>
        </w:rPr>
        <w:t>to the Australian economy.</w:t>
      </w:r>
    </w:p>
    <w:p w:rsidR="00B77B1A" w:rsidRPr="00F62B03" w:rsidRDefault="00195F02" w:rsidP="00F62B03">
      <w:pPr>
        <w:rPr>
          <w:rFonts w:ascii="Times New Roman" w:hAnsi="Times New Roman" w:cs="Times New Roman"/>
        </w:rPr>
      </w:pPr>
      <w:r w:rsidRPr="00F62B03">
        <w:rPr>
          <w:rFonts w:ascii="Times New Roman" w:hAnsi="Times New Roman" w:cs="Times New Roman"/>
        </w:rPr>
        <w:t xml:space="preserve">Whilst </w:t>
      </w:r>
      <w:r w:rsidR="006D42AA" w:rsidRPr="00F62B03">
        <w:rPr>
          <w:rFonts w:ascii="Times New Roman" w:hAnsi="Times New Roman" w:cs="Times New Roman"/>
        </w:rPr>
        <w:t>i</w:t>
      </w:r>
      <w:r w:rsidR="001059A0" w:rsidRPr="00F62B03">
        <w:rPr>
          <w:rFonts w:ascii="Times New Roman" w:hAnsi="Times New Roman" w:cs="Times New Roman"/>
        </w:rPr>
        <w:t xml:space="preserve">nvestor activity in housing </w:t>
      </w:r>
      <w:r w:rsidR="00AB5409">
        <w:rPr>
          <w:rFonts w:ascii="Times New Roman" w:hAnsi="Times New Roman" w:cs="Times New Roman"/>
        </w:rPr>
        <w:t xml:space="preserve">has in large part been responsible for the </w:t>
      </w:r>
      <w:r w:rsidR="001059A0" w:rsidRPr="00F62B03">
        <w:rPr>
          <w:rFonts w:ascii="Times New Roman" w:hAnsi="Times New Roman" w:cs="Times New Roman"/>
        </w:rPr>
        <w:t xml:space="preserve">supply response from the building sector </w:t>
      </w:r>
      <w:r w:rsidRPr="00F62B03">
        <w:rPr>
          <w:rFonts w:ascii="Times New Roman" w:hAnsi="Times New Roman" w:cs="Times New Roman"/>
        </w:rPr>
        <w:t>contributing to economic growth</w:t>
      </w:r>
      <w:r w:rsidR="005B0A61" w:rsidRPr="00F62B03">
        <w:rPr>
          <w:rFonts w:ascii="Times New Roman" w:hAnsi="Times New Roman" w:cs="Times New Roman"/>
        </w:rPr>
        <w:t>,</w:t>
      </w:r>
      <w:r w:rsidR="00454530" w:rsidRPr="00F62B03">
        <w:rPr>
          <w:rFonts w:ascii="Times New Roman" w:hAnsi="Times New Roman" w:cs="Times New Roman"/>
        </w:rPr>
        <w:t xml:space="preserve"> </w:t>
      </w:r>
      <w:r w:rsidRPr="00F62B03">
        <w:rPr>
          <w:rFonts w:ascii="Times New Roman" w:hAnsi="Times New Roman" w:cs="Times New Roman"/>
        </w:rPr>
        <w:t>this</w:t>
      </w:r>
      <w:r w:rsidR="00A37A9A">
        <w:rPr>
          <w:rFonts w:ascii="Times New Roman" w:hAnsi="Times New Roman" w:cs="Times New Roman"/>
        </w:rPr>
        <w:t>, up until recently,</w:t>
      </w:r>
      <w:r w:rsidRPr="00F62B03">
        <w:rPr>
          <w:rFonts w:ascii="Times New Roman" w:hAnsi="Times New Roman" w:cs="Times New Roman"/>
        </w:rPr>
        <w:t xml:space="preserve"> ha</w:t>
      </w:r>
      <w:r w:rsidR="00A37A9A">
        <w:rPr>
          <w:rFonts w:ascii="Times New Roman" w:hAnsi="Times New Roman" w:cs="Times New Roman"/>
        </w:rPr>
        <w:t>d</w:t>
      </w:r>
      <w:r w:rsidRPr="00F62B03">
        <w:rPr>
          <w:rFonts w:ascii="Times New Roman" w:hAnsi="Times New Roman" w:cs="Times New Roman"/>
        </w:rPr>
        <w:t xml:space="preserve"> </w:t>
      </w:r>
      <w:r w:rsidR="001059A0" w:rsidRPr="00F62B03">
        <w:rPr>
          <w:rFonts w:ascii="Times New Roman" w:hAnsi="Times New Roman" w:cs="Times New Roman"/>
        </w:rPr>
        <w:t>been at t</w:t>
      </w:r>
      <w:r w:rsidR="00454530" w:rsidRPr="00F62B03">
        <w:rPr>
          <w:rFonts w:ascii="Times New Roman" w:hAnsi="Times New Roman" w:cs="Times New Roman"/>
        </w:rPr>
        <w:t xml:space="preserve">he cost of first home buyers and </w:t>
      </w:r>
      <w:r w:rsidR="00AB5409">
        <w:rPr>
          <w:rFonts w:ascii="Times New Roman" w:hAnsi="Times New Roman" w:cs="Times New Roman"/>
        </w:rPr>
        <w:t xml:space="preserve">their ability to enter the housing market. </w:t>
      </w:r>
    </w:p>
    <w:p w:rsidR="0085031A" w:rsidRDefault="00B77B1A" w:rsidP="00DF0399">
      <w:pPr>
        <w:rPr>
          <w:rFonts w:ascii="Times New Roman" w:hAnsi="Times New Roman" w:cs="Times New Roman"/>
        </w:rPr>
      </w:pPr>
      <w:r w:rsidRPr="000631BD">
        <w:rPr>
          <w:rFonts w:ascii="Times New Roman" w:hAnsi="Times New Roman" w:cs="Times New Roman"/>
        </w:rPr>
        <w:t>The graph</w:t>
      </w:r>
      <w:r w:rsidR="004C04C2" w:rsidRPr="000631BD">
        <w:rPr>
          <w:rFonts w:ascii="Times New Roman" w:hAnsi="Times New Roman" w:cs="Times New Roman"/>
        </w:rPr>
        <w:t xml:space="preserve"> </w:t>
      </w:r>
      <w:r w:rsidRPr="000631BD">
        <w:rPr>
          <w:rFonts w:ascii="Times New Roman" w:hAnsi="Times New Roman" w:cs="Times New Roman"/>
        </w:rPr>
        <w:t xml:space="preserve">below shows the number of loans to home buyers </w:t>
      </w:r>
      <w:r w:rsidR="004C04C2" w:rsidRPr="000631BD">
        <w:rPr>
          <w:rFonts w:ascii="Times New Roman" w:hAnsi="Times New Roman" w:cs="Times New Roman"/>
        </w:rPr>
        <w:t xml:space="preserve">(excluding refinancing) </w:t>
      </w:r>
      <w:r w:rsidRPr="000631BD">
        <w:rPr>
          <w:rFonts w:ascii="Times New Roman" w:hAnsi="Times New Roman" w:cs="Times New Roman"/>
        </w:rPr>
        <w:t>and the proportion of first home buyers in the housing finance commitments from November 20</w:t>
      </w:r>
      <w:r w:rsidR="004C04C2" w:rsidRPr="000631BD">
        <w:rPr>
          <w:rFonts w:ascii="Times New Roman" w:hAnsi="Times New Roman" w:cs="Times New Roman"/>
        </w:rPr>
        <w:t>0</w:t>
      </w:r>
      <w:r w:rsidR="00760EDB" w:rsidRPr="000631BD">
        <w:rPr>
          <w:rFonts w:ascii="Times New Roman" w:hAnsi="Times New Roman" w:cs="Times New Roman"/>
        </w:rPr>
        <w:t>0</w:t>
      </w:r>
      <w:r w:rsidR="004C04C2" w:rsidRPr="000631BD">
        <w:rPr>
          <w:rFonts w:ascii="Times New Roman" w:hAnsi="Times New Roman" w:cs="Times New Roman"/>
        </w:rPr>
        <w:t>.</w:t>
      </w:r>
      <w:r w:rsidRPr="000631BD">
        <w:rPr>
          <w:rFonts w:ascii="Times New Roman" w:hAnsi="Times New Roman" w:cs="Times New Roman"/>
        </w:rPr>
        <w:t xml:space="preserve"> </w:t>
      </w:r>
      <w:r w:rsidR="004C04C2" w:rsidRPr="000631BD">
        <w:rPr>
          <w:rFonts w:ascii="Times New Roman" w:hAnsi="Times New Roman" w:cs="Times New Roman"/>
        </w:rPr>
        <w:t xml:space="preserve">We can see </w:t>
      </w:r>
      <w:r w:rsidR="00205FEE" w:rsidRPr="000631BD">
        <w:rPr>
          <w:rFonts w:ascii="Times New Roman" w:hAnsi="Times New Roman" w:cs="Times New Roman"/>
        </w:rPr>
        <w:t xml:space="preserve">that since April 2012, when official interest rates were 4.25 per cent compared to the current </w:t>
      </w:r>
      <w:r w:rsidR="000631BD" w:rsidRPr="000631BD">
        <w:rPr>
          <w:rFonts w:ascii="Times New Roman" w:hAnsi="Times New Roman" w:cs="Times New Roman"/>
        </w:rPr>
        <w:t>0.75</w:t>
      </w:r>
      <w:r w:rsidR="00205FEE" w:rsidRPr="000631BD">
        <w:rPr>
          <w:rFonts w:ascii="Times New Roman" w:hAnsi="Times New Roman" w:cs="Times New Roman"/>
        </w:rPr>
        <w:t xml:space="preserve">per cent, </w:t>
      </w:r>
      <w:r w:rsidRPr="000631BD">
        <w:rPr>
          <w:rFonts w:ascii="Times New Roman" w:hAnsi="Times New Roman" w:cs="Times New Roman"/>
        </w:rPr>
        <w:t xml:space="preserve">the participation of first home buyers declined </w:t>
      </w:r>
      <w:r w:rsidR="00205FEE" w:rsidRPr="000631BD">
        <w:rPr>
          <w:rFonts w:ascii="Times New Roman" w:hAnsi="Times New Roman" w:cs="Times New Roman"/>
        </w:rPr>
        <w:t>by 17 percent</w:t>
      </w:r>
      <w:r w:rsidR="00760EDB" w:rsidRPr="000631BD">
        <w:rPr>
          <w:rFonts w:ascii="Times New Roman" w:hAnsi="Times New Roman" w:cs="Times New Roman"/>
        </w:rPr>
        <w:t xml:space="preserve"> until a pick up in </w:t>
      </w:r>
      <w:r w:rsidR="000631BD" w:rsidRPr="000631BD">
        <w:rPr>
          <w:rFonts w:ascii="Times New Roman" w:hAnsi="Times New Roman" w:cs="Times New Roman"/>
        </w:rPr>
        <w:t>2017.</w:t>
      </w:r>
      <w:r w:rsidRPr="000631BD">
        <w:rPr>
          <w:rFonts w:ascii="Times New Roman" w:hAnsi="Times New Roman" w:cs="Times New Roman"/>
        </w:rPr>
        <w:t xml:space="preserve"> This decline </w:t>
      </w:r>
      <w:r w:rsidR="000631BD" w:rsidRPr="000631BD">
        <w:rPr>
          <w:rFonts w:ascii="Times New Roman" w:hAnsi="Times New Roman" w:cs="Times New Roman"/>
        </w:rPr>
        <w:t xml:space="preserve">was </w:t>
      </w:r>
      <w:r w:rsidRPr="000631BD">
        <w:rPr>
          <w:rFonts w:ascii="Times New Roman" w:hAnsi="Times New Roman" w:cs="Times New Roman"/>
        </w:rPr>
        <w:t>despite</w:t>
      </w:r>
      <w:r w:rsidR="005F6271" w:rsidRPr="000631BD">
        <w:rPr>
          <w:rFonts w:ascii="Times New Roman" w:hAnsi="Times New Roman" w:cs="Times New Roman"/>
        </w:rPr>
        <w:t xml:space="preserve"> ten </w:t>
      </w:r>
      <w:r w:rsidRPr="000631BD">
        <w:rPr>
          <w:rFonts w:ascii="Times New Roman" w:hAnsi="Times New Roman" w:cs="Times New Roman"/>
        </w:rPr>
        <w:t xml:space="preserve">cuts in the official interest rate </w:t>
      </w:r>
      <w:r w:rsidR="00205FEE" w:rsidRPr="000631BD">
        <w:rPr>
          <w:rFonts w:ascii="Times New Roman" w:hAnsi="Times New Roman" w:cs="Times New Roman"/>
        </w:rPr>
        <w:t>over that period.</w:t>
      </w:r>
      <w:r w:rsidR="002A13AB">
        <w:rPr>
          <w:rFonts w:ascii="Times New Roman" w:hAnsi="Times New Roman" w:cs="Times New Roman"/>
        </w:rPr>
        <w:t xml:space="preserve"> The participation of first home buyers has improved over the last year. The current level of 29.9 per cent is however well down on the levels twenty years ago. </w:t>
      </w: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85031A" w:rsidRDefault="0085031A" w:rsidP="00DF0399">
      <w:pPr>
        <w:rPr>
          <w:rFonts w:ascii="Times New Roman" w:hAnsi="Times New Roman" w:cs="Times New Roman"/>
        </w:rPr>
      </w:pPr>
    </w:p>
    <w:p w:rsidR="00DF0399" w:rsidRDefault="00DF0399" w:rsidP="00DF0399">
      <w:pPr>
        <w:rPr>
          <w:rFonts w:ascii="Times New Roman" w:hAnsi="Times New Roman" w:cs="Times New Roman"/>
          <w:b/>
          <w:lang w:val="en-US"/>
        </w:rPr>
      </w:pPr>
      <w:r w:rsidRPr="00DF0399">
        <w:rPr>
          <w:rFonts w:ascii="Times New Roman" w:hAnsi="Times New Roman" w:cs="Times New Roman"/>
          <w:b/>
          <w:lang w:val="en-US"/>
        </w:rPr>
        <w:t xml:space="preserve">Finance Approvals and the Proportion </w:t>
      </w:r>
      <w:r>
        <w:rPr>
          <w:rFonts w:ascii="Times New Roman" w:hAnsi="Times New Roman" w:cs="Times New Roman"/>
          <w:b/>
          <w:lang w:val="en-US"/>
        </w:rPr>
        <w:t>o</w:t>
      </w:r>
      <w:r w:rsidRPr="00DF0399">
        <w:rPr>
          <w:rFonts w:ascii="Times New Roman" w:hAnsi="Times New Roman" w:cs="Times New Roman"/>
          <w:b/>
          <w:lang w:val="en-US"/>
        </w:rPr>
        <w:t>f First Home Buyers (excluding refinancing)</w:t>
      </w:r>
    </w:p>
    <w:p w:rsidR="00DF0399" w:rsidRDefault="000631BD" w:rsidP="000631BD">
      <w:pPr>
        <w:rPr>
          <w:noProof/>
          <w:lang w:val="en-US"/>
        </w:rPr>
      </w:pPr>
      <w:r>
        <w:rPr>
          <w:noProof/>
          <w:lang w:val="en-US"/>
        </w:rPr>
        <w:drawing>
          <wp:inline distT="0" distB="0" distL="0" distR="0" wp14:anchorId="4B6B34C2" wp14:editId="6AD3E093">
            <wp:extent cx="5731510" cy="4158165"/>
            <wp:effectExtent l="0" t="0" r="254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18EC74-2EF1-477B-B154-DD061528F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631BD">
        <w:t xml:space="preserve"> </w:t>
      </w:r>
      <w:r>
        <w:t>Source:  5609 Housing Finance Australia 2000 – 2002 (ABS)</w:t>
      </w:r>
      <w:r>
        <w:t xml:space="preserve">, </w:t>
      </w:r>
      <w:r>
        <w:t xml:space="preserve">5601 </w:t>
      </w:r>
      <w:proofErr w:type="gramStart"/>
      <w:r>
        <w:t>Lending</w:t>
      </w:r>
      <w:proofErr w:type="gramEnd"/>
      <w:r>
        <w:t xml:space="preserve"> indicators 2002 – 2019 (ABS)</w:t>
      </w:r>
    </w:p>
    <w:p w:rsidR="002A13AB" w:rsidRDefault="002A13AB" w:rsidP="000631BD">
      <w:pPr>
        <w:rPr>
          <w:rFonts w:ascii="Times New Roman" w:hAnsi="Times New Roman" w:cs="Times New Roman"/>
          <w:b/>
          <w:highlight w:val="yellow"/>
        </w:rPr>
      </w:pPr>
    </w:p>
    <w:p w:rsidR="00B54A7B" w:rsidRDefault="00B54A7B" w:rsidP="00F62B03">
      <w:pPr>
        <w:rPr>
          <w:rFonts w:ascii="Times New Roman" w:hAnsi="Times New Roman" w:cs="Times New Roman"/>
        </w:rPr>
      </w:pPr>
      <w:r>
        <w:rPr>
          <w:rFonts w:ascii="Times New Roman" w:hAnsi="Times New Roman" w:cs="Times New Roman"/>
        </w:rPr>
        <w:t>Whilst historically low interest rates may make mortgage payments achievable for first home buyers it is the deposit gap together with stamp duties that are the insurmountable hurdle.</w:t>
      </w:r>
    </w:p>
    <w:p w:rsidR="00B77B1A" w:rsidRPr="00F62B03" w:rsidRDefault="00B77B1A" w:rsidP="00F62B03">
      <w:pPr>
        <w:rPr>
          <w:rFonts w:ascii="Times New Roman" w:hAnsi="Times New Roman" w:cs="Times New Roman"/>
        </w:rPr>
      </w:pPr>
      <w:r w:rsidRPr="00F62B03">
        <w:rPr>
          <w:rFonts w:ascii="Times New Roman" w:hAnsi="Times New Roman" w:cs="Times New Roman"/>
        </w:rPr>
        <w:t>With first home buyers finding it difficult to enter the housing market</w:t>
      </w:r>
      <w:r w:rsidR="00832A63" w:rsidRPr="00F62B03">
        <w:rPr>
          <w:rFonts w:ascii="Times New Roman" w:hAnsi="Times New Roman" w:cs="Times New Roman"/>
        </w:rPr>
        <w:t>,</w:t>
      </w:r>
      <w:r w:rsidRPr="00F62B03">
        <w:rPr>
          <w:rFonts w:ascii="Times New Roman" w:hAnsi="Times New Roman" w:cs="Times New Roman"/>
        </w:rPr>
        <w:t xml:space="preserve"> home ownership in Australia is declining after four decades of stable levels.</w:t>
      </w:r>
      <w:r w:rsidR="00FC25F8">
        <w:rPr>
          <w:rFonts w:ascii="Times New Roman" w:hAnsi="Times New Roman" w:cs="Times New Roman"/>
        </w:rPr>
        <w:t xml:space="preserve"> </w:t>
      </w:r>
      <w:r w:rsidRPr="00F62B03">
        <w:rPr>
          <w:rFonts w:ascii="Times New Roman" w:hAnsi="Times New Roman" w:cs="Times New Roman"/>
        </w:rPr>
        <w:t>Th</w:t>
      </w:r>
      <w:r w:rsidR="00C96C46">
        <w:rPr>
          <w:rFonts w:ascii="Times New Roman" w:hAnsi="Times New Roman" w:cs="Times New Roman"/>
        </w:rPr>
        <w:t xml:space="preserve">is </w:t>
      </w:r>
      <w:r w:rsidRPr="00F62B03">
        <w:rPr>
          <w:rFonts w:ascii="Times New Roman" w:hAnsi="Times New Roman" w:cs="Times New Roman"/>
        </w:rPr>
        <w:t xml:space="preserve">drop </w:t>
      </w:r>
      <w:r w:rsidR="00C96C46">
        <w:rPr>
          <w:rFonts w:ascii="Times New Roman" w:hAnsi="Times New Roman" w:cs="Times New Roman"/>
        </w:rPr>
        <w:t xml:space="preserve">is being </w:t>
      </w:r>
      <w:r w:rsidRPr="00F62B03">
        <w:rPr>
          <w:rFonts w:ascii="Times New Roman" w:hAnsi="Times New Roman" w:cs="Times New Roman"/>
        </w:rPr>
        <w:t>evidence</w:t>
      </w:r>
      <w:r w:rsidR="004C05A6" w:rsidRPr="00F62B03">
        <w:rPr>
          <w:rFonts w:ascii="Times New Roman" w:hAnsi="Times New Roman" w:cs="Times New Roman"/>
        </w:rPr>
        <w:t>d</w:t>
      </w:r>
      <w:r w:rsidRPr="00F62B03">
        <w:rPr>
          <w:rFonts w:ascii="Times New Roman" w:hAnsi="Times New Roman" w:cs="Times New Roman"/>
        </w:rPr>
        <w:t xml:space="preserve"> across all states and territories and </w:t>
      </w:r>
      <w:r w:rsidR="00C96C46">
        <w:rPr>
          <w:rFonts w:ascii="Times New Roman" w:hAnsi="Times New Roman" w:cs="Times New Roman"/>
        </w:rPr>
        <w:t xml:space="preserve">is </w:t>
      </w:r>
      <w:r w:rsidRPr="00F62B03">
        <w:rPr>
          <w:rFonts w:ascii="Times New Roman" w:hAnsi="Times New Roman" w:cs="Times New Roman"/>
        </w:rPr>
        <w:t>most pronounced in the 35 to 44 age group.</w:t>
      </w:r>
    </w:p>
    <w:p w:rsidR="00D15549" w:rsidRDefault="00C96C46" w:rsidP="005027BA">
      <w:pPr>
        <w:rPr>
          <w:rFonts w:ascii="Times New Roman" w:hAnsi="Times New Roman" w:cs="Times New Roman"/>
        </w:rPr>
      </w:pPr>
      <w:r>
        <w:rPr>
          <w:rFonts w:ascii="Times New Roman" w:hAnsi="Times New Roman" w:cs="Times New Roman"/>
        </w:rPr>
        <w:t>Not with standing measures introduced in the 2017 Budget to address housing affordability</w:t>
      </w:r>
      <w:r w:rsidR="00D15549">
        <w:rPr>
          <w:rFonts w:ascii="Times New Roman" w:hAnsi="Times New Roman" w:cs="Times New Roman"/>
        </w:rPr>
        <w:t xml:space="preserve"> by first home buyers</w:t>
      </w:r>
      <w:r w:rsidR="00B77B1A" w:rsidRPr="00F62B03">
        <w:rPr>
          <w:rFonts w:ascii="Times New Roman" w:hAnsi="Times New Roman" w:cs="Times New Roman"/>
        </w:rPr>
        <w:t xml:space="preserve"> </w:t>
      </w:r>
      <w:r w:rsidR="006410F7">
        <w:rPr>
          <w:rFonts w:ascii="Times New Roman" w:hAnsi="Times New Roman" w:cs="Times New Roman"/>
        </w:rPr>
        <w:t xml:space="preserve">and the 2019 Election commitment to </w:t>
      </w:r>
      <w:r w:rsidR="002A13AB">
        <w:rPr>
          <w:rFonts w:ascii="Times New Roman" w:hAnsi="Times New Roman" w:cs="Times New Roman"/>
        </w:rPr>
        <w:t xml:space="preserve">introduce the </w:t>
      </w:r>
      <w:r w:rsidR="002A13AB" w:rsidRPr="002A13AB">
        <w:rPr>
          <w:rFonts w:ascii="Times New Roman" w:hAnsi="Times New Roman" w:cs="Times New Roman"/>
        </w:rPr>
        <w:t>First Home Loan Deposit Scheme</w:t>
      </w:r>
      <w:r w:rsidR="002A13AB">
        <w:rPr>
          <w:rFonts w:ascii="Times New Roman" w:hAnsi="Times New Roman" w:cs="Times New Roman"/>
        </w:rPr>
        <w:t xml:space="preserve"> on </w:t>
      </w:r>
      <w:r w:rsidR="002A13AB" w:rsidRPr="002A13AB">
        <w:rPr>
          <w:rFonts w:ascii="Times New Roman" w:hAnsi="Times New Roman" w:cs="Times New Roman"/>
        </w:rPr>
        <w:t>1 January 2020</w:t>
      </w:r>
      <w:r w:rsidR="002A13AB">
        <w:rPr>
          <w:rFonts w:ascii="Times New Roman" w:hAnsi="Times New Roman" w:cs="Times New Roman"/>
        </w:rPr>
        <w:t xml:space="preserve"> </w:t>
      </w:r>
      <w:r w:rsidR="005027BA" w:rsidRPr="005027BA">
        <w:rPr>
          <w:rFonts w:ascii="Times New Roman" w:hAnsi="Times New Roman" w:cs="Times New Roman"/>
        </w:rPr>
        <w:t xml:space="preserve">scheme </w:t>
      </w:r>
      <w:r w:rsidR="005027BA">
        <w:rPr>
          <w:rFonts w:ascii="Times New Roman" w:hAnsi="Times New Roman" w:cs="Times New Roman"/>
        </w:rPr>
        <w:t xml:space="preserve">which will </w:t>
      </w:r>
      <w:r w:rsidR="005027BA" w:rsidRPr="005027BA">
        <w:rPr>
          <w:rFonts w:ascii="Times New Roman" w:hAnsi="Times New Roman" w:cs="Times New Roman"/>
        </w:rPr>
        <w:t xml:space="preserve">provide a guarantee to allow </w:t>
      </w:r>
      <w:r w:rsidR="005027BA">
        <w:rPr>
          <w:rFonts w:ascii="Times New Roman" w:hAnsi="Times New Roman" w:cs="Times New Roman"/>
        </w:rPr>
        <w:t xml:space="preserve">10,000 </w:t>
      </w:r>
      <w:r w:rsidR="005027BA" w:rsidRPr="005027BA">
        <w:rPr>
          <w:rFonts w:ascii="Times New Roman" w:hAnsi="Times New Roman" w:cs="Times New Roman"/>
        </w:rPr>
        <w:t>eligible borrowers to purchase a home with a deposit of 5 per cent</w:t>
      </w:r>
      <w:r w:rsidR="005027BA">
        <w:rPr>
          <w:rFonts w:ascii="Times New Roman" w:hAnsi="Times New Roman" w:cs="Times New Roman"/>
        </w:rPr>
        <w:t xml:space="preserve"> </w:t>
      </w:r>
      <w:r w:rsidR="00B77B1A" w:rsidRPr="00F62B03">
        <w:rPr>
          <w:rFonts w:ascii="Times New Roman" w:hAnsi="Times New Roman" w:cs="Times New Roman"/>
        </w:rPr>
        <w:t xml:space="preserve">the </w:t>
      </w:r>
      <w:r w:rsidR="00D15549">
        <w:rPr>
          <w:rFonts w:ascii="Times New Roman" w:hAnsi="Times New Roman" w:cs="Times New Roman"/>
        </w:rPr>
        <w:t xml:space="preserve">need to address </w:t>
      </w:r>
      <w:r w:rsidR="00B77B1A" w:rsidRPr="00F62B03">
        <w:rPr>
          <w:rFonts w:ascii="Times New Roman" w:hAnsi="Times New Roman" w:cs="Times New Roman"/>
        </w:rPr>
        <w:t>supply of affordable housing as a priority policy issue</w:t>
      </w:r>
      <w:r w:rsidR="00D15549">
        <w:rPr>
          <w:rFonts w:ascii="Times New Roman" w:hAnsi="Times New Roman" w:cs="Times New Roman"/>
        </w:rPr>
        <w:t xml:space="preserve"> continues</w:t>
      </w:r>
      <w:r w:rsidR="00B77B1A" w:rsidRPr="00F62B03">
        <w:rPr>
          <w:rFonts w:ascii="Times New Roman" w:hAnsi="Times New Roman" w:cs="Times New Roman"/>
        </w:rPr>
        <w:t xml:space="preserve">. </w:t>
      </w:r>
    </w:p>
    <w:p w:rsidR="00832A63" w:rsidRPr="00F62B03" w:rsidRDefault="004F3280" w:rsidP="00F62B03">
      <w:pPr>
        <w:rPr>
          <w:rFonts w:ascii="Times New Roman" w:hAnsi="Times New Roman" w:cs="Times New Roman"/>
        </w:rPr>
      </w:pPr>
      <w:r w:rsidRPr="00F62B03">
        <w:rPr>
          <w:rFonts w:ascii="Times New Roman" w:eastAsia="Times New Roman" w:hAnsi="Times New Roman" w:cs="Times New Roman"/>
          <w:color w:val="000000"/>
          <w:lang w:val="en-GB"/>
        </w:rPr>
        <w:t>At a roundtable discussion on housing affordability convened by t</w:t>
      </w:r>
      <w:r w:rsidR="004C05A6" w:rsidRPr="00F62B03">
        <w:rPr>
          <w:rFonts w:ascii="Times New Roman" w:eastAsia="Times New Roman" w:hAnsi="Times New Roman" w:cs="Times New Roman"/>
          <w:color w:val="000000"/>
          <w:lang w:val="en-GB"/>
        </w:rPr>
        <w:t xml:space="preserve">he REIA </w:t>
      </w:r>
      <w:r w:rsidRPr="00F62B03">
        <w:rPr>
          <w:rFonts w:ascii="Times New Roman" w:eastAsia="Times New Roman" w:hAnsi="Times New Roman" w:cs="Times New Roman"/>
          <w:color w:val="000000"/>
          <w:lang w:val="en-GB"/>
        </w:rPr>
        <w:t xml:space="preserve">in 2014 with participation by </w:t>
      </w:r>
      <w:r w:rsidR="004C05A6" w:rsidRPr="00F62B03">
        <w:rPr>
          <w:rFonts w:ascii="Times New Roman" w:eastAsia="Times New Roman" w:hAnsi="Times New Roman" w:cs="Times New Roman"/>
          <w:color w:val="000000"/>
          <w:lang w:val="en-GB"/>
        </w:rPr>
        <w:t>Government</w:t>
      </w:r>
      <w:r w:rsidRPr="00F62B03">
        <w:rPr>
          <w:rFonts w:ascii="Times New Roman" w:eastAsia="Times New Roman" w:hAnsi="Times New Roman" w:cs="Times New Roman"/>
          <w:color w:val="000000"/>
          <w:lang w:val="en-GB"/>
        </w:rPr>
        <w:t xml:space="preserve">, including the then Minister for Social Services, the Hon Kevin Andrews, </w:t>
      </w:r>
      <w:r w:rsidR="004C05A6" w:rsidRPr="00F62B03">
        <w:rPr>
          <w:rFonts w:ascii="Times New Roman" w:eastAsia="Times New Roman" w:hAnsi="Times New Roman" w:cs="Times New Roman"/>
          <w:color w:val="000000"/>
          <w:lang w:val="en-GB"/>
        </w:rPr>
        <w:t xml:space="preserve">and </w:t>
      </w:r>
      <w:proofErr w:type="gramStart"/>
      <w:r w:rsidR="004C05A6" w:rsidRPr="00F62B03">
        <w:rPr>
          <w:rFonts w:ascii="Times New Roman" w:eastAsia="Times New Roman" w:hAnsi="Times New Roman" w:cs="Times New Roman"/>
          <w:color w:val="000000"/>
          <w:lang w:val="en-GB"/>
        </w:rPr>
        <w:t>industry</w:t>
      </w:r>
      <w:proofErr w:type="gramEnd"/>
      <w:r w:rsidR="004C05A6" w:rsidRPr="00F62B03">
        <w:rPr>
          <w:rFonts w:ascii="Times New Roman" w:eastAsia="Times New Roman" w:hAnsi="Times New Roman" w:cs="Times New Roman"/>
          <w:color w:val="000000"/>
          <w:lang w:val="en-GB"/>
        </w:rPr>
        <w:t xml:space="preserve"> leaders from real estate, construction, finance and community sectors, </w:t>
      </w:r>
      <w:r w:rsidRPr="00F62B03">
        <w:rPr>
          <w:rFonts w:ascii="Times New Roman" w:eastAsia="Times New Roman" w:hAnsi="Times New Roman" w:cs="Times New Roman"/>
          <w:color w:val="000000"/>
          <w:lang w:val="en-GB"/>
        </w:rPr>
        <w:t xml:space="preserve">it was agreed that the </w:t>
      </w:r>
      <w:r w:rsidRPr="00F62B03">
        <w:rPr>
          <w:rFonts w:ascii="Times New Roman" w:hAnsi="Times New Roman" w:cs="Times New Roman"/>
        </w:rPr>
        <w:t>availability</w:t>
      </w:r>
      <w:r w:rsidR="00B77B1A" w:rsidRPr="00F62B03">
        <w:rPr>
          <w:rFonts w:ascii="Times New Roman" w:hAnsi="Times New Roman" w:cs="Times New Roman"/>
        </w:rPr>
        <w:t xml:space="preserve"> of affordable housing is a goal that is shared by governments and all sectors of the community. </w:t>
      </w:r>
      <w:r w:rsidRPr="00F62B03">
        <w:rPr>
          <w:rFonts w:ascii="Times New Roman" w:hAnsi="Times New Roman" w:cs="Times New Roman"/>
        </w:rPr>
        <w:t xml:space="preserve">It </w:t>
      </w:r>
      <w:r w:rsidR="00B77B1A" w:rsidRPr="00F62B03">
        <w:rPr>
          <w:rFonts w:ascii="Times New Roman" w:hAnsi="Times New Roman" w:cs="Times New Roman"/>
        </w:rPr>
        <w:t xml:space="preserve">impacts on the functioning of the economy as well as the wellbeing of individuals and </w:t>
      </w:r>
      <w:r w:rsidR="00B77B1A" w:rsidRPr="00F62B03">
        <w:rPr>
          <w:rFonts w:ascii="Times New Roman" w:hAnsi="Times New Roman" w:cs="Times New Roman"/>
        </w:rPr>
        <w:lastRenderedPageBreak/>
        <w:t>the cohesiveness of communities and society.</w:t>
      </w:r>
      <w:r w:rsidR="001F10E9" w:rsidRPr="00F62B03">
        <w:rPr>
          <w:rFonts w:ascii="Times New Roman" w:hAnsi="Times New Roman" w:cs="Times New Roman"/>
        </w:rPr>
        <w:t xml:space="preserve"> </w:t>
      </w:r>
      <w:r w:rsidR="00C87E98" w:rsidRPr="00F62B03">
        <w:rPr>
          <w:rFonts w:ascii="Times New Roman" w:hAnsi="Times New Roman" w:cs="Times New Roman"/>
          <w:lang w:val="en-US"/>
        </w:rPr>
        <w:t xml:space="preserve">The roundtable participants all agreed that </w:t>
      </w:r>
      <w:r w:rsidR="00C87E98" w:rsidRPr="00F62B03">
        <w:rPr>
          <w:rFonts w:ascii="Times New Roman" w:hAnsi="Times New Roman" w:cs="Times New Roman"/>
        </w:rPr>
        <w:t xml:space="preserve">a priority policy issue </w:t>
      </w:r>
      <w:r w:rsidR="00454530" w:rsidRPr="00F62B03">
        <w:rPr>
          <w:rFonts w:ascii="Times New Roman" w:hAnsi="Times New Roman" w:cs="Times New Roman"/>
        </w:rPr>
        <w:t>is to address</w:t>
      </w:r>
      <w:r w:rsidR="00C87E98" w:rsidRPr="00F62B03">
        <w:rPr>
          <w:rFonts w:ascii="Times New Roman" w:hAnsi="Times New Roman" w:cs="Times New Roman"/>
        </w:rPr>
        <w:t xml:space="preserve"> the undersupply of housing.</w:t>
      </w:r>
    </w:p>
    <w:p w:rsidR="000D2B0D" w:rsidRPr="00F62B03" w:rsidRDefault="00C42810" w:rsidP="00C42810">
      <w:pPr>
        <w:rPr>
          <w:rFonts w:ascii="Times New Roman" w:hAnsi="Times New Roman" w:cs="Times New Roman"/>
          <w:b/>
          <w:lang w:val="en-US"/>
        </w:rPr>
      </w:pPr>
      <w:r>
        <w:rPr>
          <w:rFonts w:ascii="Times New Roman" w:hAnsi="Times New Roman" w:cs="Times New Roman"/>
          <w:lang w:val="en-US"/>
        </w:rPr>
        <w:t xml:space="preserve">Without addressing supply </w:t>
      </w:r>
      <w:r w:rsidR="00832A63" w:rsidRPr="00F62B03">
        <w:rPr>
          <w:rFonts w:ascii="Times New Roman" w:hAnsi="Times New Roman" w:cs="Times New Roman"/>
          <w:lang w:val="en-US"/>
        </w:rPr>
        <w:t xml:space="preserve">the gap between the supply and demand for housing will increase </w:t>
      </w:r>
      <w:r w:rsidR="00454530" w:rsidRPr="00F62B03">
        <w:rPr>
          <w:rFonts w:ascii="Times New Roman" w:hAnsi="Times New Roman" w:cs="Times New Roman"/>
          <w:lang w:val="en-US"/>
        </w:rPr>
        <w:t xml:space="preserve">in the future, </w:t>
      </w:r>
      <w:r w:rsidR="00832A63" w:rsidRPr="00F62B03">
        <w:rPr>
          <w:rFonts w:ascii="Times New Roman" w:hAnsi="Times New Roman" w:cs="Times New Roman"/>
          <w:lang w:val="en-US"/>
        </w:rPr>
        <w:t>putting further pressure on housing prices.</w:t>
      </w:r>
    </w:p>
    <w:p w:rsidR="004C05A6" w:rsidRPr="00F62B03" w:rsidRDefault="00C87E98" w:rsidP="00F62B03">
      <w:pPr>
        <w:rPr>
          <w:rFonts w:ascii="Times New Roman" w:hAnsi="Times New Roman" w:cs="Times New Roman"/>
        </w:rPr>
      </w:pPr>
      <w:r w:rsidRPr="00F62B03">
        <w:rPr>
          <w:rFonts w:ascii="Times New Roman" w:hAnsi="Times New Roman" w:cs="Times New Roman"/>
          <w:lang w:val="en-US"/>
        </w:rPr>
        <w:t>A</w:t>
      </w:r>
      <w:r w:rsidR="004C05A6" w:rsidRPr="00F62B03">
        <w:rPr>
          <w:rFonts w:ascii="Times New Roman" w:hAnsi="Times New Roman" w:cs="Times New Roman"/>
          <w:lang w:val="en-US"/>
        </w:rPr>
        <w:t xml:space="preserve">ffordable housing is </w:t>
      </w:r>
      <w:r w:rsidR="004C05A6" w:rsidRPr="00F62B03">
        <w:rPr>
          <w:rFonts w:ascii="Times New Roman" w:hAnsi="Times New Roman" w:cs="Times New Roman"/>
        </w:rPr>
        <w:t>a complex issue, with a number of economic, social and infrastructure factors influencing it. These include: the deposit gap for first home buyers; demographic change; the effect of stamp duties and taxes; development application processes</w:t>
      </w:r>
      <w:r w:rsidR="006E73C7" w:rsidRPr="00F62B03">
        <w:rPr>
          <w:rFonts w:ascii="Times New Roman" w:hAnsi="Times New Roman" w:cs="Times New Roman"/>
        </w:rPr>
        <w:t>;</w:t>
      </w:r>
      <w:r w:rsidR="005F6271">
        <w:rPr>
          <w:rFonts w:ascii="Times New Roman" w:hAnsi="Times New Roman" w:cs="Times New Roman"/>
        </w:rPr>
        <w:t xml:space="preserve"> </w:t>
      </w:r>
      <w:r w:rsidR="00FE7623" w:rsidRPr="00F62B03">
        <w:rPr>
          <w:rFonts w:ascii="Times New Roman" w:hAnsi="Times New Roman" w:cs="Times New Roman"/>
        </w:rPr>
        <w:t>skills shortages</w:t>
      </w:r>
      <w:r w:rsidR="006E73C7" w:rsidRPr="00F62B03">
        <w:rPr>
          <w:rFonts w:ascii="Times New Roman" w:hAnsi="Times New Roman" w:cs="Times New Roman"/>
        </w:rPr>
        <w:t>,</w:t>
      </w:r>
      <w:r w:rsidR="004C05A6" w:rsidRPr="00F62B03">
        <w:rPr>
          <w:rFonts w:ascii="Times New Roman" w:hAnsi="Times New Roman" w:cs="Times New Roman"/>
        </w:rPr>
        <w:t xml:space="preserve"> and</w:t>
      </w:r>
      <w:r w:rsidR="006E73C7" w:rsidRPr="00F62B03">
        <w:rPr>
          <w:rFonts w:ascii="Times New Roman" w:hAnsi="Times New Roman" w:cs="Times New Roman"/>
        </w:rPr>
        <w:t>;</w:t>
      </w:r>
      <w:r w:rsidR="004C05A6" w:rsidRPr="00F62B03">
        <w:rPr>
          <w:rFonts w:ascii="Times New Roman" w:hAnsi="Times New Roman" w:cs="Times New Roman"/>
        </w:rPr>
        <w:t xml:space="preserve"> lack of urban infrastructure.</w:t>
      </w:r>
    </w:p>
    <w:p w:rsidR="00454530" w:rsidRDefault="008823DA" w:rsidP="00F62B03">
      <w:pPr>
        <w:rPr>
          <w:rFonts w:ascii="Times New Roman" w:hAnsi="Times New Roman" w:cs="Times New Roman"/>
        </w:rPr>
      </w:pPr>
      <w:r w:rsidRPr="00F62B03">
        <w:rPr>
          <w:rFonts w:ascii="Times New Roman" w:hAnsi="Times New Roman" w:cs="Times New Roman"/>
        </w:rPr>
        <w:t xml:space="preserve">The </w:t>
      </w:r>
      <w:r w:rsidR="003314C5">
        <w:rPr>
          <w:rFonts w:ascii="Times New Roman" w:hAnsi="Times New Roman" w:cs="Times New Roman"/>
        </w:rPr>
        <w:t xml:space="preserve">property </w:t>
      </w:r>
      <w:r w:rsidRPr="00F62B03">
        <w:rPr>
          <w:rFonts w:ascii="Times New Roman" w:hAnsi="Times New Roman" w:cs="Times New Roman"/>
        </w:rPr>
        <w:t>sector needs to be a crucial and integral element</w:t>
      </w:r>
      <w:r>
        <w:rPr>
          <w:rFonts w:ascii="Times New Roman" w:hAnsi="Times New Roman" w:cs="Times New Roman"/>
        </w:rPr>
        <w:t xml:space="preserve"> of the </w:t>
      </w:r>
      <w:r w:rsidR="00DB5DE9" w:rsidRPr="00F62B03">
        <w:rPr>
          <w:rFonts w:ascii="Times New Roman" w:hAnsi="Times New Roman" w:cs="Times New Roman"/>
        </w:rPr>
        <w:t>20</w:t>
      </w:r>
      <w:r w:rsidR="005027BA">
        <w:rPr>
          <w:rFonts w:ascii="Times New Roman" w:hAnsi="Times New Roman" w:cs="Times New Roman"/>
        </w:rPr>
        <w:t>20</w:t>
      </w:r>
      <w:r w:rsidR="00DB5DE9" w:rsidRPr="00F62B03">
        <w:rPr>
          <w:rFonts w:ascii="Times New Roman" w:hAnsi="Times New Roman" w:cs="Times New Roman"/>
        </w:rPr>
        <w:t>/</w:t>
      </w:r>
      <w:r w:rsidR="00C42810">
        <w:rPr>
          <w:rFonts w:ascii="Times New Roman" w:hAnsi="Times New Roman" w:cs="Times New Roman"/>
        </w:rPr>
        <w:t>2</w:t>
      </w:r>
      <w:r w:rsidR="005027BA">
        <w:rPr>
          <w:rFonts w:ascii="Times New Roman" w:hAnsi="Times New Roman" w:cs="Times New Roman"/>
        </w:rPr>
        <w:t>1</w:t>
      </w:r>
      <w:r w:rsidR="00DB5DE9" w:rsidRPr="00F62B03">
        <w:rPr>
          <w:rFonts w:ascii="Times New Roman" w:hAnsi="Times New Roman" w:cs="Times New Roman"/>
        </w:rPr>
        <w:t xml:space="preserve"> Budget </w:t>
      </w:r>
      <w:r>
        <w:rPr>
          <w:rFonts w:ascii="Times New Roman" w:hAnsi="Times New Roman" w:cs="Times New Roman"/>
        </w:rPr>
        <w:t xml:space="preserve">and </w:t>
      </w:r>
      <w:r w:rsidR="003314C5">
        <w:rPr>
          <w:rFonts w:ascii="Times New Roman" w:hAnsi="Times New Roman" w:cs="Times New Roman"/>
        </w:rPr>
        <w:t xml:space="preserve">housing affordability and </w:t>
      </w:r>
      <w:r w:rsidR="00DB5DE9" w:rsidRPr="00F62B03">
        <w:rPr>
          <w:rFonts w:ascii="Times New Roman" w:hAnsi="Times New Roman" w:cs="Times New Roman"/>
        </w:rPr>
        <w:t>the</w:t>
      </w:r>
      <w:r w:rsidR="003314C5">
        <w:rPr>
          <w:rFonts w:ascii="Times New Roman" w:hAnsi="Times New Roman" w:cs="Times New Roman"/>
        </w:rPr>
        <w:t xml:space="preserve"> taxation of housing need to be addressed in a holistic manner.</w:t>
      </w:r>
      <w:r w:rsidR="00DB5DE9" w:rsidRPr="00F62B03">
        <w:rPr>
          <w:rFonts w:ascii="Times New Roman" w:hAnsi="Times New Roman" w:cs="Times New Roman"/>
        </w:rPr>
        <w:t xml:space="preserve"> </w:t>
      </w:r>
    </w:p>
    <w:p w:rsidR="005F6271" w:rsidRPr="001228C7" w:rsidRDefault="005F6271" w:rsidP="005F6271">
      <w:pPr>
        <w:rPr>
          <w:rFonts w:ascii="Times New Roman" w:hAnsi="Times New Roman" w:cs="Times New Roman"/>
          <w:b/>
          <w:i/>
          <w:lang w:val="en-US"/>
        </w:rPr>
      </w:pPr>
      <w:r w:rsidRPr="00892093">
        <w:rPr>
          <w:rFonts w:ascii="Times New Roman" w:hAnsi="Times New Roman" w:cs="Times New Roman"/>
          <w:b/>
          <w:lang w:val="en-US"/>
        </w:rPr>
        <w:t xml:space="preserve">Taxation and Housing Supply </w:t>
      </w:r>
    </w:p>
    <w:p w:rsidR="005F6271" w:rsidRDefault="005F6271" w:rsidP="005F6271">
      <w:pPr>
        <w:rPr>
          <w:rFonts w:ascii="Times New Roman" w:hAnsi="Times New Roman" w:cs="Times New Roman"/>
          <w:lang w:val="en-US"/>
        </w:rPr>
      </w:pPr>
      <w:r w:rsidRPr="00F62B03">
        <w:rPr>
          <w:rFonts w:ascii="Times New Roman" w:hAnsi="Times New Roman" w:cs="Times New Roman"/>
          <w:lang w:val="en-US"/>
        </w:rPr>
        <w:t>Taxes are one of the factors determining investment in housing and thus housing supply and influencing housing affordability.</w:t>
      </w:r>
    </w:p>
    <w:p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With increasing house prices in Australia’s two largest capital cities</w:t>
      </w:r>
      <w:r w:rsidR="005027BA">
        <w:rPr>
          <w:rFonts w:ascii="Times New Roman" w:hAnsi="Times New Roman" w:cs="Times New Roman"/>
          <w:lang w:val="en-US"/>
        </w:rPr>
        <w:t xml:space="preserve"> </w:t>
      </w:r>
      <w:r w:rsidRPr="00F62B03">
        <w:rPr>
          <w:rFonts w:ascii="Times New Roman" w:hAnsi="Times New Roman" w:cs="Times New Roman"/>
          <w:lang w:val="en-US"/>
        </w:rPr>
        <w:t>there have been many claims that the current tax treatment of negative gearing and capital gains of residential property is exacerbating housing affordability issues. This is simply not the case. Indeed the public interest is being served and advanced through negative gearing and the treatment of CGT.</w:t>
      </w:r>
    </w:p>
    <w:p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The current taxation arrangements provide many Australians with the opportunity to invest in property and augment their savings in particular their retirement savings and at the same time improve rental affordability through an increased supply of rental housing.</w:t>
      </w:r>
    </w:p>
    <w:p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The repeal of the current arrangements would shrink savings and investment and see increases in rents and the need for greater government investment in social housing.</w:t>
      </w:r>
    </w:p>
    <w:p w:rsidR="002B1553" w:rsidRDefault="005F6271" w:rsidP="008137B8">
      <w:pPr>
        <w:rPr>
          <w:rFonts w:ascii="Times New Roman" w:hAnsi="Times New Roman" w:cs="Times New Roman"/>
          <w:lang w:val="en-US"/>
        </w:rPr>
      </w:pPr>
      <w:r w:rsidRPr="00F62B03">
        <w:rPr>
          <w:rFonts w:ascii="Times New Roman" w:hAnsi="Times New Roman" w:cs="Times New Roman"/>
          <w:lang w:val="en-US"/>
        </w:rPr>
        <w:t>The graph below shows the impact of the increase in investment properties in Australia and in Sydney and Melbourne, where the greatest investment activity has occurred</w:t>
      </w:r>
      <w:r w:rsidR="00B362BB">
        <w:rPr>
          <w:rFonts w:ascii="Times New Roman" w:hAnsi="Times New Roman" w:cs="Times New Roman"/>
          <w:lang w:val="en-US"/>
        </w:rPr>
        <w:t>, has had on rents</w:t>
      </w:r>
      <w:r w:rsidRPr="00F62B03">
        <w:rPr>
          <w:rFonts w:ascii="Times New Roman" w:hAnsi="Times New Roman" w:cs="Times New Roman"/>
          <w:lang w:val="en-US"/>
        </w:rPr>
        <w:t>. From the end of 2011, when investment in housing started to pick up, the rate of increase in rents has plummeted.</w:t>
      </w:r>
    </w:p>
    <w:p w:rsidR="009874A9" w:rsidRDefault="00F23D2B" w:rsidP="002B1553">
      <w:pPr>
        <w:rPr>
          <w:rFonts w:ascii="Times New Roman" w:hAnsi="Times New Roman" w:cs="Times New Roman"/>
          <w:lang w:val="en-US"/>
        </w:rPr>
      </w:pPr>
      <w:r w:rsidRPr="00C67111">
        <w:rPr>
          <w:rFonts w:ascii="Times New Roman" w:hAnsi="Times New Roman" w:cs="Times New Roman"/>
          <w:lang w:val="en-US"/>
        </w:rPr>
        <w:t>The September 201</w:t>
      </w:r>
      <w:r w:rsidR="005027BA">
        <w:rPr>
          <w:rFonts w:ascii="Times New Roman" w:hAnsi="Times New Roman" w:cs="Times New Roman"/>
          <w:lang w:val="en-US"/>
        </w:rPr>
        <w:t>9</w:t>
      </w:r>
      <w:r w:rsidRPr="00C67111">
        <w:rPr>
          <w:rFonts w:ascii="Times New Roman" w:hAnsi="Times New Roman" w:cs="Times New Roman"/>
          <w:lang w:val="en-US"/>
        </w:rPr>
        <w:t xml:space="preserve"> CPI figures show that r</w:t>
      </w:r>
      <w:r w:rsidR="002B1553" w:rsidRPr="00C67111">
        <w:rPr>
          <w:rFonts w:ascii="Times New Roman" w:hAnsi="Times New Roman" w:cs="Times New Roman"/>
          <w:lang w:val="en-US"/>
        </w:rPr>
        <w:t>ents increased by</w:t>
      </w:r>
      <w:r w:rsidR="009874A9">
        <w:rPr>
          <w:rFonts w:ascii="Times New Roman" w:hAnsi="Times New Roman" w:cs="Times New Roman"/>
          <w:lang w:val="en-US"/>
        </w:rPr>
        <w:t xml:space="preserve"> </w:t>
      </w:r>
      <w:r w:rsidR="009874A9" w:rsidRPr="009874A9">
        <w:rPr>
          <w:rFonts w:ascii="Times New Roman" w:hAnsi="Times New Roman" w:cs="Times New Roman"/>
          <w:lang w:val="en-US"/>
        </w:rPr>
        <w:t>0.1% for the quarter and increased by 0.4% for the year.</w:t>
      </w:r>
      <w:r w:rsidR="009874A9">
        <w:rPr>
          <w:rFonts w:ascii="Times New Roman" w:hAnsi="Times New Roman" w:cs="Times New Roman"/>
          <w:lang w:val="en-US"/>
        </w:rPr>
        <w:t xml:space="preserve"> </w:t>
      </w:r>
      <w:r w:rsidR="009874A9" w:rsidRPr="00C67111">
        <w:rPr>
          <w:rFonts w:ascii="Times New Roman" w:hAnsi="Times New Roman" w:cs="Times New Roman"/>
          <w:lang w:val="en-US"/>
        </w:rPr>
        <w:t xml:space="preserve">This is the lowest annual increase in rents since December 1998. </w:t>
      </w:r>
      <w:r w:rsidR="009874A9" w:rsidRPr="009874A9">
        <w:rPr>
          <w:rFonts w:ascii="Times New Roman" w:hAnsi="Times New Roman" w:cs="Times New Roman"/>
          <w:lang w:val="en-US"/>
        </w:rPr>
        <w:t xml:space="preserve"> The average annual change has been less than 1.0% since December 2015</w:t>
      </w:r>
      <w:r w:rsidR="009874A9">
        <w:rPr>
          <w:rFonts w:ascii="Times New Roman" w:hAnsi="Times New Roman" w:cs="Times New Roman"/>
          <w:lang w:val="en-US"/>
        </w:rPr>
        <w:t xml:space="preserve">. </w:t>
      </w:r>
    </w:p>
    <w:p w:rsidR="008137B8" w:rsidRPr="008137B8" w:rsidRDefault="002B1553" w:rsidP="002B1553">
      <w:pPr>
        <w:rPr>
          <w:rFonts w:ascii="Times New Roman" w:hAnsi="Times New Roman" w:cs="Times New Roman"/>
          <w:lang w:val="en-US"/>
        </w:rPr>
      </w:pPr>
      <w:r w:rsidRPr="00190D62">
        <w:rPr>
          <w:rFonts w:ascii="Times New Roman" w:hAnsi="Times New Roman" w:cs="Times New Roman"/>
          <w:lang w:val="en-US"/>
        </w:rPr>
        <w:t>The CPI figures show that the increased investment in housing has kept growth in rents lower than they have been historically and is clear testament that the current taxation arrangements benefit renters and that any change in the treatment of negative gearing and capital gains tax would see an increase in rents.</w:t>
      </w:r>
      <w:r w:rsidR="008137B8" w:rsidRPr="008137B8">
        <w:rPr>
          <w:rFonts w:ascii="Times New Roman" w:hAnsi="Times New Roman" w:cs="Times New Roman"/>
          <w:lang w:val="en-US"/>
        </w:rPr>
        <w:t xml:space="preserve"> </w:t>
      </w:r>
    </w:p>
    <w:p w:rsidR="00310319" w:rsidRDefault="00310319" w:rsidP="00BA3E0B">
      <w:pPr>
        <w:rPr>
          <w:rFonts w:ascii="Times New Roman" w:hAnsi="Times New Roman" w:cs="Times New Roman"/>
          <w:b/>
          <w:lang w:val="en-US"/>
        </w:rPr>
      </w:pPr>
    </w:p>
    <w:p w:rsidR="00310319" w:rsidRDefault="00310319" w:rsidP="00BA3E0B">
      <w:pPr>
        <w:rPr>
          <w:rFonts w:ascii="Times New Roman" w:hAnsi="Times New Roman" w:cs="Times New Roman"/>
          <w:b/>
          <w:lang w:val="en-US"/>
        </w:rPr>
      </w:pPr>
    </w:p>
    <w:p w:rsidR="00310319" w:rsidRDefault="00310319" w:rsidP="00BA3E0B">
      <w:pPr>
        <w:rPr>
          <w:rFonts w:ascii="Times New Roman" w:hAnsi="Times New Roman" w:cs="Times New Roman"/>
          <w:b/>
          <w:lang w:val="en-US"/>
        </w:rPr>
      </w:pPr>
    </w:p>
    <w:p w:rsidR="00310319" w:rsidRDefault="00310319" w:rsidP="00BA3E0B">
      <w:pPr>
        <w:rPr>
          <w:rFonts w:ascii="Times New Roman" w:hAnsi="Times New Roman" w:cs="Times New Roman"/>
          <w:b/>
          <w:lang w:val="en-US"/>
        </w:rPr>
      </w:pPr>
    </w:p>
    <w:p w:rsidR="009874A9" w:rsidRDefault="009874A9" w:rsidP="00BA3E0B">
      <w:pPr>
        <w:rPr>
          <w:rFonts w:ascii="Times New Roman" w:hAnsi="Times New Roman" w:cs="Times New Roman"/>
          <w:b/>
          <w:lang w:val="en-US"/>
        </w:rPr>
      </w:pPr>
    </w:p>
    <w:p w:rsidR="005F6271" w:rsidRDefault="005F6271" w:rsidP="00BA3E0B">
      <w:pPr>
        <w:rPr>
          <w:rFonts w:ascii="Times New Roman" w:hAnsi="Times New Roman" w:cs="Times New Roman"/>
          <w:b/>
          <w:lang w:val="en-US"/>
        </w:rPr>
      </w:pPr>
      <w:r w:rsidRPr="00892093">
        <w:rPr>
          <w:rFonts w:ascii="Times New Roman" w:hAnsi="Times New Roman" w:cs="Times New Roman"/>
          <w:b/>
          <w:lang w:val="en-US"/>
        </w:rPr>
        <w:lastRenderedPageBreak/>
        <w:t>ANNUAL CHANGE IN RENTS: AUSTRALIA, SYDNEY AND MELBOURNE</w:t>
      </w:r>
    </w:p>
    <w:p w:rsidR="00310319" w:rsidRDefault="009874A9" w:rsidP="00BA3E0B">
      <w:pPr>
        <w:rPr>
          <w:rFonts w:ascii="Times New Roman" w:hAnsi="Times New Roman" w:cs="Times New Roman"/>
          <w:b/>
          <w:lang w:val="en-US"/>
        </w:rPr>
      </w:pPr>
      <w:r>
        <w:rPr>
          <w:noProof/>
          <w:lang w:val="en-US"/>
        </w:rPr>
        <w:drawing>
          <wp:inline distT="0" distB="0" distL="0" distR="0" wp14:anchorId="65AB9EE9" wp14:editId="03FC508D">
            <wp:extent cx="5731510" cy="4158165"/>
            <wp:effectExtent l="0" t="0" r="2540" b="0"/>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A365DE-AB86-4A2D-9A13-6961550769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B2E26" w:rsidRPr="000B2E26" w:rsidRDefault="000B2E26" w:rsidP="000B2E26">
      <w:pPr>
        <w:rPr>
          <w:rFonts w:ascii="Times New Roman" w:hAnsi="Times New Roman" w:cs="Times New Roman"/>
        </w:rPr>
      </w:pPr>
      <w:r w:rsidRPr="000B2E26">
        <w:rPr>
          <w:rFonts w:ascii="Times New Roman" w:hAnsi="Times New Roman" w:cs="Times New Roman"/>
        </w:rPr>
        <w:t>Source: 6401.0 Consumer Price Index, Australia 2000 – 201</w:t>
      </w:r>
      <w:r w:rsidR="009874A9">
        <w:rPr>
          <w:rFonts w:ascii="Times New Roman" w:hAnsi="Times New Roman" w:cs="Times New Roman"/>
        </w:rPr>
        <w:t>9</w:t>
      </w:r>
      <w:r w:rsidRPr="000B2E26">
        <w:rPr>
          <w:rFonts w:ascii="Times New Roman" w:hAnsi="Times New Roman" w:cs="Times New Roman"/>
        </w:rPr>
        <w:t xml:space="preserve"> (ABS)</w:t>
      </w:r>
    </w:p>
    <w:p w:rsidR="000B2E26" w:rsidRDefault="000B2E26" w:rsidP="005F6271">
      <w:pPr>
        <w:rPr>
          <w:rFonts w:ascii="Times New Roman" w:hAnsi="Times New Roman" w:cs="Times New Roman"/>
          <w:lang w:val="en-US"/>
        </w:rPr>
      </w:pPr>
    </w:p>
    <w:p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 xml:space="preserve">Both Re-think and the Henry Review, note that stamp duties are some of the most inefficient taxes levied in Australia. Re-think goes on to say whilst stamp duties on the transfer of property are the second-largest source of state tax revenue (generating 24 per cent of state tax revenue) they are a highly volatile tax, with revenue fluctuating by over 50 per cent in previous years. Stamp duties also impact on consumers by increasing the cost of buying and selling houses. As house prices increase over time, unadjusted progressive tax rates also increase the tax burden associated with stamp duty. This adds to transaction costs and contributes to the high costs of moving which discourage mobility, impedes economic growth and leads to an </w:t>
      </w:r>
      <w:proofErr w:type="spellStart"/>
      <w:r w:rsidRPr="00F62B03">
        <w:rPr>
          <w:rFonts w:ascii="Times New Roman" w:hAnsi="Times New Roman" w:cs="Times New Roman"/>
          <w:lang w:val="en-US"/>
        </w:rPr>
        <w:t>underutilisation</w:t>
      </w:r>
      <w:proofErr w:type="spellEnd"/>
      <w:r w:rsidRPr="00F62B03">
        <w:rPr>
          <w:rFonts w:ascii="Times New Roman" w:hAnsi="Times New Roman" w:cs="Times New Roman"/>
          <w:lang w:val="en-US"/>
        </w:rPr>
        <w:t xml:space="preserve"> of the housing stock as older residents are reluctant to downsize.</w:t>
      </w:r>
    </w:p>
    <w:p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 xml:space="preserve">Stamp duty is also inequitable for those who move more frequently, for work related reasons for example, than those that do not as they face higher costs even if their circumstances are otherwise similar. Choices between renting and </w:t>
      </w:r>
      <w:r w:rsidR="003B5590" w:rsidRPr="00F62B03">
        <w:rPr>
          <w:rFonts w:ascii="Times New Roman" w:hAnsi="Times New Roman" w:cs="Times New Roman"/>
          <w:lang w:val="en-US"/>
        </w:rPr>
        <w:t>buying</w:t>
      </w:r>
      <w:r w:rsidRPr="00F62B03">
        <w:rPr>
          <w:rFonts w:ascii="Times New Roman" w:hAnsi="Times New Roman" w:cs="Times New Roman"/>
          <w:lang w:val="en-US"/>
        </w:rPr>
        <w:t xml:space="preserve"> and between moving house and renovating are also distorted by stamp duties.</w:t>
      </w:r>
    </w:p>
    <w:p w:rsidR="00054274" w:rsidRDefault="005F6271" w:rsidP="005F6271">
      <w:pPr>
        <w:rPr>
          <w:rFonts w:ascii="Times New Roman" w:hAnsi="Times New Roman" w:cs="Times New Roman"/>
          <w:lang w:val="en-US"/>
        </w:rPr>
      </w:pPr>
      <w:r w:rsidRPr="00F62B03">
        <w:rPr>
          <w:rFonts w:ascii="Times New Roman" w:hAnsi="Times New Roman" w:cs="Times New Roman"/>
          <w:lang w:val="en-US"/>
        </w:rPr>
        <w:t>According to the Henry Review “stamp duties on conveyances are inconsistent with the needs of a modern tax system …..</w:t>
      </w:r>
      <w:proofErr w:type="gramStart"/>
      <w:r w:rsidRPr="00F62B03">
        <w:rPr>
          <w:rFonts w:ascii="Times New Roman" w:hAnsi="Times New Roman" w:cs="Times New Roman"/>
          <w:lang w:val="en-US"/>
        </w:rPr>
        <w:t>and</w:t>
      </w:r>
      <w:proofErr w:type="gramEnd"/>
      <w:r w:rsidRPr="00F62B03">
        <w:rPr>
          <w:rFonts w:ascii="Times New Roman" w:hAnsi="Times New Roman" w:cs="Times New Roman"/>
          <w:lang w:val="en-US"/>
        </w:rPr>
        <w:t xml:space="preserve"> should be replaced with a more efficient means of raising revenue”.</w:t>
      </w:r>
      <w:r w:rsidR="00054274">
        <w:rPr>
          <w:rFonts w:ascii="Times New Roman" w:hAnsi="Times New Roman" w:cs="Times New Roman"/>
          <w:lang w:val="en-US"/>
        </w:rPr>
        <w:t xml:space="preserve"> </w:t>
      </w:r>
    </w:p>
    <w:p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lastRenderedPageBreak/>
        <w:t>State governments cannot eliminate inefficient taxes without going into deficit or having to reduce expenditure substantially. Hence cooperation between the Australian Government and the States is needed to undertake reform of inefficient state taxes.</w:t>
      </w:r>
    </w:p>
    <w:p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Economic analysis shows that economic activity in Australia can be lifted by just shifting the composition of taxes from high economic cost State taxes to lower cost Australia-wide taxes, without changing the overall level of tax revenues. The Centre of International Economics in its report, State Business Tax Reform in 2009 showed that the abolition of stamp duties on residential and non-residential property, removal of insurance duties and reform of land taxes and payroll taxes is projected to increase long run GDP by 1.7 per cent per year and investment by 4.4 per cent per year.</w:t>
      </w:r>
    </w:p>
    <w:p w:rsidR="004A1CE3" w:rsidRDefault="004A1CE3" w:rsidP="005F6271">
      <w:pPr>
        <w:rPr>
          <w:rFonts w:ascii="Times New Roman" w:hAnsi="Times New Roman" w:cs="Times New Roman"/>
          <w:lang w:val="en-US"/>
        </w:rPr>
      </w:pPr>
      <w:r>
        <w:rPr>
          <w:rFonts w:ascii="Times New Roman" w:hAnsi="Times New Roman" w:cs="Times New Roman"/>
          <w:lang w:val="en-US"/>
        </w:rPr>
        <w:t xml:space="preserve">Stamp duties are also a major hurdle for first home buyers </w:t>
      </w:r>
      <w:r w:rsidR="00214455">
        <w:rPr>
          <w:rFonts w:ascii="Times New Roman" w:hAnsi="Times New Roman" w:cs="Times New Roman"/>
          <w:lang w:val="en-US"/>
        </w:rPr>
        <w:t xml:space="preserve">and older home owners. For first home buyers stamp duty </w:t>
      </w:r>
      <w:r>
        <w:rPr>
          <w:rFonts w:ascii="Times New Roman" w:hAnsi="Times New Roman" w:cs="Times New Roman"/>
          <w:lang w:val="en-US"/>
        </w:rPr>
        <w:t>often mak</w:t>
      </w:r>
      <w:r w:rsidR="00214455">
        <w:rPr>
          <w:rFonts w:ascii="Times New Roman" w:hAnsi="Times New Roman" w:cs="Times New Roman"/>
          <w:lang w:val="en-US"/>
        </w:rPr>
        <w:t xml:space="preserve">es </w:t>
      </w:r>
      <w:r>
        <w:rPr>
          <w:rFonts w:ascii="Times New Roman" w:hAnsi="Times New Roman" w:cs="Times New Roman"/>
          <w:lang w:val="en-US"/>
        </w:rPr>
        <w:t xml:space="preserve">the difference between the ability to buy and not to. </w:t>
      </w:r>
      <w:r w:rsidR="00214455">
        <w:rPr>
          <w:rFonts w:ascii="Times New Roman" w:hAnsi="Times New Roman" w:cs="Times New Roman"/>
          <w:lang w:val="en-US"/>
        </w:rPr>
        <w:t xml:space="preserve">For older home owners considering down sizing to accommodation more suited to their needs in retirement stamp duty is </w:t>
      </w:r>
      <w:r w:rsidR="00075365">
        <w:rPr>
          <w:rFonts w:ascii="Times New Roman" w:hAnsi="Times New Roman" w:cs="Times New Roman"/>
          <w:lang w:val="en-US"/>
        </w:rPr>
        <w:t xml:space="preserve">frequently </w:t>
      </w:r>
      <w:r w:rsidR="00214455">
        <w:rPr>
          <w:rFonts w:ascii="Times New Roman" w:hAnsi="Times New Roman" w:cs="Times New Roman"/>
          <w:lang w:val="en-US"/>
        </w:rPr>
        <w:t xml:space="preserve">given as </w:t>
      </w:r>
      <w:r w:rsidR="00075365">
        <w:rPr>
          <w:rFonts w:ascii="Times New Roman" w:hAnsi="Times New Roman" w:cs="Times New Roman"/>
          <w:lang w:val="en-US"/>
        </w:rPr>
        <w:t xml:space="preserve">the </w:t>
      </w:r>
      <w:r w:rsidR="00214455">
        <w:rPr>
          <w:rFonts w:ascii="Times New Roman" w:hAnsi="Times New Roman" w:cs="Times New Roman"/>
          <w:lang w:val="en-US"/>
        </w:rPr>
        <w:t>reason</w:t>
      </w:r>
      <w:r w:rsidR="00075365">
        <w:rPr>
          <w:rFonts w:ascii="Times New Roman" w:hAnsi="Times New Roman" w:cs="Times New Roman"/>
          <w:lang w:val="en-US"/>
        </w:rPr>
        <w:t xml:space="preserve"> preventing such a move. Stamp duties are thus preventing a more efficient use of the housing stock and could be exacerbating the supply problem.</w:t>
      </w:r>
    </w:p>
    <w:p w:rsidR="000A4E08" w:rsidRDefault="00373073" w:rsidP="000A4E08">
      <w:pPr>
        <w:rPr>
          <w:rFonts w:ascii="Times New Roman" w:hAnsi="Times New Roman" w:cs="Times New Roman"/>
        </w:rPr>
      </w:pPr>
      <w:r>
        <w:rPr>
          <w:rFonts w:ascii="Times New Roman" w:hAnsi="Times New Roman" w:cs="Times New Roman"/>
        </w:rPr>
        <w:t xml:space="preserve">A </w:t>
      </w:r>
      <w:r w:rsidR="000A4E08" w:rsidRPr="000A4E08">
        <w:rPr>
          <w:rFonts w:ascii="Times New Roman" w:hAnsi="Times New Roman" w:cs="Times New Roman"/>
        </w:rPr>
        <w:t>study by AHURI on taxation reform compar</w:t>
      </w:r>
      <w:r>
        <w:rPr>
          <w:rFonts w:ascii="Times New Roman" w:hAnsi="Times New Roman" w:cs="Times New Roman"/>
        </w:rPr>
        <w:t xml:space="preserve">ing </w:t>
      </w:r>
      <w:r w:rsidR="000A4E08" w:rsidRPr="000A4E08">
        <w:rPr>
          <w:rFonts w:ascii="Times New Roman" w:hAnsi="Times New Roman" w:cs="Times New Roman"/>
        </w:rPr>
        <w:t>reform of stamp duties, capital gains tax and changes to negative gearing in terms of their economic and social impact and on affordability</w:t>
      </w:r>
      <w:r>
        <w:rPr>
          <w:rFonts w:ascii="Times New Roman" w:hAnsi="Times New Roman" w:cs="Times New Roman"/>
        </w:rPr>
        <w:t xml:space="preserve"> </w:t>
      </w:r>
      <w:r w:rsidR="000A4E08" w:rsidRPr="000A4E08">
        <w:rPr>
          <w:rFonts w:ascii="Times New Roman" w:hAnsi="Times New Roman" w:cs="Times New Roman"/>
        </w:rPr>
        <w:t>conclu</w:t>
      </w:r>
      <w:r>
        <w:rPr>
          <w:rFonts w:ascii="Times New Roman" w:hAnsi="Times New Roman" w:cs="Times New Roman"/>
        </w:rPr>
        <w:t xml:space="preserve">des </w:t>
      </w:r>
      <w:r w:rsidR="000A4E08" w:rsidRPr="000A4E08">
        <w:rPr>
          <w:rFonts w:ascii="Times New Roman" w:hAnsi="Times New Roman" w:cs="Times New Roman"/>
        </w:rPr>
        <w:t>that state tax reform delivers greater benefits than changes to CGT and negative gearing.</w:t>
      </w:r>
    </w:p>
    <w:p w:rsidR="005F6271" w:rsidRDefault="005F6271" w:rsidP="005F6271">
      <w:pPr>
        <w:rPr>
          <w:rFonts w:ascii="Times New Roman" w:hAnsi="Times New Roman" w:cs="Times New Roman"/>
          <w:lang w:val="en-US"/>
        </w:rPr>
      </w:pPr>
      <w:r w:rsidRPr="000463B2">
        <w:rPr>
          <w:rFonts w:ascii="Times New Roman" w:hAnsi="Times New Roman" w:cs="Times New Roman"/>
          <w:lang w:val="en-US"/>
        </w:rPr>
        <w:t xml:space="preserve">The Federal Government needs to show leadership </w:t>
      </w:r>
      <w:r w:rsidR="004A1CE3" w:rsidRPr="000463B2">
        <w:rPr>
          <w:rFonts w:ascii="Times New Roman" w:hAnsi="Times New Roman" w:cs="Times New Roman"/>
          <w:lang w:val="en-US"/>
        </w:rPr>
        <w:t xml:space="preserve">in addressing housing affordability </w:t>
      </w:r>
      <w:r w:rsidR="000463B2" w:rsidRPr="000463B2">
        <w:rPr>
          <w:rFonts w:ascii="Times New Roman" w:hAnsi="Times New Roman" w:cs="Times New Roman"/>
          <w:lang w:val="en-US"/>
        </w:rPr>
        <w:t xml:space="preserve">by taking </w:t>
      </w:r>
      <w:r w:rsidR="004A1CE3" w:rsidRPr="000463B2">
        <w:rPr>
          <w:rFonts w:ascii="Times New Roman" w:hAnsi="Times New Roman" w:cs="Times New Roman"/>
        </w:rPr>
        <w:t xml:space="preserve">a coordinated and holistic </w:t>
      </w:r>
      <w:r w:rsidR="000463B2" w:rsidRPr="000463B2">
        <w:rPr>
          <w:rFonts w:ascii="Times New Roman" w:hAnsi="Times New Roman" w:cs="Times New Roman"/>
        </w:rPr>
        <w:t xml:space="preserve">approach </w:t>
      </w:r>
      <w:r w:rsidR="000463B2">
        <w:rPr>
          <w:rFonts w:ascii="Times New Roman" w:hAnsi="Times New Roman" w:cs="Times New Roman"/>
        </w:rPr>
        <w:t xml:space="preserve">of </w:t>
      </w:r>
      <w:r w:rsidR="004A1CE3" w:rsidRPr="000463B2">
        <w:rPr>
          <w:rFonts w:ascii="Times New Roman" w:hAnsi="Times New Roman" w:cs="Times New Roman"/>
        </w:rPr>
        <w:t>all levels of government</w:t>
      </w:r>
      <w:r w:rsidR="004A1CE3" w:rsidRPr="000463B2">
        <w:rPr>
          <w:rFonts w:ascii="Times New Roman" w:hAnsi="Times New Roman" w:cs="Times New Roman"/>
          <w:lang w:val="en-US"/>
        </w:rPr>
        <w:t xml:space="preserve"> in </w:t>
      </w:r>
      <w:r w:rsidR="000463B2" w:rsidRPr="000463B2">
        <w:rPr>
          <w:rFonts w:ascii="Times New Roman" w:hAnsi="Times New Roman" w:cs="Times New Roman"/>
          <w:lang w:val="en-US"/>
        </w:rPr>
        <w:t xml:space="preserve">objectively </w:t>
      </w:r>
      <w:r w:rsidR="004A1CE3" w:rsidRPr="000463B2">
        <w:rPr>
          <w:rFonts w:ascii="Times New Roman" w:hAnsi="Times New Roman" w:cs="Times New Roman"/>
          <w:lang w:val="en-US"/>
        </w:rPr>
        <w:t xml:space="preserve">addressing all </w:t>
      </w:r>
      <w:r w:rsidR="000463B2" w:rsidRPr="000463B2">
        <w:rPr>
          <w:rFonts w:ascii="Times New Roman" w:hAnsi="Times New Roman" w:cs="Times New Roman"/>
          <w:lang w:val="en-US"/>
        </w:rPr>
        <w:t>property taxes.</w:t>
      </w:r>
      <w:r w:rsidRPr="00F62B03">
        <w:rPr>
          <w:rFonts w:ascii="Times New Roman" w:hAnsi="Times New Roman" w:cs="Times New Roman"/>
          <w:lang w:val="en-US"/>
        </w:rPr>
        <w:t xml:space="preserve"> </w:t>
      </w:r>
    </w:p>
    <w:p w:rsidR="0085692D" w:rsidRPr="00341D51" w:rsidRDefault="0085692D" w:rsidP="0085692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lang w:val="en-US"/>
        </w:rPr>
      </w:pPr>
      <w:r w:rsidRPr="00341D51">
        <w:rPr>
          <w:rFonts w:ascii="Times New Roman" w:hAnsi="Times New Roman" w:cs="Times New Roman"/>
          <w:b/>
          <w:lang w:val="en-US"/>
        </w:rPr>
        <w:t xml:space="preserve">REIA recommends that the Australian Government take a leadership role </w:t>
      </w:r>
      <w:r>
        <w:rPr>
          <w:rFonts w:ascii="Times New Roman" w:hAnsi="Times New Roman" w:cs="Times New Roman"/>
          <w:b/>
          <w:lang w:val="en-US"/>
        </w:rPr>
        <w:t>in</w:t>
      </w:r>
      <w:r w:rsidRPr="000463B2">
        <w:rPr>
          <w:rFonts w:ascii="Times New Roman" w:hAnsi="Times New Roman" w:cs="Times New Roman"/>
          <w:b/>
          <w:lang w:val="en-US"/>
        </w:rPr>
        <w:t xml:space="preserve"> taking a </w:t>
      </w:r>
      <w:r w:rsidR="00373073" w:rsidRPr="000463B2">
        <w:rPr>
          <w:rFonts w:ascii="Times New Roman" w:hAnsi="Times New Roman" w:cs="Times New Roman"/>
          <w:b/>
          <w:lang w:val="en-US"/>
        </w:rPr>
        <w:t>coordinated</w:t>
      </w:r>
      <w:r w:rsidRPr="000463B2">
        <w:rPr>
          <w:rFonts w:ascii="Times New Roman" w:hAnsi="Times New Roman" w:cs="Times New Roman"/>
          <w:b/>
          <w:lang w:val="en-US"/>
        </w:rPr>
        <w:t xml:space="preserve"> and holistic approach of all levels of government in objectively addressing all property taxes.</w:t>
      </w:r>
    </w:p>
    <w:p w:rsidR="0085692D" w:rsidRDefault="0085692D" w:rsidP="005F6271">
      <w:pPr>
        <w:rPr>
          <w:rFonts w:ascii="Times New Roman" w:hAnsi="Times New Roman" w:cs="Times New Roman"/>
          <w:lang w:val="en-US"/>
        </w:rPr>
      </w:pPr>
    </w:p>
    <w:p w:rsidR="005F6271" w:rsidRPr="00341D51" w:rsidRDefault="0085692D" w:rsidP="007911F3">
      <w:pPr>
        <w:pBdr>
          <w:top w:val="single" w:sz="4" w:space="0"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lang w:val="en-US"/>
        </w:rPr>
      </w:pPr>
      <w:r w:rsidRPr="0085692D">
        <w:rPr>
          <w:rFonts w:ascii="Times New Roman" w:hAnsi="Times New Roman" w:cs="Times New Roman"/>
          <w:b/>
          <w:lang w:val="en-US"/>
        </w:rPr>
        <w:t xml:space="preserve">REIA recommends that until a </w:t>
      </w:r>
      <w:r w:rsidR="00373073" w:rsidRPr="0085692D">
        <w:rPr>
          <w:rFonts w:ascii="Times New Roman" w:hAnsi="Times New Roman" w:cs="Times New Roman"/>
          <w:b/>
          <w:lang w:val="en-US"/>
        </w:rPr>
        <w:t>coordinated</w:t>
      </w:r>
      <w:r w:rsidRPr="0085692D">
        <w:rPr>
          <w:rFonts w:ascii="Times New Roman" w:hAnsi="Times New Roman" w:cs="Times New Roman"/>
          <w:b/>
          <w:lang w:val="en-US"/>
        </w:rPr>
        <w:t xml:space="preserve"> and holistic approach in objectively addressing all property taxes is undertaken that negative gearing and capital gains tax on property investments are retained in its current form.</w:t>
      </w:r>
    </w:p>
    <w:p w:rsidR="00310319" w:rsidRDefault="00310319" w:rsidP="00F62B03">
      <w:pPr>
        <w:rPr>
          <w:rFonts w:ascii="Times New Roman" w:hAnsi="Times New Roman" w:cs="Times New Roman"/>
          <w:b/>
          <w:lang w:val="en-US"/>
        </w:rPr>
      </w:pPr>
    </w:p>
    <w:p w:rsidR="00B77B1A" w:rsidRPr="00892093" w:rsidRDefault="00B77B1A" w:rsidP="00F62B03">
      <w:pPr>
        <w:rPr>
          <w:rFonts w:ascii="Times New Roman" w:hAnsi="Times New Roman" w:cs="Times New Roman"/>
          <w:b/>
          <w:lang w:val="en-US"/>
        </w:rPr>
      </w:pPr>
      <w:r w:rsidRPr="00892093">
        <w:rPr>
          <w:rFonts w:ascii="Times New Roman" w:hAnsi="Times New Roman" w:cs="Times New Roman"/>
          <w:b/>
          <w:lang w:val="en-US"/>
        </w:rPr>
        <w:t>First Home Buyers</w:t>
      </w:r>
    </w:p>
    <w:p w:rsidR="0001005B" w:rsidRDefault="00B77B1A" w:rsidP="00F62B03">
      <w:pPr>
        <w:rPr>
          <w:rFonts w:ascii="Times New Roman" w:hAnsi="Times New Roman" w:cs="Times New Roman"/>
        </w:rPr>
      </w:pPr>
      <w:r w:rsidRPr="00F62B03">
        <w:rPr>
          <w:rFonts w:ascii="Times New Roman" w:hAnsi="Times New Roman" w:cs="Times New Roman"/>
        </w:rPr>
        <w:t xml:space="preserve">Housing affordability is an acute issue for first home buyers. </w:t>
      </w:r>
    </w:p>
    <w:p w:rsidR="00B77B1A" w:rsidRPr="00F62B03" w:rsidRDefault="00AB2086" w:rsidP="00F62B03">
      <w:pPr>
        <w:rPr>
          <w:rFonts w:ascii="Times New Roman" w:hAnsi="Times New Roman" w:cs="Times New Roman"/>
        </w:rPr>
      </w:pPr>
      <w:r w:rsidRPr="006D03D0">
        <w:rPr>
          <w:rFonts w:ascii="Times New Roman" w:hAnsi="Times New Roman" w:cs="Times New Roman"/>
        </w:rPr>
        <w:t xml:space="preserve">Based on ABS data for </w:t>
      </w:r>
      <w:r w:rsidR="00B362BB">
        <w:rPr>
          <w:rFonts w:ascii="Times New Roman" w:hAnsi="Times New Roman" w:cs="Times New Roman"/>
        </w:rPr>
        <w:t>November 201</w:t>
      </w:r>
      <w:r w:rsidR="0001005B">
        <w:rPr>
          <w:rFonts w:ascii="Times New Roman" w:hAnsi="Times New Roman" w:cs="Times New Roman"/>
        </w:rPr>
        <w:t>9</w:t>
      </w:r>
      <w:r w:rsidR="007C4469">
        <w:rPr>
          <w:rFonts w:ascii="Times New Roman" w:hAnsi="Times New Roman" w:cs="Times New Roman"/>
        </w:rPr>
        <w:t xml:space="preserve"> </w:t>
      </w:r>
      <w:r w:rsidRPr="006D03D0">
        <w:rPr>
          <w:rFonts w:ascii="Times New Roman" w:hAnsi="Times New Roman" w:cs="Times New Roman"/>
        </w:rPr>
        <w:t>the proportion of first home buyers, as part of the total owner-occupied housing finance commitments</w:t>
      </w:r>
      <w:r w:rsidR="0001005B">
        <w:rPr>
          <w:rFonts w:ascii="Times New Roman" w:hAnsi="Times New Roman" w:cs="Times New Roman"/>
        </w:rPr>
        <w:t xml:space="preserve"> (excluding refinancing)</w:t>
      </w:r>
      <w:r w:rsidR="002E01E3" w:rsidRPr="006D03D0">
        <w:rPr>
          <w:rFonts w:ascii="Times New Roman" w:hAnsi="Times New Roman" w:cs="Times New Roman"/>
        </w:rPr>
        <w:t xml:space="preserve">, was </w:t>
      </w:r>
      <w:r w:rsidR="0001005B">
        <w:rPr>
          <w:rFonts w:ascii="Times New Roman" w:hAnsi="Times New Roman" w:cs="Times New Roman"/>
        </w:rPr>
        <w:t>29.9</w:t>
      </w:r>
      <w:r w:rsidR="002E01E3" w:rsidRPr="006D03D0">
        <w:rPr>
          <w:rFonts w:ascii="Times New Roman" w:hAnsi="Times New Roman" w:cs="Times New Roman"/>
        </w:rPr>
        <w:t xml:space="preserve"> per cent</w:t>
      </w:r>
      <w:r w:rsidR="007C4469">
        <w:rPr>
          <w:rFonts w:ascii="Times New Roman" w:hAnsi="Times New Roman" w:cs="Times New Roman"/>
        </w:rPr>
        <w:t>.</w:t>
      </w:r>
      <w:r w:rsidR="002E01E3" w:rsidRPr="006D03D0">
        <w:rPr>
          <w:rFonts w:ascii="Times New Roman" w:hAnsi="Times New Roman" w:cs="Times New Roman"/>
        </w:rPr>
        <w:t xml:space="preserve"> </w:t>
      </w:r>
      <w:r w:rsidR="006D03D0" w:rsidRPr="006D03D0">
        <w:rPr>
          <w:rFonts w:ascii="Times New Roman" w:hAnsi="Times New Roman" w:cs="Times New Roman"/>
        </w:rPr>
        <w:t xml:space="preserve">The current rate is higher than the </w:t>
      </w:r>
      <w:r w:rsidR="00B77B1A" w:rsidRPr="006D03D0">
        <w:rPr>
          <w:rFonts w:ascii="Times New Roman" w:hAnsi="Times New Roman" w:cs="Times New Roman"/>
        </w:rPr>
        <w:t>historically low</w:t>
      </w:r>
      <w:r w:rsidR="006D03D0" w:rsidRPr="006D03D0">
        <w:rPr>
          <w:rFonts w:ascii="Times New Roman" w:hAnsi="Times New Roman" w:cs="Times New Roman"/>
        </w:rPr>
        <w:t xml:space="preserve"> </w:t>
      </w:r>
      <w:r w:rsidR="00B77B1A" w:rsidRPr="006D03D0">
        <w:rPr>
          <w:rFonts w:ascii="Times New Roman" w:hAnsi="Times New Roman" w:cs="Times New Roman"/>
        </w:rPr>
        <w:t>point of</w:t>
      </w:r>
      <w:r w:rsidR="006D03D0" w:rsidRPr="006D03D0">
        <w:rPr>
          <w:rFonts w:ascii="Times New Roman" w:hAnsi="Times New Roman" w:cs="Times New Roman"/>
        </w:rPr>
        <w:t xml:space="preserve"> 12.9 per cent in March 2016 </w:t>
      </w:r>
      <w:r w:rsidR="00310319">
        <w:rPr>
          <w:rFonts w:ascii="Times New Roman" w:hAnsi="Times New Roman" w:cs="Times New Roman"/>
        </w:rPr>
        <w:t>but</w:t>
      </w:r>
      <w:r w:rsidR="006D03D0" w:rsidRPr="006D03D0">
        <w:rPr>
          <w:rFonts w:ascii="Times New Roman" w:hAnsi="Times New Roman" w:cs="Times New Roman"/>
        </w:rPr>
        <w:t xml:space="preserve"> is in contrast to the high of 31.4 per cent in May 2009 when the Government increased </w:t>
      </w:r>
      <w:r w:rsidR="007C4469">
        <w:rPr>
          <w:rFonts w:ascii="Times New Roman" w:hAnsi="Times New Roman" w:cs="Times New Roman"/>
        </w:rPr>
        <w:t>t</w:t>
      </w:r>
      <w:r w:rsidR="006D03D0" w:rsidRPr="006D03D0">
        <w:rPr>
          <w:rFonts w:ascii="Times New Roman" w:hAnsi="Times New Roman" w:cs="Times New Roman"/>
        </w:rPr>
        <w:t xml:space="preserve">he </w:t>
      </w:r>
      <w:r w:rsidR="006D03D0" w:rsidRPr="00F62B03">
        <w:rPr>
          <w:rFonts w:ascii="Times New Roman" w:hAnsi="Times New Roman" w:cs="Times New Roman"/>
        </w:rPr>
        <w:t xml:space="preserve">First Home Owner Grant (FHOG) </w:t>
      </w:r>
      <w:r w:rsidR="006D03D0" w:rsidRPr="006D03D0">
        <w:rPr>
          <w:rFonts w:ascii="Times New Roman" w:hAnsi="Times New Roman" w:cs="Times New Roman"/>
        </w:rPr>
        <w:t>as part of its GFC measures</w:t>
      </w:r>
      <w:r w:rsidR="00454530" w:rsidRPr="006D03D0">
        <w:rPr>
          <w:rFonts w:ascii="Times New Roman" w:hAnsi="Times New Roman" w:cs="Times New Roman"/>
        </w:rPr>
        <w:t>,</w:t>
      </w:r>
      <w:r w:rsidR="00B77B1A" w:rsidRPr="006D03D0">
        <w:rPr>
          <w:rFonts w:ascii="Times New Roman" w:hAnsi="Times New Roman" w:cs="Times New Roman"/>
        </w:rPr>
        <w:t xml:space="preserve"> indicating the urgent need to address the issue.</w:t>
      </w:r>
    </w:p>
    <w:p w:rsidR="009B7E9E" w:rsidRDefault="009B708D" w:rsidP="009B7E9E">
      <w:r w:rsidRPr="00F62B03">
        <w:rPr>
          <w:rFonts w:ascii="Times New Roman" w:hAnsi="Times New Roman" w:cs="Times New Roman"/>
        </w:rPr>
        <w:t>With three quarters of Australian first home buyers having less than a 20% deposit</w:t>
      </w:r>
      <w:r w:rsidR="00CE1541" w:rsidRPr="00F62B03">
        <w:rPr>
          <w:rFonts w:ascii="Times New Roman" w:hAnsi="Times New Roman" w:cs="Times New Roman"/>
        </w:rPr>
        <w:t xml:space="preserve"> and thus incurring mortgage insurance</w:t>
      </w:r>
      <w:r w:rsidRPr="00F62B03">
        <w:rPr>
          <w:rFonts w:ascii="Times New Roman" w:hAnsi="Times New Roman" w:cs="Times New Roman"/>
        </w:rPr>
        <w:t xml:space="preserve">, </w:t>
      </w:r>
      <w:r w:rsidR="0001005B">
        <w:rPr>
          <w:rFonts w:ascii="Times New Roman" w:hAnsi="Times New Roman" w:cs="Times New Roman"/>
        </w:rPr>
        <w:t xml:space="preserve"> the </w:t>
      </w:r>
      <w:r w:rsidR="0001005B">
        <w:rPr>
          <w:rFonts w:ascii="Times New Roman" w:hAnsi="Times New Roman" w:cs="Times New Roman"/>
        </w:rPr>
        <w:t xml:space="preserve">2019 Election commitment to introduce the </w:t>
      </w:r>
      <w:r w:rsidR="0001005B" w:rsidRPr="002A13AB">
        <w:rPr>
          <w:rFonts w:ascii="Times New Roman" w:hAnsi="Times New Roman" w:cs="Times New Roman"/>
        </w:rPr>
        <w:t>First Home Loan Deposit Scheme</w:t>
      </w:r>
      <w:r w:rsidR="0001005B">
        <w:rPr>
          <w:rFonts w:ascii="Times New Roman" w:hAnsi="Times New Roman" w:cs="Times New Roman"/>
        </w:rPr>
        <w:t xml:space="preserve"> on </w:t>
      </w:r>
      <w:r w:rsidR="0001005B" w:rsidRPr="002A13AB">
        <w:rPr>
          <w:rFonts w:ascii="Times New Roman" w:hAnsi="Times New Roman" w:cs="Times New Roman"/>
        </w:rPr>
        <w:t>1 January 2020</w:t>
      </w:r>
      <w:r w:rsidR="0001005B">
        <w:rPr>
          <w:rFonts w:ascii="Times New Roman" w:hAnsi="Times New Roman" w:cs="Times New Roman"/>
        </w:rPr>
        <w:t xml:space="preserve"> </w:t>
      </w:r>
      <w:r w:rsidR="0001005B" w:rsidRPr="005027BA">
        <w:rPr>
          <w:rFonts w:ascii="Times New Roman" w:hAnsi="Times New Roman" w:cs="Times New Roman"/>
        </w:rPr>
        <w:t xml:space="preserve">scheme </w:t>
      </w:r>
      <w:r w:rsidR="0001005B">
        <w:rPr>
          <w:rFonts w:ascii="Times New Roman" w:hAnsi="Times New Roman" w:cs="Times New Roman"/>
        </w:rPr>
        <w:t xml:space="preserve">which will </w:t>
      </w:r>
      <w:r w:rsidR="0001005B" w:rsidRPr="005027BA">
        <w:rPr>
          <w:rFonts w:ascii="Times New Roman" w:hAnsi="Times New Roman" w:cs="Times New Roman"/>
        </w:rPr>
        <w:t xml:space="preserve">provide a guarantee to allow </w:t>
      </w:r>
      <w:r w:rsidR="0001005B">
        <w:rPr>
          <w:rFonts w:ascii="Times New Roman" w:hAnsi="Times New Roman" w:cs="Times New Roman"/>
        </w:rPr>
        <w:t xml:space="preserve">10,000 </w:t>
      </w:r>
      <w:r w:rsidR="0001005B" w:rsidRPr="005027BA">
        <w:rPr>
          <w:rFonts w:ascii="Times New Roman" w:hAnsi="Times New Roman" w:cs="Times New Roman"/>
        </w:rPr>
        <w:t>eligible borrowers to purchase a home with a deposit of 5 per cent</w:t>
      </w:r>
      <w:r w:rsidR="0001005B">
        <w:rPr>
          <w:rFonts w:ascii="Times New Roman" w:hAnsi="Times New Roman" w:cs="Times New Roman"/>
        </w:rPr>
        <w:t xml:space="preserve"> is most welcome. However, </w:t>
      </w:r>
      <w:r w:rsidR="009B7E9E">
        <w:rPr>
          <w:rFonts w:ascii="Times New Roman" w:hAnsi="Times New Roman" w:cs="Times New Roman"/>
        </w:rPr>
        <w:t>t</w:t>
      </w:r>
      <w:r w:rsidR="009B7E9E">
        <w:t xml:space="preserve">he </w:t>
      </w:r>
      <w:r w:rsidR="009B7E9E" w:rsidRPr="002530FA">
        <w:t>10,000</w:t>
      </w:r>
      <w:r w:rsidR="009B7E9E">
        <w:t xml:space="preserve"> </w:t>
      </w:r>
      <w:r w:rsidR="009B7E9E" w:rsidRPr="002530FA">
        <w:t xml:space="preserve">loan </w:t>
      </w:r>
      <w:proofErr w:type="gramStart"/>
      <w:r w:rsidR="009B7E9E" w:rsidRPr="002530FA">
        <w:t>cap</w:t>
      </w:r>
      <w:r w:rsidR="009B7E9E">
        <w:t>,</w:t>
      </w:r>
      <w:proofErr w:type="gramEnd"/>
      <w:r w:rsidR="009B7E9E">
        <w:t xml:space="preserve"> </w:t>
      </w:r>
      <w:r w:rsidR="009B7E9E">
        <w:lastRenderedPageBreak/>
        <w:t xml:space="preserve">however seems rather arbitrary and represents </w:t>
      </w:r>
      <w:r w:rsidR="009B7E9E">
        <w:t xml:space="preserve">less than </w:t>
      </w:r>
      <w:r w:rsidR="009B7E9E">
        <w:t xml:space="preserve">10% of first home buyers. As such it is a lottery. </w:t>
      </w:r>
      <w:r w:rsidR="009B7E9E">
        <w:t xml:space="preserve">The bulk of first home buyers will not benefit. </w:t>
      </w:r>
    </w:p>
    <w:p w:rsidR="007911F3" w:rsidRDefault="009B7E9E" w:rsidP="009B7E9E">
      <w:r>
        <w:t xml:space="preserve">REIA believes that the </w:t>
      </w:r>
      <w:r w:rsidRPr="009B7E9E">
        <w:t xml:space="preserve">scheme </w:t>
      </w:r>
      <w:r>
        <w:t xml:space="preserve">should </w:t>
      </w:r>
      <w:r w:rsidRPr="009B7E9E">
        <w:t xml:space="preserve">be expanded to cover all eligible (income and house price limits) </w:t>
      </w:r>
      <w:r>
        <w:t xml:space="preserve">first home </w:t>
      </w:r>
      <w:r w:rsidRPr="009B7E9E">
        <w:t>buyers</w:t>
      </w:r>
      <w:r>
        <w:t xml:space="preserve">. This will be equitable, administratively easier, avoid any surges </w:t>
      </w:r>
      <w:r w:rsidR="007911F3">
        <w:t>in demand and provide a stimulus to construction activity.</w:t>
      </w:r>
    </w:p>
    <w:p w:rsidR="007911F3" w:rsidRPr="00341D51" w:rsidRDefault="007911F3" w:rsidP="007911F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lang w:val="en-US"/>
        </w:rPr>
      </w:pPr>
      <w:r w:rsidRPr="00341D51">
        <w:rPr>
          <w:rFonts w:ascii="Times New Roman" w:hAnsi="Times New Roman" w:cs="Times New Roman"/>
          <w:b/>
          <w:lang w:val="en-US"/>
        </w:rPr>
        <w:t xml:space="preserve">REIA recommends that the </w:t>
      </w:r>
      <w:r w:rsidRPr="007911F3">
        <w:rPr>
          <w:rFonts w:ascii="Times New Roman" w:hAnsi="Times New Roman" w:cs="Times New Roman"/>
          <w:b/>
          <w:lang w:val="en-US"/>
        </w:rPr>
        <w:t>First Home Loan Deposit Scheme</w:t>
      </w:r>
      <w:r>
        <w:rPr>
          <w:rFonts w:ascii="Times New Roman" w:hAnsi="Times New Roman" w:cs="Times New Roman"/>
          <w:b/>
          <w:lang w:val="en-US"/>
        </w:rPr>
        <w:t xml:space="preserve"> </w:t>
      </w:r>
      <w:r w:rsidRPr="007911F3">
        <w:rPr>
          <w:rFonts w:ascii="Times New Roman" w:hAnsi="Times New Roman" w:cs="Times New Roman"/>
          <w:b/>
          <w:lang w:val="en-US"/>
        </w:rPr>
        <w:t>be expanded to cover all eligible (income and house price limits) first home buyers</w:t>
      </w:r>
      <w:r>
        <w:rPr>
          <w:rFonts w:ascii="Times New Roman" w:hAnsi="Times New Roman" w:cs="Times New Roman"/>
          <w:b/>
          <w:lang w:val="en-US"/>
        </w:rPr>
        <w:t>.</w:t>
      </w:r>
    </w:p>
    <w:p w:rsidR="009B708D" w:rsidRPr="00F62B03" w:rsidRDefault="007911F3" w:rsidP="00F62B03">
      <w:pPr>
        <w:rPr>
          <w:rFonts w:ascii="Times New Roman" w:hAnsi="Times New Roman" w:cs="Times New Roman"/>
        </w:rPr>
      </w:pPr>
      <w:r>
        <w:rPr>
          <w:rFonts w:ascii="Times New Roman" w:hAnsi="Times New Roman" w:cs="Times New Roman"/>
        </w:rPr>
        <w:t>It</w:t>
      </w:r>
      <w:r w:rsidR="009B708D" w:rsidRPr="00F62B03">
        <w:rPr>
          <w:rFonts w:ascii="Times New Roman" w:hAnsi="Times New Roman" w:cs="Times New Roman"/>
        </w:rPr>
        <w:t xml:space="preserve"> is critical that first home buyers have </w:t>
      </w:r>
      <w:r w:rsidR="00CE1541" w:rsidRPr="00F62B03">
        <w:rPr>
          <w:rFonts w:ascii="Times New Roman" w:hAnsi="Times New Roman" w:cs="Times New Roman"/>
        </w:rPr>
        <w:t xml:space="preserve">an </w:t>
      </w:r>
      <w:r w:rsidR="00726DD7" w:rsidRPr="00F62B03">
        <w:rPr>
          <w:rFonts w:ascii="Times New Roman" w:hAnsi="Times New Roman" w:cs="Times New Roman"/>
        </w:rPr>
        <w:t xml:space="preserve">additional </w:t>
      </w:r>
      <w:r w:rsidR="009B708D" w:rsidRPr="00F62B03">
        <w:rPr>
          <w:rFonts w:ascii="Times New Roman" w:hAnsi="Times New Roman" w:cs="Times New Roman"/>
        </w:rPr>
        <w:t xml:space="preserve">way of </w:t>
      </w:r>
      <w:r w:rsidR="00726DD7" w:rsidRPr="00F62B03">
        <w:rPr>
          <w:rFonts w:ascii="Times New Roman" w:hAnsi="Times New Roman" w:cs="Times New Roman"/>
        </w:rPr>
        <w:t xml:space="preserve">supplementing </w:t>
      </w:r>
      <w:r w:rsidR="009B708D" w:rsidRPr="00F62B03">
        <w:rPr>
          <w:rFonts w:ascii="Times New Roman" w:hAnsi="Times New Roman" w:cs="Times New Roman"/>
        </w:rPr>
        <w:t>their deposit</w:t>
      </w:r>
      <w:r w:rsidR="00726DD7" w:rsidRPr="00F62B03">
        <w:rPr>
          <w:rFonts w:ascii="Times New Roman" w:hAnsi="Times New Roman" w:cs="Times New Roman"/>
        </w:rPr>
        <w:t xml:space="preserve"> savings</w:t>
      </w:r>
      <w:r w:rsidR="009B708D" w:rsidRPr="00F62B03">
        <w:rPr>
          <w:rFonts w:ascii="Times New Roman" w:hAnsi="Times New Roman" w:cs="Times New Roman"/>
        </w:rPr>
        <w:t>.</w:t>
      </w:r>
    </w:p>
    <w:p w:rsidR="00713C3A" w:rsidRPr="00F62B03" w:rsidRDefault="00713C3A" w:rsidP="00F62B03">
      <w:pPr>
        <w:rPr>
          <w:rFonts w:ascii="Times New Roman" w:hAnsi="Times New Roman" w:cs="Times New Roman"/>
        </w:rPr>
      </w:pPr>
      <w:r w:rsidRPr="00F62B03">
        <w:rPr>
          <w:rFonts w:ascii="Times New Roman" w:hAnsi="Times New Roman" w:cs="Times New Roman"/>
        </w:rPr>
        <w:t>REIA believes in the benefits of continuing the high ownership level in Australia, particularly as the population ages, and strongly encourages the Commonwealth Government to help implement solutions that will assist aspiring first home buyers.</w:t>
      </w:r>
      <w:r w:rsidR="008765C0" w:rsidRPr="00F62B03">
        <w:rPr>
          <w:rFonts w:ascii="Times New Roman" w:hAnsi="Times New Roman" w:cs="Times New Roman"/>
        </w:rPr>
        <w:t xml:space="preserve"> Such assistance should be uniform and should not discriminate </w:t>
      </w:r>
      <w:r w:rsidR="00726DD7" w:rsidRPr="00F62B03">
        <w:rPr>
          <w:rFonts w:ascii="Times New Roman" w:hAnsi="Times New Roman" w:cs="Times New Roman"/>
        </w:rPr>
        <w:t>between buyers of new or established housing.</w:t>
      </w:r>
    </w:p>
    <w:p w:rsidR="00B77B1A" w:rsidRPr="00F62B03" w:rsidRDefault="00B77B1A" w:rsidP="00F62B03">
      <w:pPr>
        <w:rPr>
          <w:rFonts w:ascii="Times New Roman" w:hAnsi="Times New Roman" w:cs="Times New Roman"/>
          <w:lang w:val="en-US"/>
        </w:rPr>
      </w:pPr>
      <w:r w:rsidRPr="00F62B03">
        <w:rPr>
          <w:rFonts w:ascii="Times New Roman" w:hAnsi="Times New Roman" w:cs="Times New Roman"/>
          <w:lang w:val="en-US"/>
        </w:rPr>
        <w:t>Superannuation is an important financial asset of Australian households. Aside from home ownership it is the second most important financial asset with 82.1% of all Australian households holding at least some savings in their superannuation account and the average value across all households at $142,429 (HILDA Survey).</w:t>
      </w:r>
    </w:p>
    <w:p w:rsidR="00B77B1A" w:rsidRDefault="00B77B1A" w:rsidP="00F62B03">
      <w:pPr>
        <w:rPr>
          <w:rFonts w:ascii="Times New Roman" w:hAnsi="Times New Roman" w:cs="Times New Roman"/>
          <w:lang w:val="en-US"/>
        </w:rPr>
      </w:pPr>
      <w:r w:rsidRPr="00F62B03">
        <w:rPr>
          <w:rFonts w:ascii="Times New Roman" w:hAnsi="Times New Roman" w:cs="Times New Roman"/>
          <w:lang w:val="en-US"/>
        </w:rPr>
        <w:t>Superannuation and home ownership are both components of a retiree</w:t>
      </w:r>
      <w:r w:rsidR="003433F7" w:rsidRPr="00F62B03">
        <w:rPr>
          <w:rFonts w:ascii="Times New Roman" w:hAnsi="Times New Roman" w:cs="Times New Roman"/>
          <w:lang w:val="en-US"/>
        </w:rPr>
        <w:t>’</w:t>
      </w:r>
      <w:r w:rsidRPr="00F62B03">
        <w:rPr>
          <w:rFonts w:ascii="Times New Roman" w:hAnsi="Times New Roman" w:cs="Times New Roman"/>
          <w:lang w:val="en-US"/>
        </w:rPr>
        <w:t>s “nest egg” and not competing products. By buying earlier in life retirees have every prospect of having a higher equity on retirement and a larger “nest egg” on downsizing. Too much attention has be</w:t>
      </w:r>
      <w:r w:rsidR="00886CEB" w:rsidRPr="00F62B03">
        <w:rPr>
          <w:rFonts w:ascii="Times New Roman" w:hAnsi="Times New Roman" w:cs="Times New Roman"/>
          <w:lang w:val="en-US"/>
        </w:rPr>
        <w:t>en</w:t>
      </w:r>
      <w:r w:rsidRPr="00F62B03">
        <w:rPr>
          <w:rFonts w:ascii="Times New Roman" w:hAnsi="Times New Roman" w:cs="Times New Roman"/>
          <w:lang w:val="en-US"/>
        </w:rPr>
        <w:t xml:space="preserve"> focused on the accumulation of a nest egg through superannuation at the expense of other more practical considerations which not </w:t>
      </w:r>
      <w:r w:rsidR="003433F7" w:rsidRPr="00F62B03">
        <w:rPr>
          <w:rFonts w:ascii="Times New Roman" w:hAnsi="Times New Roman" w:cs="Times New Roman"/>
          <w:lang w:val="en-US"/>
        </w:rPr>
        <w:t xml:space="preserve">only </w:t>
      </w:r>
      <w:r w:rsidRPr="00F62B03">
        <w:rPr>
          <w:rFonts w:ascii="Times New Roman" w:hAnsi="Times New Roman" w:cs="Times New Roman"/>
          <w:lang w:val="en-US"/>
        </w:rPr>
        <w:t>improve the quality of life at an earlier age but result in a greater retirement “nest egg”.</w:t>
      </w:r>
    </w:p>
    <w:p w:rsidR="00054274" w:rsidRDefault="00B77B1A" w:rsidP="00823C2A">
      <w:pPr>
        <w:rPr>
          <w:rFonts w:ascii="Times New Roman" w:hAnsi="Times New Roman" w:cs="Times New Roman"/>
          <w:lang w:val="en-US"/>
        </w:rPr>
      </w:pPr>
      <w:r w:rsidRPr="00F62B03">
        <w:rPr>
          <w:rFonts w:ascii="Times New Roman" w:hAnsi="Times New Roman" w:cs="Times New Roman"/>
          <w:lang w:val="en-US"/>
        </w:rPr>
        <w:t xml:space="preserve">Furthermore, access to superannuation for the purchase of </w:t>
      </w:r>
      <w:r w:rsidR="00F90BDE" w:rsidRPr="00F62B03">
        <w:rPr>
          <w:rFonts w:ascii="Times New Roman" w:hAnsi="Times New Roman" w:cs="Times New Roman"/>
          <w:lang w:val="en-US"/>
        </w:rPr>
        <w:t xml:space="preserve">a </w:t>
      </w:r>
      <w:r w:rsidRPr="00F62B03">
        <w:rPr>
          <w:rFonts w:ascii="Times New Roman" w:hAnsi="Times New Roman" w:cs="Times New Roman"/>
          <w:lang w:val="en-US"/>
        </w:rPr>
        <w:t xml:space="preserve">first home </w:t>
      </w:r>
      <w:r w:rsidR="00F90BDE" w:rsidRPr="00F62B03">
        <w:rPr>
          <w:rFonts w:ascii="Times New Roman" w:hAnsi="Times New Roman" w:cs="Times New Roman"/>
          <w:lang w:val="en-US"/>
        </w:rPr>
        <w:t xml:space="preserve">could help </w:t>
      </w:r>
      <w:r w:rsidRPr="00F62B03">
        <w:rPr>
          <w:rFonts w:ascii="Times New Roman" w:hAnsi="Times New Roman" w:cs="Times New Roman"/>
          <w:lang w:val="en-US"/>
        </w:rPr>
        <w:t>reverse the trend of f</w:t>
      </w:r>
      <w:r w:rsidR="00F90BDE" w:rsidRPr="00F62B03">
        <w:rPr>
          <w:rFonts w:ascii="Times New Roman" w:hAnsi="Times New Roman" w:cs="Times New Roman"/>
          <w:lang w:val="en-US"/>
        </w:rPr>
        <w:t>alling home ownership and address</w:t>
      </w:r>
      <w:r w:rsidRPr="00F62B03">
        <w:rPr>
          <w:rFonts w:ascii="Times New Roman" w:hAnsi="Times New Roman" w:cs="Times New Roman"/>
          <w:lang w:val="en-US"/>
        </w:rPr>
        <w:t xml:space="preserve"> the looming </w:t>
      </w:r>
      <w:r w:rsidR="00F90BDE" w:rsidRPr="00F62B03">
        <w:rPr>
          <w:rFonts w:ascii="Times New Roman" w:hAnsi="Times New Roman" w:cs="Times New Roman"/>
          <w:lang w:val="en-US"/>
        </w:rPr>
        <w:t xml:space="preserve">significant </w:t>
      </w:r>
      <w:r w:rsidRPr="00F62B03">
        <w:rPr>
          <w:rFonts w:ascii="Times New Roman" w:hAnsi="Times New Roman" w:cs="Times New Roman"/>
          <w:lang w:val="en-US"/>
        </w:rPr>
        <w:t xml:space="preserve">policy problem of  </w:t>
      </w:r>
      <w:r w:rsidR="00F90BDE" w:rsidRPr="00F62B03">
        <w:rPr>
          <w:rFonts w:ascii="Times New Roman" w:hAnsi="Times New Roman" w:cs="Times New Roman"/>
          <w:lang w:val="en-US"/>
        </w:rPr>
        <w:t xml:space="preserve">a </w:t>
      </w:r>
      <w:r w:rsidRPr="00F62B03">
        <w:rPr>
          <w:rFonts w:ascii="Times New Roman" w:hAnsi="Times New Roman" w:cs="Times New Roman"/>
          <w:lang w:val="en-US"/>
        </w:rPr>
        <w:t>large numbers of long-term renters aged 45 years and over remaining in the rental sector and possibly requiring rental support in later years.</w:t>
      </w:r>
      <w:r w:rsidR="00054274">
        <w:rPr>
          <w:rFonts w:ascii="Times New Roman" w:hAnsi="Times New Roman" w:cs="Times New Roman"/>
          <w:lang w:val="en-US"/>
        </w:rPr>
        <w:t xml:space="preserve"> </w:t>
      </w:r>
      <w:r w:rsidR="00054274">
        <w:rPr>
          <w:rFonts w:ascii="Times New Roman" w:hAnsi="Times New Roman" w:cs="Times New Roman"/>
          <w:lang w:val="en-US"/>
        </w:rPr>
        <w:t xml:space="preserve">A recent study by the </w:t>
      </w:r>
      <w:r w:rsidR="00054274" w:rsidRPr="00054274">
        <w:rPr>
          <w:rStyle w:val="Emphasis"/>
          <w:i w:val="0"/>
        </w:rPr>
        <w:t>Centre of Excellence in Population Ageing Research</w:t>
      </w:r>
      <w:r w:rsidR="00054274">
        <w:rPr>
          <w:rStyle w:val="Emphasis"/>
          <w:i w:val="0"/>
        </w:rPr>
        <w:t xml:space="preserve"> (CEPAR) </w:t>
      </w:r>
      <w:r w:rsidR="00054274">
        <w:rPr>
          <w:rStyle w:val="Emphasis"/>
          <w:i w:val="0"/>
        </w:rPr>
        <w:t>has found that t</w:t>
      </w:r>
      <w:r w:rsidR="00054274" w:rsidRPr="00054274">
        <w:rPr>
          <w:rFonts w:ascii="Times New Roman" w:hAnsi="Times New Roman" w:cs="Times New Roman"/>
          <w:lang w:val="en-US"/>
        </w:rPr>
        <w:t>he current trend toward delaying home purchase has demographic and housing policy implications. The link between housing and ageing and with the Australian retirement system built on the premise of homeownership means that indefinite deferral of home purchase will have disadvantageous consequences in retirement.</w:t>
      </w:r>
      <w:r w:rsidR="00054274">
        <w:rPr>
          <w:rFonts w:ascii="Times New Roman" w:hAnsi="Times New Roman" w:cs="Times New Roman"/>
          <w:lang w:val="en-US"/>
        </w:rPr>
        <w:t xml:space="preserve"> </w:t>
      </w:r>
    </w:p>
    <w:p w:rsidR="00823C2A" w:rsidRDefault="00823C2A" w:rsidP="00823C2A">
      <w:pPr>
        <w:rPr>
          <w:rFonts w:ascii="Times New Roman" w:hAnsi="Times New Roman" w:cs="Times New Roman"/>
          <w:lang w:val="en-US"/>
        </w:rPr>
      </w:pPr>
      <w:r>
        <w:rPr>
          <w:rFonts w:ascii="Times New Roman" w:hAnsi="Times New Roman" w:cs="Times New Roman"/>
          <w:lang w:val="en-US"/>
        </w:rPr>
        <w:t xml:space="preserve">The 2017 Budget measure of allowing first home buyers </w:t>
      </w:r>
      <w:r w:rsidRPr="00823C2A">
        <w:rPr>
          <w:rFonts w:ascii="Times New Roman" w:hAnsi="Times New Roman" w:cs="Times New Roman"/>
        </w:rPr>
        <w:t>to apply to withdraw voluntary contributions made to super after 1</w:t>
      </w:r>
      <w:r>
        <w:rPr>
          <w:rFonts w:ascii="Times New Roman" w:hAnsi="Times New Roman" w:cs="Times New Roman"/>
        </w:rPr>
        <w:t xml:space="preserve"> </w:t>
      </w:r>
      <w:r w:rsidRPr="00823C2A">
        <w:rPr>
          <w:rFonts w:ascii="Times New Roman" w:hAnsi="Times New Roman" w:cs="Times New Roman"/>
        </w:rPr>
        <w:t>July 2017 for a home deposit</w:t>
      </w:r>
      <w:r>
        <w:rPr>
          <w:rFonts w:ascii="Times New Roman" w:hAnsi="Times New Roman" w:cs="Times New Roman"/>
        </w:rPr>
        <w:t xml:space="preserve"> recognises this and is a welcome initiative.</w:t>
      </w:r>
    </w:p>
    <w:p w:rsidR="00823C2A" w:rsidRPr="00F62B03" w:rsidRDefault="00823C2A" w:rsidP="00823C2A">
      <w:pPr>
        <w:rPr>
          <w:rFonts w:ascii="Times New Roman" w:hAnsi="Times New Roman" w:cs="Times New Roman"/>
          <w:lang w:val="en-US"/>
        </w:rPr>
      </w:pPr>
      <w:r w:rsidRPr="00F62B03">
        <w:rPr>
          <w:rFonts w:ascii="Times New Roman" w:hAnsi="Times New Roman" w:cs="Times New Roman"/>
          <w:lang w:val="en-US"/>
        </w:rPr>
        <w:t xml:space="preserve">Allowing access to a </w:t>
      </w:r>
      <w:r w:rsidR="00E91966">
        <w:rPr>
          <w:rFonts w:ascii="Times New Roman" w:hAnsi="Times New Roman" w:cs="Times New Roman"/>
          <w:lang w:val="en-US"/>
        </w:rPr>
        <w:t xml:space="preserve">pre 1 July 2017 voluntary contributions to </w:t>
      </w:r>
      <w:r w:rsidRPr="00F62B03">
        <w:rPr>
          <w:rFonts w:ascii="Times New Roman" w:hAnsi="Times New Roman" w:cs="Times New Roman"/>
          <w:lang w:val="en-US"/>
        </w:rPr>
        <w:t xml:space="preserve">superannuation funds would help prospective buyers to save for a deposit faster. </w:t>
      </w:r>
      <w:r w:rsidR="00E91966">
        <w:rPr>
          <w:rFonts w:ascii="Times New Roman" w:hAnsi="Times New Roman" w:cs="Times New Roman"/>
          <w:lang w:val="en-US"/>
        </w:rPr>
        <w:t>The mechanism for accessing these funds has already been established by the 2017 Budget initiative of t</w:t>
      </w:r>
      <w:r w:rsidR="00E91966" w:rsidRPr="00E91966">
        <w:rPr>
          <w:rFonts w:ascii="Times New Roman" w:hAnsi="Times New Roman" w:cs="Times New Roman"/>
        </w:rPr>
        <w:t xml:space="preserve">he </w:t>
      </w:r>
      <w:r w:rsidR="00E91966" w:rsidRPr="00E91966">
        <w:rPr>
          <w:rFonts w:ascii="Times New Roman" w:hAnsi="Times New Roman" w:cs="Times New Roman"/>
          <w:bCs/>
        </w:rPr>
        <w:t>First Home Super Saver</w:t>
      </w:r>
      <w:r w:rsidR="00E91966" w:rsidRPr="00E91966">
        <w:rPr>
          <w:rFonts w:ascii="Times New Roman" w:hAnsi="Times New Roman" w:cs="Times New Roman"/>
        </w:rPr>
        <w:t xml:space="preserve"> (FHSS) </w:t>
      </w:r>
      <w:r w:rsidR="00E91966" w:rsidRPr="00E91966">
        <w:rPr>
          <w:rFonts w:ascii="Times New Roman" w:hAnsi="Times New Roman" w:cs="Times New Roman"/>
          <w:bCs/>
        </w:rPr>
        <w:t>Scheme</w:t>
      </w:r>
      <w:r w:rsidR="00E91966">
        <w:rPr>
          <w:rFonts w:ascii="Times New Roman" w:hAnsi="Times New Roman" w:cs="Times New Roman"/>
          <w:lang w:val="en-US"/>
        </w:rPr>
        <w:t>.</w:t>
      </w:r>
    </w:p>
    <w:p w:rsidR="00155E47" w:rsidRDefault="00F90BDE" w:rsidP="00F62B03">
      <w:pPr>
        <w:rPr>
          <w:rFonts w:ascii="Times New Roman" w:hAnsi="Times New Roman" w:cs="Times New Roman"/>
          <w:lang w:val="en-US"/>
        </w:rPr>
      </w:pPr>
      <w:r w:rsidRPr="00F62B03">
        <w:rPr>
          <w:rFonts w:ascii="Times New Roman" w:hAnsi="Times New Roman" w:cs="Times New Roman"/>
          <w:lang w:val="en-US"/>
        </w:rPr>
        <w:t xml:space="preserve">The use of </w:t>
      </w:r>
      <w:r w:rsidR="00B77B1A" w:rsidRPr="00F62B03">
        <w:rPr>
          <w:rFonts w:ascii="Times New Roman" w:hAnsi="Times New Roman" w:cs="Times New Roman"/>
          <w:lang w:val="en-US"/>
        </w:rPr>
        <w:t xml:space="preserve">retirement savings </w:t>
      </w:r>
      <w:r w:rsidRPr="00F62B03">
        <w:rPr>
          <w:rFonts w:ascii="Times New Roman" w:hAnsi="Times New Roman" w:cs="Times New Roman"/>
          <w:lang w:val="en-US"/>
        </w:rPr>
        <w:t xml:space="preserve">for a first home purchase </w:t>
      </w:r>
      <w:r w:rsidR="00B77B1A" w:rsidRPr="00F62B03">
        <w:rPr>
          <w:rFonts w:ascii="Times New Roman" w:hAnsi="Times New Roman" w:cs="Times New Roman"/>
          <w:lang w:val="en-US"/>
        </w:rPr>
        <w:t>has already proven to be successful in Canada, New Zealand and Singapore.</w:t>
      </w:r>
    </w:p>
    <w:p w:rsidR="00054274" w:rsidRDefault="00054274" w:rsidP="00F62B03">
      <w:pPr>
        <w:rPr>
          <w:rFonts w:ascii="Times New Roman" w:hAnsi="Times New Roman" w:cs="Times New Roman"/>
          <w:lang w:val="en-US"/>
        </w:rPr>
      </w:pPr>
    </w:p>
    <w:p w:rsidR="00054274" w:rsidRPr="00F62B03" w:rsidRDefault="00054274" w:rsidP="00F62B03">
      <w:pPr>
        <w:rPr>
          <w:rFonts w:ascii="Times New Roman" w:hAnsi="Times New Roman" w:cs="Times New Roman"/>
          <w:lang w:val="en-US"/>
        </w:rPr>
      </w:pPr>
    </w:p>
    <w:p w:rsidR="00B77B1A" w:rsidRPr="00341D51" w:rsidRDefault="00B77B1A" w:rsidP="00AF7DF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lang w:val="en-US"/>
        </w:rPr>
      </w:pPr>
      <w:r w:rsidRPr="00341D51">
        <w:rPr>
          <w:rFonts w:ascii="Times New Roman" w:hAnsi="Times New Roman" w:cs="Times New Roman"/>
          <w:b/>
          <w:lang w:val="en-US"/>
        </w:rPr>
        <w:lastRenderedPageBreak/>
        <w:t xml:space="preserve">The REIA proposes </w:t>
      </w:r>
      <w:r w:rsidR="00886CEB" w:rsidRPr="00341D51">
        <w:rPr>
          <w:rFonts w:ascii="Times New Roman" w:hAnsi="Times New Roman" w:cs="Times New Roman"/>
          <w:b/>
          <w:lang w:val="en-US"/>
        </w:rPr>
        <w:t xml:space="preserve">that </w:t>
      </w:r>
      <w:r w:rsidRPr="00341D51">
        <w:rPr>
          <w:rFonts w:ascii="Times New Roman" w:hAnsi="Times New Roman" w:cs="Times New Roman"/>
          <w:b/>
          <w:lang w:val="en-US"/>
        </w:rPr>
        <w:t xml:space="preserve">the Commonwealth Government </w:t>
      </w:r>
      <w:r w:rsidR="00E91966">
        <w:rPr>
          <w:rFonts w:ascii="Times New Roman" w:hAnsi="Times New Roman" w:cs="Times New Roman"/>
          <w:b/>
          <w:lang w:val="en-US"/>
        </w:rPr>
        <w:t xml:space="preserve">extend the current </w:t>
      </w:r>
      <w:r w:rsidR="00E91966" w:rsidRPr="00E91966">
        <w:rPr>
          <w:rFonts w:ascii="Times New Roman" w:hAnsi="Times New Roman" w:cs="Times New Roman"/>
          <w:b/>
          <w:bCs/>
        </w:rPr>
        <w:t>First Home Super</w:t>
      </w:r>
      <w:r w:rsidR="002366FF">
        <w:rPr>
          <w:rFonts w:ascii="Times New Roman" w:hAnsi="Times New Roman" w:cs="Times New Roman"/>
          <w:b/>
          <w:bCs/>
        </w:rPr>
        <w:t xml:space="preserve"> </w:t>
      </w:r>
      <w:r w:rsidR="00E91966" w:rsidRPr="00E91966">
        <w:rPr>
          <w:rFonts w:ascii="Times New Roman" w:hAnsi="Times New Roman" w:cs="Times New Roman"/>
          <w:b/>
          <w:bCs/>
        </w:rPr>
        <w:t>Saver</w:t>
      </w:r>
      <w:r w:rsidR="00E91966" w:rsidRPr="00E91966">
        <w:rPr>
          <w:rFonts w:ascii="Times New Roman" w:hAnsi="Times New Roman" w:cs="Times New Roman"/>
          <w:b/>
        </w:rPr>
        <w:t xml:space="preserve"> (FHSS) </w:t>
      </w:r>
      <w:r w:rsidR="00E91966" w:rsidRPr="00E91966">
        <w:rPr>
          <w:rFonts w:ascii="Times New Roman" w:hAnsi="Times New Roman" w:cs="Times New Roman"/>
          <w:b/>
          <w:bCs/>
        </w:rPr>
        <w:t>Scheme</w:t>
      </w:r>
      <w:r w:rsidR="00E91966" w:rsidRPr="00E91966">
        <w:rPr>
          <w:rFonts w:ascii="Times New Roman" w:hAnsi="Times New Roman" w:cs="Times New Roman"/>
          <w:b/>
        </w:rPr>
        <w:t xml:space="preserve"> </w:t>
      </w:r>
      <w:r w:rsidR="002366FF">
        <w:rPr>
          <w:rFonts w:ascii="Times New Roman" w:hAnsi="Times New Roman" w:cs="Times New Roman"/>
          <w:b/>
        </w:rPr>
        <w:t xml:space="preserve">to allow first home buyers to have </w:t>
      </w:r>
      <w:r w:rsidRPr="00341D51">
        <w:rPr>
          <w:rFonts w:ascii="Times New Roman" w:hAnsi="Times New Roman" w:cs="Times New Roman"/>
          <w:b/>
          <w:lang w:val="en-US"/>
        </w:rPr>
        <w:t xml:space="preserve">access to their </w:t>
      </w:r>
      <w:r w:rsidR="002366FF">
        <w:rPr>
          <w:rFonts w:ascii="Times New Roman" w:hAnsi="Times New Roman"/>
          <w:b/>
          <w:lang w:val="en-US"/>
        </w:rPr>
        <w:t xml:space="preserve">pre 1 July 2017 </w:t>
      </w:r>
      <w:r w:rsidR="002366FF">
        <w:rPr>
          <w:rFonts w:ascii="Times New Roman" w:hAnsi="Times New Roman" w:cs="Times New Roman"/>
          <w:b/>
          <w:lang w:val="en-US"/>
        </w:rPr>
        <w:t xml:space="preserve">voluntary </w:t>
      </w:r>
      <w:r w:rsidR="002366FF" w:rsidRPr="00341D51">
        <w:rPr>
          <w:rFonts w:ascii="Times New Roman" w:hAnsi="Times New Roman" w:cs="Times New Roman"/>
          <w:b/>
          <w:lang w:val="en-US"/>
        </w:rPr>
        <w:t xml:space="preserve">superannuation </w:t>
      </w:r>
      <w:r w:rsidR="002366FF">
        <w:rPr>
          <w:rFonts w:ascii="Times New Roman" w:hAnsi="Times New Roman" w:cs="Times New Roman"/>
          <w:b/>
          <w:lang w:val="en-US"/>
        </w:rPr>
        <w:t>contributions</w:t>
      </w:r>
      <w:r w:rsidR="002366FF">
        <w:rPr>
          <w:rFonts w:ascii="Times New Roman" w:hAnsi="Times New Roman"/>
          <w:b/>
          <w:lang w:val="en-US"/>
        </w:rPr>
        <w:t>, including earnings,</w:t>
      </w:r>
      <w:r w:rsidR="002366FF">
        <w:rPr>
          <w:rFonts w:ascii="Times New Roman" w:hAnsi="Times New Roman" w:cs="Times New Roman"/>
          <w:b/>
          <w:lang w:val="en-US"/>
        </w:rPr>
        <w:t xml:space="preserve"> </w:t>
      </w:r>
      <w:r w:rsidRPr="00341D51">
        <w:rPr>
          <w:rFonts w:ascii="Times New Roman" w:hAnsi="Times New Roman" w:cs="Times New Roman"/>
          <w:b/>
          <w:lang w:val="en-US"/>
        </w:rPr>
        <w:t>for the purpose of rais</w:t>
      </w:r>
      <w:r w:rsidR="00A36D3E" w:rsidRPr="00341D51">
        <w:rPr>
          <w:rFonts w:ascii="Times New Roman" w:hAnsi="Times New Roman" w:cs="Times New Roman"/>
          <w:b/>
          <w:lang w:val="en-US"/>
        </w:rPr>
        <w:t xml:space="preserve">ing a deposit for </w:t>
      </w:r>
      <w:r w:rsidR="002366FF">
        <w:rPr>
          <w:rFonts w:ascii="Times New Roman" w:hAnsi="Times New Roman" w:cs="Times New Roman"/>
          <w:b/>
          <w:lang w:val="en-US"/>
        </w:rPr>
        <w:t xml:space="preserve">a </w:t>
      </w:r>
      <w:r w:rsidR="00A36D3E" w:rsidRPr="00341D51">
        <w:rPr>
          <w:rFonts w:ascii="Times New Roman" w:hAnsi="Times New Roman" w:cs="Times New Roman"/>
          <w:b/>
          <w:lang w:val="en-US"/>
        </w:rPr>
        <w:t>home.</w:t>
      </w:r>
    </w:p>
    <w:p w:rsidR="00B362BB" w:rsidRDefault="00B362BB" w:rsidP="00F62B03">
      <w:pPr>
        <w:rPr>
          <w:rFonts w:ascii="Times New Roman" w:hAnsi="Times New Roman" w:cs="Times New Roman"/>
          <w:b/>
          <w:lang w:val="en-US"/>
        </w:rPr>
      </w:pPr>
    </w:p>
    <w:p w:rsidR="00782D92" w:rsidRPr="00892093" w:rsidRDefault="00782D92" w:rsidP="00F62B03">
      <w:pPr>
        <w:rPr>
          <w:rFonts w:ascii="Times New Roman" w:hAnsi="Times New Roman" w:cs="Times New Roman"/>
          <w:b/>
          <w:lang w:val="en-US"/>
        </w:rPr>
      </w:pPr>
      <w:r w:rsidRPr="00892093">
        <w:rPr>
          <w:rFonts w:ascii="Times New Roman" w:hAnsi="Times New Roman" w:cs="Times New Roman"/>
          <w:b/>
          <w:lang w:val="en-US"/>
        </w:rPr>
        <w:t>REIA Recommendations</w:t>
      </w:r>
    </w:p>
    <w:p w:rsidR="00C72196" w:rsidRPr="00F62B03" w:rsidRDefault="00C72196" w:rsidP="00F62B03">
      <w:pPr>
        <w:rPr>
          <w:rFonts w:ascii="Times New Roman" w:hAnsi="Times New Roman" w:cs="Times New Roman"/>
          <w:lang w:val="en-US"/>
        </w:rPr>
      </w:pPr>
      <w:r w:rsidRPr="00F62B03">
        <w:rPr>
          <w:rFonts w:ascii="Times New Roman" w:hAnsi="Times New Roman" w:cs="Times New Roman"/>
          <w:lang w:val="en-US"/>
        </w:rPr>
        <w:t>In summary, REIA asks the Commonwealth Government to consider the following:</w:t>
      </w:r>
    </w:p>
    <w:p w:rsidR="00344671" w:rsidRDefault="00BA3E0B" w:rsidP="00AF7DF1">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bookmarkStart w:id="0" w:name="_GoBack"/>
      <w:r>
        <w:rPr>
          <w:rFonts w:ascii="Times New Roman" w:hAnsi="Times New Roman"/>
          <w:b/>
          <w:lang w:val="en-US"/>
        </w:rPr>
        <w:t>T</w:t>
      </w:r>
      <w:r w:rsidRPr="00341D51">
        <w:rPr>
          <w:rFonts w:ascii="Times New Roman" w:hAnsi="Times New Roman"/>
          <w:b/>
          <w:lang w:val="en-US"/>
        </w:rPr>
        <w:t xml:space="preserve">ake a leadership role </w:t>
      </w:r>
      <w:r w:rsidR="0085692D">
        <w:rPr>
          <w:rFonts w:ascii="Times New Roman" w:hAnsi="Times New Roman"/>
          <w:b/>
          <w:lang w:val="en-US"/>
        </w:rPr>
        <w:t>in</w:t>
      </w:r>
      <w:r w:rsidRPr="000463B2">
        <w:rPr>
          <w:rFonts w:ascii="Times New Roman" w:hAnsi="Times New Roman"/>
          <w:b/>
          <w:lang w:val="en-US"/>
        </w:rPr>
        <w:t xml:space="preserve"> taking a </w:t>
      </w:r>
      <w:r w:rsidR="00B362BB" w:rsidRPr="000463B2">
        <w:rPr>
          <w:rFonts w:ascii="Times New Roman" w:hAnsi="Times New Roman"/>
          <w:b/>
          <w:lang w:val="en-US"/>
        </w:rPr>
        <w:t>coordinated</w:t>
      </w:r>
      <w:r w:rsidRPr="000463B2">
        <w:rPr>
          <w:rFonts w:ascii="Times New Roman" w:hAnsi="Times New Roman"/>
          <w:b/>
          <w:lang w:val="en-US"/>
        </w:rPr>
        <w:t xml:space="preserve"> and holistic approach of all levels of government in objectively addressing all property taxes</w:t>
      </w:r>
    </w:p>
    <w:p w:rsidR="00344671" w:rsidRDefault="00344671" w:rsidP="00AF7DF1">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r w:rsidRPr="00344671">
        <w:rPr>
          <w:rFonts w:ascii="Times New Roman" w:hAnsi="Times New Roman"/>
          <w:b/>
          <w:lang w:val="en-US"/>
        </w:rPr>
        <w:t xml:space="preserve">Until a </w:t>
      </w:r>
      <w:r w:rsidR="00B362BB" w:rsidRPr="00344671">
        <w:rPr>
          <w:rFonts w:ascii="Times New Roman" w:hAnsi="Times New Roman"/>
          <w:b/>
          <w:lang w:val="en-US"/>
        </w:rPr>
        <w:t>coordinated</w:t>
      </w:r>
      <w:r w:rsidRPr="00344671">
        <w:rPr>
          <w:rFonts w:ascii="Times New Roman" w:hAnsi="Times New Roman"/>
          <w:b/>
          <w:lang w:val="en-US"/>
        </w:rPr>
        <w:t xml:space="preserve"> and holistic approach in objectively addressing all property taxes is undertaken that negative gearing and capital gains tax on property investments are retained in its current form</w:t>
      </w:r>
    </w:p>
    <w:p w:rsidR="00054274" w:rsidRDefault="00054274" w:rsidP="00054274">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r>
        <w:rPr>
          <w:rFonts w:ascii="Times New Roman" w:hAnsi="Times New Roman"/>
          <w:b/>
          <w:lang w:val="en-US"/>
        </w:rPr>
        <w:t>T</w:t>
      </w:r>
      <w:r w:rsidRPr="00054274">
        <w:rPr>
          <w:rFonts w:ascii="Times New Roman" w:hAnsi="Times New Roman"/>
          <w:b/>
          <w:lang w:val="en-US"/>
        </w:rPr>
        <w:t>he First Home Loan Deposit Scheme be expanded to cover all eligible (income and house price limits) first home buyers.</w:t>
      </w:r>
    </w:p>
    <w:p w:rsidR="007D5E86" w:rsidRPr="00054274" w:rsidRDefault="002366FF" w:rsidP="00AF7DF1">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r w:rsidRPr="00054274">
        <w:rPr>
          <w:rFonts w:ascii="Times New Roman" w:hAnsi="Times New Roman"/>
          <w:b/>
          <w:lang w:val="en-US"/>
        </w:rPr>
        <w:t xml:space="preserve">Extend the current </w:t>
      </w:r>
      <w:r w:rsidRPr="00054274">
        <w:rPr>
          <w:rFonts w:ascii="Times New Roman" w:hAnsi="Times New Roman"/>
          <w:b/>
          <w:bCs/>
        </w:rPr>
        <w:t>First Home Super Saver</w:t>
      </w:r>
      <w:r w:rsidRPr="00054274">
        <w:rPr>
          <w:rFonts w:ascii="Times New Roman" w:hAnsi="Times New Roman"/>
          <w:b/>
        </w:rPr>
        <w:t xml:space="preserve"> (FHSS) </w:t>
      </w:r>
      <w:r w:rsidRPr="00054274">
        <w:rPr>
          <w:rFonts w:ascii="Times New Roman" w:hAnsi="Times New Roman"/>
          <w:b/>
          <w:bCs/>
        </w:rPr>
        <w:t>Scheme</w:t>
      </w:r>
      <w:r w:rsidRPr="00054274">
        <w:rPr>
          <w:rFonts w:ascii="Times New Roman" w:hAnsi="Times New Roman"/>
          <w:b/>
        </w:rPr>
        <w:t xml:space="preserve"> to allow first home buyers to have </w:t>
      </w:r>
      <w:r w:rsidRPr="00054274">
        <w:rPr>
          <w:rFonts w:ascii="Times New Roman" w:hAnsi="Times New Roman"/>
          <w:b/>
          <w:lang w:val="en-US"/>
        </w:rPr>
        <w:t>access to their pre 1 July 2017 voluntary superannuation contributions, including earnings, for the purpose of raising a deposit for a home</w:t>
      </w:r>
      <w:bookmarkEnd w:id="0"/>
      <w:r w:rsidRPr="00054274">
        <w:rPr>
          <w:rFonts w:ascii="Times New Roman" w:hAnsi="Times New Roman"/>
          <w:b/>
          <w:lang w:val="en-US"/>
        </w:rPr>
        <w:t>.</w:t>
      </w:r>
      <w:r w:rsidR="00782D92" w:rsidRPr="00054274">
        <w:rPr>
          <w:rFonts w:ascii="Times New Roman" w:hAnsi="Times New Roman"/>
          <w:b/>
          <w:lang w:val="en-US"/>
        </w:rPr>
        <w:t xml:space="preserve"> </w:t>
      </w:r>
    </w:p>
    <w:sectPr w:rsidR="007D5E86" w:rsidRPr="00054274" w:rsidSect="00157645">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B89" w:rsidRDefault="001E7B89" w:rsidP="00F0722B">
      <w:pPr>
        <w:spacing w:after="0" w:line="240" w:lineRule="auto"/>
      </w:pPr>
      <w:r>
        <w:separator/>
      </w:r>
    </w:p>
  </w:endnote>
  <w:endnote w:type="continuationSeparator" w:id="0">
    <w:p w:rsidR="001E7B89" w:rsidRDefault="001E7B89" w:rsidP="00F0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261653"/>
      <w:docPartObj>
        <w:docPartGallery w:val="Page Numbers (Bottom of Page)"/>
        <w:docPartUnique/>
      </w:docPartObj>
    </w:sdtPr>
    <w:sdtEndPr>
      <w:rPr>
        <w:noProof/>
      </w:rPr>
    </w:sdtEndPr>
    <w:sdtContent>
      <w:p w:rsidR="00C96C46" w:rsidRDefault="007A62FC">
        <w:pPr>
          <w:pStyle w:val="Footer"/>
          <w:jc w:val="right"/>
        </w:pPr>
        <w:r>
          <w:fldChar w:fldCharType="begin"/>
        </w:r>
        <w:r>
          <w:instrText xml:space="preserve"> PAGE   \* MERGEFORMAT </w:instrText>
        </w:r>
        <w:r>
          <w:fldChar w:fldCharType="separate"/>
        </w:r>
        <w:r w:rsidR="00A50F2E">
          <w:rPr>
            <w:noProof/>
          </w:rPr>
          <w:t>10</w:t>
        </w:r>
        <w:r>
          <w:rPr>
            <w:noProof/>
          </w:rPr>
          <w:fldChar w:fldCharType="end"/>
        </w:r>
      </w:p>
    </w:sdtContent>
  </w:sdt>
  <w:p w:rsidR="00C96C46" w:rsidRDefault="00C96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B89" w:rsidRDefault="001E7B89" w:rsidP="00F0722B">
      <w:pPr>
        <w:spacing w:after="0" w:line="240" w:lineRule="auto"/>
      </w:pPr>
      <w:r>
        <w:separator/>
      </w:r>
    </w:p>
  </w:footnote>
  <w:footnote w:type="continuationSeparator" w:id="0">
    <w:p w:rsidR="001E7B89" w:rsidRDefault="001E7B89" w:rsidP="00F07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5DB"/>
    <w:multiLevelType w:val="hybridMultilevel"/>
    <w:tmpl w:val="B10EF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6672BA"/>
    <w:multiLevelType w:val="hybridMultilevel"/>
    <w:tmpl w:val="6B562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383B6E"/>
    <w:multiLevelType w:val="hybridMultilevel"/>
    <w:tmpl w:val="50067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F77D9D"/>
    <w:multiLevelType w:val="hybridMultilevel"/>
    <w:tmpl w:val="7A00F4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197C20"/>
    <w:multiLevelType w:val="hybridMultilevel"/>
    <w:tmpl w:val="3A8A2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871027"/>
    <w:multiLevelType w:val="hybridMultilevel"/>
    <w:tmpl w:val="DCBE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E9513A"/>
    <w:multiLevelType w:val="hybridMultilevel"/>
    <w:tmpl w:val="AF968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A86C5E"/>
    <w:multiLevelType w:val="hybridMultilevel"/>
    <w:tmpl w:val="61C2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5D1304"/>
    <w:multiLevelType w:val="hybridMultilevel"/>
    <w:tmpl w:val="8466E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AF2555"/>
    <w:multiLevelType w:val="hybridMultilevel"/>
    <w:tmpl w:val="F0360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A37EDE"/>
    <w:multiLevelType w:val="hybridMultilevel"/>
    <w:tmpl w:val="9C18C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964036"/>
    <w:multiLevelType w:val="hybridMultilevel"/>
    <w:tmpl w:val="2CF05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8D45353"/>
    <w:multiLevelType w:val="hybridMultilevel"/>
    <w:tmpl w:val="60BC7F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B37AF0"/>
    <w:multiLevelType w:val="hybridMultilevel"/>
    <w:tmpl w:val="3760A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06F27B8"/>
    <w:multiLevelType w:val="hybridMultilevel"/>
    <w:tmpl w:val="1214E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A601D0"/>
    <w:multiLevelType w:val="hybridMultilevel"/>
    <w:tmpl w:val="92E4D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A82918"/>
    <w:multiLevelType w:val="hybridMultilevel"/>
    <w:tmpl w:val="7FE4B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A939E0"/>
    <w:multiLevelType w:val="hybridMultilevel"/>
    <w:tmpl w:val="DD328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68F6F81"/>
    <w:multiLevelType w:val="hybridMultilevel"/>
    <w:tmpl w:val="EBFA81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C53A6D"/>
    <w:multiLevelType w:val="hybridMultilevel"/>
    <w:tmpl w:val="49140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2743FBE"/>
    <w:multiLevelType w:val="hybridMultilevel"/>
    <w:tmpl w:val="362CB1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BE5264"/>
    <w:multiLevelType w:val="hybridMultilevel"/>
    <w:tmpl w:val="248EE4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6616565"/>
    <w:multiLevelType w:val="hybridMultilevel"/>
    <w:tmpl w:val="FB1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10F1429"/>
    <w:multiLevelType w:val="hybridMultilevel"/>
    <w:tmpl w:val="1EB42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95F1124"/>
    <w:multiLevelType w:val="hybridMultilevel"/>
    <w:tmpl w:val="9EA8F9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A0F6DBE"/>
    <w:multiLevelType w:val="hybridMultilevel"/>
    <w:tmpl w:val="B7420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EEF6627"/>
    <w:multiLevelType w:val="hybridMultilevel"/>
    <w:tmpl w:val="592A1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19"/>
  </w:num>
  <w:num w:numId="5">
    <w:abstractNumId w:val="0"/>
  </w:num>
  <w:num w:numId="6">
    <w:abstractNumId w:val="2"/>
  </w:num>
  <w:num w:numId="7">
    <w:abstractNumId w:val="25"/>
  </w:num>
  <w:num w:numId="8">
    <w:abstractNumId w:val="5"/>
  </w:num>
  <w:num w:numId="9">
    <w:abstractNumId w:val="7"/>
  </w:num>
  <w:num w:numId="10">
    <w:abstractNumId w:val="12"/>
  </w:num>
  <w:num w:numId="11">
    <w:abstractNumId w:val="26"/>
  </w:num>
  <w:num w:numId="12">
    <w:abstractNumId w:val="14"/>
  </w:num>
  <w:num w:numId="13">
    <w:abstractNumId w:val="10"/>
  </w:num>
  <w:num w:numId="14">
    <w:abstractNumId w:val="11"/>
  </w:num>
  <w:num w:numId="15">
    <w:abstractNumId w:val="24"/>
  </w:num>
  <w:num w:numId="16">
    <w:abstractNumId w:val="17"/>
  </w:num>
  <w:num w:numId="17">
    <w:abstractNumId w:val="4"/>
  </w:num>
  <w:num w:numId="18">
    <w:abstractNumId w:val="13"/>
  </w:num>
  <w:num w:numId="19">
    <w:abstractNumId w:val="3"/>
  </w:num>
  <w:num w:numId="20">
    <w:abstractNumId w:val="1"/>
  </w:num>
  <w:num w:numId="21">
    <w:abstractNumId w:val="16"/>
  </w:num>
  <w:num w:numId="22">
    <w:abstractNumId w:val="8"/>
  </w:num>
  <w:num w:numId="23">
    <w:abstractNumId w:val="23"/>
  </w:num>
  <w:num w:numId="24">
    <w:abstractNumId w:val="15"/>
  </w:num>
  <w:num w:numId="25">
    <w:abstractNumId w:val="21"/>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BF"/>
    <w:rsid w:val="00002FD5"/>
    <w:rsid w:val="00003C5E"/>
    <w:rsid w:val="0001005B"/>
    <w:rsid w:val="00025E5B"/>
    <w:rsid w:val="00031ACC"/>
    <w:rsid w:val="000340E1"/>
    <w:rsid w:val="000366DD"/>
    <w:rsid w:val="00042137"/>
    <w:rsid w:val="000422C5"/>
    <w:rsid w:val="000462C1"/>
    <w:rsid w:val="000463B2"/>
    <w:rsid w:val="00054274"/>
    <w:rsid w:val="000549E6"/>
    <w:rsid w:val="000558E8"/>
    <w:rsid w:val="0005673F"/>
    <w:rsid w:val="0006048F"/>
    <w:rsid w:val="00060F24"/>
    <w:rsid w:val="000631BD"/>
    <w:rsid w:val="000738F3"/>
    <w:rsid w:val="00075365"/>
    <w:rsid w:val="000845C0"/>
    <w:rsid w:val="00090410"/>
    <w:rsid w:val="00092FFE"/>
    <w:rsid w:val="000A1AE4"/>
    <w:rsid w:val="000A4E08"/>
    <w:rsid w:val="000B150B"/>
    <w:rsid w:val="000B2E26"/>
    <w:rsid w:val="000B39EE"/>
    <w:rsid w:val="000B3D3B"/>
    <w:rsid w:val="000B4C96"/>
    <w:rsid w:val="000B5079"/>
    <w:rsid w:val="000B64CE"/>
    <w:rsid w:val="000B7EA8"/>
    <w:rsid w:val="000C34C6"/>
    <w:rsid w:val="000D0544"/>
    <w:rsid w:val="000D2B0D"/>
    <w:rsid w:val="000D46CC"/>
    <w:rsid w:val="000E175E"/>
    <w:rsid w:val="000E250C"/>
    <w:rsid w:val="000E6969"/>
    <w:rsid w:val="000F3A88"/>
    <w:rsid w:val="00102B96"/>
    <w:rsid w:val="001059A0"/>
    <w:rsid w:val="00110604"/>
    <w:rsid w:val="00111AC5"/>
    <w:rsid w:val="001228C7"/>
    <w:rsid w:val="00125846"/>
    <w:rsid w:val="00154823"/>
    <w:rsid w:val="00155E47"/>
    <w:rsid w:val="00157645"/>
    <w:rsid w:val="00157FCA"/>
    <w:rsid w:val="00173088"/>
    <w:rsid w:val="0017697F"/>
    <w:rsid w:val="001825F2"/>
    <w:rsid w:val="00190D62"/>
    <w:rsid w:val="00195F02"/>
    <w:rsid w:val="001A3611"/>
    <w:rsid w:val="001A4A58"/>
    <w:rsid w:val="001C1A0B"/>
    <w:rsid w:val="001C20C2"/>
    <w:rsid w:val="001C6DA6"/>
    <w:rsid w:val="001D7A6E"/>
    <w:rsid w:val="001E3EF1"/>
    <w:rsid w:val="001E6324"/>
    <w:rsid w:val="001E7B89"/>
    <w:rsid w:val="001F10E9"/>
    <w:rsid w:val="001F33B1"/>
    <w:rsid w:val="001F70DD"/>
    <w:rsid w:val="002034C4"/>
    <w:rsid w:val="00205FEE"/>
    <w:rsid w:val="00206521"/>
    <w:rsid w:val="00206682"/>
    <w:rsid w:val="002132A7"/>
    <w:rsid w:val="00214455"/>
    <w:rsid w:val="002219C5"/>
    <w:rsid w:val="00231B6D"/>
    <w:rsid w:val="002366FF"/>
    <w:rsid w:val="00242211"/>
    <w:rsid w:val="00243E1E"/>
    <w:rsid w:val="002523AC"/>
    <w:rsid w:val="00253F15"/>
    <w:rsid w:val="00260261"/>
    <w:rsid w:val="00262573"/>
    <w:rsid w:val="00270361"/>
    <w:rsid w:val="0027246B"/>
    <w:rsid w:val="00276DC2"/>
    <w:rsid w:val="00280046"/>
    <w:rsid w:val="00283AD3"/>
    <w:rsid w:val="002849A6"/>
    <w:rsid w:val="002970C5"/>
    <w:rsid w:val="002A13AB"/>
    <w:rsid w:val="002A7C15"/>
    <w:rsid w:val="002B1553"/>
    <w:rsid w:val="002B3C72"/>
    <w:rsid w:val="002C3B11"/>
    <w:rsid w:val="002C40FF"/>
    <w:rsid w:val="002C780C"/>
    <w:rsid w:val="002D3E37"/>
    <w:rsid w:val="002E01E3"/>
    <w:rsid w:val="002E1C5D"/>
    <w:rsid w:val="002E2FB0"/>
    <w:rsid w:val="002E568F"/>
    <w:rsid w:val="002F5EBC"/>
    <w:rsid w:val="00305FEA"/>
    <w:rsid w:val="00310319"/>
    <w:rsid w:val="0031074C"/>
    <w:rsid w:val="00317D75"/>
    <w:rsid w:val="003314C5"/>
    <w:rsid w:val="003334D2"/>
    <w:rsid w:val="00336E8C"/>
    <w:rsid w:val="00336F10"/>
    <w:rsid w:val="00337BF5"/>
    <w:rsid w:val="003417C8"/>
    <w:rsid w:val="00341D51"/>
    <w:rsid w:val="003433F7"/>
    <w:rsid w:val="00344671"/>
    <w:rsid w:val="00345066"/>
    <w:rsid w:val="00347598"/>
    <w:rsid w:val="003634CF"/>
    <w:rsid w:val="00372163"/>
    <w:rsid w:val="00373073"/>
    <w:rsid w:val="0038057A"/>
    <w:rsid w:val="00384F85"/>
    <w:rsid w:val="0038509A"/>
    <w:rsid w:val="00393710"/>
    <w:rsid w:val="00396BE7"/>
    <w:rsid w:val="003A2A72"/>
    <w:rsid w:val="003A4479"/>
    <w:rsid w:val="003A6F12"/>
    <w:rsid w:val="003B23CA"/>
    <w:rsid w:val="003B4DA2"/>
    <w:rsid w:val="003B5590"/>
    <w:rsid w:val="003B6D40"/>
    <w:rsid w:val="003B7114"/>
    <w:rsid w:val="003D104A"/>
    <w:rsid w:val="003D1083"/>
    <w:rsid w:val="003E5FEB"/>
    <w:rsid w:val="003E75D1"/>
    <w:rsid w:val="003F0C37"/>
    <w:rsid w:val="003F6ACB"/>
    <w:rsid w:val="003F6D91"/>
    <w:rsid w:val="00410396"/>
    <w:rsid w:val="00412081"/>
    <w:rsid w:val="00412366"/>
    <w:rsid w:val="0042016A"/>
    <w:rsid w:val="00420ED4"/>
    <w:rsid w:val="004316EC"/>
    <w:rsid w:val="00440079"/>
    <w:rsid w:val="00454530"/>
    <w:rsid w:val="004615CC"/>
    <w:rsid w:val="00462635"/>
    <w:rsid w:val="00464C2D"/>
    <w:rsid w:val="00483C12"/>
    <w:rsid w:val="004870B7"/>
    <w:rsid w:val="0049121C"/>
    <w:rsid w:val="004A1CE3"/>
    <w:rsid w:val="004A6FD3"/>
    <w:rsid w:val="004A7AD9"/>
    <w:rsid w:val="004B1C4A"/>
    <w:rsid w:val="004B4671"/>
    <w:rsid w:val="004C04C2"/>
    <w:rsid w:val="004C05A6"/>
    <w:rsid w:val="004D3AA6"/>
    <w:rsid w:val="004E487A"/>
    <w:rsid w:val="004F3280"/>
    <w:rsid w:val="005027BA"/>
    <w:rsid w:val="00503258"/>
    <w:rsid w:val="00503F88"/>
    <w:rsid w:val="005057DA"/>
    <w:rsid w:val="00505B93"/>
    <w:rsid w:val="0051161A"/>
    <w:rsid w:val="00522F4F"/>
    <w:rsid w:val="00527FC7"/>
    <w:rsid w:val="00534E90"/>
    <w:rsid w:val="00542B06"/>
    <w:rsid w:val="00546360"/>
    <w:rsid w:val="00551943"/>
    <w:rsid w:val="00553A03"/>
    <w:rsid w:val="00565703"/>
    <w:rsid w:val="00572968"/>
    <w:rsid w:val="005806F3"/>
    <w:rsid w:val="005828F0"/>
    <w:rsid w:val="005950CC"/>
    <w:rsid w:val="005A2232"/>
    <w:rsid w:val="005A57DE"/>
    <w:rsid w:val="005B0A61"/>
    <w:rsid w:val="005C198B"/>
    <w:rsid w:val="005C6AE2"/>
    <w:rsid w:val="005D4477"/>
    <w:rsid w:val="005D5440"/>
    <w:rsid w:val="005E30E8"/>
    <w:rsid w:val="005E489A"/>
    <w:rsid w:val="005E5BE0"/>
    <w:rsid w:val="005F6271"/>
    <w:rsid w:val="0060184E"/>
    <w:rsid w:val="00612EE3"/>
    <w:rsid w:val="00617700"/>
    <w:rsid w:val="00620CA9"/>
    <w:rsid w:val="00632387"/>
    <w:rsid w:val="00634C84"/>
    <w:rsid w:val="006410F7"/>
    <w:rsid w:val="00645FDA"/>
    <w:rsid w:val="00647D2C"/>
    <w:rsid w:val="006546DC"/>
    <w:rsid w:val="0066267D"/>
    <w:rsid w:val="006667E8"/>
    <w:rsid w:val="00674435"/>
    <w:rsid w:val="00682884"/>
    <w:rsid w:val="00697EFC"/>
    <w:rsid w:val="006A16EA"/>
    <w:rsid w:val="006A7694"/>
    <w:rsid w:val="006B1E3C"/>
    <w:rsid w:val="006B7517"/>
    <w:rsid w:val="006C623B"/>
    <w:rsid w:val="006D03D0"/>
    <w:rsid w:val="006D42AA"/>
    <w:rsid w:val="006D431F"/>
    <w:rsid w:val="006E558C"/>
    <w:rsid w:val="006E55F4"/>
    <w:rsid w:val="006E73C7"/>
    <w:rsid w:val="006F0B4A"/>
    <w:rsid w:val="006F2869"/>
    <w:rsid w:val="006F6273"/>
    <w:rsid w:val="0070181F"/>
    <w:rsid w:val="007119AC"/>
    <w:rsid w:val="00711EB0"/>
    <w:rsid w:val="00713C3A"/>
    <w:rsid w:val="00714581"/>
    <w:rsid w:val="00726DD7"/>
    <w:rsid w:val="00734E81"/>
    <w:rsid w:val="00760EDB"/>
    <w:rsid w:val="00763117"/>
    <w:rsid w:val="00776C34"/>
    <w:rsid w:val="00780927"/>
    <w:rsid w:val="00782D92"/>
    <w:rsid w:val="00787D9D"/>
    <w:rsid w:val="007906C6"/>
    <w:rsid w:val="0079089C"/>
    <w:rsid w:val="007911F2"/>
    <w:rsid w:val="007911F3"/>
    <w:rsid w:val="00791554"/>
    <w:rsid w:val="00795E13"/>
    <w:rsid w:val="00796B43"/>
    <w:rsid w:val="00797AE6"/>
    <w:rsid w:val="00797D99"/>
    <w:rsid w:val="007A62FC"/>
    <w:rsid w:val="007A787B"/>
    <w:rsid w:val="007B234A"/>
    <w:rsid w:val="007B346C"/>
    <w:rsid w:val="007C3B21"/>
    <w:rsid w:val="007C4469"/>
    <w:rsid w:val="007D5E86"/>
    <w:rsid w:val="007D6E50"/>
    <w:rsid w:val="007F6F0A"/>
    <w:rsid w:val="0080270E"/>
    <w:rsid w:val="0080446E"/>
    <w:rsid w:val="008137B8"/>
    <w:rsid w:val="00815A4C"/>
    <w:rsid w:val="00823C2A"/>
    <w:rsid w:val="00832A63"/>
    <w:rsid w:val="00834615"/>
    <w:rsid w:val="00841BA6"/>
    <w:rsid w:val="0084740F"/>
    <w:rsid w:val="0085031A"/>
    <w:rsid w:val="008504ED"/>
    <w:rsid w:val="0085692D"/>
    <w:rsid w:val="00870073"/>
    <w:rsid w:val="00873911"/>
    <w:rsid w:val="00874AB7"/>
    <w:rsid w:val="008754B5"/>
    <w:rsid w:val="008765C0"/>
    <w:rsid w:val="00876AD1"/>
    <w:rsid w:val="008819F9"/>
    <w:rsid w:val="00881D74"/>
    <w:rsid w:val="008823DA"/>
    <w:rsid w:val="00886CEB"/>
    <w:rsid w:val="0088717C"/>
    <w:rsid w:val="00892093"/>
    <w:rsid w:val="008A0908"/>
    <w:rsid w:val="008A455B"/>
    <w:rsid w:val="008C31EB"/>
    <w:rsid w:val="008C6214"/>
    <w:rsid w:val="008D059E"/>
    <w:rsid w:val="008D4E0E"/>
    <w:rsid w:val="008E0D31"/>
    <w:rsid w:val="008E197E"/>
    <w:rsid w:val="008E3D87"/>
    <w:rsid w:val="008F07D6"/>
    <w:rsid w:val="008F31B0"/>
    <w:rsid w:val="008F672A"/>
    <w:rsid w:val="008F69BB"/>
    <w:rsid w:val="00903B27"/>
    <w:rsid w:val="00905494"/>
    <w:rsid w:val="00907C93"/>
    <w:rsid w:val="00914954"/>
    <w:rsid w:val="00922717"/>
    <w:rsid w:val="009359F1"/>
    <w:rsid w:val="009363FF"/>
    <w:rsid w:val="0093686A"/>
    <w:rsid w:val="00936D70"/>
    <w:rsid w:val="00937BB2"/>
    <w:rsid w:val="00941793"/>
    <w:rsid w:val="00946003"/>
    <w:rsid w:val="00955368"/>
    <w:rsid w:val="00963629"/>
    <w:rsid w:val="00972491"/>
    <w:rsid w:val="009736B4"/>
    <w:rsid w:val="00980CA8"/>
    <w:rsid w:val="00983B5E"/>
    <w:rsid w:val="009855EA"/>
    <w:rsid w:val="009874A9"/>
    <w:rsid w:val="009A1569"/>
    <w:rsid w:val="009A6828"/>
    <w:rsid w:val="009A754D"/>
    <w:rsid w:val="009B6EF1"/>
    <w:rsid w:val="009B708D"/>
    <w:rsid w:val="009B7E9E"/>
    <w:rsid w:val="009C2FFF"/>
    <w:rsid w:val="009C56BF"/>
    <w:rsid w:val="009C5B3F"/>
    <w:rsid w:val="009D7841"/>
    <w:rsid w:val="009F467A"/>
    <w:rsid w:val="00A053D1"/>
    <w:rsid w:val="00A07ECD"/>
    <w:rsid w:val="00A1113E"/>
    <w:rsid w:val="00A115F3"/>
    <w:rsid w:val="00A16DEB"/>
    <w:rsid w:val="00A34DFE"/>
    <w:rsid w:val="00A3514E"/>
    <w:rsid w:val="00A35F19"/>
    <w:rsid w:val="00A36335"/>
    <w:rsid w:val="00A36D3E"/>
    <w:rsid w:val="00A37A9A"/>
    <w:rsid w:val="00A46F30"/>
    <w:rsid w:val="00A50AE1"/>
    <w:rsid w:val="00A50F2E"/>
    <w:rsid w:val="00A53439"/>
    <w:rsid w:val="00A53D3E"/>
    <w:rsid w:val="00A61457"/>
    <w:rsid w:val="00A7195D"/>
    <w:rsid w:val="00A71E6E"/>
    <w:rsid w:val="00A74D4B"/>
    <w:rsid w:val="00A84DD8"/>
    <w:rsid w:val="00A86B43"/>
    <w:rsid w:val="00A914C3"/>
    <w:rsid w:val="00A934B9"/>
    <w:rsid w:val="00AA4F98"/>
    <w:rsid w:val="00AB2086"/>
    <w:rsid w:val="00AB5409"/>
    <w:rsid w:val="00AB63F0"/>
    <w:rsid w:val="00AB7F75"/>
    <w:rsid w:val="00AC1D1F"/>
    <w:rsid w:val="00AC71B6"/>
    <w:rsid w:val="00AC72C7"/>
    <w:rsid w:val="00AC7FD9"/>
    <w:rsid w:val="00AD3FC7"/>
    <w:rsid w:val="00AE3161"/>
    <w:rsid w:val="00AE5A3E"/>
    <w:rsid w:val="00AE6F5A"/>
    <w:rsid w:val="00AF0F80"/>
    <w:rsid w:val="00AF66AC"/>
    <w:rsid w:val="00AF6E9E"/>
    <w:rsid w:val="00AF7DF1"/>
    <w:rsid w:val="00B02A30"/>
    <w:rsid w:val="00B128C2"/>
    <w:rsid w:val="00B15233"/>
    <w:rsid w:val="00B16E54"/>
    <w:rsid w:val="00B20513"/>
    <w:rsid w:val="00B25ED3"/>
    <w:rsid w:val="00B362BB"/>
    <w:rsid w:val="00B46640"/>
    <w:rsid w:val="00B505BE"/>
    <w:rsid w:val="00B54A7B"/>
    <w:rsid w:val="00B7573D"/>
    <w:rsid w:val="00B75E1D"/>
    <w:rsid w:val="00B77B1A"/>
    <w:rsid w:val="00B975A9"/>
    <w:rsid w:val="00BA3E0B"/>
    <w:rsid w:val="00BD1058"/>
    <w:rsid w:val="00BD1282"/>
    <w:rsid w:val="00BD4317"/>
    <w:rsid w:val="00BD5441"/>
    <w:rsid w:val="00BE7348"/>
    <w:rsid w:val="00BF46FD"/>
    <w:rsid w:val="00BF5DCF"/>
    <w:rsid w:val="00BF78B9"/>
    <w:rsid w:val="00C030B0"/>
    <w:rsid w:val="00C04567"/>
    <w:rsid w:val="00C0751A"/>
    <w:rsid w:val="00C21721"/>
    <w:rsid w:val="00C24A39"/>
    <w:rsid w:val="00C25507"/>
    <w:rsid w:val="00C2778A"/>
    <w:rsid w:val="00C35F63"/>
    <w:rsid w:val="00C42810"/>
    <w:rsid w:val="00C454AE"/>
    <w:rsid w:val="00C5094E"/>
    <w:rsid w:val="00C6027A"/>
    <w:rsid w:val="00C67111"/>
    <w:rsid w:val="00C71E9C"/>
    <w:rsid w:val="00C72196"/>
    <w:rsid w:val="00C81965"/>
    <w:rsid w:val="00C85814"/>
    <w:rsid w:val="00C87E98"/>
    <w:rsid w:val="00C96C46"/>
    <w:rsid w:val="00C97C71"/>
    <w:rsid w:val="00CA695C"/>
    <w:rsid w:val="00CA7060"/>
    <w:rsid w:val="00CA7844"/>
    <w:rsid w:val="00CB32AD"/>
    <w:rsid w:val="00CC1DCA"/>
    <w:rsid w:val="00CC3B9A"/>
    <w:rsid w:val="00CC425C"/>
    <w:rsid w:val="00CC70A5"/>
    <w:rsid w:val="00CD4039"/>
    <w:rsid w:val="00CD5978"/>
    <w:rsid w:val="00CD799B"/>
    <w:rsid w:val="00CE0BE6"/>
    <w:rsid w:val="00CE112F"/>
    <w:rsid w:val="00CE1541"/>
    <w:rsid w:val="00CE28A7"/>
    <w:rsid w:val="00CE3A82"/>
    <w:rsid w:val="00CE78E2"/>
    <w:rsid w:val="00CF2272"/>
    <w:rsid w:val="00CF5D98"/>
    <w:rsid w:val="00D00845"/>
    <w:rsid w:val="00D06231"/>
    <w:rsid w:val="00D07C30"/>
    <w:rsid w:val="00D10E89"/>
    <w:rsid w:val="00D1263F"/>
    <w:rsid w:val="00D12D8A"/>
    <w:rsid w:val="00D13FD5"/>
    <w:rsid w:val="00D1519C"/>
    <w:rsid w:val="00D15549"/>
    <w:rsid w:val="00D16D8B"/>
    <w:rsid w:val="00D2101C"/>
    <w:rsid w:val="00D27CC1"/>
    <w:rsid w:val="00D350EE"/>
    <w:rsid w:val="00D36700"/>
    <w:rsid w:val="00D43A4E"/>
    <w:rsid w:val="00D468F5"/>
    <w:rsid w:val="00D6639D"/>
    <w:rsid w:val="00D668E4"/>
    <w:rsid w:val="00D7508E"/>
    <w:rsid w:val="00D767C1"/>
    <w:rsid w:val="00D912E9"/>
    <w:rsid w:val="00D9302A"/>
    <w:rsid w:val="00D9705C"/>
    <w:rsid w:val="00DA11D1"/>
    <w:rsid w:val="00DA1882"/>
    <w:rsid w:val="00DA60AC"/>
    <w:rsid w:val="00DA65A9"/>
    <w:rsid w:val="00DA6F17"/>
    <w:rsid w:val="00DB3057"/>
    <w:rsid w:val="00DB3E23"/>
    <w:rsid w:val="00DB5C98"/>
    <w:rsid w:val="00DB5DE9"/>
    <w:rsid w:val="00DC01D6"/>
    <w:rsid w:val="00DC47E0"/>
    <w:rsid w:val="00DC4D30"/>
    <w:rsid w:val="00DC54E0"/>
    <w:rsid w:val="00DD391A"/>
    <w:rsid w:val="00DE0F16"/>
    <w:rsid w:val="00DE22A8"/>
    <w:rsid w:val="00DE2A68"/>
    <w:rsid w:val="00DE3ADF"/>
    <w:rsid w:val="00DF0399"/>
    <w:rsid w:val="00DF0E33"/>
    <w:rsid w:val="00DF7578"/>
    <w:rsid w:val="00E00FB4"/>
    <w:rsid w:val="00E10552"/>
    <w:rsid w:val="00E10571"/>
    <w:rsid w:val="00E20A3F"/>
    <w:rsid w:val="00E266C4"/>
    <w:rsid w:val="00E32356"/>
    <w:rsid w:val="00E40137"/>
    <w:rsid w:val="00E4286C"/>
    <w:rsid w:val="00E42E8C"/>
    <w:rsid w:val="00E4563A"/>
    <w:rsid w:val="00E54E4D"/>
    <w:rsid w:val="00E6102B"/>
    <w:rsid w:val="00E64B98"/>
    <w:rsid w:val="00E754D7"/>
    <w:rsid w:val="00E764ED"/>
    <w:rsid w:val="00E766F7"/>
    <w:rsid w:val="00E85E1B"/>
    <w:rsid w:val="00E91408"/>
    <w:rsid w:val="00E91966"/>
    <w:rsid w:val="00E95FDE"/>
    <w:rsid w:val="00EA1067"/>
    <w:rsid w:val="00EA4B8C"/>
    <w:rsid w:val="00EA57F8"/>
    <w:rsid w:val="00EA6A3C"/>
    <w:rsid w:val="00EB727D"/>
    <w:rsid w:val="00EC1406"/>
    <w:rsid w:val="00ED64DD"/>
    <w:rsid w:val="00EE2089"/>
    <w:rsid w:val="00EF0B5C"/>
    <w:rsid w:val="00EF49E5"/>
    <w:rsid w:val="00F02F42"/>
    <w:rsid w:val="00F0653F"/>
    <w:rsid w:val="00F0722B"/>
    <w:rsid w:val="00F1564F"/>
    <w:rsid w:val="00F23D2B"/>
    <w:rsid w:val="00F34004"/>
    <w:rsid w:val="00F34414"/>
    <w:rsid w:val="00F35942"/>
    <w:rsid w:val="00F45C2F"/>
    <w:rsid w:val="00F4704D"/>
    <w:rsid w:val="00F562D1"/>
    <w:rsid w:val="00F62B03"/>
    <w:rsid w:val="00F733A1"/>
    <w:rsid w:val="00F73F81"/>
    <w:rsid w:val="00F82462"/>
    <w:rsid w:val="00F84851"/>
    <w:rsid w:val="00F877A4"/>
    <w:rsid w:val="00F90BDE"/>
    <w:rsid w:val="00F90CDB"/>
    <w:rsid w:val="00F96ADA"/>
    <w:rsid w:val="00FA7A0F"/>
    <w:rsid w:val="00FB5293"/>
    <w:rsid w:val="00FC1CFB"/>
    <w:rsid w:val="00FC25F8"/>
    <w:rsid w:val="00FC2D31"/>
    <w:rsid w:val="00FC303D"/>
    <w:rsid w:val="00FC3F3A"/>
    <w:rsid w:val="00FD7C5A"/>
    <w:rsid w:val="00FE12A9"/>
    <w:rsid w:val="00FE28DD"/>
    <w:rsid w:val="00FE3355"/>
    <w:rsid w:val="00FE7623"/>
    <w:rsid w:val="00FF057D"/>
    <w:rsid w:val="00FF13A9"/>
    <w:rsid w:val="00FF1E56"/>
    <w:rsid w:val="00FF3232"/>
    <w:rsid w:val="00FF32FD"/>
    <w:rsid w:val="00FF7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22B"/>
  </w:style>
  <w:style w:type="paragraph" w:styleId="Footer">
    <w:name w:val="footer"/>
    <w:basedOn w:val="Normal"/>
    <w:link w:val="FooterChar"/>
    <w:uiPriority w:val="99"/>
    <w:unhideWhenUsed/>
    <w:rsid w:val="00F0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22B"/>
  </w:style>
  <w:style w:type="paragraph" w:styleId="BalloonText">
    <w:name w:val="Balloon Text"/>
    <w:basedOn w:val="Normal"/>
    <w:link w:val="BalloonTextChar"/>
    <w:uiPriority w:val="99"/>
    <w:semiHidden/>
    <w:unhideWhenUsed/>
    <w:rsid w:val="00A9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B9"/>
    <w:rPr>
      <w:rFonts w:ascii="Tahoma" w:hAnsi="Tahoma" w:cs="Tahoma"/>
      <w:sz w:val="16"/>
      <w:szCs w:val="16"/>
    </w:rPr>
  </w:style>
  <w:style w:type="paragraph" w:styleId="ListParagraph">
    <w:name w:val="List Paragraph"/>
    <w:basedOn w:val="Normal"/>
    <w:uiPriority w:val="34"/>
    <w:qFormat/>
    <w:rsid w:val="00E4286C"/>
    <w:pPr>
      <w:ind w:left="720"/>
      <w:contextualSpacing/>
    </w:pPr>
    <w:rPr>
      <w:rFonts w:ascii="Calibri" w:eastAsia="Calibri" w:hAnsi="Calibri" w:cs="Times New Roman"/>
    </w:rPr>
  </w:style>
  <w:style w:type="table" w:styleId="TableGrid">
    <w:name w:val="Table Grid"/>
    <w:basedOn w:val="TableNormal"/>
    <w:uiPriority w:val="59"/>
    <w:rsid w:val="00E42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A82"/>
    <w:rPr>
      <w:color w:val="0000FF" w:themeColor="hyperlink"/>
      <w:u w:val="single"/>
    </w:rPr>
  </w:style>
  <w:style w:type="character" w:styleId="FollowedHyperlink">
    <w:name w:val="FollowedHyperlink"/>
    <w:basedOn w:val="DefaultParagraphFont"/>
    <w:uiPriority w:val="99"/>
    <w:semiHidden/>
    <w:unhideWhenUsed/>
    <w:rsid w:val="006E558C"/>
    <w:rPr>
      <w:color w:val="800080" w:themeColor="followedHyperlink"/>
      <w:u w:val="single"/>
    </w:rPr>
  </w:style>
  <w:style w:type="character" w:customStyle="1" w:styleId="screen-name4">
    <w:name w:val="screen-name4"/>
    <w:basedOn w:val="DefaultParagraphFont"/>
    <w:rsid w:val="00157645"/>
  </w:style>
  <w:style w:type="character" w:customStyle="1" w:styleId="apple-converted-space">
    <w:name w:val="apple-converted-space"/>
    <w:basedOn w:val="DefaultParagraphFont"/>
    <w:rsid w:val="000A1AE4"/>
  </w:style>
  <w:style w:type="paragraph" w:customStyle="1" w:styleId="Default">
    <w:name w:val="Default"/>
    <w:rsid w:val="00DE2A68"/>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uiPriority w:val="99"/>
    <w:semiHidden/>
    <w:unhideWhenUsed/>
    <w:rsid w:val="00CC4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25C"/>
    <w:rPr>
      <w:sz w:val="20"/>
      <w:szCs w:val="20"/>
    </w:rPr>
  </w:style>
  <w:style w:type="character" w:styleId="FootnoteReference">
    <w:name w:val="footnote reference"/>
    <w:basedOn w:val="DefaultParagraphFont"/>
    <w:uiPriority w:val="99"/>
    <w:semiHidden/>
    <w:unhideWhenUsed/>
    <w:rsid w:val="00CC425C"/>
    <w:rPr>
      <w:vertAlign w:val="superscript"/>
    </w:rPr>
  </w:style>
  <w:style w:type="character" w:styleId="CommentReference">
    <w:name w:val="annotation reference"/>
    <w:basedOn w:val="DefaultParagraphFont"/>
    <w:uiPriority w:val="99"/>
    <w:semiHidden/>
    <w:unhideWhenUsed/>
    <w:rsid w:val="00454530"/>
    <w:rPr>
      <w:sz w:val="16"/>
      <w:szCs w:val="16"/>
    </w:rPr>
  </w:style>
  <w:style w:type="paragraph" w:styleId="CommentText">
    <w:name w:val="annotation text"/>
    <w:basedOn w:val="Normal"/>
    <w:link w:val="CommentTextChar"/>
    <w:uiPriority w:val="99"/>
    <w:semiHidden/>
    <w:unhideWhenUsed/>
    <w:rsid w:val="00454530"/>
    <w:pPr>
      <w:spacing w:line="240" w:lineRule="auto"/>
    </w:pPr>
    <w:rPr>
      <w:sz w:val="20"/>
      <w:szCs w:val="20"/>
    </w:rPr>
  </w:style>
  <w:style w:type="character" w:customStyle="1" w:styleId="CommentTextChar">
    <w:name w:val="Comment Text Char"/>
    <w:basedOn w:val="DefaultParagraphFont"/>
    <w:link w:val="CommentText"/>
    <w:uiPriority w:val="99"/>
    <w:semiHidden/>
    <w:rsid w:val="00454530"/>
    <w:rPr>
      <w:sz w:val="20"/>
      <w:szCs w:val="20"/>
    </w:rPr>
  </w:style>
  <w:style w:type="paragraph" w:styleId="CommentSubject">
    <w:name w:val="annotation subject"/>
    <w:basedOn w:val="CommentText"/>
    <w:next w:val="CommentText"/>
    <w:link w:val="CommentSubjectChar"/>
    <w:uiPriority w:val="99"/>
    <w:semiHidden/>
    <w:unhideWhenUsed/>
    <w:rsid w:val="00454530"/>
    <w:rPr>
      <w:b/>
      <w:bCs/>
    </w:rPr>
  </w:style>
  <w:style w:type="character" w:customStyle="1" w:styleId="CommentSubjectChar">
    <w:name w:val="Comment Subject Char"/>
    <w:basedOn w:val="CommentTextChar"/>
    <w:link w:val="CommentSubject"/>
    <w:uiPriority w:val="99"/>
    <w:semiHidden/>
    <w:rsid w:val="00454530"/>
    <w:rPr>
      <w:b/>
      <w:bCs/>
      <w:sz w:val="20"/>
      <w:szCs w:val="20"/>
    </w:rPr>
  </w:style>
  <w:style w:type="paragraph" w:styleId="NormalWeb">
    <w:name w:val="Normal (Web)"/>
    <w:basedOn w:val="Normal"/>
    <w:uiPriority w:val="99"/>
    <w:unhideWhenUsed/>
    <w:rsid w:val="00B46640"/>
    <w:rPr>
      <w:rFonts w:ascii="Times New Roman" w:hAnsi="Times New Roman" w:cs="Times New Roman"/>
      <w:sz w:val="24"/>
      <w:szCs w:val="24"/>
    </w:rPr>
  </w:style>
  <w:style w:type="character" w:styleId="Emphasis">
    <w:name w:val="Emphasis"/>
    <w:basedOn w:val="DefaultParagraphFont"/>
    <w:uiPriority w:val="20"/>
    <w:qFormat/>
    <w:rsid w:val="000542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22B"/>
  </w:style>
  <w:style w:type="paragraph" w:styleId="Footer">
    <w:name w:val="footer"/>
    <w:basedOn w:val="Normal"/>
    <w:link w:val="FooterChar"/>
    <w:uiPriority w:val="99"/>
    <w:unhideWhenUsed/>
    <w:rsid w:val="00F0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22B"/>
  </w:style>
  <w:style w:type="paragraph" w:styleId="BalloonText">
    <w:name w:val="Balloon Text"/>
    <w:basedOn w:val="Normal"/>
    <w:link w:val="BalloonTextChar"/>
    <w:uiPriority w:val="99"/>
    <w:semiHidden/>
    <w:unhideWhenUsed/>
    <w:rsid w:val="00A9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B9"/>
    <w:rPr>
      <w:rFonts w:ascii="Tahoma" w:hAnsi="Tahoma" w:cs="Tahoma"/>
      <w:sz w:val="16"/>
      <w:szCs w:val="16"/>
    </w:rPr>
  </w:style>
  <w:style w:type="paragraph" w:styleId="ListParagraph">
    <w:name w:val="List Paragraph"/>
    <w:basedOn w:val="Normal"/>
    <w:uiPriority w:val="34"/>
    <w:qFormat/>
    <w:rsid w:val="00E4286C"/>
    <w:pPr>
      <w:ind w:left="720"/>
      <w:contextualSpacing/>
    </w:pPr>
    <w:rPr>
      <w:rFonts w:ascii="Calibri" w:eastAsia="Calibri" w:hAnsi="Calibri" w:cs="Times New Roman"/>
    </w:rPr>
  </w:style>
  <w:style w:type="table" w:styleId="TableGrid">
    <w:name w:val="Table Grid"/>
    <w:basedOn w:val="TableNormal"/>
    <w:uiPriority w:val="59"/>
    <w:rsid w:val="00E42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A82"/>
    <w:rPr>
      <w:color w:val="0000FF" w:themeColor="hyperlink"/>
      <w:u w:val="single"/>
    </w:rPr>
  </w:style>
  <w:style w:type="character" w:styleId="FollowedHyperlink">
    <w:name w:val="FollowedHyperlink"/>
    <w:basedOn w:val="DefaultParagraphFont"/>
    <w:uiPriority w:val="99"/>
    <w:semiHidden/>
    <w:unhideWhenUsed/>
    <w:rsid w:val="006E558C"/>
    <w:rPr>
      <w:color w:val="800080" w:themeColor="followedHyperlink"/>
      <w:u w:val="single"/>
    </w:rPr>
  </w:style>
  <w:style w:type="character" w:customStyle="1" w:styleId="screen-name4">
    <w:name w:val="screen-name4"/>
    <w:basedOn w:val="DefaultParagraphFont"/>
    <w:rsid w:val="00157645"/>
  </w:style>
  <w:style w:type="character" w:customStyle="1" w:styleId="apple-converted-space">
    <w:name w:val="apple-converted-space"/>
    <w:basedOn w:val="DefaultParagraphFont"/>
    <w:rsid w:val="000A1AE4"/>
  </w:style>
  <w:style w:type="paragraph" w:customStyle="1" w:styleId="Default">
    <w:name w:val="Default"/>
    <w:rsid w:val="00DE2A68"/>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uiPriority w:val="99"/>
    <w:semiHidden/>
    <w:unhideWhenUsed/>
    <w:rsid w:val="00CC4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25C"/>
    <w:rPr>
      <w:sz w:val="20"/>
      <w:szCs w:val="20"/>
    </w:rPr>
  </w:style>
  <w:style w:type="character" w:styleId="FootnoteReference">
    <w:name w:val="footnote reference"/>
    <w:basedOn w:val="DefaultParagraphFont"/>
    <w:uiPriority w:val="99"/>
    <w:semiHidden/>
    <w:unhideWhenUsed/>
    <w:rsid w:val="00CC425C"/>
    <w:rPr>
      <w:vertAlign w:val="superscript"/>
    </w:rPr>
  </w:style>
  <w:style w:type="character" w:styleId="CommentReference">
    <w:name w:val="annotation reference"/>
    <w:basedOn w:val="DefaultParagraphFont"/>
    <w:uiPriority w:val="99"/>
    <w:semiHidden/>
    <w:unhideWhenUsed/>
    <w:rsid w:val="00454530"/>
    <w:rPr>
      <w:sz w:val="16"/>
      <w:szCs w:val="16"/>
    </w:rPr>
  </w:style>
  <w:style w:type="paragraph" w:styleId="CommentText">
    <w:name w:val="annotation text"/>
    <w:basedOn w:val="Normal"/>
    <w:link w:val="CommentTextChar"/>
    <w:uiPriority w:val="99"/>
    <w:semiHidden/>
    <w:unhideWhenUsed/>
    <w:rsid w:val="00454530"/>
    <w:pPr>
      <w:spacing w:line="240" w:lineRule="auto"/>
    </w:pPr>
    <w:rPr>
      <w:sz w:val="20"/>
      <w:szCs w:val="20"/>
    </w:rPr>
  </w:style>
  <w:style w:type="character" w:customStyle="1" w:styleId="CommentTextChar">
    <w:name w:val="Comment Text Char"/>
    <w:basedOn w:val="DefaultParagraphFont"/>
    <w:link w:val="CommentText"/>
    <w:uiPriority w:val="99"/>
    <w:semiHidden/>
    <w:rsid w:val="00454530"/>
    <w:rPr>
      <w:sz w:val="20"/>
      <w:szCs w:val="20"/>
    </w:rPr>
  </w:style>
  <w:style w:type="paragraph" w:styleId="CommentSubject">
    <w:name w:val="annotation subject"/>
    <w:basedOn w:val="CommentText"/>
    <w:next w:val="CommentText"/>
    <w:link w:val="CommentSubjectChar"/>
    <w:uiPriority w:val="99"/>
    <w:semiHidden/>
    <w:unhideWhenUsed/>
    <w:rsid w:val="00454530"/>
    <w:rPr>
      <w:b/>
      <w:bCs/>
    </w:rPr>
  </w:style>
  <w:style w:type="character" w:customStyle="1" w:styleId="CommentSubjectChar">
    <w:name w:val="Comment Subject Char"/>
    <w:basedOn w:val="CommentTextChar"/>
    <w:link w:val="CommentSubject"/>
    <w:uiPriority w:val="99"/>
    <w:semiHidden/>
    <w:rsid w:val="00454530"/>
    <w:rPr>
      <w:b/>
      <w:bCs/>
      <w:sz w:val="20"/>
      <w:szCs w:val="20"/>
    </w:rPr>
  </w:style>
  <w:style w:type="paragraph" w:styleId="NormalWeb">
    <w:name w:val="Normal (Web)"/>
    <w:basedOn w:val="Normal"/>
    <w:uiPriority w:val="99"/>
    <w:unhideWhenUsed/>
    <w:rsid w:val="00B46640"/>
    <w:rPr>
      <w:rFonts w:ascii="Times New Roman" w:hAnsi="Times New Roman" w:cs="Times New Roman"/>
      <w:sz w:val="24"/>
      <w:szCs w:val="24"/>
    </w:rPr>
  </w:style>
  <w:style w:type="character" w:styleId="Emphasis">
    <w:name w:val="Emphasis"/>
    <w:basedOn w:val="DefaultParagraphFont"/>
    <w:uiPriority w:val="20"/>
    <w:qFormat/>
    <w:rsid w:val="00054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515">
          <w:marLeft w:val="0"/>
          <w:marRight w:val="0"/>
          <w:marTop w:val="0"/>
          <w:marBottom w:val="0"/>
          <w:divBdr>
            <w:top w:val="none" w:sz="0" w:space="0" w:color="auto"/>
            <w:left w:val="none" w:sz="0" w:space="0" w:color="auto"/>
            <w:bottom w:val="none" w:sz="0" w:space="0" w:color="auto"/>
            <w:right w:val="none" w:sz="0" w:space="0" w:color="auto"/>
          </w:divBdr>
          <w:divsChild>
            <w:div w:id="307785243">
              <w:marLeft w:val="0"/>
              <w:marRight w:val="0"/>
              <w:marTop w:val="0"/>
              <w:marBottom w:val="0"/>
              <w:divBdr>
                <w:top w:val="none" w:sz="0" w:space="0" w:color="auto"/>
                <w:left w:val="none" w:sz="0" w:space="0" w:color="auto"/>
                <w:bottom w:val="none" w:sz="0" w:space="0" w:color="auto"/>
                <w:right w:val="none" w:sz="0" w:space="0" w:color="auto"/>
              </w:divBdr>
              <w:divsChild>
                <w:div w:id="1033070359">
                  <w:marLeft w:val="0"/>
                  <w:marRight w:val="0"/>
                  <w:marTop w:val="0"/>
                  <w:marBottom w:val="0"/>
                  <w:divBdr>
                    <w:top w:val="none" w:sz="0" w:space="0" w:color="auto"/>
                    <w:left w:val="none" w:sz="0" w:space="0" w:color="auto"/>
                    <w:bottom w:val="none" w:sz="0" w:space="0" w:color="auto"/>
                    <w:right w:val="none" w:sz="0" w:space="0" w:color="auto"/>
                  </w:divBdr>
                  <w:divsChild>
                    <w:div w:id="887646504">
                      <w:marLeft w:val="0"/>
                      <w:marRight w:val="0"/>
                      <w:marTop w:val="0"/>
                      <w:marBottom w:val="0"/>
                      <w:divBdr>
                        <w:top w:val="none" w:sz="0" w:space="0" w:color="auto"/>
                        <w:left w:val="none" w:sz="0" w:space="0" w:color="auto"/>
                        <w:bottom w:val="none" w:sz="0" w:space="0" w:color="auto"/>
                        <w:right w:val="none" w:sz="0" w:space="0" w:color="auto"/>
                      </w:divBdr>
                      <w:divsChild>
                        <w:div w:id="595748028">
                          <w:marLeft w:val="0"/>
                          <w:marRight w:val="0"/>
                          <w:marTop w:val="0"/>
                          <w:marBottom w:val="0"/>
                          <w:divBdr>
                            <w:top w:val="none" w:sz="0" w:space="0" w:color="auto"/>
                            <w:left w:val="none" w:sz="0" w:space="0" w:color="auto"/>
                            <w:bottom w:val="none" w:sz="0" w:space="0" w:color="auto"/>
                            <w:right w:val="none" w:sz="0" w:space="0" w:color="auto"/>
                          </w:divBdr>
                          <w:divsChild>
                            <w:div w:id="2128040783">
                              <w:marLeft w:val="0"/>
                              <w:marRight w:val="0"/>
                              <w:marTop w:val="0"/>
                              <w:marBottom w:val="0"/>
                              <w:divBdr>
                                <w:top w:val="none" w:sz="0" w:space="0" w:color="auto"/>
                                <w:left w:val="none" w:sz="0" w:space="0" w:color="auto"/>
                                <w:bottom w:val="none" w:sz="0" w:space="0" w:color="auto"/>
                                <w:right w:val="none" w:sz="0" w:space="0" w:color="auto"/>
                              </w:divBdr>
                              <w:divsChild>
                                <w:div w:id="15184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8724">
      <w:bodyDiv w:val="1"/>
      <w:marLeft w:val="0"/>
      <w:marRight w:val="0"/>
      <w:marTop w:val="0"/>
      <w:marBottom w:val="0"/>
      <w:divBdr>
        <w:top w:val="none" w:sz="0" w:space="0" w:color="auto"/>
        <w:left w:val="none" w:sz="0" w:space="0" w:color="auto"/>
        <w:bottom w:val="none" w:sz="0" w:space="0" w:color="auto"/>
        <w:right w:val="none" w:sz="0" w:space="0" w:color="auto"/>
      </w:divBdr>
      <w:divsChild>
        <w:div w:id="130052164">
          <w:marLeft w:val="0"/>
          <w:marRight w:val="0"/>
          <w:marTop w:val="0"/>
          <w:marBottom w:val="0"/>
          <w:divBdr>
            <w:top w:val="none" w:sz="0" w:space="0" w:color="auto"/>
            <w:left w:val="none" w:sz="0" w:space="0" w:color="auto"/>
            <w:bottom w:val="none" w:sz="0" w:space="0" w:color="auto"/>
            <w:right w:val="none" w:sz="0" w:space="0" w:color="auto"/>
          </w:divBdr>
          <w:divsChild>
            <w:div w:id="1198666242">
              <w:marLeft w:val="0"/>
              <w:marRight w:val="0"/>
              <w:marTop w:val="0"/>
              <w:marBottom w:val="0"/>
              <w:divBdr>
                <w:top w:val="none" w:sz="0" w:space="0" w:color="auto"/>
                <w:left w:val="none" w:sz="0" w:space="0" w:color="auto"/>
                <w:bottom w:val="none" w:sz="0" w:space="0" w:color="auto"/>
                <w:right w:val="none" w:sz="0" w:space="0" w:color="auto"/>
              </w:divBdr>
              <w:divsChild>
                <w:div w:id="2129348465">
                  <w:marLeft w:val="15"/>
                  <w:marRight w:val="15"/>
                  <w:marTop w:val="0"/>
                  <w:marBottom w:val="0"/>
                  <w:divBdr>
                    <w:top w:val="single" w:sz="6" w:space="0" w:color="FFFFFF"/>
                    <w:left w:val="single" w:sz="6" w:space="0" w:color="FFFFFF"/>
                    <w:bottom w:val="single" w:sz="6" w:space="11" w:color="FFFFFF"/>
                    <w:right w:val="single" w:sz="6" w:space="0" w:color="FFFFFF"/>
                  </w:divBdr>
                  <w:divsChild>
                    <w:div w:id="1400207832">
                      <w:marLeft w:val="300"/>
                      <w:marRight w:val="300"/>
                      <w:marTop w:val="300"/>
                      <w:marBottom w:val="0"/>
                      <w:divBdr>
                        <w:top w:val="none" w:sz="0" w:space="0" w:color="auto"/>
                        <w:left w:val="none" w:sz="0" w:space="0" w:color="auto"/>
                        <w:bottom w:val="none" w:sz="0" w:space="0" w:color="auto"/>
                        <w:right w:val="none" w:sz="0" w:space="0" w:color="auto"/>
                      </w:divBdr>
                      <w:divsChild>
                        <w:div w:id="1033263926">
                          <w:marLeft w:val="0"/>
                          <w:marRight w:val="0"/>
                          <w:marTop w:val="0"/>
                          <w:marBottom w:val="0"/>
                          <w:divBdr>
                            <w:top w:val="none" w:sz="0" w:space="0" w:color="auto"/>
                            <w:left w:val="none" w:sz="0" w:space="0" w:color="auto"/>
                            <w:bottom w:val="none" w:sz="0" w:space="0" w:color="auto"/>
                            <w:right w:val="none" w:sz="0" w:space="0" w:color="auto"/>
                          </w:divBdr>
                          <w:divsChild>
                            <w:div w:id="1622345039">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sChild>
    </w:div>
    <w:div w:id="248389309">
      <w:bodyDiv w:val="1"/>
      <w:marLeft w:val="0"/>
      <w:marRight w:val="0"/>
      <w:marTop w:val="0"/>
      <w:marBottom w:val="0"/>
      <w:divBdr>
        <w:top w:val="none" w:sz="0" w:space="0" w:color="auto"/>
        <w:left w:val="none" w:sz="0" w:space="0" w:color="auto"/>
        <w:bottom w:val="none" w:sz="0" w:space="0" w:color="auto"/>
        <w:right w:val="none" w:sz="0" w:space="0" w:color="auto"/>
      </w:divBdr>
      <w:divsChild>
        <w:div w:id="1524124911">
          <w:marLeft w:val="0"/>
          <w:marRight w:val="0"/>
          <w:marTop w:val="0"/>
          <w:marBottom w:val="0"/>
          <w:divBdr>
            <w:top w:val="none" w:sz="0" w:space="0" w:color="auto"/>
            <w:left w:val="none" w:sz="0" w:space="0" w:color="auto"/>
            <w:bottom w:val="none" w:sz="0" w:space="0" w:color="auto"/>
            <w:right w:val="none" w:sz="0" w:space="0" w:color="auto"/>
          </w:divBdr>
          <w:divsChild>
            <w:div w:id="1546678239">
              <w:marLeft w:val="0"/>
              <w:marRight w:val="0"/>
              <w:marTop w:val="0"/>
              <w:marBottom w:val="0"/>
              <w:divBdr>
                <w:top w:val="none" w:sz="0" w:space="0" w:color="auto"/>
                <w:left w:val="none" w:sz="0" w:space="0" w:color="auto"/>
                <w:bottom w:val="none" w:sz="0" w:space="0" w:color="auto"/>
                <w:right w:val="none" w:sz="0" w:space="0" w:color="auto"/>
              </w:divBdr>
              <w:divsChild>
                <w:div w:id="17750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69712">
      <w:bodyDiv w:val="1"/>
      <w:marLeft w:val="0"/>
      <w:marRight w:val="0"/>
      <w:marTop w:val="0"/>
      <w:marBottom w:val="0"/>
      <w:divBdr>
        <w:top w:val="none" w:sz="0" w:space="0" w:color="auto"/>
        <w:left w:val="none" w:sz="0" w:space="0" w:color="auto"/>
        <w:bottom w:val="none" w:sz="0" w:space="0" w:color="auto"/>
        <w:right w:val="none" w:sz="0" w:space="0" w:color="auto"/>
      </w:divBdr>
      <w:divsChild>
        <w:div w:id="713698684">
          <w:marLeft w:val="0"/>
          <w:marRight w:val="0"/>
          <w:marTop w:val="0"/>
          <w:marBottom w:val="0"/>
          <w:divBdr>
            <w:top w:val="none" w:sz="0" w:space="0" w:color="auto"/>
            <w:left w:val="none" w:sz="0" w:space="0" w:color="auto"/>
            <w:bottom w:val="none" w:sz="0" w:space="0" w:color="auto"/>
            <w:right w:val="none" w:sz="0" w:space="0" w:color="auto"/>
          </w:divBdr>
        </w:div>
        <w:div w:id="2084333332">
          <w:marLeft w:val="0"/>
          <w:marRight w:val="0"/>
          <w:marTop w:val="0"/>
          <w:marBottom w:val="0"/>
          <w:divBdr>
            <w:top w:val="none" w:sz="0" w:space="0" w:color="auto"/>
            <w:left w:val="none" w:sz="0" w:space="0" w:color="auto"/>
            <w:bottom w:val="none" w:sz="0" w:space="0" w:color="auto"/>
            <w:right w:val="none" w:sz="0" w:space="0" w:color="auto"/>
          </w:divBdr>
        </w:div>
        <w:div w:id="385645558">
          <w:marLeft w:val="0"/>
          <w:marRight w:val="0"/>
          <w:marTop w:val="0"/>
          <w:marBottom w:val="0"/>
          <w:divBdr>
            <w:top w:val="none" w:sz="0" w:space="0" w:color="auto"/>
            <w:left w:val="none" w:sz="0" w:space="0" w:color="auto"/>
            <w:bottom w:val="none" w:sz="0" w:space="0" w:color="auto"/>
            <w:right w:val="none" w:sz="0" w:space="0" w:color="auto"/>
          </w:divBdr>
        </w:div>
        <w:div w:id="838303448">
          <w:marLeft w:val="0"/>
          <w:marRight w:val="0"/>
          <w:marTop w:val="0"/>
          <w:marBottom w:val="0"/>
          <w:divBdr>
            <w:top w:val="none" w:sz="0" w:space="0" w:color="auto"/>
            <w:left w:val="none" w:sz="0" w:space="0" w:color="auto"/>
            <w:bottom w:val="none" w:sz="0" w:space="0" w:color="auto"/>
            <w:right w:val="none" w:sz="0" w:space="0" w:color="auto"/>
          </w:divBdr>
        </w:div>
        <w:div w:id="1109542369">
          <w:marLeft w:val="0"/>
          <w:marRight w:val="0"/>
          <w:marTop w:val="0"/>
          <w:marBottom w:val="0"/>
          <w:divBdr>
            <w:top w:val="none" w:sz="0" w:space="0" w:color="auto"/>
            <w:left w:val="none" w:sz="0" w:space="0" w:color="auto"/>
            <w:bottom w:val="none" w:sz="0" w:space="0" w:color="auto"/>
            <w:right w:val="none" w:sz="0" w:space="0" w:color="auto"/>
          </w:divBdr>
        </w:div>
        <w:div w:id="1960990454">
          <w:marLeft w:val="0"/>
          <w:marRight w:val="0"/>
          <w:marTop w:val="0"/>
          <w:marBottom w:val="0"/>
          <w:divBdr>
            <w:top w:val="none" w:sz="0" w:space="0" w:color="auto"/>
            <w:left w:val="none" w:sz="0" w:space="0" w:color="auto"/>
            <w:bottom w:val="none" w:sz="0" w:space="0" w:color="auto"/>
            <w:right w:val="none" w:sz="0" w:space="0" w:color="auto"/>
          </w:divBdr>
        </w:div>
        <w:div w:id="1190609178">
          <w:marLeft w:val="0"/>
          <w:marRight w:val="0"/>
          <w:marTop w:val="0"/>
          <w:marBottom w:val="0"/>
          <w:divBdr>
            <w:top w:val="none" w:sz="0" w:space="0" w:color="auto"/>
            <w:left w:val="none" w:sz="0" w:space="0" w:color="auto"/>
            <w:bottom w:val="none" w:sz="0" w:space="0" w:color="auto"/>
            <w:right w:val="none" w:sz="0" w:space="0" w:color="auto"/>
          </w:divBdr>
        </w:div>
        <w:div w:id="458031528">
          <w:marLeft w:val="0"/>
          <w:marRight w:val="0"/>
          <w:marTop w:val="0"/>
          <w:marBottom w:val="0"/>
          <w:divBdr>
            <w:top w:val="none" w:sz="0" w:space="0" w:color="auto"/>
            <w:left w:val="none" w:sz="0" w:space="0" w:color="auto"/>
            <w:bottom w:val="none" w:sz="0" w:space="0" w:color="auto"/>
            <w:right w:val="none" w:sz="0" w:space="0" w:color="auto"/>
          </w:divBdr>
        </w:div>
        <w:div w:id="466972551">
          <w:marLeft w:val="0"/>
          <w:marRight w:val="0"/>
          <w:marTop w:val="0"/>
          <w:marBottom w:val="0"/>
          <w:divBdr>
            <w:top w:val="none" w:sz="0" w:space="0" w:color="auto"/>
            <w:left w:val="none" w:sz="0" w:space="0" w:color="auto"/>
            <w:bottom w:val="none" w:sz="0" w:space="0" w:color="auto"/>
            <w:right w:val="none" w:sz="0" w:space="0" w:color="auto"/>
          </w:divBdr>
        </w:div>
        <w:div w:id="750934327">
          <w:marLeft w:val="0"/>
          <w:marRight w:val="0"/>
          <w:marTop w:val="0"/>
          <w:marBottom w:val="0"/>
          <w:divBdr>
            <w:top w:val="none" w:sz="0" w:space="0" w:color="auto"/>
            <w:left w:val="none" w:sz="0" w:space="0" w:color="auto"/>
            <w:bottom w:val="none" w:sz="0" w:space="0" w:color="auto"/>
            <w:right w:val="none" w:sz="0" w:space="0" w:color="auto"/>
          </w:divBdr>
        </w:div>
        <w:div w:id="801925551">
          <w:marLeft w:val="0"/>
          <w:marRight w:val="0"/>
          <w:marTop w:val="0"/>
          <w:marBottom w:val="0"/>
          <w:divBdr>
            <w:top w:val="none" w:sz="0" w:space="0" w:color="auto"/>
            <w:left w:val="none" w:sz="0" w:space="0" w:color="auto"/>
            <w:bottom w:val="none" w:sz="0" w:space="0" w:color="auto"/>
            <w:right w:val="none" w:sz="0" w:space="0" w:color="auto"/>
          </w:divBdr>
        </w:div>
        <w:div w:id="356271358">
          <w:marLeft w:val="0"/>
          <w:marRight w:val="0"/>
          <w:marTop w:val="0"/>
          <w:marBottom w:val="0"/>
          <w:divBdr>
            <w:top w:val="none" w:sz="0" w:space="0" w:color="auto"/>
            <w:left w:val="none" w:sz="0" w:space="0" w:color="auto"/>
            <w:bottom w:val="none" w:sz="0" w:space="0" w:color="auto"/>
            <w:right w:val="none" w:sz="0" w:space="0" w:color="auto"/>
          </w:divBdr>
        </w:div>
        <w:div w:id="1375036283">
          <w:marLeft w:val="0"/>
          <w:marRight w:val="0"/>
          <w:marTop w:val="0"/>
          <w:marBottom w:val="0"/>
          <w:divBdr>
            <w:top w:val="none" w:sz="0" w:space="0" w:color="auto"/>
            <w:left w:val="none" w:sz="0" w:space="0" w:color="auto"/>
            <w:bottom w:val="none" w:sz="0" w:space="0" w:color="auto"/>
            <w:right w:val="none" w:sz="0" w:space="0" w:color="auto"/>
          </w:divBdr>
        </w:div>
        <w:div w:id="2130779973">
          <w:marLeft w:val="0"/>
          <w:marRight w:val="0"/>
          <w:marTop w:val="0"/>
          <w:marBottom w:val="0"/>
          <w:divBdr>
            <w:top w:val="none" w:sz="0" w:space="0" w:color="auto"/>
            <w:left w:val="none" w:sz="0" w:space="0" w:color="auto"/>
            <w:bottom w:val="none" w:sz="0" w:space="0" w:color="auto"/>
            <w:right w:val="none" w:sz="0" w:space="0" w:color="auto"/>
          </w:divBdr>
        </w:div>
        <w:div w:id="862742781">
          <w:marLeft w:val="0"/>
          <w:marRight w:val="0"/>
          <w:marTop w:val="0"/>
          <w:marBottom w:val="0"/>
          <w:divBdr>
            <w:top w:val="none" w:sz="0" w:space="0" w:color="auto"/>
            <w:left w:val="none" w:sz="0" w:space="0" w:color="auto"/>
            <w:bottom w:val="none" w:sz="0" w:space="0" w:color="auto"/>
            <w:right w:val="none" w:sz="0" w:space="0" w:color="auto"/>
          </w:divBdr>
        </w:div>
        <w:div w:id="1695568149">
          <w:marLeft w:val="0"/>
          <w:marRight w:val="0"/>
          <w:marTop w:val="0"/>
          <w:marBottom w:val="0"/>
          <w:divBdr>
            <w:top w:val="none" w:sz="0" w:space="0" w:color="auto"/>
            <w:left w:val="none" w:sz="0" w:space="0" w:color="auto"/>
            <w:bottom w:val="none" w:sz="0" w:space="0" w:color="auto"/>
            <w:right w:val="none" w:sz="0" w:space="0" w:color="auto"/>
          </w:divBdr>
        </w:div>
        <w:div w:id="1131361576">
          <w:marLeft w:val="0"/>
          <w:marRight w:val="0"/>
          <w:marTop w:val="0"/>
          <w:marBottom w:val="0"/>
          <w:divBdr>
            <w:top w:val="none" w:sz="0" w:space="0" w:color="auto"/>
            <w:left w:val="none" w:sz="0" w:space="0" w:color="auto"/>
            <w:bottom w:val="none" w:sz="0" w:space="0" w:color="auto"/>
            <w:right w:val="none" w:sz="0" w:space="0" w:color="auto"/>
          </w:divBdr>
        </w:div>
        <w:div w:id="1243026169">
          <w:marLeft w:val="0"/>
          <w:marRight w:val="0"/>
          <w:marTop w:val="0"/>
          <w:marBottom w:val="0"/>
          <w:divBdr>
            <w:top w:val="none" w:sz="0" w:space="0" w:color="auto"/>
            <w:left w:val="none" w:sz="0" w:space="0" w:color="auto"/>
            <w:bottom w:val="none" w:sz="0" w:space="0" w:color="auto"/>
            <w:right w:val="none" w:sz="0" w:space="0" w:color="auto"/>
          </w:divBdr>
        </w:div>
        <w:div w:id="1594897952">
          <w:marLeft w:val="0"/>
          <w:marRight w:val="0"/>
          <w:marTop w:val="0"/>
          <w:marBottom w:val="0"/>
          <w:divBdr>
            <w:top w:val="none" w:sz="0" w:space="0" w:color="auto"/>
            <w:left w:val="none" w:sz="0" w:space="0" w:color="auto"/>
            <w:bottom w:val="none" w:sz="0" w:space="0" w:color="auto"/>
            <w:right w:val="none" w:sz="0" w:space="0" w:color="auto"/>
          </w:divBdr>
        </w:div>
        <w:div w:id="27344547">
          <w:marLeft w:val="0"/>
          <w:marRight w:val="0"/>
          <w:marTop w:val="0"/>
          <w:marBottom w:val="0"/>
          <w:divBdr>
            <w:top w:val="none" w:sz="0" w:space="0" w:color="auto"/>
            <w:left w:val="none" w:sz="0" w:space="0" w:color="auto"/>
            <w:bottom w:val="none" w:sz="0" w:space="0" w:color="auto"/>
            <w:right w:val="none" w:sz="0" w:space="0" w:color="auto"/>
          </w:divBdr>
        </w:div>
        <w:div w:id="191188822">
          <w:marLeft w:val="0"/>
          <w:marRight w:val="0"/>
          <w:marTop w:val="0"/>
          <w:marBottom w:val="0"/>
          <w:divBdr>
            <w:top w:val="none" w:sz="0" w:space="0" w:color="auto"/>
            <w:left w:val="none" w:sz="0" w:space="0" w:color="auto"/>
            <w:bottom w:val="none" w:sz="0" w:space="0" w:color="auto"/>
            <w:right w:val="none" w:sz="0" w:space="0" w:color="auto"/>
          </w:divBdr>
        </w:div>
        <w:div w:id="780418910">
          <w:marLeft w:val="0"/>
          <w:marRight w:val="0"/>
          <w:marTop w:val="0"/>
          <w:marBottom w:val="0"/>
          <w:divBdr>
            <w:top w:val="none" w:sz="0" w:space="0" w:color="auto"/>
            <w:left w:val="none" w:sz="0" w:space="0" w:color="auto"/>
            <w:bottom w:val="none" w:sz="0" w:space="0" w:color="auto"/>
            <w:right w:val="none" w:sz="0" w:space="0" w:color="auto"/>
          </w:divBdr>
        </w:div>
        <w:div w:id="142283745">
          <w:marLeft w:val="0"/>
          <w:marRight w:val="0"/>
          <w:marTop w:val="0"/>
          <w:marBottom w:val="0"/>
          <w:divBdr>
            <w:top w:val="none" w:sz="0" w:space="0" w:color="auto"/>
            <w:left w:val="none" w:sz="0" w:space="0" w:color="auto"/>
            <w:bottom w:val="none" w:sz="0" w:space="0" w:color="auto"/>
            <w:right w:val="none" w:sz="0" w:space="0" w:color="auto"/>
          </w:divBdr>
        </w:div>
        <w:div w:id="607590776">
          <w:marLeft w:val="0"/>
          <w:marRight w:val="0"/>
          <w:marTop w:val="0"/>
          <w:marBottom w:val="0"/>
          <w:divBdr>
            <w:top w:val="none" w:sz="0" w:space="0" w:color="auto"/>
            <w:left w:val="none" w:sz="0" w:space="0" w:color="auto"/>
            <w:bottom w:val="none" w:sz="0" w:space="0" w:color="auto"/>
            <w:right w:val="none" w:sz="0" w:space="0" w:color="auto"/>
          </w:divBdr>
        </w:div>
        <w:div w:id="353001574">
          <w:marLeft w:val="0"/>
          <w:marRight w:val="0"/>
          <w:marTop w:val="0"/>
          <w:marBottom w:val="0"/>
          <w:divBdr>
            <w:top w:val="none" w:sz="0" w:space="0" w:color="auto"/>
            <w:left w:val="none" w:sz="0" w:space="0" w:color="auto"/>
            <w:bottom w:val="none" w:sz="0" w:space="0" w:color="auto"/>
            <w:right w:val="none" w:sz="0" w:space="0" w:color="auto"/>
          </w:divBdr>
        </w:div>
        <w:div w:id="1252616917">
          <w:marLeft w:val="0"/>
          <w:marRight w:val="0"/>
          <w:marTop w:val="0"/>
          <w:marBottom w:val="0"/>
          <w:divBdr>
            <w:top w:val="none" w:sz="0" w:space="0" w:color="auto"/>
            <w:left w:val="none" w:sz="0" w:space="0" w:color="auto"/>
            <w:bottom w:val="none" w:sz="0" w:space="0" w:color="auto"/>
            <w:right w:val="none" w:sz="0" w:space="0" w:color="auto"/>
          </w:divBdr>
        </w:div>
        <w:div w:id="675885941">
          <w:marLeft w:val="0"/>
          <w:marRight w:val="0"/>
          <w:marTop w:val="0"/>
          <w:marBottom w:val="0"/>
          <w:divBdr>
            <w:top w:val="none" w:sz="0" w:space="0" w:color="auto"/>
            <w:left w:val="none" w:sz="0" w:space="0" w:color="auto"/>
            <w:bottom w:val="none" w:sz="0" w:space="0" w:color="auto"/>
            <w:right w:val="none" w:sz="0" w:space="0" w:color="auto"/>
          </w:divBdr>
        </w:div>
        <w:div w:id="753474770">
          <w:marLeft w:val="0"/>
          <w:marRight w:val="0"/>
          <w:marTop w:val="0"/>
          <w:marBottom w:val="0"/>
          <w:divBdr>
            <w:top w:val="none" w:sz="0" w:space="0" w:color="auto"/>
            <w:left w:val="none" w:sz="0" w:space="0" w:color="auto"/>
            <w:bottom w:val="none" w:sz="0" w:space="0" w:color="auto"/>
            <w:right w:val="none" w:sz="0" w:space="0" w:color="auto"/>
          </w:divBdr>
        </w:div>
        <w:div w:id="896820327">
          <w:marLeft w:val="0"/>
          <w:marRight w:val="0"/>
          <w:marTop w:val="0"/>
          <w:marBottom w:val="0"/>
          <w:divBdr>
            <w:top w:val="none" w:sz="0" w:space="0" w:color="auto"/>
            <w:left w:val="none" w:sz="0" w:space="0" w:color="auto"/>
            <w:bottom w:val="none" w:sz="0" w:space="0" w:color="auto"/>
            <w:right w:val="none" w:sz="0" w:space="0" w:color="auto"/>
          </w:divBdr>
        </w:div>
        <w:div w:id="1754011244">
          <w:marLeft w:val="0"/>
          <w:marRight w:val="0"/>
          <w:marTop w:val="0"/>
          <w:marBottom w:val="0"/>
          <w:divBdr>
            <w:top w:val="none" w:sz="0" w:space="0" w:color="auto"/>
            <w:left w:val="none" w:sz="0" w:space="0" w:color="auto"/>
            <w:bottom w:val="none" w:sz="0" w:space="0" w:color="auto"/>
            <w:right w:val="none" w:sz="0" w:space="0" w:color="auto"/>
          </w:divBdr>
        </w:div>
        <w:div w:id="972949478">
          <w:marLeft w:val="0"/>
          <w:marRight w:val="0"/>
          <w:marTop w:val="0"/>
          <w:marBottom w:val="0"/>
          <w:divBdr>
            <w:top w:val="none" w:sz="0" w:space="0" w:color="auto"/>
            <w:left w:val="none" w:sz="0" w:space="0" w:color="auto"/>
            <w:bottom w:val="none" w:sz="0" w:space="0" w:color="auto"/>
            <w:right w:val="none" w:sz="0" w:space="0" w:color="auto"/>
          </w:divBdr>
        </w:div>
      </w:divsChild>
    </w:div>
    <w:div w:id="328487832">
      <w:bodyDiv w:val="1"/>
      <w:marLeft w:val="0"/>
      <w:marRight w:val="0"/>
      <w:marTop w:val="0"/>
      <w:marBottom w:val="0"/>
      <w:divBdr>
        <w:top w:val="none" w:sz="0" w:space="0" w:color="auto"/>
        <w:left w:val="none" w:sz="0" w:space="0" w:color="auto"/>
        <w:bottom w:val="none" w:sz="0" w:space="0" w:color="auto"/>
        <w:right w:val="none" w:sz="0" w:space="0" w:color="auto"/>
      </w:divBdr>
    </w:div>
    <w:div w:id="488054887">
      <w:bodyDiv w:val="1"/>
      <w:marLeft w:val="0"/>
      <w:marRight w:val="0"/>
      <w:marTop w:val="0"/>
      <w:marBottom w:val="0"/>
      <w:divBdr>
        <w:top w:val="none" w:sz="0" w:space="0" w:color="auto"/>
        <w:left w:val="none" w:sz="0" w:space="0" w:color="auto"/>
        <w:bottom w:val="none" w:sz="0" w:space="0" w:color="auto"/>
        <w:right w:val="none" w:sz="0" w:space="0" w:color="auto"/>
      </w:divBdr>
    </w:div>
    <w:div w:id="501429036">
      <w:bodyDiv w:val="1"/>
      <w:marLeft w:val="0"/>
      <w:marRight w:val="0"/>
      <w:marTop w:val="0"/>
      <w:marBottom w:val="0"/>
      <w:divBdr>
        <w:top w:val="none" w:sz="0" w:space="0" w:color="auto"/>
        <w:left w:val="none" w:sz="0" w:space="0" w:color="auto"/>
        <w:bottom w:val="none" w:sz="0" w:space="0" w:color="auto"/>
        <w:right w:val="none" w:sz="0" w:space="0" w:color="auto"/>
      </w:divBdr>
      <w:divsChild>
        <w:div w:id="104812357">
          <w:marLeft w:val="0"/>
          <w:marRight w:val="0"/>
          <w:marTop w:val="0"/>
          <w:marBottom w:val="0"/>
          <w:divBdr>
            <w:top w:val="none" w:sz="0" w:space="0" w:color="auto"/>
            <w:left w:val="none" w:sz="0" w:space="0" w:color="auto"/>
            <w:bottom w:val="none" w:sz="0" w:space="0" w:color="auto"/>
            <w:right w:val="none" w:sz="0" w:space="0" w:color="auto"/>
          </w:divBdr>
          <w:divsChild>
            <w:div w:id="860239729">
              <w:marLeft w:val="0"/>
              <w:marRight w:val="0"/>
              <w:marTop w:val="0"/>
              <w:marBottom w:val="0"/>
              <w:divBdr>
                <w:top w:val="none" w:sz="0" w:space="0" w:color="auto"/>
                <w:left w:val="none" w:sz="0" w:space="0" w:color="auto"/>
                <w:bottom w:val="none" w:sz="0" w:space="0" w:color="auto"/>
                <w:right w:val="none" w:sz="0" w:space="0" w:color="auto"/>
              </w:divBdr>
              <w:divsChild>
                <w:div w:id="1725332300">
                  <w:marLeft w:val="0"/>
                  <w:marRight w:val="0"/>
                  <w:marTop w:val="0"/>
                  <w:marBottom w:val="0"/>
                  <w:divBdr>
                    <w:top w:val="none" w:sz="0" w:space="0" w:color="auto"/>
                    <w:left w:val="none" w:sz="0" w:space="0" w:color="auto"/>
                    <w:bottom w:val="none" w:sz="0" w:space="0" w:color="auto"/>
                    <w:right w:val="none" w:sz="0" w:space="0" w:color="auto"/>
                  </w:divBdr>
                  <w:divsChild>
                    <w:div w:id="1639064124">
                      <w:marLeft w:val="0"/>
                      <w:marRight w:val="0"/>
                      <w:marTop w:val="0"/>
                      <w:marBottom w:val="0"/>
                      <w:divBdr>
                        <w:top w:val="none" w:sz="0" w:space="0" w:color="auto"/>
                        <w:left w:val="none" w:sz="0" w:space="0" w:color="auto"/>
                        <w:bottom w:val="none" w:sz="0" w:space="0" w:color="auto"/>
                        <w:right w:val="none" w:sz="0" w:space="0" w:color="auto"/>
                      </w:divBdr>
                      <w:divsChild>
                        <w:div w:id="20448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9477">
      <w:bodyDiv w:val="1"/>
      <w:marLeft w:val="0"/>
      <w:marRight w:val="0"/>
      <w:marTop w:val="0"/>
      <w:marBottom w:val="0"/>
      <w:divBdr>
        <w:top w:val="none" w:sz="0" w:space="0" w:color="auto"/>
        <w:left w:val="none" w:sz="0" w:space="0" w:color="auto"/>
        <w:bottom w:val="none" w:sz="0" w:space="0" w:color="auto"/>
        <w:right w:val="none" w:sz="0" w:space="0" w:color="auto"/>
      </w:divBdr>
    </w:div>
    <w:div w:id="583875384">
      <w:bodyDiv w:val="1"/>
      <w:marLeft w:val="0"/>
      <w:marRight w:val="0"/>
      <w:marTop w:val="0"/>
      <w:marBottom w:val="0"/>
      <w:divBdr>
        <w:top w:val="none" w:sz="0" w:space="0" w:color="auto"/>
        <w:left w:val="none" w:sz="0" w:space="0" w:color="auto"/>
        <w:bottom w:val="none" w:sz="0" w:space="0" w:color="auto"/>
        <w:right w:val="none" w:sz="0" w:space="0" w:color="auto"/>
      </w:divBdr>
    </w:div>
    <w:div w:id="642657267">
      <w:bodyDiv w:val="1"/>
      <w:marLeft w:val="0"/>
      <w:marRight w:val="0"/>
      <w:marTop w:val="0"/>
      <w:marBottom w:val="0"/>
      <w:divBdr>
        <w:top w:val="none" w:sz="0" w:space="0" w:color="auto"/>
        <w:left w:val="none" w:sz="0" w:space="0" w:color="auto"/>
        <w:bottom w:val="none" w:sz="0" w:space="0" w:color="auto"/>
        <w:right w:val="none" w:sz="0" w:space="0" w:color="auto"/>
      </w:divBdr>
    </w:div>
    <w:div w:id="768280127">
      <w:bodyDiv w:val="1"/>
      <w:marLeft w:val="0"/>
      <w:marRight w:val="0"/>
      <w:marTop w:val="0"/>
      <w:marBottom w:val="0"/>
      <w:divBdr>
        <w:top w:val="none" w:sz="0" w:space="0" w:color="auto"/>
        <w:left w:val="none" w:sz="0" w:space="0" w:color="auto"/>
        <w:bottom w:val="none" w:sz="0" w:space="0" w:color="auto"/>
        <w:right w:val="none" w:sz="0" w:space="0" w:color="auto"/>
      </w:divBdr>
      <w:divsChild>
        <w:div w:id="523636047">
          <w:marLeft w:val="0"/>
          <w:marRight w:val="0"/>
          <w:marTop w:val="300"/>
          <w:marBottom w:val="300"/>
          <w:divBdr>
            <w:top w:val="none" w:sz="0" w:space="0" w:color="auto"/>
            <w:left w:val="none" w:sz="0" w:space="0" w:color="auto"/>
            <w:bottom w:val="none" w:sz="0" w:space="0" w:color="auto"/>
            <w:right w:val="none" w:sz="0" w:space="0" w:color="auto"/>
          </w:divBdr>
          <w:divsChild>
            <w:div w:id="824394581">
              <w:marLeft w:val="0"/>
              <w:marRight w:val="0"/>
              <w:marTop w:val="0"/>
              <w:marBottom w:val="0"/>
              <w:divBdr>
                <w:top w:val="none" w:sz="0" w:space="0" w:color="auto"/>
                <w:left w:val="none" w:sz="0" w:space="0" w:color="auto"/>
                <w:bottom w:val="none" w:sz="0" w:space="0" w:color="auto"/>
                <w:right w:val="none" w:sz="0" w:space="0" w:color="auto"/>
              </w:divBdr>
              <w:divsChild>
                <w:div w:id="30305919">
                  <w:marLeft w:val="150"/>
                  <w:marRight w:val="150"/>
                  <w:marTop w:val="150"/>
                  <w:marBottom w:val="150"/>
                  <w:divBdr>
                    <w:top w:val="none" w:sz="0" w:space="0" w:color="auto"/>
                    <w:left w:val="none" w:sz="0" w:space="0" w:color="auto"/>
                    <w:bottom w:val="none" w:sz="0" w:space="0" w:color="auto"/>
                    <w:right w:val="none" w:sz="0" w:space="0" w:color="auto"/>
                  </w:divBdr>
                  <w:divsChild>
                    <w:div w:id="1373842642">
                      <w:marLeft w:val="0"/>
                      <w:marRight w:val="0"/>
                      <w:marTop w:val="0"/>
                      <w:marBottom w:val="0"/>
                      <w:divBdr>
                        <w:top w:val="none" w:sz="0" w:space="0" w:color="auto"/>
                        <w:left w:val="none" w:sz="0" w:space="0" w:color="auto"/>
                        <w:bottom w:val="none" w:sz="0" w:space="0" w:color="auto"/>
                        <w:right w:val="none" w:sz="0" w:space="0" w:color="auto"/>
                      </w:divBdr>
                      <w:divsChild>
                        <w:div w:id="845438377">
                          <w:marLeft w:val="0"/>
                          <w:marRight w:val="0"/>
                          <w:marTop w:val="0"/>
                          <w:marBottom w:val="0"/>
                          <w:divBdr>
                            <w:top w:val="none" w:sz="0" w:space="0" w:color="auto"/>
                            <w:left w:val="none" w:sz="0" w:space="0" w:color="auto"/>
                            <w:bottom w:val="none" w:sz="0" w:space="0" w:color="auto"/>
                            <w:right w:val="none" w:sz="0" w:space="0" w:color="auto"/>
                          </w:divBdr>
                          <w:divsChild>
                            <w:div w:id="520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89692">
      <w:bodyDiv w:val="1"/>
      <w:marLeft w:val="0"/>
      <w:marRight w:val="0"/>
      <w:marTop w:val="0"/>
      <w:marBottom w:val="0"/>
      <w:divBdr>
        <w:top w:val="none" w:sz="0" w:space="0" w:color="auto"/>
        <w:left w:val="none" w:sz="0" w:space="0" w:color="auto"/>
        <w:bottom w:val="none" w:sz="0" w:space="0" w:color="auto"/>
        <w:right w:val="none" w:sz="0" w:space="0" w:color="auto"/>
      </w:divBdr>
      <w:divsChild>
        <w:div w:id="724067947">
          <w:marLeft w:val="0"/>
          <w:marRight w:val="0"/>
          <w:marTop w:val="0"/>
          <w:marBottom w:val="0"/>
          <w:divBdr>
            <w:top w:val="none" w:sz="0" w:space="0" w:color="auto"/>
            <w:left w:val="none" w:sz="0" w:space="0" w:color="auto"/>
            <w:bottom w:val="none" w:sz="0" w:space="0" w:color="auto"/>
            <w:right w:val="none" w:sz="0" w:space="0" w:color="auto"/>
          </w:divBdr>
          <w:divsChild>
            <w:div w:id="2114200092">
              <w:marLeft w:val="0"/>
              <w:marRight w:val="0"/>
              <w:marTop w:val="0"/>
              <w:marBottom w:val="0"/>
              <w:divBdr>
                <w:top w:val="none" w:sz="0" w:space="0" w:color="auto"/>
                <w:left w:val="none" w:sz="0" w:space="0" w:color="auto"/>
                <w:bottom w:val="none" w:sz="0" w:space="0" w:color="auto"/>
                <w:right w:val="none" w:sz="0" w:space="0" w:color="auto"/>
              </w:divBdr>
              <w:divsChild>
                <w:div w:id="1073626343">
                  <w:marLeft w:val="0"/>
                  <w:marRight w:val="0"/>
                  <w:marTop w:val="0"/>
                  <w:marBottom w:val="0"/>
                  <w:divBdr>
                    <w:top w:val="none" w:sz="0" w:space="0" w:color="auto"/>
                    <w:left w:val="none" w:sz="0" w:space="0" w:color="auto"/>
                    <w:bottom w:val="none" w:sz="0" w:space="0" w:color="auto"/>
                    <w:right w:val="none" w:sz="0" w:space="0" w:color="auto"/>
                  </w:divBdr>
                  <w:divsChild>
                    <w:div w:id="1634287872">
                      <w:marLeft w:val="0"/>
                      <w:marRight w:val="0"/>
                      <w:marTop w:val="0"/>
                      <w:marBottom w:val="0"/>
                      <w:divBdr>
                        <w:top w:val="none" w:sz="0" w:space="0" w:color="auto"/>
                        <w:left w:val="none" w:sz="0" w:space="0" w:color="auto"/>
                        <w:bottom w:val="none" w:sz="0" w:space="0" w:color="auto"/>
                        <w:right w:val="none" w:sz="0" w:space="0" w:color="auto"/>
                      </w:divBdr>
                      <w:divsChild>
                        <w:div w:id="16622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84682">
      <w:bodyDiv w:val="1"/>
      <w:marLeft w:val="0"/>
      <w:marRight w:val="0"/>
      <w:marTop w:val="0"/>
      <w:marBottom w:val="0"/>
      <w:divBdr>
        <w:top w:val="none" w:sz="0" w:space="0" w:color="auto"/>
        <w:left w:val="none" w:sz="0" w:space="0" w:color="auto"/>
        <w:bottom w:val="none" w:sz="0" w:space="0" w:color="auto"/>
        <w:right w:val="none" w:sz="0" w:space="0" w:color="auto"/>
      </w:divBdr>
    </w:div>
    <w:div w:id="1146509634">
      <w:bodyDiv w:val="1"/>
      <w:marLeft w:val="0"/>
      <w:marRight w:val="0"/>
      <w:marTop w:val="0"/>
      <w:marBottom w:val="0"/>
      <w:divBdr>
        <w:top w:val="none" w:sz="0" w:space="0" w:color="auto"/>
        <w:left w:val="none" w:sz="0" w:space="0" w:color="auto"/>
        <w:bottom w:val="none" w:sz="0" w:space="0" w:color="auto"/>
        <w:right w:val="none" w:sz="0" w:space="0" w:color="auto"/>
      </w:divBdr>
      <w:divsChild>
        <w:div w:id="924338870">
          <w:marLeft w:val="216"/>
          <w:marRight w:val="216"/>
          <w:marTop w:val="336"/>
          <w:marBottom w:val="216"/>
          <w:divBdr>
            <w:top w:val="none" w:sz="0" w:space="0" w:color="auto"/>
            <w:left w:val="none" w:sz="0" w:space="0" w:color="auto"/>
            <w:bottom w:val="none" w:sz="0" w:space="0" w:color="auto"/>
            <w:right w:val="none" w:sz="0" w:space="0" w:color="auto"/>
          </w:divBdr>
          <w:divsChild>
            <w:div w:id="485785133">
              <w:marLeft w:val="2700"/>
              <w:marRight w:val="240"/>
              <w:marTop w:val="0"/>
              <w:marBottom w:val="0"/>
              <w:divBdr>
                <w:top w:val="none" w:sz="0" w:space="0" w:color="auto"/>
                <w:left w:val="none" w:sz="0" w:space="0" w:color="auto"/>
                <w:bottom w:val="none" w:sz="0" w:space="0" w:color="auto"/>
                <w:right w:val="none" w:sz="0" w:space="0" w:color="auto"/>
              </w:divBdr>
              <w:divsChild>
                <w:div w:id="412627712">
                  <w:marLeft w:val="0"/>
                  <w:marRight w:val="0"/>
                  <w:marTop w:val="0"/>
                  <w:marBottom w:val="0"/>
                  <w:divBdr>
                    <w:top w:val="none" w:sz="0" w:space="0" w:color="auto"/>
                    <w:left w:val="none" w:sz="0" w:space="0" w:color="auto"/>
                    <w:bottom w:val="none" w:sz="0" w:space="0" w:color="auto"/>
                    <w:right w:val="none" w:sz="0" w:space="0" w:color="auto"/>
                  </w:divBdr>
                  <w:divsChild>
                    <w:div w:id="211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2968">
      <w:bodyDiv w:val="1"/>
      <w:marLeft w:val="0"/>
      <w:marRight w:val="0"/>
      <w:marTop w:val="0"/>
      <w:marBottom w:val="0"/>
      <w:divBdr>
        <w:top w:val="none" w:sz="0" w:space="0" w:color="auto"/>
        <w:left w:val="none" w:sz="0" w:space="0" w:color="auto"/>
        <w:bottom w:val="none" w:sz="0" w:space="0" w:color="auto"/>
        <w:right w:val="none" w:sz="0" w:space="0" w:color="auto"/>
      </w:divBdr>
    </w:div>
    <w:div w:id="1462773220">
      <w:bodyDiv w:val="1"/>
      <w:marLeft w:val="0"/>
      <w:marRight w:val="0"/>
      <w:marTop w:val="0"/>
      <w:marBottom w:val="0"/>
      <w:divBdr>
        <w:top w:val="none" w:sz="0" w:space="0" w:color="auto"/>
        <w:left w:val="none" w:sz="0" w:space="0" w:color="auto"/>
        <w:bottom w:val="none" w:sz="0" w:space="0" w:color="auto"/>
        <w:right w:val="none" w:sz="0" w:space="0" w:color="auto"/>
      </w:divBdr>
      <w:divsChild>
        <w:div w:id="1851484263">
          <w:marLeft w:val="0"/>
          <w:marRight w:val="0"/>
          <w:marTop w:val="0"/>
          <w:marBottom w:val="0"/>
          <w:divBdr>
            <w:top w:val="none" w:sz="0" w:space="0" w:color="auto"/>
            <w:left w:val="none" w:sz="0" w:space="0" w:color="auto"/>
            <w:bottom w:val="none" w:sz="0" w:space="0" w:color="auto"/>
            <w:right w:val="none" w:sz="0" w:space="0" w:color="auto"/>
          </w:divBdr>
          <w:divsChild>
            <w:div w:id="2119133277">
              <w:marLeft w:val="0"/>
              <w:marRight w:val="0"/>
              <w:marTop w:val="0"/>
              <w:marBottom w:val="0"/>
              <w:divBdr>
                <w:top w:val="none" w:sz="0" w:space="0" w:color="auto"/>
                <w:left w:val="none" w:sz="0" w:space="0" w:color="auto"/>
                <w:bottom w:val="none" w:sz="0" w:space="0" w:color="auto"/>
                <w:right w:val="none" w:sz="0" w:space="0" w:color="auto"/>
              </w:divBdr>
              <w:divsChild>
                <w:div w:id="1600486712">
                  <w:marLeft w:val="0"/>
                  <w:marRight w:val="0"/>
                  <w:marTop w:val="0"/>
                  <w:marBottom w:val="0"/>
                  <w:divBdr>
                    <w:top w:val="none" w:sz="0" w:space="0" w:color="auto"/>
                    <w:left w:val="none" w:sz="0" w:space="0" w:color="auto"/>
                    <w:bottom w:val="none" w:sz="0" w:space="0" w:color="auto"/>
                    <w:right w:val="none" w:sz="0" w:space="0" w:color="auto"/>
                  </w:divBdr>
                  <w:divsChild>
                    <w:div w:id="722827735">
                      <w:marLeft w:val="0"/>
                      <w:marRight w:val="0"/>
                      <w:marTop w:val="0"/>
                      <w:marBottom w:val="0"/>
                      <w:divBdr>
                        <w:top w:val="none" w:sz="0" w:space="0" w:color="auto"/>
                        <w:left w:val="none" w:sz="0" w:space="0" w:color="auto"/>
                        <w:bottom w:val="none" w:sz="0" w:space="0" w:color="auto"/>
                        <w:right w:val="none" w:sz="0" w:space="0" w:color="auto"/>
                      </w:divBdr>
                      <w:divsChild>
                        <w:div w:id="10794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048896">
      <w:bodyDiv w:val="1"/>
      <w:marLeft w:val="0"/>
      <w:marRight w:val="0"/>
      <w:marTop w:val="0"/>
      <w:marBottom w:val="0"/>
      <w:divBdr>
        <w:top w:val="none" w:sz="0" w:space="0" w:color="auto"/>
        <w:left w:val="none" w:sz="0" w:space="0" w:color="auto"/>
        <w:bottom w:val="none" w:sz="0" w:space="0" w:color="auto"/>
        <w:right w:val="none" w:sz="0" w:space="0" w:color="auto"/>
      </w:divBdr>
    </w:div>
    <w:div w:id="1619533664">
      <w:bodyDiv w:val="1"/>
      <w:marLeft w:val="0"/>
      <w:marRight w:val="0"/>
      <w:marTop w:val="0"/>
      <w:marBottom w:val="0"/>
      <w:divBdr>
        <w:top w:val="none" w:sz="0" w:space="0" w:color="auto"/>
        <w:left w:val="none" w:sz="0" w:space="0" w:color="auto"/>
        <w:bottom w:val="none" w:sz="0" w:space="0" w:color="auto"/>
        <w:right w:val="none" w:sz="0" w:space="0" w:color="auto"/>
      </w:divBdr>
    </w:div>
    <w:div w:id="1877812075">
      <w:bodyDiv w:val="1"/>
      <w:marLeft w:val="0"/>
      <w:marRight w:val="0"/>
      <w:marTop w:val="0"/>
      <w:marBottom w:val="0"/>
      <w:divBdr>
        <w:top w:val="none" w:sz="0" w:space="0" w:color="auto"/>
        <w:left w:val="none" w:sz="0" w:space="0" w:color="auto"/>
        <w:bottom w:val="none" w:sz="0" w:space="0" w:color="auto"/>
        <w:right w:val="none" w:sz="0" w:space="0" w:color="auto"/>
      </w:divBdr>
      <w:divsChild>
        <w:div w:id="1226572089">
          <w:marLeft w:val="0"/>
          <w:marRight w:val="0"/>
          <w:marTop w:val="0"/>
          <w:marBottom w:val="0"/>
          <w:divBdr>
            <w:top w:val="none" w:sz="0" w:space="0" w:color="auto"/>
            <w:left w:val="none" w:sz="0" w:space="0" w:color="auto"/>
            <w:bottom w:val="none" w:sz="0" w:space="0" w:color="auto"/>
            <w:right w:val="none" w:sz="0" w:space="0" w:color="auto"/>
          </w:divBdr>
          <w:divsChild>
            <w:div w:id="707294582">
              <w:marLeft w:val="0"/>
              <w:marRight w:val="0"/>
              <w:marTop w:val="0"/>
              <w:marBottom w:val="0"/>
              <w:divBdr>
                <w:top w:val="none" w:sz="0" w:space="0" w:color="auto"/>
                <w:left w:val="none" w:sz="0" w:space="0" w:color="auto"/>
                <w:bottom w:val="none" w:sz="0" w:space="0" w:color="auto"/>
                <w:right w:val="none" w:sz="0" w:space="0" w:color="auto"/>
              </w:divBdr>
              <w:divsChild>
                <w:div w:id="1874034187">
                  <w:marLeft w:val="0"/>
                  <w:marRight w:val="0"/>
                  <w:marTop w:val="0"/>
                  <w:marBottom w:val="0"/>
                  <w:divBdr>
                    <w:top w:val="none" w:sz="0" w:space="0" w:color="auto"/>
                    <w:left w:val="none" w:sz="0" w:space="0" w:color="auto"/>
                    <w:bottom w:val="none" w:sz="0" w:space="0" w:color="auto"/>
                    <w:right w:val="none" w:sz="0" w:space="0" w:color="auto"/>
                  </w:divBdr>
                  <w:divsChild>
                    <w:div w:id="1493789943">
                      <w:marLeft w:val="0"/>
                      <w:marRight w:val="0"/>
                      <w:marTop w:val="0"/>
                      <w:marBottom w:val="0"/>
                      <w:divBdr>
                        <w:top w:val="none" w:sz="0" w:space="0" w:color="auto"/>
                        <w:left w:val="none" w:sz="0" w:space="0" w:color="auto"/>
                        <w:bottom w:val="none" w:sz="0" w:space="0" w:color="auto"/>
                        <w:right w:val="none" w:sz="0" w:space="0" w:color="auto"/>
                      </w:divBdr>
                      <w:divsChild>
                        <w:div w:id="1181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903754">
      <w:bodyDiv w:val="1"/>
      <w:marLeft w:val="0"/>
      <w:marRight w:val="0"/>
      <w:marTop w:val="0"/>
      <w:marBottom w:val="0"/>
      <w:divBdr>
        <w:top w:val="none" w:sz="0" w:space="0" w:color="auto"/>
        <w:left w:val="none" w:sz="0" w:space="0" w:color="auto"/>
        <w:bottom w:val="none" w:sz="0" w:space="0" w:color="auto"/>
        <w:right w:val="none" w:sz="0" w:space="0" w:color="auto"/>
      </w:divBdr>
      <w:divsChild>
        <w:div w:id="1727412261">
          <w:marLeft w:val="0"/>
          <w:marRight w:val="0"/>
          <w:marTop w:val="0"/>
          <w:marBottom w:val="0"/>
          <w:divBdr>
            <w:top w:val="none" w:sz="0" w:space="0" w:color="auto"/>
            <w:left w:val="none" w:sz="0" w:space="0" w:color="auto"/>
            <w:bottom w:val="none" w:sz="0" w:space="0" w:color="auto"/>
            <w:right w:val="none" w:sz="0" w:space="0" w:color="auto"/>
          </w:divBdr>
          <w:divsChild>
            <w:div w:id="1980068781">
              <w:marLeft w:val="0"/>
              <w:marRight w:val="0"/>
              <w:marTop w:val="0"/>
              <w:marBottom w:val="0"/>
              <w:divBdr>
                <w:top w:val="none" w:sz="0" w:space="0" w:color="auto"/>
                <w:left w:val="none" w:sz="0" w:space="0" w:color="auto"/>
                <w:bottom w:val="none" w:sz="0" w:space="0" w:color="auto"/>
                <w:right w:val="none" w:sz="0" w:space="0" w:color="auto"/>
              </w:divBdr>
              <w:divsChild>
                <w:div w:id="1599751723">
                  <w:marLeft w:val="0"/>
                  <w:marRight w:val="0"/>
                  <w:marTop w:val="0"/>
                  <w:marBottom w:val="0"/>
                  <w:divBdr>
                    <w:top w:val="none" w:sz="0" w:space="0" w:color="auto"/>
                    <w:left w:val="none" w:sz="0" w:space="0" w:color="auto"/>
                    <w:bottom w:val="none" w:sz="0" w:space="0" w:color="auto"/>
                    <w:right w:val="none" w:sz="0" w:space="0" w:color="auto"/>
                  </w:divBdr>
                  <w:divsChild>
                    <w:div w:id="1824658232">
                      <w:marLeft w:val="0"/>
                      <w:marRight w:val="0"/>
                      <w:marTop w:val="0"/>
                      <w:marBottom w:val="0"/>
                      <w:divBdr>
                        <w:top w:val="none" w:sz="0" w:space="0" w:color="auto"/>
                        <w:left w:val="none" w:sz="0" w:space="0" w:color="auto"/>
                        <w:bottom w:val="none" w:sz="0" w:space="0" w:color="auto"/>
                        <w:right w:val="none" w:sz="0" w:space="0" w:color="auto"/>
                      </w:divBdr>
                      <w:divsChild>
                        <w:div w:id="5448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ages/Real-Estate-Institute-of-Australia-REIA/304742799577937?fref=ts" TargetMode="External"/><Relationship Id="rId18" Type="http://schemas.openxmlformats.org/officeDocument/2006/relationships/footer" Target="footer1.xml"/><Relationship Id="rId26" Type="http://schemas.openxmlformats.org/officeDocument/2006/relationships/customXml" Target="../customXml/item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twitter.com/REIANational" TargetMode="External"/><Relationship Id="rId17" Type="http://schemas.openxmlformats.org/officeDocument/2006/relationships/chart" Target="charts/chart2.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facebook.com/pages/Real-Estate-Institute-of-Australia-REIA/304742799577937?fref=ts" TargetMode="External"/><Relationship Id="rId23" Type="http://schemas.openxmlformats.org/officeDocument/2006/relationships/customXml" Target="../customXml/item4.xml"/><Relationship Id="rId10" Type="http://schemas.openxmlformats.org/officeDocument/2006/relationships/hyperlink" Target="https://twitter.com/REIANationa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D:\REIA\Requests\20191219%20Reques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IA\Requests\20191219%20Reques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Loans!$L$10</c:f>
              <c:strCache>
                <c:ptCount val="1"/>
                <c:pt idx="0">
                  <c:v>Total loans (excluding refinancing)</c:v>
                </c:pt>
              </c:strCache>
            </c:strRef>
          </c:tx>
          <c:spPr>
            <a:solidFill>
              <a:schemeClr val="accent1"/>
            </a:solidFill>
            <a:ln>
              <a:noFill/>
            </a:ln>
            <a:effectLst/>
          </c:spPr>
          <c:invertIfNegative val="0"/>
          <c:cat>
            <c:numRef>
              <c:f>Loans!$K$11:$K$247</c:f>
              <c:numCache>
                <c:formatCode>yyyy</c:formatCode>
                <c:ptCount val="23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pt idx="152">
                  <c:v>41153</c:v>
                </c:pt>
                <c:pt idx="153">
                  <c:v>41183</c:v>
                </c:pt>
                <c:pt idx="154">
                  <c:v>41214</c:v>
                </c:pt>
                <c:pt idx="155">
                  <c:v>41244</c:v>
                </c:pt>
                <c:pt idx="156">
                  <c:v>41275</c:v>
                </c:pt>
                <c:pt idx="157">
                  <c:v>41306</c:v>
                </c:pt>
                <c:pt idx="158">
                  <c:v>41334</c:v>
                </c:pt>
                <c:pt idx="159">
                  <c:v>41365</c:v>
                </c:pt>
                <c:pt idx="160">
                  <c:v>41395</c:v>
                </c:pt>
                <c:pt idx="161">
                  <c:v>41426</c:v>
                </c:pt>
                <c:pt idx="162">
                  <c:v>41456</c:v>
                </c:pt>
                <c:pt idx="163">
                  <c:v>41487</c:v>
                </c:pt>
                <c:pt idx="164">
                  <c:v>41518</c:v>
                </c:pt>
                <c:pt idx="165">
                  <c:v>41548</c:v>
                </c:pt>
                <c:pt idx="166">
                  <c:v>41579</c:v>
                </c:pt>
                <c:pt idx="167">
                  <c:v>41609</c:v>
                </c:pt>
                <c:pt idx="168">
                  <c:v>41640</c:v>
                </c:pt>
                <c:pt idx="169">
                  <c:v>41671</c:v>
                </c:pt>
                <c:pt idx="170">
                  <c:v>41699</c:v>
                </c:pt>
                <c:pt idx="171">
                  <c:v>41730</c:v>
                </c:pt>
                <c:pt idx="172">
                  <c:v>41760</c:v>
                </c:pt>
                <c:pt idx="173">
                  <c:v>41791</c:v>
                </c:pt>
                <c:pt idx="174">
                  <c:v>41821</c:v>
                </c:pt>
                <c:pt idx="175">
                  <c:v>41852</c:v>
                </c:pt>
                <c:pt idx="176">
                  <c:v>41883</c:v>
                </c:pt>
                <c:pt idx="177">
                  <c:v>41913</c:v>
                </c:pt>
                <c:pt idx="178">
                  <c:v>41944</c:v>
                </c:pt>
                <c:pt idx="179">
                  <c:v>41974</c:v>
                </c:pt>
                <c:pt idx="180">
                  <c:v>42005</c:v>
                </c:pt>
                <c:pt idx="181">
                  <c:v>42036</c:v>
                </c:pt>
                <c:pt idx="182">
                  <c:v>42064</c:v>
                </c:pt>
                <c:pt idx="183">
                  <c:v>42095</c:v>
                </c:pt>
                <c:pt idx="184">
                  <c:v>42125</c:v>
                </c:pt>
                <c:pt idx="185">
                  <c:v>42156</c:v>
                </c:pt>
                <c:pt idx="186">
                  <c:v>42186</c:v>
                </c:pt>
                <c:pt idx="187">
                  <c:v>42217</c:v>
                </c:pt>
                <c:pt idx="188">
                  <c:v>42248</c:v>
                </c:pt>
                <c:pt idx="189">
                  <c:v>42278</c:v>
                </c:pt>
                <c:pt idx="190">
                  <c:v>42309</c:v>
                </c:pt>
                <c:pt idx="191">
                  <c:v>42339</c:v>
                </c:pt>
                <c:pt idx="192">
                  <c:v>42370</c:v>
                </c:pt>
                <c:pt idx="193">
                  <c:v>42401</c:v>
                </c:pt>
                <c:pt idx="194">
                  <c:v>42430</c:v>
                </c:pt>
                <c:pt idx="195">
                  <c:v>42461</c:v>
                </c:pt>
                <c:pt idx="196">
                  <c:v>42491</c:v>
                </c:pt>
                <c:pt idx="197">
                  <c:v>42522</c:v>
                </c:pt>
                <c:pt idx="198">
                  <c:v>42552</c:v>
                </c:pt>
                <c:pt idx="199">
                  <c:v>42583</c:v>
                </c:pt>
                <c:pt idx="200">
                  <c:v>42614</c:v>
                </c:pt>
                <c:pt idx="201">
                  <c:v>42644</c:v>
                </c:pt>
                <c:pt idx="202">
                  <c:v>42675</c:v>
                </c:pt>
                <c:pt idx="203">
                  <c:v>42705</c:v>
                </c:pt>
                <c:pt idx="204">
                  <c:v>42736</c:v>
                </c:pt>
                <c:pt idx="205">
                  <c:v>42767</c:v>
                </c:pt>
                <c:pt idx="206">
                  <c:v>42795</c:v>
                </c:pt>
                <c:pt idx="207">
                  <c:v>42826</c:v>
                </c:pt>
                <c:pt idx="208">
                  <c:v>42856</c:v>
                </c:pt>
                <c:pt idx="209">
                  <c:v>42887</c:v>
                </c:pt>
                <c:pt idx="210">
                  <c:v>42917</c:v>
                </c:pt>
                <c:pt idx="211">
                  <c:v>42948</c:v>
                </c:pt>
                <c:pt idx="212">
                  <c:v>42979</c:v>
                </c:pt>
                <c:pt idx="213">
                  <c:v>43009</c:v>
                </c:pt>
                <c:pt idx="214">
                  <c:v>43040</c:v>
                </c:pt>
                <c:pt idx="215">
                  <c:v>43070</c:v>
                </c:pt>
                <c:pt idx="216">
                  <c:v>43101</c:v>
                </c:pt>
                <c:pt idx="217">
                  <c:v>43132</c:v>
                </c:pt>
                <c:pt idx="218">
                  <c:v>43160</c:v>
                </c:pt>
                <c:pt idx="219">
                  <c:v>43191</c:v>
                </c:pt>
                <c:pt idx="220">
                  <c:v>43221</c:v>
                </c:pt>
                <c:pt idx="221">
                  <c:v>43252</c:v>
                </c:pt>
                <c:pt idx="222">
                  <c:v>43282</c:v>
                </c:pt>
                <c:pt idx="223">
                  <c:v>43313</c:v>
                </c:pt>
                <c:pt idx="224">
                  <c:v>43344</c:v>
                </c:pt>
                <c:pt idx="225">
                  <c:v>43374</c:v>
                </c:pt>
                <c:pt idx="226">
                  <c:v>43405</c:v>
                </c:pt>
                <c:pt idx="227">
                  <c:v>43435</c:v>
                </c:pt>
                <c:pt idx="228">
                  <c:v>43466</c:v>
                </c:pt>
                <c:pt idx="229">
                  <c:v>43497</c:v>
                </c:pt>
                <c:pt idx="230">
                  <c:v>43525</c:v>
                </c:pt>
                <c:pt idx="231">
                  <c:v>43556</c:v>
                </c:pt>
                <c:pt idx="232">
                  <c:v>43586</c:v>
                </c:pt>
                <c:pt idx="233">
                  <c:v>43617</c:v>
                </c:pt>
                <c:pt idx="234">
                  <c:v>43647</c:v>
                </c:pt>
                <c:pt idx="235">
                  <c:v>43678</c:v>
                </c:pt>
                <c:pt idx="236">
                  <c:v>43709</c:v>
                </c:pt>
              </c:numCache>
            </c:numRef>
          </c:cat>
          <c:val>
            <c:numRef>
              <c:f>Loans!$L$11:$L$247</c:f>
              <c:numCache>
                <c:formatCode>#,##0_ ;\-#,##0\ </c:formatCode>
                <c:ptCount val="237"/>
                <c:pt idx="0">
                  <c:v>29574</c:v>
                </c:pt>
                <c:pt idx="1">
                  <c:v>38113</c:v>
                </c:pt>
                <c:pt idx="2">
                  <c:v>39884</c:v>
                </c:pt>
                <c:pt idx="3">
                  <c:v>29615</c:v>
                </c:pt>
                <c:pt idx="4">
                  <c:v>38474</c:v>
                </c:pt>
                <c:pt idx="5">
                  <c:v>30507</c:v>
                </c:pt>
                <c:pt idx="6">
                  <c:v>31534</c:v>
                </c:pt>
                <c:pt idx="7">
                  <c:v>36518</c:v>
                </c:pt>
                <c:pt idx="8">
                  <c:v>32076</c:v>
                </c:pt>
                <c:pt idx="9">
                  <c:v>32446</c:v>
                </c:pt>
                <c:pt idx="10">
                  <c:v>37040</c:v>
                </c:pt>
                <c:pt idx="11">
                  <c:v>33157</c:v>
                </c:pt>
                <c:pt idx="12">
                  <c:v>30107</c:v>
                </c:pt>
                <c:pt idx="13">
                  <c:v>32610</c:v>
                </c:pt>
                <c:pt idx="14">
                  <c:v>38873</c:v>
                </c:pt>
                <c:pt idx="15">
                  <c:v>34990</c:v>
                </c:pt>
                <c:pt idx="16">
                  <c:v>44093</c:v>
                </c:pt>
                <c:pt idx="17">
                  <c:v>40548</c:v>
                </c:pt>
                <c:pt idx="18">
                  <c:v>42432</c:v>
                </c:pt>
                <c:pt idx="19">
                  <c:v>43435</c:v>
                </c:pt>
                <c:pt idx="20">
                  <c:v>38610</c:v>
                </c:pt>
                <c:pt idx="21">
                  <c:v>43519</c:v>
                </c:pt>
                <c:pt idx="22">
                  <c:v>44237</c:v>
                </c:pt>
                <c:pt idx="23">
                  <c:v>39019</c:v>
                </c:pt>
                <c:pt idx="24">
                  <c:v>37893</c:v>
                </c:pt>
                <c:pt idx="25">
                  <c:v>37962</c:v>
                </c:pt>
                <c:pt idx="26">
                  <c:v>39652</c:v>
                </c:pt>
                <c:pt idx="27">
                  <c:v>39515</c:v>
                </c:pt>
                <c:pt idx="28">
                  <c:v>44440</c:v>
                </c:pt>
                <c:pt idx="29">
                  <c:v>38543</c:v>
                </c:pt>
                <c:pt idx="30">
                  <c:v>41371</c:v>
                </c:pt>
                <c:pt idx="31">
                  <c:v>38468</c:v>
                </c:pt>
                <c:pt idx="32">
                  <c:v>36104</c:v>
                </c:pt>
                <c:pt idx="33">
                  <c:v>39206</c:v>
                </c:pt>
                <c:pt idx="34">
                  <c:v>38000</c:v>
                </c:pt>
                <c:pt idx="35">
                  <c:v>36633</c:v>
                </c:pt>
                <c:pt idx="36">
                  <c:v>34346</c:v>
                </c:pt>
                <c:pt idx="37">
                  <c:v>36602</c:v>
                </c:pt>
                <c:pt idx="38">
                  <c:v>39714</c:v>
                </c:pt>
                <c:pt idx="39">
                  <c:v>38144</c:v>
                </c:pt>
                <c:pt idx="40">
                  <c:v>43151</c:v>
                </c:pt>
                <c:pt idx="41">
                  <c:v>40464</c:v>
                </c:pt>
                <c:pt idx="42">
                  <c:v>44325</c:v>
                </c:pt>
                <c:pt idx="43">
                  <c:v>40666</c:v>
                </c:pt>
                <c:pt idx="44">
                  <c:v>41880</c:v>
                </c:pt>
                <c:pt idx="45">
                  <c:v>43487</c:v>
                </c:pt>
                <c:pt idx="46">
                  <c:v>38796</c:v>
                </c:pt>
                <c:pt idx="47">
                  <c:v>38457</c:v>
                </c:pt>
                <c:pt idx="48">
                  <c:v>28686</c:v>
                </c:pt>
                <c:pt idx="49">
                  <c:v>31764</c:v>
                </c:pt>
                <c:pt idx="50">
                  <c:v>37883</c:v>
                </c:pt>
                <c:pt idx="51">
                  <c:v>32833</c:v>
                </c:pt>
                <c:pt idx="52">
                  <c:v>35009</c:v>
                </c:pt>
                <c:pt idx="53">
                  <c:v>35458</c:v>
                </c:pt>
                <c:pt idx="54">
                  <c:v>35465</c:v>
                </c:pt>
                <c:pt idx="55">
                  <c:v>35545</c:v>
                </c:pt>
                <c:pt idx="56">
                  <c:v>35878</c:v>
                </c:pt>
                <c:pt idx="57">
                  <c:v>33816</c:v>
                </c:pt>
                <c:pt idx="58">
                  <c:v>38504</c:v>
                </c:pt>
                <c:pt idx="59">
                  <c:v>37714</c:v>
                </c:pt>
                <c:pt idx="60">
                  <c:v>29550</c:v>
                </c:pt>
                <c:pt idx="61">
                  <c:v>35627</c:v>
                </c:pt>
                <c:pt idx="62">
                  <c:v>40223</c:v>
                </c:pt>
                <c:pt idx="63">
                  <c:v>37478</c:v>
                </c:pt>
                <c:pt idx="64">
                  <c:v>39548</c:v>
                </c:pt>
                <c:pt idx="65">
                  <c:v>39126</c:v>
                </c:pt>
                <c:pt idx="66">
                  <c:v>36606</c:v>
                </c:pt>
                <c:pt idx="67">
                  <c:v>40136</c:v>
                </c:pt>
                <c:pt idx="68">
                  <c:v>40002</c:v>
                </c:pt>
                <c:pt idx="69">
                  <c:v>38671</c:v>
                </c:pt>
                <c:pt idx="70">
                  <c:v>43341</c:v>
                </c:pt>
                <c:pt idx="71">
                  <c:v>39763</c:v>
                </c:pt>
                <c:pt idx="72">
                  <c:v>32620</c:v>
                </c:pt>
                <c:pt idx="73">
                  <c:v>37482</c:v>
                </c:pt>
                <c:pt idx="74">
                  <c:v>45550</c:v>
                </c:pt>
                <c:pt idx="75">
                  <c:v>36679</c:v>
                </c:pt>
                <c:pt idx="76">
                  <c:v>47624</c:v>
                </c:pt>
                <c:pt idx="77">
                  <c:v>43914</c:v>
                </c:pt>
                <c:pt idx="78">
                  <c:v>42216</c:v>
                </c:pt>
                <c:pt idx="79">
                  <c:v>44318</c:v>
                </c:pt>
                <c:pt idx="80">
                  <c:v>39530</c:v>
                </c:pt>
                <c:pt idx="81">
                  <c:v>40449</c:v>
                </c:pt>
                <c:pt idx="82">
                  <c:v>43262</c:v>
                </c:pt>
                <c:pt idx="83">
                  <c:v>38671</c:v>
                </c:pt>
                <c:pt idx="84">
                  <c:v>34393</c:v>
                </c:pt>
                <c:pt idx="85">
                  <c:v>37627</c:v>
                </c:pt>
                <c:pt idx="86">
                  <c:v>45005</c:v>
                </c:pt>
                <c:pt idx="87">
                  <c:v>39874</c:v>
                </c:pt>
                <c:pt idx="88">
                  <c:v>48652</c:v>
                </c:pt>
                <c:pt idx="89">
                  <c:v>44166</c:v>
                </c:pt>
                <c:pt idx="90">
                  <c:v>43395</c:v>
                </c:pt>
                <c:pt idx="91">
                  <c:v>45689</c:v>
                </c:pt>
                <c:pt idx="92">
                  <c:v>39250</c:v>
                </c:pt>
                <c:pt idx="93">
                  <c:v>44586</c:v>
                </c:pt>
                <c:pt idx="94">
                  <c:v>46040</c:v>
                </c:pt>
                <c:pt idx="95">
                  <c:v>39415</c:v>
                </c:pt>
                <c:pt idx="96">
                  <c:v>36121</c:v>
                </c:pt>
                <c:pt idx="97">
                  <c:v>37826</c:v>
                </c:pt>
                <c:pt idx="98">
                  <c:v>34656</c:v>
                </c:pt>
                <c:pt idx="99">
                  <c:v>35624</c:v>
                </c:pt>
                <c:pt idx="100">
                  <c:v>34242</c:v>
                </c:pt>
                <c:pt idx="101">
                  <c:v>30243</c:v>
                </c:pt>
                <c:pt idx="102">
                  <c:v>32644</c:v>
                </c:pt>
                <c:pt idx="103">
                  <c:v>28942</c:v>
                </c:pt>
                <c:pt idx="104">
                  <c:v>30730</c:v>
                </c:pt>
                <c:pt idx="105">
                  <c:v>32771</c:v>
                </c:pt>
                <c:pt idx="106">
                  <c:v>31675</c:v>
                </c:pt>
                <c:pt idx="107">
                  <c:v>35807</c:v>
                </c:pt>
                <c:pt idx="108">
                  <c:v>31354</c:v>
                </c:pt>
                <c:pt idx="109">
                  <c:v>35790</c:v>
                </c:pt>
                <c:pt idx="110">
                  <c:v>44659</c:v>
                </c:pt>
                <c:pt idx="111">
                  <c:v>41229</c:v>
                </c:pt>
                <c:pt idx="112">
                  <c:v>44187</c:v>
                </c:pt>
                <c:pt idx="113">
                  <c:v>44656</c:v>
                </c:pt>
                <c:pt idx="114">
                  <c:v>44129</c:v>
                </c:pt>
                <c:pt idx="115">
                  <c:v>39412</c:v>
                </c:pt>
                <c:pt idx="116">
                  <c:v>43544</c:v>
                </c:pt>
                <c:pt idx="117">
                  <c:v>42378</c:v>
                </c:pt>
                <c:pt idx="118">
                  <c:v>38945</c:v>
                </c:pt>
                <c:pt idx="119">
                  <c:v>36968</c:v>
                </c:pt>
                <c:pt idx="120">
                  <c:v>26453</c:v>
                </c:pt>
                <c:pt idx="121">
                  <c:v>29400</c:v>
                </c:pt>
                <c:pt idx="122">
                  <c:v>33394</c:v>
                </c:pt>
                <c:pt idx="123">
                  <c:v>29173</c:v>
                </c:pt>
                <c:pt idx="124">
                  <c:v>31156</c:v>
                </c:pt>
                <c:pt idx="125">
                  <c:v>30155</c:v>
                </c:pt>
                <c:pt idx="126">
                  <c:v>29784</c:v>
                </c:pt>
                <c:pt idx="127">
                  <c:v>29518</c:v>
                </c:pt>
                <c:pt idx="128">
                  <c:v>29629</c:v>
                </c:pt>
                <c:pt idx="129">
                  <c:v>29204</c:v>
                </c:pt>
                <c:pt idx="130">
                  <c:v>32632</c:v>
                </c:pt>
                <c:pt idx="131">
                  <c:v>31827</c:v>
                </c:pt>
                <c:pt idx="132">
                  <c:v>22605</c:v>
                </c:pt>
                <c:pt idx="133">
                  <c:v>25560</c:v>
                </c:pt>
                <c:pt idx="134">
                  <c:v>30825</c:v>
                </c:pt>
                <c:pt idx="135">
                  <c:v>26663</c:v>
                </c:pt>
                <c:pt idx="136">
                  <c:v>31140</c:v>
                </c:pt>
                <c:pt idx="137">
                  <c:v>29601</c:v>
                </c:pt>
                <c:pt idx="138">
                  <c:v>28171</c:v>
                </c:pt>
                <c:pt idx="139">
                  <c:v>30121</c:v>
                </c:pt>
                <c:pt idx="140">
                  <c:v>29359</c:v>
                </c:pt>
                <c:pt idx="141">
                  <c:v>28931</c:v>
                </c:pt>
                <c:pt idx="142">
                  <c:v>33132</c:v>
                </c:pt>
                <c:pt idx="143">
                  <c:v>32502</c:v>
                </c:pt>
                <c:pt idx="144">
                  <c:v>25668</c:v>
                </c:pt>
                <c:pt idx="145">
                  <c:v>26864</c:v>
                </c:pt>
                <c:pt idx="146">
                  <c:v>30415</c:v>
                </c:pt>
                <c:pt idx="147">
                  <c:v>26931</c:v>
                </c:pt>
                <c:pt idx="148">
                  <c:v>33073</c:v>
                </c:pt>
                <c:pt idx="149">
                  <c:v>29873</c:v>
                </c:pt>
                <c:pt idx="150">
                  <c:v>30416</c:v>
                </c:pt>
                <c:pt idx="151">
                  <c:v>32062</c:v>
                </c:pt>
                <c:pt idx="152">
                  <c:v>29430</c:v>
                </c:pt>
                <c:pt idx="153">
                  <c:v>33296</c:v>
                </c:pt>
                <c:pt idx="154">
                  <c:v>33963</c:v>
                </c:pt>
                <c:pt idx="155">
                  <c:v>30195</c:v>
                </c:pt>
                <c:pt idx="156">
                  <c:v>26979</c:v>
                </c:pt>
                <c:pt idx="157">
                  <c:v>28501</c:v>
                </c:pt>
                <c:pt idx="158">
                  <c:v>32300</c:v>
                </c:pt>
                <c:pt idx="159">
                  <c:v>33689</c:v>
                </c:pt>
                <c:pt idx="160">
                  <c:v>38019</c:v>
                </c:pt>
                <c:pt idx="161">
                  <c:v>33088</c:v>
                </c:pt>
                <c:pt idx="162">
                  <c:v>36614</c:v>
                </c:pt>
                <c:pt idx="163">
                  <c:v>33917</c:v>
                </c:pt>
                <c:pt idx="164">
                  <c:v>34059</c:v>
                </c:pt>
                <c:pt idx="165">
                  <c:v>38133</c:v>
                </c:pt>
                <c:pt idx="166">
                  <c:v>38484</c:v>
                </c:pt>
                <c:pt idx="167">
                  <c:v>35595</c:v>
                </c:pt>
                <c:pt idx="168">
                  <c:v>29953</c:v>
                </c:pt>
                <c:pt idx="169">
                  <c:v>31852</c:v>
                </c:pt>
                <c:pt idx="170">
                  <c:v>35035</c:v>
                </c:pt>
                <c:pt idx="171">
                  <c:v>33748</c:v>
                </c:pt>
                <c:pt idx="172">
                  <c:v>37840</c:v>
                </c:pt>
                <c:pt idx="173">
                  <c:v>35041</c:v>
                </c:pt>
                <c:pt idx="174">
                  <c:v>36507</c:v>
                </c:pt>
                <c:pt idx="175">
                  <c:v>33835</c:v>
                </c:pt>
                <c:pt idx="176">
                  <c:v>35602</c:v>
                </c:pt>
                <c:pt idx="177">
                  <c:v>37727</c:v>
                </c:pt>
                <c:pt idx="178">
                  <c:v>34788</c:v>
                </c:pt>
                <c:pt idx="179">
                  <c:v>37898</c:v>
                </c:pt>
                <c:pt idx="180">
                  <c:v>29349</c:v>
                </c:pt>
                <c:pt idx="181">
                  <c:v>31649</c:v>
                </c:pt>
                <c:pt idx="182">
                  <c:v>37161</c:v>
                </c:pt>
                <c:pt idx="183">
                  <c:v>33918</c:v>
                </c:pt>
                <c:pt idx="184">
                  <c:v>34452</c:v>
                </c:pt>
                <c:pt idx="185">
                  <c:v>36744</c:v>
                </c:pt>
                <c:pt idx="186">
                  <c:v>36709</c:v>
                </c:pt>
                <c:pt idx="187">
                  <c:v>35427</c:v>
                </c:pt>
                <c:pt idx="188">
                  <c:v>38295</c:v>
                </c:pt>
                <c:pt idx="189">
                  <c:v>37601</c:v>
                </c:pt>
                <c:pt idx="190">
                  <c:v>38223</c:v>
                </c:pt>
                <c:pt idx="191">
                  <c:v>39216</c:v>
                </c:pt>
                <c:pt idx="192">
                  <c:v>28335</c:v>
                </c:pt>
                <c:pt idx="193">
                  <c:v>33813</c:v>
                </c:pt>
                <c:pt idx="194">
                  <c:v>35877</c:v>
                </c:pt>
                <c:pt idx="195">
                  <c:v>35595</c:v>
                </c:pt>
                <c:pt idx="196">
                  <c:v>38813</c:v>
                </c:pt>
                <c:pt idx="197">
                  <c:v>37275</c:v>
                </c:pt>
                <c:pt idx="198">
                  <c:v>33937</c:v>
                </c:pt>
                <c:pt idx="199">
                  <c:v>35781</c:v>
                </c:pt>
                <c:pt idx="200">
                  <c:v>35238</c:v>
                </c:pt>
                <c:pt idx="201">
                  <c:v>34694</c:v>
                </c:pt>
                <c:pt idx="202">
                  <c:v>39726</c:v>
                </c:pt>
                <c:pt idx="203">
                  <c:v>37978</c:v>
                </c:pt>
                <c:pt idx="204">
                  <c:v>30565</c:v>
                </c:pt>
                <c:pt idx="205">
                  <c:v>33105</c:v>
                </c:pt>
                <c:pt idx="206">
                  <c:v>39877</c:v>
                </c:pt>
                <c:pt idx="207">
                  <c:v>32690</c:v>
                </c:pt>
                <c:pt idx="208">
                  <c:v>41371</c:v>
                </c:pt>
                <c:pt idx="209">
                  <c:v>39338</c:v>
                </c:pt>
                <c:pt idx="210">
                  <c:v>38088</c:v>
                </c:pt>
                <c:pt idx="211">
                  <c:v>41788</c:v>
                </c:pt>
                <c:pt idx="212">
                  <c:v>38251</c:v>
                </c:pt>
                <c:pt idx="213">
                  <c:v>39540</c:v>
                </c:pt>
                <c:pt idx="214">
                  <c:v>42728</c:v>
                </c:pt>
                <c:pt idx="215">
                  <c:v>37669</c:v>
                </c:pt>
                <c:pt idx="216">
                  <c:v>31645</c:v>
                </c:pt>
                <c:pt idx="217">
                  <c:v>33051</c:v>
                </c:pt>
                <c:pt idx="218">
                  <c:v>36061</c:v>
                </c:pt>
                <c:pt idx="219">
                  <c:v>33085</c:v>
                </c:pt>
                <c:pt idx="220">
                  <c:v>40046</c:v>
                </c:pt>
                <c:pt idx="221">
                  <c:v>36124</c:v>
                </c:pt>
                <c:pt idx="222">
                  <c:v>36419</c:v>
                </c:pt>
                <c:pt idx="223">
                  <c:v>36159</c:v>
                </c:pt>
                <c:pt idx="224">
                  <c:v>32595</c:v>
                </c:pt>
                <c:pt idx="225">
                  <c:v>37638</c:v>
                </c:pt>
                <c:pt idx="226">
                  <c:v>38837</c:v>
                </c:pt>
                <c:pt idx="227">
                  <c:v>32191</c:v>
                </c:pt>
                <c:pt idx="228">
                  <c:v>27108</c:v>
                </c:pt>
                <c:pt idx="229">
                  <c:v>28907</c:v>
                </c:pt>
                <c:pt idx="230">
                  <c:v>30940</c:v>
                </c:pt>
                <c:pt idx="231">
                  <c:v>29044</c:v>
                </c:pt>
                <c:pt idx="232">
                  <c:v>33702</c:v>
                </c:pt>
                <c:pt idx="233">
                  <c:v>29991</c:v>
                </c:pt>
                <c:pt idx="234">
                  <c:v>34517</c:v>
                </c:pt>
                <c:pt idx="235">
                  <c:v>33742</c:v>
                </c:pt>
                <c:pt idx="236">
                  <c:v>33748</c:v>
                </c:pt>
              </c:numCache>
            </c:numRef>
          </c:val>
          <c:extLst xmlns:c16r2="http://schemas.microsoft.com/office/drawing/2015/06/chart">
            <c:ext xmlns:c16="http://schemas.microsoft.com/office/drawing/2014/chart" uri="{C3380CC4-5D6E-409C-BE32-E72D297353CC}">
              <c16:uniqueId val="{00000000-E197-4FEC-B194-5E050EFB2DCD}"/>
            </c:ext>
          </c:extLst>
        </c:ser>
        <c:dLbls>
          <c:showLegendKey val="0"/>
          <c:showVal val="0"/>
          <c:showCatName val="0"/>
          <c:showSerName val="0"/>
          <c:showPercent val="0"/>
          <c:showBubbleSize val="0"/>
        </c:dLbls>
        <c:gapWidth val="150"/>
        <c:axId val="251392384"/>
        <c:axId val="251393920"/>
      </c:barChart>
      <c:lineChart>
        <c:grouping val="standard"/>
        <c:varyColors val="0"/>
        <c:ser>
          <c:idx val="1"/>
          <c:order val="1"/>
          <c:tx>
            <c:strRef>
              <c:f>Loans!$M$10</c:f>
              <c:strCache>
                <c:ptCount val="1"/>
                <c:pt idx="0">
                  <c:v>First home purchasers % (excluding refinancing)</c:v>
                </c:pt>
              </c:strCache>
            </c:strRef>
          </c:tx>
          <c:spPr>
            <a:ln w="28575" cap="rnd">
              <a:solidFill>
                <a:schemeClr val="accent2"/>
              </a:solidFill>
              <a:round/>
            </a:ln>
            <a:effectLst/>
          </c:spPr>
          <c:marker>
            <c:symbol val="none"/>
          </c:marker>
          <c:cat>
            <c:numRef>
              <c:f>Loans!$K$11:$K$247</c:f>
              <c:numCache>
                <c:formatCode>yyyy</c:formatCode>
                <c:ptCount val="23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pt idx="152">
                  <c:v>41153</c:v>
                </c:pt>
                <c:pt idx="153">
                  <c:v>41183</c:v>
                </c:pt>
                <c:pt idx="154">
                  <c:v>41214</c:v>
                </c:pt>
                <c:pt idx="155">
                  <c:v>41244</c:v>
                </c:pt>
                <c:pt idx="156">
                  <c:v>41275</c:v>
                </c:pt>
                <c:pt idx="157">
                  <c:v>41306</c:v>
                </c:pt>
                <c:pt idx="158">
                  <c:v>41334</c:v>
                </c:pt>
                <c:pt idx="159">
                  <c:v>41365</c:v>
                </c:pt>
                <c:pt idx="160">
                  <c:v>41395</c:v>
                </c:pt>
                <c:pt idx="161">
                  <c:v>41426</c:v>
                </c:pt>
                <c:pt idx="162">
                  <c:v>41456</c:v>
                </c:pt>
                <c:pt idx="163">
                  <c:v>41487</c:v>
                </c:pt>
                <c:pt idx="164">
                  <c:v>41518</c:v>
                </c:pt>
                <c:pt idx="165">
                  <c:v>41548</c:v>
                </c:pt>
                <c:pt idx="166">
                  <c:v>41579</c:v>
                </c:pt>
                <c:pt idx="167">
                  <c:v>41609</c:v>
                </c:pt>
                <c:pt idx="168">
                  <c:v>41640</c:v>
                </c:pt>
                <c:pt idx="169">
                  <c:v>41671</c:v>
                </c:pt>
                <c:pt idx="170">
                  <c:v>41699</c:v>
                </c:pt>
                <c:pt idx="171">
                  <c:v>41730</c:v>
                </c:pt>
                <c:pt idx="172">
                  <c:v>41760</c:v>
                </c:pt>
                <c:pt idx="173">
                  <c:v>41791</c:v>
                </c:pt>
                <c:pt idx="174">
                  <c:v>41821</c:v>
                </c:pt>
                <c:pt idx="175">
                  <c:v>41852</c:v>
                </c:pt>
                <c:pt idx="176">
                  <c:v>41883</c:v>
                </c:pt>
                <c:pt idx="177">
                  <c:v>41913</c:v>
                </c:pt>
                <c:pt idx="178">
                  <c:v>41944</c:v>
                </c:pt>
                <c:pt idx="179">
                  <c:v>41974</c:v>
                </c:pt>
                <c:pt idx="180">
                  <c:v>42005</c:v>
                </c:pt>
                <c:pt idx="181">
                  <c:v>42036</c:v>
                </c:pt>
                <c:pt idx="182">
                  <c:v>42064</c:v>
                </c:pt>
                <c:pt idx="183">
                  <c:v>42095</c:v>
                </c:pt>
                <c:pt idx="184">
                  <c:v>42125</c:v>
                </c:pt>
                <c:pt idx="185">
                  <c:v>42156</c:v>
                </c:pt>
                <c:pt idx="186">
                  <c:v>42186</c:v>
                </c:pt>
                <c:pt idx="187">
                  <c:v>42217</c:v>
                </c:pt>
                <c:pt idx="188">
                  <c:v>42248</c:v>
                </c:pt>
                <c:pt idx="189">
                  <c:v>42278</c:v>
                </c:pt>
                <c:pt idx="190">
                  <c:v>42309</c:v>
                </c:pt>
                <c:pt idx="191">
                  <c:v>42339</c:v>
                </c:pt>
                <c:pt idx="192">
                  <c:v>42370</c:v>
                </c:pt>
                <c:pt idx="193">
                  <c:v>42401</c:v>
                </c:pt>
                <c:pt idx="194">
                  <c:v>42430</c:v>
                </c:pt>
                <c:pt idx="195">
                  <c:v>42461</c:v>
                </c:pt>
                <c:pt idx="196">
                  <c:v>42491</c:v>
                </c:pt>
                <c:pt idx="197">
                  <c:v>42522</c:v>
                </c:pt>
                <c:pt idx="198">
                  <c:v>42552</c:v>
                </c:pt>
                <c:pt idx="199">
                  <c:v>42583</c:v>
                </c:pt>
                <c:pt idx="200">
                  <c:v>42614</c:v>
                </c:pt>
                <c:pt idx="201">
                  <c:v>42644</c:v>
                </c:pt>
                <c:pt idx="202">
                  <c:v>42675</c:v>
                </c:pt>
                <c:pt idx="203">
                  <c:v>42705</c:v>
                </c:pt>
                <c:pt idx="204">
                  <c:v>42736</c:v>
                </c:pt>
                <c:pt idx="205">
                  <c:v>42767</c:v>
                </c:pt>
                <c:pt idx="206">
                  <c:v>42795</c:v>
                </c:pt>
                <c:pt idx="207">
                  <c:v>42826</c:v>
                </c:pt>
                <c:pt idx="208">
                  <c:v>42856</c:v>
                </c:pt>
                <c:pt idx="209">
                  <c:v>42887</c:v>
                </c:pt>
                <c:pt idx="210">
                  <c:v>42917</c:v>
                </c:pt>
                <c:pt idx="211">
                  <c:v>42948</c:v>
                </c:pt>
                <c:pt idx="212">
                  <c:v>42979</c:v>
                </c:pt>
                <c:pt idx="213">
                  <c:v>43009</c:v>
                </c:pt>
                <c:pt idx="214">
                  <c:v>43040</c:v>
                </c:pt>
                <c:pt idx="215">
                  <c:v>43070</c:v>
                </c:pt>
                <c:pt idx="216">
                  <c:v>43101</c:v>
                </c:pt>
                <c:pt idx="217">
                  <c:v>43132</c:v>
                </c:pt>
                <c:pt idx="218">
                  <c:v>43160</c:v>
                </c:pt>
                <c:pt idx="219">
                  <c:v>43191</c:v>
                </c:pt>
                <c:pt idx="220">
                  <c:v>43221</c:v>
                </c:pt>
                <c:pt idx="221">
                  <c:v>43252</c:v>
                </c:pt>
                <c:pt idx="222">
                  <c:v>43282</c:v>
                </c:pt>
                <c:pt idx="223">
                  <c:v>43313</c:v>
                </c:pt>
                <c:pt idx="224">
                  <c:v>43344</c:v>
                </c:pt>
                <c:pt idx="225">
                  <c:v>43374</c:v>
                </c:pt>
                <c:pt idx="226">
                  <c:v>43405</c:v>
                </c:pt>
                <c:pt idx="227">
                  <c:v>43435</c:v>
                </c:pt>
                <c:pt idx="228">
                  <c:v>43466</c:v>
                </c:pt>
                <c:pt idx="229">
                  <c:v>43497</c:v>
                </c:pt>
                <c:pt idx="230">
                  <c:v>43525</c:v>
                </c:pt>
                <c:pt idx="231">
                  <c:v>43556</c:v>
                </c:pt>
                <c:pt idx="232">
                  <c:v>43586</c:v>
                </c:pt>
                <c:pt idx="233">
                  <c:v>43617</c:v>
                </c:pt>
                <c:pt idx="234">
                  <c:v>43647</c:v>
                </c:pt>
                <c:pt idx="235">
                  <c:v>43678</c:v>
                </c:pt>
                <c:pt idx="236">
                  <c:v>43709</c:v>
                </c:pt>
              </c:numCache>
            </c:numRef>
          </c:cat>
          <c:val>
            <c:numRef>
              <c:f>Loans!$M$11:$M$247</c:f>
              <c:numCache>
                <c:formatCode>0%</c:formatCode>
                <c:ptCount val="237"/>
                <c:pt idx="0">
                  <c:v>0.26841144248326232</c:v>
                </c:pt>
                <c:pt idx="1">
                  <c:v>0.27796289979796918</c:v>
                </c:pt>
                <c:pt idx="2">
                  <c:v>0.25456323337679271</c:v>
                </c:pt>
                <c:pt idx="3">
                  <c:v>0.24312004052000674</c:v>
                </c:pt>
                <c:pt idx="4">
                  <c:v>0.21858917710661746</c:v>
                </c:pt>
                <c:pt idx="5">
                  <c:v>0.19795456780411053</c:v>
                </c:pt>
                <c:pt idx="6">
                  <c:v>0.32799517980592374</c:v>
                </c:pt>
                <c:pt idx="7">
                  <c:v>0.3291253628347664</c:v>
                </c:pt>
                <c:pt idx="8">
                  <c:v>0.31054370869185682</c:v>
                </c:pt>
                <c:pt idx="9">
                  <c:v>0.29754052887875237</c:v>
                </c:pt>
                <c:pt idx="10">
                  <c:v>0.3021328293736501</c:v>
                </c:pt>
                <c:pt idx="11">
                  <c:v>0.29116023765720661</c:v>
                </c:pt>
                <c:pt idx="12">
                  <c:v>0.27010329823629059</c:v>
                </c:pt>
                <c:pt idx="13">
                  <c:v>0.277736890524379</c:v>
                </c:pt>
                <c:pt idx="14">
                  <c:v>0.27041905692897383</c:v>
                </c:pt>
                <c:pt idx="15">
                  <c:v>0.29717062017719348</c:v>
                </c:pt>
                <c:pt idx="16">
                  <c:v>0.30444741795749891</c:v>
                </c:pt>
                <c:pt idx="17">
                  <c:v>0.31426950774390844</c:v>
                </c:pt>
                <c:pt idx="18">
                  <c:v>0.33290912518853694</c:v>
                </c:pt>
                <c:pt idx="19">
                  <c:v>0.32738574882007598</c:v>
                </c:pt>
                <c:pt idx="20">
                  <c:v>0.31232841232841235</c:v>
                </c:pt>
                <c:pt idx="21">
                  <c:v>0.31880328132539809</c:v>
                </c:pt>
                <c:pt idx="22">
                  <c:v>0.3212695255103194</c:v>
                </c:pt>
                <c:pt idx="23">
                  <c:v>0.32663574156180325</c:v>
                </c:pt>
                <c:pt idx="24">
                  <c:v>0.31024199720264956</c:v>
                </c:pt>
                <c:pt idx="25">
                  <c:v>0.26418523786944842</c:v>
                </c:pt>
                <c:pt idx="26">
                  <c:v>0.2632401896499546</c:v>
                </c:pt>
                <c:pt idx="27">
                  <c:v>0.25048715677590788</c:v>
                </c:pt>
                <c:pt idx="28">
                  <c:v>0.25344284428442843</c:v>
                </c:pt>
                <c:pt idx="29">
                  <c:v>0.24038087331032873</c:v>
                </c:pt>
                <c:pt idx="30">
                  <c:v>0.25184307848492904</c:v>
                </c:pt>
                <c:pt idx="31">
                  <c:v>0.24100551107413953</c:v>
                </c:pt>
                <c:pt idx="32">
                  <c:v>0.22989142477287836</c:v>
                </c:pt>
                <c:pt idx="33">
                  <c:v>0.23162271080956998</c:v>
                </c:pt>
                <c:pt idx="34">
                  <c:v>0.22481578947368422</c:v>
                </c:pt>
                <c:pt idx="35">
                  <c:v>0.21832773728605356</c:v>
                </c:pt>
                <c:pt idx="36">
                  <c:v>0.21003901473242881</c:v>
                </c:pt>
                <c:pt idx="37">
                  <c:v>0.21367684825965794</c:v>
                </c:pt>
                <c:pt idx="38">
                  <c:v>0.21395477665306945</c:v>
                </c:pt>
                <c:pt idx="39">
                  <c:v>0.20703125</c:v>
                </c:pt>
                <c:pt idx="40">
                  <c:v>0.19621793237700169</c:v>
                </c:pt>
                <c:pt idx="41">
                  <c:v>0.19155298536971135</c:v>
                </c:pt>
                <c:pt idx="42">
                  <c:v>0.19176536943034406</c:v>
                </c:pt>
                <c:pt idx="43">
                  <c:v>0.19537205527959475</c:v>
                </c:pt>
                <c:pt idx="44">
                  <c:v>0.1970152817574021</c:v>
                </c:pt>
                <c:pt idx="45">
                  <c:v>0.19502380021615656</c:v>
                </c:pt>
                <c:pt idx="46">
                  <c:v>0.19409217445097432</c:v>
                </c:pt>
                <c:pt idx="47">
                  <c:v>0.1980913747822243</c:v>
                </c:pt>
                <c:pt idx="48">
                  <c:v>0.19647214669176602</c:v>
                </c:pt>
                <c:pt idx="49">
                  <c:v>0.18923939050497418</c:v>
                </c:pt>
                <c:pt idx="50">
                  <c:v>0.18697040889053138</c:v>
                </c:pt>
                <c:pt idx="51">
                  <c:v>0.19422532208448817</c:v>
                </c:pt>
                <c:pt idx="52">
                  <c:v>0.20380473592504786</c:v>
                </c:pt>
                <c:pt idx="53">
                  <c:v>0.20948728072649331</c:v>
                </c:pt>
                <c:pt idx="54">
                  <c:v>0.22106301987875371</c:v>
                </c:pt>
                <c:pt idx="55">
                  <c:v>0.22999015332676889</c:v>
                </c:pt>
                <c:pt idx="56">
                  <c:v>0.23075422264340265</c:v>
                </c:pt>
                <c:pt idx="57">
                  <c:v>0.23009817837709959</c:v>
                </c:pt>
                <c:pt idx="58">
                  <c:v>0.23000207770621234</c:v>
                </c:pt>
                <c:pt idx="59">
                  <c:v>0.23452829188099911</c:v>
                </c:pt>
                <c:pt idx="60">
                  <c:v>0.24027072758037224</c:v>
                </c:pt>
                <c:pt idx="61">
                  <c:v>0.23173435877284082</c:v>
                </c:pt>
                <c:pt idx="62">
                  <c:v>0.23081321631902146</c:v>
                </c:pt>
                <c:pt idx="63">
                  <c:v>0.23990074176850418</c:v>
                </c:pt>
                <c:pt idx="64">
                  <c:v>0.24944371396783654</c:v>
                </c:pt>
                <c:pt idx="65">
                  <c:v>0.24515667331186422</c:v>
                </c:pt>
                <c:pt idx="66">
                  <c:v>0.24602524176364529</c:v>
                </c:pt>
                <c:pt idx="67">
                  <c:v>0.25941797887183576</c:v>
                </c:pt>
                <c:pt idx="68">
                  <c:v>0.25933703314834261</c:v>
                </c:pt>
                <c:pt idx="69">
                  <c:v>0.26588399575909594</c:v>
                </c:pt>
                <c:pt idx="70">
                  <c:v>0.26752959091852979</c:v>
                </c:pt>
                <c:pt idx="71">
                  <c:v>0.27188592410029422</c:v>
                </c:pt>
                <c:pt idx="72">
                  <c:v>0.27047823421213979</c:v>
                </c:pt>
                <c:pt idx="73">
                  <c:v>0.26049837255215835</c:v>
                </c:pt>
                <c:pt idx="74">
                  <c:v>0.26726673984632271</c:v>
                </c:pt>
                <c:pt idx="75">
                  <c:v>0.27642520243190927</c:v>
                </c:pt>
                <c:pt idx="76">
                  <c:v>0.25396858726692423</c:v>
                </c:pt>
                <c:pt idx="77">
                  <c:v>0.25242519469872932</c:v>
                </c:pt>
                <c:pt idx="78">
                  <c:v>0.25002368770134548</c:v>
                </c:pt>
                <c:pt idx="79">
                  <c:v>0.24346766550837132</c:v>
                </c:pt>
                <c:pt idx="80">
                  <c:v>0.26668353149506702</c:v>
                </c:pt>
                <c:pt idx="81">
                  <c:v>0.2732576825137828</c:v>
                </c:pt>
                <c:pt idx="82">
                  <c:v>0.26769451250520088</c:v>
                </c:pt>
                <c:pt idx="83">
                  <c:v>0.26482376974994182</c:v>
                </c:pt>
                <c:pt idx="84">
                  <c:v>0.26176838310121248</c:v>
                </c:pt>
                <c:pt idx="85">
                  <c:v>0.25774045233475962</c:v>
                </c:pt>
                <c:pt idx="86">
                  <c:v>0.24975002777469171</c:v>
                </c:pt>
                <c:pt idx="87">
                  <c:v>0.26164919496413702</c:v>
                </c:pt>
                <c:pt idx="88">
                  <c:v>0.24960947134752939</c:v>
                </c:pt>
                <c:pt idx="89">
                  <c:v>0.2498075442648191</c:v>
                </c:pt>
                <c:pt idx="90">
                  <c:v>0.25714944117985944</c:v>
                </c:pt>
                <c:pt idx="91">
                  <c:v>0.25607914377640134</c:v>
                </c:pt>
                <c:pt idx="92">
                  <c:v>0.26580891719745225</c:v>
                </c:pt>
                <c:pt idx="93">
                  <c:v>0.27542277845063473</c:v>
                </c:pt>
                <c:pt idx="94">
                  <c:v>0.27536924413553432</c:v>
                </c:pt>
                <c:pt idx="95">
                  <c:v>0.28623620449067616</c:v>
                </c:pt>
                <c:pt idx="96">
                  <c:v>0.28421140057030536</c:v>
                </c:pt>
                <c:pt idx="97">
                  <c:v>0.27510178184317663</c:v>
                </c:pt>
                <c:pt idx="98">
                  <c:v>0.26038781163434904</c:v>
                </c:pt>
                <c:pt idx="99">
                  <c:v>0.27096900965641141</c:v>
                </c:pt>
                <c:pt idx="100">
                  <c:v>0.2763565212312365</c:v>
                </c:pt>
                <c:pt idx="101">
                  <c:v>0.28664484343484442</c:v>
                </c:pt>
                <c:pt idx="102">
                  <c:v>0.2968386227178042</c:v>
                </c:pt>
                <c:pt idx="103">
                  <c:v>0.30056665054246423</c:v>
                </c:pt>
                <c:pt idx="104">
                  <c:v>0.30100878620240806</c:v>
                </c:pt>
                <c:pt idx="105">
                  <c:v>0.29501693570534926</c:v>
                </c:pt>
                <c:pt idx="106">
                  <c:v>0.36258879242304659</c:v>
                </c:pt>
                <c:pt idx="107">
                  <c:v>0.39495070796213033</c:v>
                </c:pt>
                <c:pt idx="108">
                  <c:v>0.40151176883332268</c:v>
                </c:pt>
                <c:pt idx="109">
                  <c:v>0.40508521933500979</c:v>
                </c:pt>
                <c:pt idx="110">
                  <c:v>0.40912246131798741</c:v>
                </c:pt>
                <c:pt idx="111">
                  <c:v>0.41817652623153606</c:v>
                </c:pt>
                <c:pt idx="112">
                  <c:v>0.42419716206123975</c:v>
                </c:pt>
                <c:pt idx="113">
                  <c:v>0.41208348262271588</c:v>
                </c:pt>
                <c:pt idx="114">
                  <c:v>0.38056606766525414</c:v>
                </c:pt>
                <c:pt idx="115">
                  <c:v>0.36323962245001523</c:v>
                </c:pt>
                <c:pt idx="116">
                  <c:v>0.37318574315634762</c:v>
                </c:pt>
                <c:pt idx="117">
                  <c:v>0.37559582802397473</c:v>
                </c:pt>
                <c:pt idx="118">
                  <c:v>0.33018359224547439</c:v>
                </c:pt>
                <c:pt idx="119">
                  <c:v>0.3190056264877732</c:v>
                </c:pt>
                <c:pt idx="120">
                  <c:v>0.31153366347862244</c:v>
                </c:pt>
                <c:pt idx="121">
                  <c:v>0.27989795918367349</c:v>
                </c:pt>
                <c:pt idx="122">
                  <c:v>0.25262023117925375</c:v>
                </c:pt>
                <c:pt idx="123">
                  <c:v>0.25208240496349366</c:v>
                </c:pt>
                <c:pt idx="124">
                  <c:v>0.25577737835408909</c:v>
                </c:pt>
                <c:pt idx="125">
                  <c:v>0.25481677997015423</c:v>
                </c:pt>
                <c:pt idx="126">
                  <c:v>0.24929492344883158</c:v>
                </c:pt>
                <c:pt idx="127">
                  <c:v>0.24486753845111459</c:v>
                </c:pt>
                <c:pt idx="128">
                  <c:v>0.24918154510783355</c:v>
                </c:pt>
                <c:pt idx="129">
                  <c:v>0.24267223667990687</c:v>
                </c:pt>
                <c:pt idx="130">
                  <c:v>0.24543392988477569</c:v>
                </c:pt>
                <c:pt idx="131">
                  <c:v>0.25761146196625506</c:v>
                </c:pt>
                <c:pt idx="132">
                  <c:v>0.24644990046449899</c:v>
                </c:pt>
                <c:pt idx="133">
                  <c:v>0.23744131455399062</c:v>
                </c:pt>
                <c:pt idx="134">
                  <c:v>0.25193836171938361</c:v>
                </c:pt>
                <c:pt idx="135">
                  <c:v>0.25383490229906613</c:v>
                </c:pt>
                <c:pt idx="136">
                  <c:v>0.25446371226718045</c:v>
                </c:pt>
                <c:pt idx="137">
                  <c:v>0.25215364345799129</c:v>
                </c:pt>
                <c:pt idx="138">
                  <c:v>0.24968939689751873</c:v>
                </c:pt>
                <c:pt idx="139">
                  <c:v>0.25530360877792901</c:v>
                </c:pt>
                <c:pt idx="140">
                  <c:v>0.2758268333390102</c:v>
                </c:pt>
                <c:pt idx="141">
                  <c:v>0.29255815561162768</c:v>
                </c:pt>
                <c:pt idx="142">
                  <c:v>0.30097790655559581</c:v>
                </c:pt>
                <c:pt idx="143">
                  <c:v>0.31579595101839886</c:v>
                </c:pt>
                <c:pt idx="144">
                  <c:v>0.3133473585787751</c:v>
                </c:pt>
                <c:pt idx="145">
                  <c:v>0.27397260273972601</c:v>
                </c:pt>
                <c:pt idx="146">
                  <c:v>0.2598060167680421</c:v>
                </c:pt>
                <c:pt idx="147">
                  <c:v>0.26278266681519441</c:v>
                </c:pt>
                <c:pt idx="148">
                  <c:v>0.27545127445348166</c:v>
                </c:pt>
                <c:pt idx="149">
                  <c:v>0.28169249824256015</c:v>
                </c:pt>
                <c:pt idx="150">
                  <c:v>0.28800631246712255</c:v>
                </c:pt>
                <c:pt idx="151">
                  <c:v>0.27824215582309275</c:v>
                </c:pt>
                <c:pt idx="152">
                  <c:v>0.28518518518518521</c:v>
                </c:pt>
                <c:pt idx="153">
                  <c:v>0.28108481499279192</c:v>
                </c:pt>
                <c:pt idx="154">
                  <c:v>0.26066601890292379</c:v>
                </c:pt>
                <c:pt idx="155">
                  <c:v>0.24825302202351382</c:v>
                </c:pt>
                <c:pt idx="156">
                  <c:v>0.25278920641980801</c:v>
                </c:pt>
                <c:pt idx="157">
                  <c:v>0.24637732009403179</c:v>
                </c:pt>
                <c:pt idx="158">
                  <c:v>0.23724458204334364</c:v>
                </c:pt>
                <c:pt idx="159">
                  <c:v>0.24159221110748316</c:v>
                </c:pt>
                <c:pt idx="160">
                  <c:v>0.2452194955154002</c:v>
                </c:pt>
                <c:pt idx="161">
                  <c:v>0.25232712765957449</c:v>
                </c:pt>
                <c:pt idx="162">
                  <c:v>0.25471131261266183</c:v>
                </c:pt>
                <c:pt idx="163">
                  <c:v>0.24904914939410916</c:v>
                </c:pt>
                <c:pt idx="164">
                  <c:v>0.24419389882263132</c:v>
                </c:pt>
                <c:pt idx="165">
                  <c:v>0.24013321794770934</c:v>
                </c:pt>
                <c:pt idx="166">
                  <c:v>0.23422721130859578</c:v>
                </c:pt>
                <c:pt idx="167">
                  <c:v>0.22927377440651778</c:v>
                </c:pt>
                <c:pt idx="168">
                  <c:v>0.23713818315360732</c:v>
                </c:pt>
                <c:pt idx="169">
                  <c:v>0.23678261961572272</c:v>
                </c:pt>
                <c:pt idx="170">
                  <c:v>0.23056943056943058</c:v>
                </c:pt>
                <c:pt idx="171">
                  <c:v>0.22425032594524119</c:v>
                </c:pt>
                <c:pt idx="172">
                  <c:v>0.22928118393234673</c:v>
                </c:pt>
                <c:pt idx="173">
                  <c:v>0.23404012442567279</c:v>
                </c:pt>
                <c:pt idx="174">
                  <c:v>0.22513490563453584</c:v>
                </c:pt>
                <c:pt idx="175">
                  <c:v>0.23177183389980788</c:v>
                </c:pt>
                <c:pt idx="176">
                  <c:v>0.23641930228638841</c:v>
                </c:pt>
                <c:pt idx="177">
                  <c:v>0.23439446550216025</c:v>
                </c:pt>
                <c:pt idx="178">
                  <c:v>0.2340174772910199</c:v>
                </c:pt>
                <c:pt idx="179">
                  <c:v>0.22148926064699984</c:v>
                </c:pt>
                <c:pt idx="180">
                  <c:v>0.21268186309584652</c:v>
                </c:pt>
                <c:pt idx="181">
                  <c:v>0.22670542513191569</c:v>
                </c:pt>
                <c:pt idx="182">
                  <c:v>0.22012324749064879</c:v>
                </c:pt>
                <c:pt idx="183">
                  <c:v>0.21767203254908898</c:v>
                </c:pt>
                <c:pt idx="184">
                  <c:v>0.22106118657842797</c:v>
                </c:pt>
                <c:pt idx="185">
                  <c:v>0.21821249727846723</c:v>
                </c:pt>
                <c:pt idx="186">
                  <c:v>0.21403470538560027</c:v>
                </c:pt>
                <c:pt idx="187">
                  <c:v>0.20233155502865047</c:v>
                </c:pt>
                <c:pt idx="188">
                  <c:v>0.20336858597728164</c:v>
                </c:pt>
                <c:pt idx="189">
                  <c:v>0.19515438419190978</c:v>
                </c:pt>
                <c:pt idx="190">
                  <c:v>0.20079533265311461</c:v>
                </c:pt>
                <c:pt idx="191">
                  <c:v>0.2076703386372909</c:v>
                </c:pt>
                <c:pt idx="192">
                  <c:v>0.21044644432680432</c:v>
                </c:pt>
                <c:pt idx="193">
                  <c:v>0.21125011090409015</c:v>
                </c:pt>
                <c:pt idx="194">
                  <c:v>0.20333361206343897</c:v>
                </c:pt>
                <c:pt idx="195">
                  <c:v>0.20688298918387413</c:v>
                </c:pt>
                <c:pt idx="196">
                  <c:v>0.20797155592198491</c:v>
                </c:pt>
                <c:pt idx="197">
                  <c:v>0.21145539906103286</c:v>
                </c:pt>
                <c:pt idx="198">
                  <c:v>0.20947638270913752</c:v>
                </c:pt>
                <c:pt idx="199">
                  <c:v>0.20603113384198318</c:v>
                </c:pt>
                <c:pt idx="200">
                  <c:v>0.20807083262387197</c:v>
                </c:pt>
                <c:pt idx="201">
                  <c:v>0.21046866893410965</c:v>
                </c:pt>
                <c:pt idx="202">
                  <c:v>0.20845290238131198</c:v>
                </c:pt>
                <c:pt idx="203">
                  <c:v>0.20293327716046131</c:v>
                </c:pt>
                <c:pt idx="204">
                  <c:v>0.20071977752331097</c:v>
                </c:pt>
                <c:pt idx="205">
                  <c:v>0.19924482706539798</c:v>
                </c:pt>
                <c:pt idx="206">
                  <c:v>0.19908719311884043</c:v>
                </c:pt>
                <c:pt idx="207">
                  <c:v>0.20027531355154482</c:v>
                </c:pt>
                <c:pt idx="208">
                  <c:v>0.20398346667955813</c:v>
                </c:pt>
                <c:pt idx="209">
                  <c:v>0.21775382581727593</c:v>
                </c:pt>
                <c:pt idx="210">
                  <c:v>0.23668872085696283</c:v>
                </c:pt>
                <c:pt idx="211">
                  <c:v>0.24602756772279122</c:v>
                </c:pt>
                <c:pt idx="212">
                  <c:v>0.25144440668217827</c:v>
                </c:pt>
                <c:pt idx="213">
                  <c:v>0.25488113302984322</c:v>
                </c:pt>
                <c:pt idx="214">
                  <c:v>0.26001685077700804</c:v>
                </c:pt>
                <c:pt idx="215">
                  <c:v>0.25867424141867318</c:v>
                </c:pt>
                <c:pt idx="216">
                  <c:v>0.26497076947385051</c:v>
                </c:pt>
                <c:pt idx="217">
                  <c:v>0.26571056851532482</c:v>
                </c:pt>
                <c:pt idx="218">
                  <c:v>0.25781314994037879</c:v>
                </c:pt>
                <c:pt idx="219">
                  <c:v>0.2586368444914614</c:v>
                </c:pt>
                <c:pt idx="220">
                  <c:v>0.25727912900164812</c:v>
                </c:pt>
                <c:pt idx="221">
                  <c:v>0.26453327427748863</c:v>
                </c:pt>
                <c:pt idx="222">
                  <c:v>0.26615228314890577</c:v>
                </c:pt>
                <c:pt idx="223">
                  <c:v>0.26585359108382423</c:v>
                </c:pt>
                <c:pt idx="224">
                  <c:v>0.26887559441632153</c:v>
                </c:pt>
                <c:pt idx="225">
                  <c:v>0.26932886975928583</c:v>
                </c:pt>
                <c:pt idx="226">
                  <c:v>0.27018049797873162</c:v>
                </c:pt>
                <c:pt idx="227">
                  <c:v>0.2645770556987978</c:v>
                </c:pt>
                <c:pt idx="228">
                  <c:v>0.26637892872952634</c:v>
                </c:pt>
                <c:pt idx="229">
                  <c:v>0.26882761960770746</c:v>
                </c:pt>
                <c:pt idx="230">
                  <c:v>0.27226890756302519</c:v>
                </c:pt>
                <c:pt idx="231">
                  <c:v>0.27578845888996006</c:v>
                </c:pt>
                <c:pt idx="232">
                  <c:v>0.28446383003976028</c:v>
                </c:pt>
                <c:pt idx="233">
                  <c:v>0.29322129972325028</c:v>
                </c:pt>
                <c:pt idx="234">
                  <c:v>0.29368137439522551</c:v>
                </c:pt>
                <c:pt idx="235">
                  <c:v>0.29826329203959456</c:v>
                </c:pt>
                <c:pt idx="236">
                  <c:v>0.28964679388408204</c:v>
                </c:pt>
              </c:numCache>
            </c:numRef>
          </c:val>
          <c:smooth val="0"/>
          <c:extLst xmlns:c16r2="http://schemas.microsoft.com/office/drawing/2015/06/chart">
            <c:ext xmlns:c16="http://schemas.microsoft.com/office/drawing/2014/chart" uri="{C3380CC4-5D6E-409C-BE32-E72D297353CC}">
              <c16:uniqueId val="{00000001-E197-4FEC-B194-5E050EFB2DCD}"/>
            </c:ext>
          </c:extLst>
        </c:ser>
        <c:dLbls>
          <c:showLegendKey val="0"/>
          <c:showVal val="0"/>
          <c:showCatName val="0"/>
          <c:showSerName val="0"/>
          <c:showPercent val="0"/>
          <c:showBubbleSize val="0"/>
        </c:dLbls>
        <c:marker val="1"/>
        <c:smooth val="0"/>
        <c:axId val="251398016"/>
        <c:axId val="251396096"/>
      </c:lineChart>
      <c:dateAx>
        <c:axId val="251392384"/>
        <c:scaling>
          <c:orientation val="minMax"/>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51393920"/>
        <c:crosses val="autoZero"/>
        <c:auto val="1"/>
        <c:lblOffset val="100"/>
        <c:baseTimeUnit val="months"/>
        <c:majorUnit val="1"/>
        <c:majorTimeUnit val="years"/>
      </c:dateAx>
      <c:valAx>
        <c:axId val="251393920"/>
        <c:scaling>
          <c:orientation val="minMax"/>
          <c:max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Number of new home loans in the month</a:t>
                </a:r>
              </a:p>
            </c:rich>
          </c:tx>
          <c:layout/>
          <c:overlay val="0"/>
          <c:spPr>
            <a:noFill/>
            <a:ln>
              <a:noFill/>
            </a:ln>
            <a:effectLst/>
          </c:spPr>
        </c:title>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392384"/>
        <c:crosses val="autoZero"/>
        <c:crossBetween val="between"/>
        <c:majorUnit val="20000"/>
      </c:valAx>
      <c:valAx>
        <c:axId val="251396096"/>
        <c:scaling>
          <c:orientation val="minMax"/>
          <c:max val="0.5"/>
        </c:scaling>
        <c:delete val="0"/>
        <c:axPos val="r"/>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a:t>% of first home purchasers</a:t>
                </a:r>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398016"/>
        <c:crosses val="max"/>
        <c:crossBetween val="between"/>
        <c:majorUnit val="0.1"/>
      </c:valAx>
      <c:dateAx>
        <c:axId val="251398016"/>
        <c:scaling>
          <c:orientation val="minMax"/>
        </c:scaling>
        <c:delete val="1"/>
        <c:axPos val="b"/>
        <c:numFmt formatCode="yyyy" sourceLinked="1"/>
        <c:majorTickMark val="out"/>
        <c:minorTickMark val="none"/>
        <c:tickLblPos val="nextTo"/>
        <c:crossAx val="251396096"/>
        <c:crosses val="autoZero"/>
        <c:auto val="1"/>
        <c:lblOffset val="100"/>
        <c:baseTimeUnit val="months"/>
        <c:majorUnit val="1"/>
        <c:minorUnit val="1"/>
      </c:dateAx>
      <c:spPr>
        <a:noFill/>
        <a:ln>
          <a:noFill/>
        </a:ln>
        <a:effectLst/>
      </c:spPr>
    </c:plotArea>
    <c:legend>
      <c:legendPos val="b"/>
      <c:layout>
        <c:manualLayout>
          <c:xMode val="edge"/>
          <c:yMode val="edge"/>
          <c:x val="0.18442942456138614"/>
          <c:y val="4.0769463105751795E-2"/>
          <c:w val="0.43842048908139747"/>
          <c:h val="0.1098930073088348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Sheet2!$F$12</c:f>
              <c:strCache>
                <c:ptCount val="1"/>
                <c:pt idx="0">
                  <c:v>Sydney</c:v>
                </c:pt>
              </c:strCache>
            </c:strRef>
          </c:tx>
          <c:spPr>
            <a:ln w="28575" cap="rnd">
              <a:solidFill>
                <a:schemeClr val="accent1"/>
              </a:solidFill>
              <a:round/>
            </a:ln>
            <a:effectLst/>
          </c:spPr>
          <c:marker>
            <c:symbol val="none"/>
          </c:marker>
          <c:cat>
            <c:numRef>
              <c:f>Sheet2!$E$13:$E$91</c:f>
              <c:numCache>
                <c:formatCode>yyyy</c:formatCode>
                <c:ptCount val="79"/>
                <c:pt idx="0">
                  <c:v>36586</c:v>
                </c:pt>
                <c:pt idx="1">
                  <c:v>36678</c:v>
                </c:pt>
                <c:pt idx="2">
                  <c:v>36770</c:v>
                </c:pt>
                <c:pt idx="3">
                  <c:v>36861</c:v>
                </c:pt>
                <c:pt idx="4">
                  <c:v>36951</c:v>
                </c:pt>
                <c:pt idx="5">
                  <c:v>37043</c:v>
                </c:pt>
                <c:pt idx="6">
                  <c:v>37135</c:v>
                </c:pt>
                <c:pt idx="7">
                  <c:v>37226</c:v>
                </c:pt>
                <c:pt idx="8">
                  <c:v>37316</c:v>
                </c:pt>
                <c:pt idx="9">
                  <c:v>37408</c:v>
                </c:pt>
                <c:pt idx="10">
                  <c:v>37500</c:v>
                </c:pt>
                <c:pt idx="11">
                  <c:v>37591</c:v>
                </c:pt>
                <c:pt idx="12">
                  <c:v>37681</c:v>
                </c:pt>
                <c:pt idx="13">
                  <c:v>37773</c:v>
                </c:pt>
                <c:pt idx="14">
                  <c:v>37865</c:v>
                </c:pt>
                <c:pt idx="15">
                  <c:v>37956</c:v>
                </c:pt>
                <c:pt idx="16">
                  <c:v>38047</c:v>
                </c:pt>
                <c:pt idx="17">
                  <c:v>38139</c:v>
                </c:pt>
                <c:pt idx="18">
                  <c:v>38231</c:v>
                </c:pt>
                <c:pt idx="19">
                  <c:v>38322</c:v>
                </c:pt>
                <c:pt idx="20">
                  <c:v>38412</c:v>
                </c:pt>
                <c:pt idx="21">
                  <c:v>38504</c:v>
                </c:pt>
                <c:pt idx="22">
                  <c:v>38596</c:v>
                </c:pt>
                <c:pt idx="23">
                  <c:v>38687</c:v>
                </c:pt>
                <c:pt idx="24">
                  <c:v>38777</c:v>
                </c:pt>
                <c:pt idx="25">
                  <c:v>38869</c:v>
                </c:pt>
                <c:pt idx="26">
                  <c:v>38961</c:v>
                </c:pt>
                <c:pt idx="27">
                  <c:v>39052</c:v>
                </c:pt>
                <c:pt idx="28">
                  <c:v>39142</c:v>
                </c:pt>
                <c:pt idx="29">
                  <c:v>39234</c:v>
                </c:pt>
                <c:pt idx="30">
                  <c:v>39326</c:v>
                </c:pt>
                <c:pt idx="31">
                  <c:v>39417</c:v>
                </c:pt>
                <c:pt idx="32">
                  <c:v>39508</c:v>
                </c:pt>
                <c:pt idx="33">
                  <c:v>39600</c:v>
                </c:pt>
                <c:pt idx="34">
                  <c:v>39692</c:v>
                </c:pt>
                <c:pt idx="35">
                  <c:v>39783</c:v>
                </c:pt>
                <c:pt idx="36">
                  <c:v>39873</c:v>
                </c:pt>
                <c:pt idx="37">
                  <c:v>39965</c:v>
                </c:pt>
                <c:pt idx="38">
                  <c:v>40057</c:v>
                </c:pt>
                <c:pt idx="39">
                  <c:v>40148</c:v>
                </c:pt>
                <c:pt idx="40">
                  <c:v>40238</c:v>
                </c:pt>
                <c:pt idx="41">
                  <c:v>40330</c:v>
                </c:pt>
                <c:pt idx="42">
                  <c:v>40422</c:v>
                </c:pt>
                <c:pt idx="43">
                  <c:v>40513</c:v>
                </c:pt>
                <c:pt idx="44">
                  <c:v>40603</c:v>
                </c:pt>
                <c:pt idx="45">
                  <c:v>40695</c:v>
                </c:pt>
                <c:pt idx="46">
                  <c:v>40787</c:v>
                </c:pt>
                <c:pt idx="47">
                  <c:v>40878</c:v>
                </c:pt>
                <c:pt idx="48">
                  <c:v>40969</c:v>
                </c:pt>
                <c:pt idx="49">
                  <c:v>41061</c:v>
                </c:pt>
                <c:pt idx="50">
                  <c:v>41153</c:v>
                </c:pt>
                <c:pt idx="51">
                  <c:v>41244</c:v>
                </c:pt>
                <c:pt idx="52">
                  <c:v>41334</c:v>
                </c:pt>
                <c:pt idx="53">
                  <c:v>41426</c:v>
                </c:pt>
                <c:pt idx="54">
                  <c:v>41518</c:v>
                </c:pt>
                <c:pt idx="55">
                  <c:v>41609</c:v>
                </c:pt>
                <c:pt idx="56">
                  <c:v>41699</c:v>
                </c:pt>
                <c:pt idx="57">
                  <c:v>41791</c:v>
                </c:pt>
                <c:pt idx="58">
                  <c:v>41883</c:v>
                </c:pt>
                <c:pt idx="59">
                  <c:v>41974</c:v>
                </c:pt>
                <c:pt idx="60">
                  <c:v>42064</c:v>
                </c:pt>
                <c:pt idx="61">
                  <c:v>42156</c:v>
                </c:pt>
                <c:pt idx="62">
                  <c:v>42248</c:v>
                </c:pt>
                <c:pt idx="63">
                  <c:v>42339</c:v>
                </c:pt>
                <c:pt idx="64">
                  <c:v>42430</c:v>
                </c:pt>
                <c:pt idx="65">
                  <c:v>42522</c:v>
                </c:pt>
                <c:pt idx="66">
                  <c:v>42614</c:v>
                </c:pt>
                <c:pt idx="67">
                  <c:v>42705</c:v>
                </c:pt>
                <c:pt idx="68">
                  <c:v>42795</c:v>
                </c:pt>
                <c:pt idx="69">
                  <c:v>42887</c:v>
                </c:pt>
                <c:pt idx="70">
                  <c:v>42979</c:v>
                </c:pt>
                <c:pt idx="71">
                  <c:v>43070</c:v>
                </c:pt>
                <c:pt idx="72">
                  <c:v>43160</c:v>
                </c:pt>
                <c:pt idx="73">
                  <c:v>43252</c:v>
                </c:pt>
                <c:pt idx="74">
                  <c:v>43344</c:v>
                </c:pt>
                <c:pt idx="75">
                  <c:v>43435</c:v>
                </c:pt>
                <c:pt idx="76">
                  <c:v>43525</c:v>
                </c:pt>
                <c:pt idx="77">
                  <c:v>43617</c:v>
                </c:pt>
                <c:pt idx="78">
                  <c:v>43709</c:v>
                </c:pt>
              </c:numCache>
            </c:numRef>
          </c:cat>
          <c:val>
            <c:numRef>
              <c:f>Sheet2!$F$13:$F$91</c:f>
              <c:numCache>
                <c:formatCode>0.0%</c:formatCode>
                <c:ptCount val="79"/>
                <c:pt idx="0">
                  <c:v>3.4000000000000002E-2</c:v>
                </c:pt>
                <c:pt idx="1">
                  <c:v>3.9E-2</c:v>
                </c:pt>
                <c:pt idx="2">
                  <c:v>4.2000000000000003E-2</c:v>
                </c:pt>
                <c:pt idx="3">
                  <c:v>0.04</c:v>
                </c:pt>
                <c:pt idx="4">
                  <c:v>4.2999999999999997E-2</c:v>
                </c:pt>
                <c:pt idx="5">
                  <c:v>4.2000000000000003E-2</c:v>
                </c:pt>
                <c:pt idx="6">
                  <c:v>0.04</c:v>
                </c:pt>
                <c:pt idx="7">
                  <c:v>3.7999999999999999E-2</c:v>
                </c:pt>
                <c:pt idx="8">
                  <c:v>2.7000000000000003E-2</c:v>
                </c:pt>
                <c:pt idx="9">
                  <c:v>2.5000000000000001E-2</c:v>
                </c:pt>
                <c:pt idx="10">
                  <c:v>1.9E-2</c:v>
                </c:pt>
                <c:pt idx="11">
                  <c:v>1.4999999999999999E-2</c:v>
                </c:pt>
                <c:pt idx="12">
                  <c:v>1.2E-2</c:v>
                </c:pt>
                <c:pt idx="13">
                  <c:v>4.0000000000000001E-3</c:v>
                </c:pt>
                <c:pt idx="14">
                  <c:v>1.2E-2</c:v>
                </c:pt>
                <c:pt idx="15">
                  <c:v>1.4999999999999999E-2</c:v>
                </c:pt>
                <c:pt idx="16">
                  <c:v>0.02</c:v>
                </c:pt>
                <c:pt idx="17">
                  <c:v>2.2000000000000002E-2</c:v>
                </c:pt>
                <c:pt idx="18">
                  <c:v>1.3999999999999999E-2</c:v>
                </c:pt>
                <c:pt idx="19">
                  <c:v>1.3999999999999999E-2</c:v>
                </c:pt>
                <c:pt idx="20">
                  <c:v>1.1000000000000001E-2</c:v>
                </c:pt>
                <c:pt idx="21">
                  <c:v>1.3999999999999999E-2</c:v>
                </c:pt>
                <c:pt idx="22">
                  <c:v>1.7000000000000001E-2</c:v>
                </c:pt>
                <c:pt idx="23">
                  <c:v>1.8000000000000002E-2</c:v>
                </c:pt>
                <c:pt idx="24">
                  <c:v>2.3E-2</c:v>
                </c:pt>
                <c:pt idx="25">
                  <c:v>0.02</c:v>
                </c:pt>
                <c:pt idx="26">
                  <c:v>2.4E-2</c:v>
                </c:pt>
                <c:pt idx="27">
                  <c:v>2.7999999999999997E-2</c:v>
                </c:pt>
                <c:pt idx="28">
                  <c:v>3.3000000000000002E-2</c:v>
                </c:pt>
                <c:pt idx="29">
                  <c:v>4.2999999999999997E-2</c:v>
                </c:pt>
                <c:pt idx="30">
                  <c:v>4.9000000000000002E-2</c:v>
                </c:pt>
                <c:pt idx="31">
                  <c:v>5.4000000000000006E-2</c:v>
                </c:pt>
                <c:pt idx="32">
                  <c:v>0.06</c:v>
                </c:pt>
                <c:pt idx="33">
                  <c:v>7.0999999999999994E-2</c:v>
                </c:pt>
                <c:pt idx="34">
                  <c:v>7.400000000000001E-2</c:v>
                </c:pt>
                <c:pt idx="35">
                  <c:v>8.1000000000000003E-2</c:v>
                </c:pt>
                <c:pt idx="36">
                  <c:v>7.9000000000000001E-2</c:v>
                </c:pt>
                <c:pt idx="37">
                  <c:v>7.0000000000000007E-2</c:v>
                </c:pt>
                <c:pt idx="38">
                  <c:v>6.8000000000000005E-2</c:v>
                </c:pt>
                <c:pt idx="39">
                  <c:v>5.7000000000000002E-2</c:v>
                </c:pt>
                <c:pt idx="40">
                  <c:v>5.0999999999999997E-2</c:v>
                </c:pt>
                <c:pt idx="41">
                  <c:v>4.8000000000000001E-2</c:v>
                </c:pt>
                <c:pt idx="42">
                  <c:v>4.8000000000000001E-2</c:v>
                </c:pt>
                <c:pt idx="43">
                  <c:v>5.0999999999999997E-2</c:v>
                </c:pt>
                <c:pt idx="44">
                  <c:v>5.7000000000000002E-2</c:v>
                </c:pt>
                <c:pt idx="45">
                  <c:v>5.9000000000000004E-2</c:v>
                </c:pt>
                <c:pt idx="46">
                  <c:v>6.0999999999999999E-2</c:v>
                </c:pt>
                <c:pt idx="47">
                  <c:v>6.2E-2</c:v>
                </c:pt>
                <c:pt idx="48">
                  <c:v>5.7000000000000002E-2</c:v>
                </c:pt>
                <c:pt idx="49">
                  <c:v>5.5E-2</c:v>
                </c:pt>
                <c:pt idx="50">
                  <c:v>4.8000000000000001E-2</c:v>
                </c:pt>
                <c:pt idx="51">
                  <c:v>4.4000000000000004E-2</c:v>
                </c:pt>
                <c:pt idx="52">
                  <c:v>0.04</c:v>
                </c:pt>
                <c:pt idx="53">
                  <c:v>3.9E-2</c:v>
                </c:pt>
                <c:pt idx="54">
                  <c:v>3.6000000000000004E-2</c:v>
                </c:pt>
                <c:pt idx="55">
                  <c:v>3.4000000000000002E-2</c:v>
                </c:pt>
                <c:pt idx="56">
                  <c:v>3.3000000000000002E-2</c:v>
                </c:pt>
                <c:pt idx="57">
                  <c:v>0.03</c:v>
                </c:pt>
                <c:pt idx="58">
                  <c:v>3.2000000000000001E-2</c:v>
                </c:pt>
                <c:pt idx="59">
                  <c:v>3.2000000000000001E-2</c:v>
                </c:pt>
                <c:pt idx="60">
                  <c:v>2.8999999999999998E-2</c:v>
                </c:pt>
                <c:pt idx="61">
                  <c:v>2.5000000000000001E-2</c:v>
                </c:pt>
                <c:pt idx="62">
                  <c:v>2.5000000000000001E-2</c:v>
                </c:pt>
                <c:pt idx="63">
                  <c:v>2.3E-2</c:v>
                </c:pt>
                <c:pt idx="64">
                  <c:v>2.3E-2</c:v>
                </c:pt>
                <c:pt idx="65">
                  <c:v>2.2000000000000002E-2</c:v>
                </c:pt>
                <c:pt idx="66">
                  <c:v>2.5000000000000001E-2</c:v>
                </c:pt>
                <c:pt idx="67">
                  <c:v>2.5000000000000001E-2</c:v>
                </c:pt>
                <c:pt idx="68">
                  <c:v>2.5000000000000001E-2</c:v>
                </c:pt>
                <c:pt idx="69">
                  <c:v>2.5000000000000001E-2</c:v>
                </c:pt>
                <c:pt idx="70">
                  <c:v>2.3E-2</c:v>
                </c:pt>
                <c:pt idx="71">
                  <c:v>2.4E-2</c:v>
                </c:pt>
                <c:pt idx="72">
                  <c:v>2.4E-2</c:v>
                </c:pt>
                <c:pt idx="73">
                  <c:v>2.2000000000000002E-2</c:v>
                </c:pt>
                <c:pt idx="74">
                  <c:v>1.9E-2</c:v>
                </c:pt>
                <c:pt idx="75">
                  <c:v>1.3999999999999999E-2</c:v>
                </c:pt>
                <c:pt idx="76">
                  <c:v>6.9999999999999993E-3</c:v>
                </c:pt>
                <c:pt idx="77">
                  <c:v>3.0000000000000001E-3</c:v>
                </c:pt>
                <c:pt idx="78">
                  <c:v>-2E-3</c:v>
                </c:pt>
              </c:numCache>
            </c:numRef>
          </c:val>
          <c:smooth val="0"/>
          <c:extLst xmlns:c16r2="http://schemas.microsoft.com/office/drawing/2015/06/chart">
            <c:ext xmlns:c16="http://schemas.microsoft.com/office/drawing/2014/chart" uri="{C3380CC4-5D6E-409C-BE32-E72D297353CC}">
              <c16:uniqueId val="{00000000-1D52-45AD-8B67-4CD9D304CA52}"/>
            </c:ext>
          </c:extLst>
        </c:ser>
        <c:ser>
          <c:idx val="1"/>
          <c:order val="1"/>
          <c:tx>
            <c:strRef>
              <c:f>Sheet2!$G$12</c:f>
              <c:strCache>
                <c:ptCount val="1"/>
                <c:pt idx="0">
                  <c:v>Melbourne</c:v>
                </c:pt>
              </c:strCache>
            </c:strRef>
          </c:tx>
          <c:spPr>
            <a:ln w="28575" cap="rnd">
              <a:solidFill>
                <a:schemeClr val="accent6">
                  <a:lumMod val="75000"/>
                </a:schemeClr>
              </a:solidFill>
              <a:round/>
            </a:ln>
            <a:effectLst/>
          </c:spPr>
          <c:marker>
            <c:symbol val="none"/>
          </c:marker>
          <c:cat>
            <c:numRef>
              <c:f>Sheet2!$E$13:$E$91</c:f>
              <c:numCache>
                <c:formatCode>yyyy</c:formatCode>
                <c:ptCount val="79"/>
                <c:pt idx="0">
                  <c:v>36586</c:v>
                </c:pt>
                <c:pt idx="1">
                  <c:v>36678</c:v>
                </c:pt>
                <c:pt idx="2">
                  <c:v>36770</c:v>
                </c:pt>
                <c:pt idx="3">
                  <c:v>36861</c:v>
                </c:pt>
                <c:pt idx="4">
                  <c:v>36951</c:v>
                </c:pt>
                <c:pt idx="5">
                  <c:v>37043</c:v>
                </c:pt>
                <c:pt idx="6">
                  <c:v>37135</c:v>
                </c:pt>
                <c:pt idx="7">
                  <c:v>37226</c:v>
                </c:pt>
                <c:pt idx="8">
                  <c:v>37316</c:v>
                </c:pt>
                <c:pt idx="9">
                  <c:v>37408</c:v>
                </c:pt>
                <c:pt idx="10">
                  <c:v>37500</c:v>
                </c:pt>
                <c:pt idx="11">
                  <c:v>37591</c:v>
                </c:pt>
                <c:pt idx="12">
                  <c:v>37681</c:v>
                </c:pt>
                <c:pt idx="13">
                  <c:v>37773</c:v>
                </c:pt>
                <c:pt idx="14">
                  <c:v>37865</c:v>
                </c:pt>
                <c:pt idx="15">
                  <c:v>37956</c:v>
                </c:pt>
                <c:pt idx="16">
                  <c:v>38047</c:v>
                </c:pt>
                <c:pt idx="17">
                  <c:v>38139</c:v>
                </c:pt>
                <c:pt idx="18">
                  <c:v>38231</c:v>
                </c:pt>
                <c:pt idx="19">
                  <c:v>38322</c:v>
                </c:pt>
                <c:pt idx="20">
                  <c:v>38412</c:v>
                </c:pt>
                <c:pt idx="21">
                  <c:v>38504</c:v>
                </c:pt>
                <c:pt idx="22">
                  <c:v>38596</c:v>
                </c:pt>
                <c:pt idx="23">
                  <c:v>38687</c:v>
                </c:pt>
                <c:pt idx="24">
                  <c:v>38777</c:v>
                </c:pt>
                <c:pt idx="25">
                  <c:v>38869</c:v>
                </c:pt>
                <c:pt idx="26">
                  <c:v>38961</c:v>
                </c:pt>
                <c:pt idx="27">
                  <c:v>39052</c:v>
                </c:pt>
                <c:pt idx="28">
                  <c:v>39142</c:v>
                </c:pt>
                <c:pt idx="29">
                  <c:v>39234</c:v>
                </c:pt>
                <c:pt idx="30">
                  <c:v>39326</c:v>
                </c:pt>
                <c:pt idx="31">
                  <c:v>39417</c:v>
                </c:pt>
                <c:pt idx="32">
                  <c:v>39508</c:v>
                </c:pt>
                <c:pt idx="33">
                  <c:v>39600</c:v>
                </c:pt>
                <c:pt idx="34">
                  <c:v>39692</c:v>
                </c:pt>
                <c:pt idx="35">
                  <c:v>39783</c:v>
                </c:pt>
                <c:pt idx="36">
                  <c:v>39873</c:v>
                </c:pt>
                <c:pt idx="37">
                  <c:v>39965</c:v>
                </c:pt>
                <c:pt idx="38">
                  <c:v>40057</c:v>
                </c:pt>
                <c:pt idx="39">
                  <c:v>40148</c:v>
                </c:pt>
                <c:pt idx="40">
                  <c:v>40238</c:v>
                </c:pt>
                <c:pt idx="41">
                  <c:v>40330</c:v>
                </c:pt>
                <c:pt idx="42">
                  <c:v>40422</c:v>
                </c:pt>
                <c:pt idx="43">
                  <c:v>40513</c:v>
                </c:pt>
                <c:pt idx="44">
                  <c:v>40603</c:v>
                </c:pt>
                <c:pt idx="45">
                  <c:v>40695</c:v>
                </c:pt>
                <c:pt idx="46">
                  <c:v>40787</c:v>
                </c:pt>
                <c:pt idx="47">
                  <c:v>40878</c:v>
                </c:pt>
                <c:pt idx="48">
                  <c:v>40969</c:v>
                </c:pt>
                <c:pt idx="49">
                  <c:v>41061</c:v>
                </c:pt>
                <c:pt idx="50">
                  <c:v>41153</c:v>
                </c:pt>
                <c:pt idx="51">
                  <c:v>41244</c:v>
                </c:pt>
                <c:pt idx="52">
                  <c:v>41334</c:v>
                </c:pt>
                <c:pt idx="53">
                  <c:v>41426</c:v>
                </c:pt>
                <c:pt idx="54">
                  <c:v>41518</c:v>
                </c:pt>
                <c:pt idx="55">
                  <c:v>41609</c:v>
                </c:pt>
                <c:pt idx="56">
                  <c:v>41699</c:v>
                </c:pt>
                <c:pt idx="57">
                  <c:v>41791</c:v>
                </c:pt>
                <c:pt idx="58">
                  <c:v>41883</c:v>
                </c:pt>
                <c:pt idx="59">
                  <c:v>41974</c:v>
                </c:pt>
                <c:pt idx="60">
                  <c:v>42064</c:v>
                </c:pt>
                <c:pt idx="61">
                  <c:v>42156</c:v>
                </c:pt>
                <c:pt idx="62">
                  <c:v>42248</c:v>
                </c:pt>
                <c:pt idx="63">
                  <c:v>42339</c:v>
                </c:pt>
                <c:pt idx="64">
                  <c:v>42430</c:v>
                </c:pt>
                <c:pt idx="65">
                  <c:v>42522</c:v>
                </c:pt>
                <c:pt idx="66">
                  <c:v>42614</c:v>
                </c:pt>
                <c:pt idx="67">
                  <c:v>42705</c:v>
                </c:pt>
                <c:pt idx="68">
                  <c:v>42795</c:v>
                </c:pt>
                <c:pt idx="69">
                  <c:v>42887</c:v>
                </c:pt>
                <c:pt idx="70">
                  <c:v>42979</c:v>
                </c:pt>
                <c:pt idx="71">
                  <c:v>43070</c:v>
                </c:pt>
                <c:pt idx="72">
                  <c:v>43160</c:v>
                </c:pt>
                <c:pt idx="73">
                  <c:v>43252</c:v>
                </c:pt>
                <c:pt idx="74">
                  <c:v>43344</c:v>
                </c:pt>
                <c:pt idx="75">
                  <c:v>43435</c:v>
                </c:pt>
                <c:pt idx="76">
                  <c:v>43525</c:v>
                </c:pt>
                <c:pt idx="77">
                  <c:v>43617</c:v>
                </c:pt>
                <c:pt idx="78">
                  <c:v>43709</c:v>
                </c:pt>
              </c:numCache>
            </c:numRef>
          </c:cat>
          <c:val>
            <c:numRef>
              <c:f>Sheet2!$G$13:$G$91</c:f>
              <c:numCache>
                <c:formatCode>0.0%</c:formatCode>
                <c:ptCount val="79"/>
                <c:pt idx="0">
                  <c:v>3.3000000000000002E-2</c:v>
                </c:pt>
                <c:pt idx="1">
                  <c:v>3.3000000000000002E-2</c:v>
                </c:pt>
                <c:pt idx="2">
                  <c:v>2.7999999999999997E-2</c:v>
                </c:pt>
                <c:pt idx="3">
                  <c:v>2.7999999999999997E-2</c:v>
                </c:pt>
                <c:pt idx="4">
                  <c:v>2.5000000000000001E-2</c:v>
                </c:pt>
                <c:pt idx="5">
                  <c:v>2.6000000000000002E-2</c:v>
                </c:pt>
                <c:pt idx="6">
                  <c:v>2.7000000000000003E-2</c:v>
                </c:pt>
                <c:pt idx="7">
                  <c:v>0.03</c:v>
                </c:pt>
                <c:pt idx="8">
                  <c:v>0.03</c:v>
                </c:pt>
                <c:pt idx="9">
                  <c:v>2.7000000000000003E-2</c:v>
                </c:pt>
                <c:pt idx="10">
                  <c:v>2.4E-2</c:v>
                </c:pt>
                <c:pt idx="11">
                  <c:v>2.1000000000000001E-2</c:v>
                </c:pt>
                <c:pt idx="12">
                  <c:v>1.7000000000000001E-2</c:v>
                </c:pt>
                <c:pt idx="13">
                  <c:v>1.7000000000000001E-2</c:v>
                </c:pt>
                <c:pt idx="14">
                  <c:v>1.3999999999999999E-2</c:v>
                </c:pt>
                <c:pt idx="15">
                  <c:v>1.6E-2</c:v>
                </c:pt>
                <c:pt idx="16">
                  <c:v>1.6E-2</c:v>
                </c:pt>
                <c:pt idx="17">
                  <c:v>1.6E-2</c:v>
                </c:pt>
                <c:pt idx="18">
                  <c:v>0.02</c:v>
                </c:pt>
                <c:pt idx="19">
                  <c:v>1.6E-2</c:v>
                </c:pt>
                <c:pt idx="20">
                  <c:v>1.6E-2</c:v>
                </c:pt>
                <c:pt idx="21">
                  <c:v>1.4999999999999999E-2</c:v>
                </c:pt>
                <c:pt idx="22">
                  <c:v>1.1000000000000001E-2</c:v>
                </c:pt>
                <c:pt idx="23">
                  <c:v>1.1000000000000001E-2</c:v>
                </c:pt>
                <c:pt idx="24">
                  <c:v>1.2E-2</c:v>
                </c:pt>
                <c:pt idx="25">
                  <c:v>1.3999999999999999E-2</c:v>
                </c:pt>
                <c:pt idx="26">
                  <c:v>2.2000000000000002E-2</c:v>
                </c:pt>
                <c:pt idx="27">
                  <c:v>2.7999999999999997E-2</c:v>
                </c:pt>
                <c:pt idx="28">
                  <c:v>3.5000000000000003E-2</c:v>
                </c:pt>
                <c:pt idx="29">
                  <c:v>4.2000000000000003E-2</c:v>
                </c:pt>
                <c:pt idx="30">
                  <c:v>4.5999999999999999E-2</c:v>
                </c:pt>
                <c:pt idx="31">
                  <c:v>5.4000000000000006E-2</c:v>
                </c:pt>
                <c:pt idx="32">
                  <c:v>5.7000000000000002E-2</c:v>
                </c:pt>
                <c:pt idx="33">
                  <c:v>6.0999999999999999E-2</c:v>
                </c:pt>
                <c:pt idx="34">
                  <c:v>6.4000000000000001E-2</c:v>
                </c:pt>
                <c:pt idx="35">
                  <c:v>6.5000000000000002E-2</c:v>
                </c:pt>
                <c:pt idx="36">
                  <c:v>6.6000000000000003E-2</c:v>
                </c:pt>
                <c:pt idx="37">
                  <c:v>6.0999999999999999E-2</c:v>
                </c:pt>
                <c:pt idx="38">
                  <c:v>5.2999999999999999E-2</c:v>
                </c:pt>
                <c:pt idx="39">
                  <c:v>4.9000000000000002E-2</c:v>
                </c:pt>
                <c:pt idx="40">
                  <c:v>4.4000000000000004E-2</c:v>
                </c:pt>
                <c:pt idx="41">
                  <c:v>4.0999999999999995E-2</c:v>
                </c:pt>
                <c:pt idx="42">
                  <c:v>4.4000000000000004E-2</c:v>
                </c:pt>
                <c:pt idx="43">
                  <c:v>3.7999999999999999E-2</c:v>
                </c:pt>
                <c:pt idx="44">
                  <c:v>4.2000000000000003E-2</c:v>
                </c:pt>
                <c:pt idx="45">
                  <c:v>3.9E-2</c:v>
                </c:pt>
                <c:pt idx="46">
                  <c:v>4.0999999999999995E-2</c:v>
                </c:pt>
                <c:pt idx="47">
                  <c:v>0.04</c:v>
                </c:pt>
                <c:pt idx="48">
                  <c:v>3.4000000000000002E-2</c:v>
                </c:pt>
                <c:pt idx="49">
                  <c:v>3.6000000000000004E-2</c:v>
                </c:pt>
                <c:pt idx="50">
                  <c:v>2.6000000000000002E-2</c:v>
                </c:pt>
                <c:pt idx="51">
                  <c:v>2.5000000000000001E-2</c:v>
                </c:pt>
                <c:pt idx="52">
                  <c:v>2.3E-2</c:v>
                </c:pt>
                <c:pt idx="53">
                  <c:v>1.8000000000000002E-2</c:v>
                </c:pt>
                <c:pt idx="54">
                  <c:v>2.1000000000000001E-2</c:v>
                </c:pt>
                <c:pt idx="55">
                  <c:v>0.02</c:v>
                </c:pt>
                <c:pt idx="56">
                  <c:v>1.9E-2</c:v>
                </c:pt>
                <c:pt idx="57">
                  <c:v>1.7000000000000001E-2</c:v>
                </c:pt>
                <c:pt idx="58">
                  <c:v>1.9E-2</c:v>
                </c:pt>
                <c:pt idx="59">
                  <c:v>2.4E-2</c:v>
                </c:pt>
                <c:pt idx="60">
                  <c:v>2.5000000000000001E-2</c:v>
                </c:pt>
                <c:pt idx="61">
                  <c:v>2.6000000000000002E-2</c:v>
                </c:pt>
                <c:pt idx="62">
                  <c:v>2.2000000000000002E-2</c:v>
                </c:pt>
                <c:pt idx="63">
                  <c:v>1.7000000000000001E-2</c:v>
                </c:pt>
                <c:pt idx="64">
                  <c:v>1.3999999999999999E-2</c:v>
                </c:pt>
                <c:pt idx="65">
                  <c:v>1.3999999999999999E-2</c:v>
                </c:pt>
                <c:pt idx="66">
                  <c:v>1.3999999999999999E-2</c:v>
                </c:pt>
                <c:pt idx="67">
                  <c:v>1.6E-2</c:v>
                </c:pt>
                <c:pt idx="68">
                  <c:v>1.7000000000000001E-2</c:v>
                </c:pt>
                <c:pt idx="69">
                  <c:v>1.7000000000000001E-2</c:v>
                </c:pt>
                <c:pt idx="70">
                  <c:v>1.8000000000000002E-2</c:v>
                </c:pt>
                <c:pt idx="71">
                  <c:v>1.8000000000000002E-2</c:v>
                </c:pt>
                <c:pt idx="72">
                  <c:v>2.2000000000000002E-2</c:v>
                </c:pt>
                <c:pt idx="73">
                  <c:v>1.9E-2</c:v>
                </c:pt>
                <c:pt idx="74">
                  <c:v>1.8000000000000002E-2</c:v>
                </c:pt>
                <c:pt idx="75">
                  <c:v>1.8000000000000002E-2</c:v>
                </c:pt>
                <c:pt idx="76">
                  <c:v>1.6E-2</c:v>
                </c:pt>
                <c:pt idx="77">
                  <c:v>1.7000000000000001E-2</c:v>
                </c:pt>
                <c:pt idx="78">
                  <c:v>1.7000000000000001E-2</c:v>
                </c:pt>
              </c:numCache>
            </c:numRef>
          </c:val>
          <c:smooth val="0"/>
          <c:extLst xmlns:c16r2="http://schemas.microsoft.com/office/drawing/2015/06/chart">
            <c:ext xmlns:c16="http://schemas.microsoft.com/office/drawing/2014/chart" uri="{C3380CC4-5D6E-409C-BE32-E72D297353CC}">
              <c16:uniqueId val="{00000001-1D52-45AD-8B67-4CD9D304CA52}"/>
            </c:ext>
          </c:extLst>
        </c:ser>
        <c:ser>
          <c:idx val="2"/>
          <c:order val="2"/>
          <c:tx>
            <c:strRef>
              <c:f>Sheet2!$H$12</c:f>
              <c:strCache>
                <c:ptCount val="1"/>
                <c:pt idx="0">
                  <c:v>Australia</c:v>
                </c:pt>
              </c:strCache>
            </c:strRef>
          </c:tx>
          <c:spPr>
            <a:ln w="28575" cap="rnd">
              <a:solidFill>
                <a:schemeClr val="tx1">
                  <a:lumMod val="50000"/>
                  <a:lumOff val="50000"/>
                </a:schemeClr>
              </a:solidFill>
              <a:prstDash val="sysDash"/>
              <a:round/>
            </a:ln>
            <a:effectLst/>
          </c:spPr>
          <c:marker>
            <c:symbol val="none"/>
          </c:marker>
          <c:cat>
            <c:numRef>
              <c:f>Sheet2!$E$13:$E$91</c:f>
              <c:numCache>
                <c:formatCode>yyyy</c:formatCode>
                <c:ptCount val="79"/>
                <c:pt idx="0">
                  <c:v>36586</c:v>
                </c:pt>
                <c:pt idx="1">
                  <c:v>36678</c:v>
                </c:pt>
                <c:pt idx="2">
                  <c:v>36770</c:v>
                </c:pt>
                <c:pt idx="3">
                  <c:v>36861</c:v>
                </c:pt>
                <c:pt idx="4">
                  <c:v>36951</c:v>
                </c:pt>
                <c:pt idx="5">
                  <c:v>37043</c:v>
                </c:pt>
                <c:pt idx="6">
                  <c:v>37135</c:v>
                </c:pt>
                <c:pt idx="7">
                  <c:v>37226</c:v>
                </c:pt>
                <c:pt idx="8">
                  <c:v>37316</c:v>
                </c:pt>
                <c:pt idx="9">
                  <c:v>37408</c:v>
                </c:pt>
                <c:pt idx="10">
                  <c:v>37500</c:v>
                </c:pt>
                <c:pt idx="11">
                  <c:v>37591</c:v>
                </c:pt>
                <c:pt idx="12">
                  <c:v>37681</c:v>
                </c:pt>
                <c:pt idx="13">
                  <c:v>37773</c:v>
                </c:pt>
                <c:pt idx="14">
                  <c:v>37865</c:v>
                </c:pt>
                <c:pt idx="15">
                  <c:v>37956</c:v>
                </c:pt>
                <c:pt idx="16">
                  <c:v>38047</c:v>
                </c:pt>
                <c:pt idx="17">
                  <c:v>38139</c:v>
                </c:pt>
                <c:pt idx="18">
                  <c:v>38231</c:v>
                </c:pt>
                <c:pt idx="19">
                  <c:v>38322</c:v>
                </c:pt>
                <c:pt idx="20">
                  <c:v>38412</c:v>
                </c:pt>
                <c:pt idx="21">
                  <c:v>38504</c:v>
                </c:pt>
                <c:pt idx="22">
                  <c:v>38596</c:v>
                </c:pt>
                <c:pt idx="23">
                  <c:v>38687</c:v>
                </c:pt>
                <c:pt idx="24">
                  <c:v>38777</c:v>
                </c:pt>
                <c:pt idx="25">
                  <c:v>38869</c:v>
                </c:pt>
                <c:pt idx="26">
                  <c:v>38961</c:v>
                </c:pt>
                <c:pt idx="27">
                  <c:v>39052</c:v>
                </c:pt>
                <c:pt idx="28">
                  <c:v>39142</c:v>
                </c:pt>
                <c:pt idx="29">
                  <c:v>39234</c:v>
                </c:pt>
                <c:pt idx="30">
                  <c:v>39326</c:v>
                </c:pt>
                <c:pt idx="31">
                  <c:v>39417</c:v>
                </c:pt>
                <c:pt idx="32">
                  <c:v>39508</c:v>
                </c:pt>
                <c:pt idx="33">
                  <c:v>39600</c:v>
                </c:pt>
                <c:pt idx="34">
                  <c:v>39692</c:v>
                </c:pt>
                <c:pt idx="35">
                  <c:v>39783</c:v>
                </c:pt>
                <c:pt idx="36">
                  <c:v>39873</c:v>
                </c:pt>
                <c:pt idx="37">
                  <c:v>39965</c:v>
                </c:pt>
                <c:pt idx="38">
                  <c:v>40057</c:v>
                </c:pt>
                <c:pt idx="39">
                  <c:v>40148</c:v>
                </c:pt>
                <c:pt idx="40">
                  <c:v>40238</c:v>
                </c:pt>
                <c:pt idx="41">
                  <c:v>40330</c:v>
                </c:pt>
                <c:pt idx="42">
                  <c:v>40422</c:v>
                </c:pt>
                <c:pt idx="43">
                  <c:v>40513</c:v>
                </c:pt>
                <c:pt idx="44">
                  <c:v>40603</c:v>
                </c:pt>
                <c:pt idx="45">
                  <c:v>40695</c:v>
                </c:pt>
                <c:pt idx="46">
                  <c:v>40787</c:v>
                </c:pt>
                <c:pt idx="47">
                  <c:v>40878</c:v>
                </c:pt>
                <c:pt idx="48">
                  <c:v>40969</c:v>
                </c:pt>
                <c:pt idx="49">
                  <c:v>41061</c:v>
                </c:pt>
                <c:pt idx="50">
                  <c:v>41153</c:v>
                </c:pt>
                <c:pt idx="51">
                  <c:v>41244</c:v>
                </c:pt>
                <c:pt idx="52">
                  <c:v>41334</c:v>
                </c:pt>
                <c:pt idx="53">
                  <c:v>41426</c:v>
                </c:pt>
                <c:pt idx="54">
                  <c:v>41518</c:v>
                </c:pt>
                <c:pt idx="55">
                  <c:v>41609</c:v>
                </c:pt>
                <c:pt idx="56">
                  <c:v>41699</c:v>
                </c:pt>
                <c:pt idx="57">
                  <c:v>41791</c:v>
                </c:pt>
                <c:pt idx="58">
                  <c:v>41883</c:v>
                </c:pt>
                <c:pt idx="59">
                  <c:v>41974</c:v>
                </c:pt>
                <c:pt idx="60">
                  <c:v>42064</c:v>
                </c:pt>
                <c:pt idx="61">
                  <c:v>42156</c:v>
                </c:pt>
                <c:pt idx="62">
                  <c:v>42248</c:v>
                </c:pt>
                <c:pt idx="63">
                  <c:v>42339</c:v>
                </c:pt>
                <c:pt idx="64">
                  <c:v>42430</c:v>
                </c:pt>
                <c:pt idx="65">
                  <c:v>42522</c:v>
                </c:pt>
                <c:pt idx="66">
                  <c:v>42614</c:v>
                </c:pt>
                <c:pt idx="67">
                  <c:v>42705</c:v>
                </c:pt>
                <c:pt idx="68">
                  <c:v>42795</c:v>
                </c:pt>
                <c:pt idx="69">
                  <c:v>42887</c:v>
                </c:pt>
                <c:pt idx="70">
                  <c:v>42979</c:v>
                </c:pt>
                <c:pt idx="71">
                  <c:v>43070</c:v>
                </c:pt>
                <c:pt idx="72">
                  <c:v>43160</c:v>
                </c:pt>
                <c:pt idx="73">
                  <c:v>43252</c:v>
                </c:pt>
                <c:pt idx="74">
                  <c:v>43344</c:v>
                </c:pt>
                <c:pt idx="75">
                  <c:v>43435</c:v>
                </c:pt>
                <c:pt idx="76">
                  <c:v>43525</c:v>
                </c:pt>
                <c:pt idx="77">
                  <c:v>43617</c:v>
                </c:pt>
                <c:pt idx="78">
                  <c:v>43709</c:v>
                </c:pt>
              </c:numCache>
            </c:numRef>
          </c:cat>
          <c:val>
            <c:numRef>
              <c:f>Sheet2!$H$13:$H$91</c:f>
              <c:numCache>
                <c:formatCode>0.0%</c:formatCode>
                <c:ptCount val="79"/>
                <c:pt idx="0">
                  <c:v>2.7999999999999997E-2</c:v>
                </c:pt>
                <c:pt idx="1">
                  <c:v>3.1E-2</c:v>
                </c:pt>
                <c:pt idx="2">
                  <c:v>3.4000000000000002E-2</c:v>
                </c:pt>
                <c:pt idx="3">
                  <c:v>3.1E-2</c:v>
                </c:pt>
                <c:pt idx="4">
                  <c:v>3.2000000000000001E-2</c:v>
                </c:pt>
                <c:pt idx="5">
                  <c:v>3.2000000000000001E-2</c:v>
                </c:pt>
                <c:pt idx="6">
                  <c:v>0.03</c:v>
                </c:pt>
                <c:pt idx="7">
                  <c:v>3.1E-2</c:v>
                </c:pt>
                <c:pt idx="8">
                  <c:v>2.7999999999999997E-2</c:v>
                </c:pt>
                <c:pt idx="9">
                  <c:v>2.6000000000000002E-2</c:v>
                </c:pt>
                <c:pt idx="10">
                  <c:v>2.4E-2</c:v>
                </c:pt>
                <c:pt idx="11">
                  <c:v>2.1000000000000001E-2</c:v>
                </c:pt>
                <c:pt idx="12">
                  <c:v>1.8000000000000002E-2</c:v>
                </c:pt>
                <c:pt idx="13">
                  <c:v>1.6E-2</c:v>
                </c:pt>
                <c:pt idx="14">
                  <c:v>1.8000000000000002E-2</c:v>
                </c:pt>
                <c:pt idx="15">
                  <c:v>2.2000000000000002E-2</c:v>
                </c:pt>
                <c:pt idx="16">
                  <c:v>2.5000000000000001E-2</c:v>
                </c:pt>
                <c:pt idx="17">
                  <c:v>2.6000000000000002E-2</c:v>
                </c:pt>
                <c:pt idx="18">
                  <c:v>2.6000000000000002E-2</c:v>
                </c:pt>
                <c:pt idx="19">
                  <c:v>2.3E-2</c:v>
                </c:pt>
                <c:pt idx="20">
                  <c:v>2.2000000000000002E-2</c:v>
                </c:pt>
                <c:pt idx="21">
                  <c:v>2.1000000000000001E-2</c:v>
                </c:pt>
                <c:pt idx="22">
                  <c:v>2.1000000000000001E-2</c:v>
                </c:pt>
                <c:pt idx="23">
                  <c:v>2.4E-2</c:v>
                </c:pt>
                <c:pt idx="24">
                  <c:v>2.7999999999999997E-2</c:v>
                </c:pt>
                <c:pt idx="25">
                  <c:v>2.8999999999999998E-2</c:v>
                </c:pt>
                <c:pt idx="26">
                  <c:v>3.5000000000000003E-2</c:v>
                </c:pt>
                <c:pt idx="27">
                  <c:v>3.7000000000000005E-2</c:v>
                </c:pt>
                <c:pt idx="28">
                  <c:v>4.4000000000000004E-2</c:v>
                </c:pt>
                <c:pt idx="29">
                  <c:v>5.2000000000000005E-2</c:v>
                </c:pt>
                <c:pt idx="30">
                  <c:v>5.7999999999999996E-2</c:v>
                </c:pt>
                <c:pt idx="31">
                  <c:v>6.5000000000000002E-2</c:v>
                </c:pt>
                <c:pt idx="32">
                  <c:v>7.0000000000000007E-2</c:v>
                </c:pt>
                <c:pt idx="33">
                  <c:v>7.8E-2</c:v>
                </c:pt>
                <c:pt idx="34">
                  <c:v>8.1000000000000003E-2</c:v>
                </c:pt>
                <c:pt idx="35">
                  <c:v>8.4000000000000005E-2</c:v>
                </c:pt>
                <c:pt idx="36">
                  <c:v>8.1000000000000003E-2</c:v>
                </c:pt>
                <c:pt idx="37">
                  <c:v>7.2000000000000008E-2</c:v>
                </c:pt>
                <c:pt idx="38">
                  <c:v>6.2E-2</c:v>
                </c:pt>
                <c:pt idx="39">
                  <c:v>5.2000000000000005E-2</c:v>
                </c:pt>
                <c:pt idx="40">
                  <c:v>4.7E-2</c:v>
                </c:pt>
                <c:pt idx="41">
                  <c:v>4.2999999999999997E-2</c:v>
                </c:pt>
                <c:pt idx="42">
                  <c:v>4.2000000000000003E-2</c:v>
                </c:pt>
                <c:pt idx="43">
                  <c:v>4.2999999999999997E-2</c:v>
                </c:pt>
                <c:pt idx="44">
                  <c:v>4.4999999999999998E-2</c:v>
                </c:pt>
                <c:pt idx="45">
                  <c:v>4.4999999999999998E-2</c:v>
                </c:pt>
                <c:pt idx="46">
                  <c:v>4.7E-2</c:v>
                </c:pt>
                <c:pt idx="47">
                  <c:v>4.7E-2</c:v>
                </c:pt>
                <c:pt idx="48">
                  <c:v>4.4999999999999998E-2</c:v>
                </c:pt>
                <c:pt idx="49">
                  <c:v>4.4000000000000004E-2</c:v>
                </c:pt>
                <c:pt idx="50">
                  <c:v>0.04</c:v>
                </c:pt>
                <c:pt idx="51">
                  <c:v>3.7000000000000005E-2</c:v>
                </c:pt>
                <c:pt idx="52">
                  <c:v>3.5000000000000003E-2</c:v>
                </c:pt>
                <c:pt idx="53">
                  <c:v>3.4000000000000002E-2</c:v>
                </c:pt>
                <c:pt idx="54">
                  <c:v>3.2000000000000001E-2</c:v>
                </c:pt>
                <c:pt idx="55">
                  <c:v>0.03</c:v>
                </c:pt>
                <c:pt idx="56">
                  <c:v>2.8999999999999998E-2</c:v>
                </c:pt>
                <c:pt idx="57">
                  <c:v>2.4E-2</c:v>
                </c:pt>
                <c:pt idx="58">
                  <c:v>2.5000000000000001E-2</c:v>
                </c:pt>
                <c:pt idx="59">
                  <c:v>2.4E-2</c:v>
                </c:pt>
                <c:pt idx="60">
                  <c:v>2.1000000000000001E-2</c:v>
                </c:pt>
                <c:pt idx="61">
                  <c:v>1.9E-2</c:v>
                </c:pt>
                <c:pt idx="62">
                  <c:v>1.4999999999999999E-2</c:v>
                </c:pt>
                <c:pt idx="63">
                  <c:v>1.2E-2</c:v>
                </c:pt>
                <c:pt idx="64">
                  <c:v>9.0000000000000011E-3</c:v>
                </c:pt>
                <c:pt idx="65">
                  <c:v>6.9999999999999993E-3</c:v>
                </c:pt>
                <c:pt idx="66">
                  <c:v>6.9999999999999993E-3</c:v>
                </c:pt>
                <c:pt idx="67">
                  <c:v>6.0000000000000001E-3</c:v>
                </c:pt>
                <c:pt idx="68">
                  <c:v>6.0000000000000001E-3</c:v>
                </c:pt>
                <c:pt idx="69">
                  <c:v>6.0000000000000001E-3</c:v>
                </c:pt>
                <c:pt idx="70">
                  <c:v>5.0000000000000001E-3</c:v>
                </c:pt>
                <c:pt idx="71">
                  <c:v>6.9999999999999993E-3</c:v>
                </c:pt>
                <c:pt idx="72">
                  <c:v>8.0000000000000002E-3</c:v>
                </c:pt>
                <c:pt idx="73">
                  <c:v>6.0000000000000001E-3</c:v>
                </c:pt>
                <c:pt idx="74">
                  <c:v>6.0000000000000001E-3</c:v>
                </c:pt>
                <c:pt idx="75">
                  <c:v>5.0000000000000001E-3</c:v>
                </c:pt>
                <c:pt idx="76">
                  <c:v>4.0000000000000001E-3</c:v>
                </c:pt>
                <c:pt idx="77">
                  <c:v>4.0000000000000001E-3</c:v>
                </c:pt>
                <c:pt idx="78">
                  <c:v>4.0000000000000001E-3</c:v>
                </c:pt>
              </c:numCache>
            </c:numRef>
          </c:val>
          <c:smooth val="0"/>
          <c:extLst xmlns:c16r2="http://schemas.microsoft.com/office/drawing/2015/06/chart">
            <c:ext xmlns:c16="http://schemas.microsoft.com/office/drawing/2014/chart" uri="{C3380CC4-5D6E-409C-BE32-E72D297353CC}">
              <c16:uniqueId val="{00000002-1D52-45AD-8B67-4CD9D304CA52}"/>
            </c:ext>
          </c:extLst>
        </c:ser>
        <c:dLbls>
          <c:showLegendKey val="0"/>
          <c:showVal val="0"/>
          <c:showCatName val="0"/>
          <c:showSerName val="0"/>
          <c:showPercent val="0"/>
          <c:showBubbleSize val="0"/>
        </c:dLbls>
        <c:marker val="1"/>
        <c:smooth val="0"/>
        <c:axId val="48414720"/>
        <c:axId val="48416256"/>
      </c:lineChart>
      <c:dateAx>
        <c:axId val="48414720"/>
        <c:scaling>
          <c:orientation val="minMax"/>
          <c:max val="43800"/>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16256"/>
        <c:crosses val="autoZero"/>
        <c:auto val="1"/>
        <c:lblOffset val="100"/>
        <c:baseTimeUnit val="months"/>
        <c:majorUnit val="1"/>
        <c:majorTimeUnit val="years"/>
      </c:dateAx>
      <c:valAx>
        <c:axId val="48416256"/>
        <c:scaling>
          <c:orientation val="minMax"/>
          <c:max val="0.1"/>
          <c:min val="-1.0000000000000002E-2"/>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400"/>
                  <a:t>% change from previous year</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14720"/>
        <c:crosses val="autoZero"/>
        <c:crossBetween val="between"/>
      </c:valAx>
      <c:spPr>
        <a:noFill/>
        <a:ln>
          <a:noFill/>
        </a:ln>
        <a:effectLst/>
      </c:spPr>
    </c:plotArea>
    <c:legend>
      <c:legendPos val="b"/>
      <c:layout>
        <c:manualLayout>
          <c:xMode val="edge"/>
          <c:yMode val="edge"/>
          <c:x val="0.11178868327983428"/>
          <c:y val="0.19876041185731652"/>
          <c:w val="0.22432661513210955"/>
          <c:h val="0.16994011098848555"/>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2019FG-108-8233</_dlc_DocId>
    <_dlc_DocIdUrl xmlns="0f563589-9cf9-4143-b1eb-fb0534803d38">
      <Url>http://tweb/sites/fg/bpd/_layouts/15/DocIdRedir.aspx?ID=2019FG-108-8233</Url>
      <Description>2019FG-108-8233</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3DB7E2C9-8DC2-4A9A-8562-C65091563988}">
  <ds:schemaRefs>
    <ds:schemaRef ds:uri="http://schemas.openxmlformats.org/officeDocument/2006/bibliography"/>
  </ds:schemaRefs>
</ds:datastoreItem>
</file>

<file path=customXml/itemProps2.xml><?xml version="1.0" encoding="utf-8"?>
<ds:datastoreItem xmlns:ds="http://schemas.openxmlformats.org/officeDocument/2006/customXml" ds:itemID="{6352CD06-1177-4F4A-A9A5-3F0E6ED46D70}"/>
</file>

<file path=customXml/itemProps3.xml><?xml version="1.0" encoding="utf-8"?>
<ds:datastoreItem xmlns:ds="http://schemas.openxmlformats.org/officeDocument/2006/customXml" ds:itemID="{7676FCE0-9C03-413A-B95C-EF4C6F880871}"/>
</file>

<file path=customXml/itemProps4.xml><?xml version="1.0" encoding="utf-8"?>
<ds:datastoreItem xmlns:ds="http://schemas.openxmlformats.org/officeDocument/2006/customXml" ds:itemID="{1A8D13D4-5EBF-46E1-AA6D-CB29374018C9}"/>
</file>

<file path=customXml/itemProps5.xml><?xml version="1.0" encoding="utf-8"?>
<ds:datastoreItem xmlns:ds="http://schemas.openxmlformats.org/officeDocument/2006/customXml" ds:itemID="{949E0920-7E4F-4A6A-87AB-C0316CE82FCE}"/>
</file>

<file path=customXml/itemProps6.xml><?xml version="1.0" encoding="utf-8"?>
<ds:datastoreItem xmlns:ds="http://schemas.openxmlformats.org/officeDocument/2006/customXml" ds:itemID="{AEC6B1B7-05AF-47D8-86B3-22525593DC1C}"/>
</file>

<file path=customXml/itemProps7.xml><?xml version="1.0" encoding="utf-8"?>
<ds:datastoreItem xmlns:ds="http://schemas.openxmlformats.org/officeDocument/2006/customXml" ds:itemID="{1CDA0C81-C37D-4DEF-BDA6-BD5F574E821F}"/>
</file>

<file path=docProps/app.xml><?xml version="1.0" encoding="utf-8"?>
<Properties xmlns="http://schemas.openxmlformats.org/officeDocument/2006/extended-properties" xmlns:vt="http://schemas.openxmlformats.org/officeDocument/2006/docPropsVTypes">
  <Template>Normal</Template>
  <TotalTime>0</TotalTime>
  <Pages>10</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Jock Kreitals</dc:creator>
  <cp:lastModifiedBy>administrator</cp:lastModifiedBy>
  <cp:revision>2</cp:revision>
  <cp:lastPrinted>2015-02-03T22:47:00Z</cp:lastPrinted>
  <dcterms:created xsi:type="dcterms:W3CDTF">2019-12-19T05:47:00Z</dcterms:created>
  <dcterms:modified xsi:type="dcterms:W3CDTF">2019-12-19T05:47:00Z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-360751378</vt:i4>
  </property>
  <property fmtid="{D5CDD505-2E9C-101B-9397-08002B2CF9AE}" pid="3" name="ContentTypeId">
    <vt:lpwstr>0x010100348D01E61E107C4DA4B97E380EA20D470058EB9BF65DAD8C42B8B4A94A1D11A674</vt:lpwstr>
  </property>
  <property fmtid="{D5CDD505-2E9C-101B-9397-08002B2CF9AE}" pid="4" name="_dlc_DocIdItemGuid">
    <vt:lpwstr>b0acae47-3b98-4f07-a4eb-2f64a54de3a2</vt:lpwstr>
  </property>
  <property fmtid="{D5CDD505-2E9C-101B-9397-08002B2CF9AE}" pid="5" name="TSYRecordClass">
    <vt:lpwstr>7;#TSY RA-8730 - Retain as national archives|77f958b9-774b-411f-8853-551bb899336c</vt:lpwstr>
  </property>
  <property fmtid="{D5CDD505-2E9C-101B-9397-08002B2CF9AE}" pid="6" name="RecordPoint_WorkflowType">
    <vt:lpwstr>ActiveSubmitStub</vt:lpwstr>
  </property>
  <property fmtid="{D5CDD505-2E9C-101B-9397-08002B2CF9AE}" pid="7" name="RecordPoint_ActiveItemSiteId">
    <vt:lpwstr>{a3a280d1-e8f1-4ce7-94f0-aaa2322da0dd}</vt:lpwstr>
  </property>
  <property fmtid="{D5CDD505-2E9C-101B-9397-08002B2CF9AE}" pid="8" name="RecordPoint_ActiveItemListId">
    <vt:lpwstr>{11a07c86-5882-407a-83c1-3607840816f8}</vt:lpwstr>
  </property>
  <property fmtid="{D5CDD505-2E9C-101B-9397-08002B2CF9AE}" pid="9" name="RecordPoint_ActiveItemUniqueId">
    <vt:lpwstr>{b0acae47-3b98-4f07-a4eb-2f64a54de3a2}</vt:lpwstr>
  </property>
  <property fmtid="{D5CDD505-2E9C-101B-9397-08002B2CF9AE}" pid="10" name="RecordPoint_ActiveItemWebId">
    <vt:lpwstr>{2af1fd9f-9360-4de3-abf2-ccd65f89a90c}</vt:lpwstr>
  </property>
  <property fmtid="{D5CDD505-2E9C-101B-9397-08002B2CF9AE}" pid="11" name="RecordPoint_RecordNumberSubmitted">
    <vt:lpwstr>R0002182481</vt:lpwstr>
  </property>
  <property fmtid="{D5CDD505-2E9C-101B-9397-08002B2CF9AE}" pid="12" name="RecordPoint_SubmissionCompleted">
    <vt:lpwstr>2019-12-28T15:15:23.2837214+11:00</vt:lpwstr>
  </property>
</Properties>
</file>