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41786" w14:textId="77777777" w:rsidR="00045819" w:rsidRPr="00C47BC7" w:rsidRDefault="00045819" w:rsidP="0099235B">
      <w:pPr>
        <w:shd w:val="clear" w:color="auto" w:fill="FFFFFF" w:themeFill="background1"/>
        <w:autoSpaceDE w:val="0"/>
        <w:autoSpaceDN w:val="0"/>
        <w:adjustRightInd w:val="0"/>
        <w:spacing w:before="120" w:after="120" w:line="360" w:lineRule="auto"/>
        <w:rPr>
          <w:rFonts w:cs="Arial"/>
        </w:rPr>
      </w:pPr>
    </w:p>
    <w:p w14:paraId="3BF75E80" w14:textId="77777777" w:rsidR="00045819" w:rsidRPr="00C47BC7" w:rsidRDefault="008772FA" w:rsidP="0099235B">
      <w:pPr>
        <w:shd w:val="clear" w:color="auto" w:fill="FFFFFF" w:themeFill="background1"/>
        <w:autoSpaceDE w:val="0"/>
        <w:autoSpaceDN w:val="0"/>
        <w:adjustRightInd w:val="0"/>
        <w:spacing w:before="120" w:after="120" w:line="360" w:lineRule="auto"/>
        <w:rPr>
          <w:rFonts w:cs="Arial"/>
        </w:rPr>
      </w:pPr>
      <w:r>
        <w:rPr>
          <w:rFonts w:cs="Arial"/>
          <w:noProof/>
          <w:lang w:eastAsia="en-AU"/>
        </w:rPr>
        <w:object w:dxaOrig="1440" w:dyaOrig="1440" w14:anchorId="185B8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95pt;margin-top:23.9pt;width:195.3pt;height:128.6pt;z-index:251658240">
            <v:imagedata r:id="rId8" o:title=""/>
          </v:shape>
          <o:OLEObject Type="Embed" ProgID="Word.Picture.8" ShapeID="_x0000_s1026" DrawAspect="Content" ObjectID="_1638615666" r:id="rId9"/>
        </w:object>
      </w:r>
    </w:p>
    <w:p w14:paraId="1BF120DB" w14:textId="77777777" w:rsidR="00045819" w:rsidRPr="00C47BC7" w:rsidRDefault="00045819" w:rsidP="00333051">
      <w:pPr>
        <w:spacing w:before="120" w:after="120" w:line="360" w:lineRule="auto"/>
        <w:rPr>
          <w:rFonts w:cs="Arial"/>
        </w:rPr>
      </w:pPr>
    </w:p>
    <w:p w14:paraId="0C86288F" w14:textId="77777777" w:rsidR="00045819" w:rsidRPr="00C47BC7" w:rsidRDefault="00045819" w:rsidP="002D61FF">
      <w:pPr>
        <w:spacing w:before="120" w:after="120" w:line="360" w:lineRule="auto"/>
        <w:rPr>
          <w:rFonts w:cs="Arial"/>
        </w:rPr>
      </w:pPr>
    </w:p>
    <w:p w14:paraId="11CEB5DE" w14:textId="77777777" w:rsidR="00045819" w:rsidRPr="00C47BC7" w:rsidRDefault="00045819" w:rsidP="002D61FF">
      <w:pPr>
        <w:spacing w:before="120" w:after="120" w:line="360" w:lineRule="auto"/>
        <w:rPr>
          <w:rFonts w:cs="Arial"/>
        </w:rPr>
      </w:pPr>
    </w:p>
    <w:p w14:paraId="4223B6CD" w14:textId="77777777" w:rsidR="00045819" w:rsidRPr="00C47BC7" w:rsidRDefault="00045819" w:rsidP="002D61FF">
      <w:pPr>
        <w:spacing w:before="120" w:after="120" w:line="360" w:lineRule="auto"/>
        <w:rPr>
          <w:rFonts w:cs="Arial"/>
        </w:rPr>
      </w:pPr>
    </w:p>
    <w:p w14:paraId="6F28B64E" w14:textId="77777777" w:rsidR="00045819" w:rsidRPr="00C47BC7" w:rsidRDefault="00045819" w:rsidP="002D61FF">
      <w:pPr>
        <w:spacing w:before="120" w:after="120" w:line="360" w:lineRule="auto"/>
        <w:rPr>
          <w:rFonts w:cs="Arial"/>
        </w:rPr>
      </w:pPr>
    </w:p>
    <w:p w14:paraId="07E6B464" w14:textId="77777777" w:rsidR="00045819" w:rsidRPr="00C47BC7" w:rsidRDefault="00045819" w:rsidP="002D61FF">
      <w:pPr>
        <w:spacing w:before="120" w:after="120" w:line="360" w:lineRule="auto"/>
        <w:rPr>
          <w:rFonts w:cs="Arial"/>
        </w:rPr>
      </w:pPr>
    </w:p>
    <w:p w14:paraId="38A32317" w14:textId="77777777" w:rsidR="00045819" w:rsidRPr="00C47BC7" w:rsidRDefault="00045819" w:rsidP="002D61FF">
      <w:pPr>
        <w:spacing w:before="120" w:after="120" w:line="360" w:lineRule="auto"/>
        <w:rPr>
          <w:rFonts w:cs="Arial"/>
        </w:rPr>
      </w:pPr>
    </w:p>
    <w:p w14:paraId="6585FD20" w14:textId="77777777" w:rsidR="00045819" w:rsidRPr="00C47BC7" w:rsidRDefault="00045819" w:rsidP="002D61FF">
      <w:pPr>
        <w:spacing w:before="120" w:after="120" w:line="360" w:lineRule="auto"/>
        <w:rPr>
          <w:rFonts w:cs="Arial"/>
        </w:rPr>
      </w:pPr>
    </w:p>
    <w:p w14:paraId="604C914F" w14:textId="77777777" w:rsidR="00045819" w:rsidRPr="0099235B" w:rsidRDefault="00045819" w:rsidP="0099235B">
      <w:pPr>
        <w:spacing w:before="120" w:after="120" w:line="360" w:lineRule="auto"/>
        <w:rPr>
          <w:rFonts w:cs="Arial"/>
          <w:b/>
          <w:sz w:val="28"/>
        </w:rPr>
      </w:pPr>
    </w:p>
    <w:p w14:paraId="746F77FC" w14:textId="535235D9" w:rsidR="00333051" w:rsidRPr="0099235B" w:rsidRDefault="008E20A8" w:rsidP="0099235B">
      <w:pPr>
        <w:spacing w:before="120" w:after="120" w:line="360" w:lineRule="auto"/>
        <w:jc w:val="center"/>
        <w:rPr>
          <w:rFonts w:cs="Arial"/>
          <w:b/>
          <w:sz w:val="28"/>
        </w:rPr>
      </w:pPr>
      <w:r>
        <w:rPr>
          <w:rFonts w:cs="Arial"/>
          <w:b/>
          <w:sz w:val="28"/>
        </w:rPr>
        <w:t>Pre-B</w:t>
      </w:r>
      <w:r w:rsidR="00045819" w:rsidRPr="0099235B">
        <w:rPr>
          <w:rFonts w:cs="Arial"/>
          <w:b/>
          <w:sz w:val="28"/>
        </w:rPr>
        <w:t xml:space="preserve">udget submission </w:t>
      </w:r>
      <w:r w:rsidR="006A37D7">
        <w:rPr>
          <w:rFonts w:cs="Arial"/>
          <w:b/>
          <w:sz w:val="28"/>
        </w:rPr>
        <w:t>2020-2021</w:t>
      </w:r>
    </w:p>
    <w:p w14:paraId="735AFB26" w14:textId="77777777" w:rsidR="00045819" w:rsidRPr="0099235B" w:rsidRDefault="00045819" w:rsidP="0099235B">
      <w:pPr>
        <w:spacing w:before="120" w:after="120" w:line="360" w:lineRule="auto"/>
        <w:jc w:val="center"/>
        <w:rPr>
          <w:rFonts w:cs="Arial"/>
          <w:b/>
          <w:sz w:val="28"/>
        </w:rPr>
      </w:pPr>
      <w:r w:rsidRPr="0099235B">
        <w:rPr>
          <w:rFonts w:cs="Arial"/>
          <w:b/>
          <w:sz w:val="28"/>
        </w:rPr>
        <w:t>Submission to Treasury</w:t>
      </w:r>
    </w:p>
    <w:p w14:paraId="0461E3B5" w14:textId="77777777" w:rsidR="00045819" w:rsidRPr="0099235B" w:rsidRDefault="00045819" w:rsidP="0099235B">
      <w:pPr>
        <w:spacing w:before="120" w:after="120" w:line="360" w:lineRule="auto"/>
        <w:jc w:val="center"/>
        <w:rPr>
          <w:rFonts w:cs="Arial"/>
          <w:b/>
          <w:sz w:val="28"/>
        </w:rPr>
      </w:pPr>
    </w:p>
    <w:p w14:paraId="3A6956D1" w14:textId="77777777" w:rsidR="00045819" w:rsidRPr="0099235B" w:rsidRDefault="00045819" w:rsidP="0099235B">
      <w:pPr>
        <w:spacing w:before="120" w:after="120" w:line="360" w:lineRule="auto"/>
        <w:jc w:val="center"/>
        <w:rPr>
          <w:rFonts w:cs="Arial"/>
          <w:b/>
          <w:sz w:val="28"/>
        </w:rPr>
      </w:pPr>
    </w:p>
    <w:p w14:paraId="76347560" w14:textId="77777777" w:rsidR="00045819" w:rsidRPr="0099235B" w:rsidRDefault="00045819" w:rsidP="00DB6A28">
      <w:pPr>
        <w:spacing w:before="120" w:after="120" w:line="360" w:lineRule="auto"/>
        <w:jc w:val="center"/>
        <w:rPr>
          <w:rFonts w:cs="Arial"/>
          <w:b/>
          <w:sz w:val="28"/>
        </w:rPr>
      </w:pPr>
      <w:r w:rsidRPr="0099235B">
        <w:rPr>
          <w:rFonts w:cs="Arial"/>
          <w:b/>
          <w:sz w:val="28"/>
        </w:rPr>
        <w:t>Obesity Policy Coalition</w:t>
      </w:r>
    </w:p>
    <w:p w14:paraId="5587E1D4" w14:textId="710E6C0A" w:rsidR="00045819" w:rsidRPr="0099235B" w:rsidRDefault="006A37D7" w:rsidP="00A8392B">
      <w:pPr>
        <w:pStyle w:val="BlockText"/>
        <w:spacing w:before="120" w:line="360" w:lineRule="auto"/>
        <w:jc w:val="center"/>
        <w:rPr>
          <w:rFonts w:ascii="Arial" w:hAnsi="Arial" w:cs="Arial"/>
          <w:b/>
          <w:sz w:val="28"/>
          <w:szCs w:val="22"/>
          <w:lang w:eastAsia="zh-CN"/>
        </w:rPr>
      </w:pPr>
      <w:r>
        <w:rPr>
          <w:rFonts w:ascii="Arial" w:hAnsi="Arial" w:cs="Arial"/>
          <w:b/>
          <w:sz w:val="28"/>
          <w:szCs w:val="22"/>
          <w:lang w:eastAsia="zh-CN"/>
        </w:rPr>
        <w:t>December</w:t>
      </w:r>
      <w:r w:rsidR="00045819" w:rsidRPr="0099235B">
        <w:rPr>
          <w:rFonts w:ascii="Arial" w:hAnsi="Arial" w:cs="Arial"/>
          <w:b/>
          <w:sz w:val="28"/>
          <w:szCs w:val="22"/>
          <w:lang w:eastAsia="zh-CN"/>
        </w:rPr>
        <w:t xml:space="preserve"> 201</w:t>
      </w:r>
      <w:r w:rsidR="00823A8A" w:rsidRPr="0099235B">
        <w:rPr>
          <w:rFonts w:ascii="Arial" w:hAnsi="Arial" w:cs="Arial"/>
          <w:b/>
          <w:sz w:val="28"/>
          <w:szCs w:val="22"/>
          <w:lang w:eastAsia="zh-CN"/>
        </w:rPr>
        <w:t>9</w:t>
      </w:r>
    </w:p>
    <w:p w14:paraId="58EF68E4" w14:textId="77777777" w:rsidR="00045819" w:rsidRPr="0099235B" w:rsidRDefault="00045819" w:rsidP="0099235B">
      <w:pPr>
        <w:spacing w:before="120" w:after="120" w:line="360" w:lineRule="auto"/>
        <w:rPr>
          <w:rFonts w:cs="Arial"/>
          <w:sz w:val="28"/>
        </w:rPr>
      </w:pPr>
      <w:r w:rsidRPr="0099235B">
        <w:rPr>
          <w:rFonts w:cs="Arial"/>
          <w:sz w:val="28"/>
        </w:rPr>
        <w:tab/>
      </w:r>
    </w:p>
    <w:p w14:paraId="7397DBBA" w14:textId="77777777" w:rsidR="00045819" w:rsidRPr="0099235B" w:rsidRDefault="00045819" w:rsidP="0099235B">
      <w:pPr>
        <w:spacing w:before="120" w:after="120" w:line="360" w:lineRule="auto"/>
        <w:rPr>
          <w:rFonts w:cs="Arial"/>
        </w:rPr>
      </w:pPr>
    </w:p>
    <w:p w14:paraId="23D553CD" w14:textId="77777777" w:rsidR="00045819" w:rsidRPr="0099235B" w:rsidRDefault="00045819" w:rsidP="0099235B">
      <w:pPr>
        <w:shd w:val="clear" w:color="auto" w:fill="FFFFFF" w:themeFill="background1"/>
        <w:autoSpaceDE w:val="0"/>
        <w:autoSpaceDN w:val="0"/>
        <w:adjustRightInd w:val="0"/>
        <w:spacing w:before="120" w:after="120" w:line="360" w:lineRule="auto"/>
        <w:rPr>
          <w:rFonts w:cs="Arial"/>
          <w:color w:val="000000"/>
          <w:u w:val="single"/>
        </w:rPr>
      </w:pPr>
      <w:r w:rsidRPr="0099235B">
        <w:rPr>
          <w:rFonts w:cs="Arial"/>
          <w:color w:val="000000"/>
          <w:u w:val="single"/>
        </w:rPr>
        <w:br w:type="page"/>
      </w:r>
    </w:p>
    <w:p w14:paraId="7BE8AB90" w14:textId="77777777" w:rsidR="00FF62B4" w:rsidRPr="00441CAD" w:rsidRDefault="002B2AC1" w:rsidP="00441CAD">
      <w:pPr>
        <w:shd w:val="clear" w:color="auto" w:fill="FFFFFF" w:themeFill="background1"/>
        <w:autoSpaceDE w:val="0"/>
        <w:autoSpaceDN w:val="0"/>
        <w:adjustRightInd w:val="0"/>
        <w:spacing w:before="120" w:after="120" w:line="360" w:lineRule="auto"/>
        <w:rPr>
          <w:rFonts w:cs="Arial"/>
          <w:b/>
        </w:rPr>
      </w:pPr>
      <w:r w:rsidRPr="00441CAD">
        <w:rPr>
          <w:rFonts w:cs="Arial"/>
          <w:b/>
        </w:rPr>
        <w:lastRenderedPageBreak/>
        <w:t xml:space="preserve">About </w:t>
      </w:r>
      <w:r w:rsidR="002311BB" w:rsidRPr="00441CAD">
        <w:rPr>
          <w:rFonts w:cs="Arial"/>
          <w:b/>
        </w:rPr>
        <w:t>the Obesity Policy Coalition</w:t>
      </w:r>
    </w:p>
    <w:p w14:paraId="39FDF8B5" w14:textId="4B5DBF29" w:rsidR="00BA2E59" w:rsidRPr="00BA2E59" w:rsidRDefault="00FE3580" w:rsidP="00BA2E59">
      <w:pPr>
        <w:shd w:val="clear" w:color="auto" w:fill="FFFFFF" w:themeFill="background1"/>
        <w:autoSpaceDE w:val="0"/>
        <w:autoSpaceDN w:val="0"/>
        <w:adjustRightInd w:val="0"/>
        <w:spacing w:before="120" w:after="120" w:line="360" w:lineRule="auto"/>
        <w:rPr>
          <w:rFonts w:cs="Arial"/>
        </w:rPr>
      </w:pPr>
      <w:r w:rsidRPr="00333051">
        <w:rPr>
          <w:rFonts w:cs="Arial"/>
        </w:rPr>
        <w:t xml:space="preserve">The Obesity Policy Coalition </w:t>
      </w:r>
      <w:r w:rsidR="00242E67" w:rsidRPr="00333051">
        <w:rPr>
          <w:rFonts w:cs="Arial"/>
        </w:rPr>
        <w:t xml:space="preserve">(OPC) is a </w:t>
      </w:r>
      <w:r w:rsidR="00C86C40">
        <w:rPr>
          <w:rFonts w:cs="Arial"/>
        </w:rPr>
        <w:t>partnership</w:t>
      </w:r>
      <w:r w:rsidR="00C86C40" w:rsidRPr="00333051">
        <w:rPr>
          <w:rFonts w:cs="Arial"/>
        </w:rPr>
        <w:t xml:space="preserve"> </w:t>
      </w:r>
      <w:r w:rsidR="00242E67" w:rsidRPr="00333051">
        <w:rPr>
          <w:rFonts w:cs="Arial"/>
        </w:rPr>
        <w:t>between</w:t>
      </w:r>
      <w:r w:rsidRPr="0099235B">
        <w:rPr>
          <w:rFonts w:cs="Arial"/>
        </w:rPr>
        <w:t xml:space="preserve"> Cancer Council Victoria, Diabetes Victoria</w:t>
      </w:r>
      <w:r w:rsidR="00AF3EBF" w:rsidRPr="0099235B">
        <w:rPr>
          <w:rFonts w:cs="Arial"/>
        </w:rPr>
        <w:t>, VicHealth</w:t>
      </w:r>
      <w:r w:rsidRPr="0099235B">
        <w:rPr>
          <w:rFonts w:cs="Arial"/>
        </w:rPr>
        <w:t xml:space="preserve"> and the Global Obesity Centre at Deakin University, a World Health Organization</w:t>
      </w:r>
      <w:r w:rsidR="0003579F" w:rsidRPr="00DB6A28">
        <w:rPr>
          <w:rFonts w:cs="Arial"/>
        </w:rPr>
        <w:t xml:space="preserve"> (WHO)</w:t>
      </w:r>
      <w:r w:rsidRPr="00985DA8">
        <w:rPr>
          <w:rFonts w:cs="Arial"/>
        </w:rPr>
        <w:t xml:space="preserve"> Collaborating Centre for Obesity Prevention. The OPC advocates for evidence-based policy and regulatory change to a</w:t>
      </w:r>
      <w:r w:rsidRPr="00A8392B">
        <w:rPr>
          <w:rFonts w:cs="Arial"/>
        </w:rPr>
        <w:t>ddress overweight, obesity and unhealthy diets in Australia</w:t>
      </w:r>
      <w:r w:rsidR="00CE6F58" w:rsidRPr="00A8392B">
        <w:rPr>
          <w:rFonts w:cs="Arial"/>
        </w:rPr>
        <w:t>, particularly among children</w:t>
      </w:r>
      <w:r w:rsidRPr="00A8392B">
        <w:rPr>
          <w:rFonts w:cs="Arial"/>
        </w:rPr>
        <w:t>.</w:t>
      </w:r>
    </w:p>
    <w:p w14:paraId="7B00F85F" w14:textId="77777777" w:rsidR="00BA2E59" w:rsidRDefault="00BA2E59" w:rsidP="00BA2E59">
      <w:pPr>
        <w:shd w:val="clear" w:color="auto" w:fill="FFFFFF" w:themeFill="background1"/>
        <w:autoSpaceDE w:val="0"/>
        <w:autoSpaceDN w:val="0"/>
        <w:adjustRightInd w:val="0"/>
        <w:spacing w:after="0" w:line="360" w:lineRule="auto"/>
        <w:rPr>
          <w:rFonts w:cs="Arial"/>
          <w:b/>
        </w:rPr>
      </w:pPr>
    </w:p>
    <w:p w14:paraId="3E02DBC9" w14:textId="77777777" w:rsidR="006D4CEE" w:rsidRPr="00A8392B" w:rsidRDefault="006D4CEE" w:rsidP="00BA2E59">
      <w:pPr>
        <w:shd w:val="clear" w:color="auto" w:fill="FFFFFF" w:themeFill="background1"/>
        <w:autoSpaceDE w:val="0"/>
        <w:autoSpaceDN w:val="0"/>
        <w:adjustRightInd w:val="0"/>
        <w:spacing w:after="0" w:line="360" w:lineRule="auto"/>
        <w:rPr>
          <w:rFonts w:cs="Arial"/>
          <w:b/>
        </w:rPr>
      </w:pPr>
      <w:r w:rsidRPr="00A8392B">
        <w:rPr>
          <w:rFonts w:cs="Arial"/>
          <w:b/>
        </w:rPr>
        <w:t>Recommendations</w:t>
      </w:r>
    </w:p>
    <w:p w14:paraId="0EB68B3C" w14:textId="764828DB" w:rsidR="006D4CEE" w:rsidRPr="00DB6A28" w:rsidRDefault="006D4CEE" w:rsidP="00333051">
      <w:pPr>
        <w:spacing w:before="120" w:after="120" w:line="360" w:lineRule="auto"/>
        <w:rPr>
          <w:rFonts w:cs="Arial"/>
        </w:rPr>
      </w:pPr>
      <w:r w:rsidRPr="00333051">
        <w:rPr>
          <w:rFonts w:cs="Arial"/>
        </w:rPr>
        <w:t xml:space="preserve">The OPC makes the following recommendations to Treasury for the </w:t>
      </w:r>
      <w:r w:rsidR="007F04F9">
        <w:rPr>
          <w:rFonts w:cs="Arial"/>
        </w:rPr>
        <w:t>2020-2021</w:t>
      </w:r>
      <w:r w:rsidRPr="0099235B">
        <w:rPr>
          <w:rFonts w:cs="Arial"/>
        </w:rPr>
        <w:t xml:space="preserve"> Australian Government budget:</w:t>
      </w:r>
    </w:p>
    <w:p w14:paraId="2C04C227" w14:textId="15319C2B" w:rsidR="0030327A" w:rsidRDefault="0030327A" w:rsidP="000D4B7B">
      <w:pPr>
        <w:pStyle w:val="ListParagraph"/>
        <w:numPr>
          <w:ilvl w:val="0"/>
          <w:numId w:val="6"/>
        </w:numPr>
        <w:shd w:val="clear" w:color="auto" w:fill="FFFFFF" w:themeFill="background1"/>
        <w:autoSpaceDE w:val="0"/>
        <w:autoSpaceDN w:val="0"/>
        <w:adjustRightInd w:val="0"/>
        <w:spacing w:before="120" w:after="120" w:line="360" w:lineRule="auto"/>
        <w:rPr>
          <w:rFonts w:cs="Arial"/>
        </w:rPr>
      </w:pPr>
      <w:r>
        <w:rPr>
          <w:rFonts w:cs="Arial"/>
        </w:rPr>
        <w:t>Provide ongoing funding to implement the National Obesity Strategy, aligned to the final measures included in the strategy.</w:t>
      </w:r>
    </w:p>
    <w:p w14:paraId="30F741B0" w14:textId="77777777" w:rsidR="002B17B6" w:rsidRPr="00A8392B" w:rsidRDefault="002B17B6" w:rsidP="000D4B7B">
      <w:pPr>
        <w:pStyle w:val="ListParagraph"/>
        <w:shd w:val="clear" w:color="auto" w:fill="FFFFFF" w:themeFill="background1"/>
        <w:autoSpaceDE w:val="0"/>
        <w:autoSpaceDN w:val="0"/>
        <w:adjustRightInd w:val="0"/>
        <w:spacing w:before="120" w:after="120" w:line="360" w:lineRule="auto"/>
        <w:rPr>
          <w:rFonts w:cs="Arial"/>
        </w:rPr>
      </w:pPr>
    </w:p>
    <w:p w14:paraId="7480D79D" w14:textId="69F195C0" w:rsidR="0030327A" w:rsidRPr="0030327A" w:rsidRDefault="0030327A" w:rsidP="0030327A">
      <w:pPr>
        <w:pStyle w:val="ListParagraph"/>
        <w:numPr>
          <w:ilvl w:val="0"/>
          <w:numId w:val="6"/>
        </w:numPr>
        <w:shd w:val="clear" w:color="auto" w:fill="FFFFFF" w:themeFill="background1"/>
        <w:autoSpaceDE w:val="0"/>
        <w:autoSpaceDN w:val="0"/>
        <w:adjustRightInd w:val="0"/>
        <w:spacing w:before="120" w:after="120" w:line="360" w:lineRule="auto"/>
        <w:rPr>
          <w:rFonts w:cs="Arial"/>
        </w:rPr>
      </w:pPr>
      <w:r>
        <w:rPr>
          <w:rFonts w:cs="Arial"/>
        </w:rPr>
        <w:t>Provide an ongoing funding commitment for preventive health, of</w:t>
      </w:r>
      <w:r w:rsidR="00E21752">
        <w:rPr>
          <w:rFonts w:cs="Arial"/>
        </w:rPr>
        <w:t xml:space="preserve"> at least</w:t>
      </w:r>
      <w:r>
        <w:rPr>
          <w:rFonts w:cs="Arial"/>
        </w:rPr>
        <w:t xml:space="preserve"> 5% of the </w:t>
      </w:r>
      <w:r w:rsidR="00E21752">
        <w:rPr>
          <w:rFonts w:cs="Arial"/>
        </w:rPr>
        <w:t>total</w:t>
      </w:r>
      <w:r w:rsidR="007923A9">
        <w:rPr>
          <w:rFonts w:cs="Arial"/>
        </w:rPr>
        <w:t xml:space="preserve"> </w:t>
      </w:r>
      <w:r w:rsidR="00F8222B">
        <w:rPr>
          <w:rFonts w:cs="Arial"/>
        </w:rPr>
        <w:t>n</w:t>
      </w:r>
      <w:r>
        <w:rPr>
          <w:rFonts w:cs="Arial"/>
        </w:rPr>
        <w:t xml:space="preserve">ational </w:t>
      </w:r>
      <w:r w:rsidR="00F8222B">
        <w:rPr>
          <w:rFonts w:cs="Arial"/>
        </w:rPr>
        <w:t>h</w:t>
      </w:r>
      <w:r>
        <w:rPr>
          <w:rFonts w:cs="Arial"/>
        </w:rPr>
        <w:t xml:space="preserve">ealth </w:t>
      </w:r>
      <w:r w:rsidR="00F8222B">
        <w:rPr>
          <w:rFonts w:cs="Arial"/>
        </w:rPr>
        <w:t>b</w:t>
      </w:r>
      <w:r>
        <w:rPr>
          <w:rFonts w:cs="Arial"/>
        </w:rPr>
        <w:t>udget</w:t>
      </w:r>
      <w:r w:rsidR="00E21752">
        <w:rPr>
          <w:rFonts w:cs="Arial"/>
        </w:rPr>
        <w:t xml:space="preserve"> over a set period.</w:t>
      </w:r>
    </w:p>
    <w:p w14:paraId="313FB7F4" w14:textId="77777777" w:rsidR="0030327A" w:rsidRPr="0030327A" w:rsidRDefault="0030327A" w:rsidP="0030327A">
      <w:pPr>
        <w:pStyle w:val="ListParagraph"/>
        <w:shd w:val="clear" w:color="auto" w:fill="FFFFFF" w:themeFill="background1"/>
        <w:autoSpaceDE w:val="0"/>
        <w:autoSpaceDN w:val="0"/>
        <w:adjustRightInd w:val="0"/>
        <w:spacing w:before="120" w:after="120" w:line="360" w:lineRule="auto"/>
        <w:rPr>
          <w:rFonts w:cs="Arial"/>
        </w:rPr>
      </w:pPr>
    </w:p>
    <w:p w14:paraId="759F0E77" w14:textId="6B2C455F" w:rsidR="006D4CEE" w:rsidRPr="00DB6A28" w:rsidRDefault="006D4CEE" w:rsidP="000D4B7B">
      <w:pPr>
        <w:pStyle w:val="ListParagraph"/>
        <w:numPr>
          <w:ilvl w:val="0"/>
          <w:numId w:val="6"/>
        </w:numPr>
        <w:shd w:val="clear" w:color="auto" w:fill="FFFFFF" w:themeFill="background1"/>
        <w:autoSpaceDE w:val="0"/>
        <w:autoSpaceDN w:val="0"/>
        <w:adjustRightInd w:val="0"/>
        <w:spacing w:before="120" w:after="120" w:line="360" w:lineRule="auto"/>
        <w:rPr>
          <w:rFonts w:cs="Arial"/>
        </w:rPr>
      </w:pPr>
      <w:r w:rsidRPr="000D4B7B">
        <w:rPr>
          <w:rFonts w:cs="Arial"/>
        </w:rPr>
        <w:t xml:space="preserve">Introduce a </w:t>
      </w:r>
      <w:r w:rsidR="00464896" w:rsidRPr="000D4B7B">
        <w:rPr>
          <w:rFonts w:cs="Arial"/>
        </w:rPr>
        <w:t>health levy</w:t>
      </w:r>
      <w:r w:rsidRPr="000D4B7B">
        <w:rPr>
          <w:rFonts w:cs="Arial"/>
        </w:rPr>
        <w:t xml:space="preserve"> on </w:t>
      </w:r>
      <w:r w:rsidR="006D0598">
        <w:rPr>
          <w:rFonts w:cs="Arial"/>
        </w:rPr>
        <w:t>sugary drinks</w:t>
      </w:r>
      <w:r w:rsidRPr="00333051">
        <w:rPr>
          <w:rFonts w:cs="Arial"/>
          <w:vertAlign w:val="superscript"/>
        </w:rPr>
        <w:footnoteReference w:id="1"/>
      </w:r>
      <w:r w:rsidRPr="00333051">
        <w:rPr>
          <w:rFonts w:cs="Arial"/>
        </w:rPr>
        <w:t xml:space="preserve"> to </w:t>
      </w:r>
      <w:proofErr w:type="gramStart"/>
      <w:r w:rsidRPr="00333051">
        <w:rPr>
          <w:rFonts w:cs="Arial"/>
        </w:rPr>
        <w:t>effect</w:t>
      </w:r>
      <w:proofErr w:type="gramEnd"/>
      <w:r w:rsidRPr="00333051">
        <w:rPr>
          <w:rFonts w:cs="Arial"/>
        </w:rPr>
        <w:t xml:space="preserve"> a </w:t>
      </w:r>
      <w:r w:rsidR="00016898">
        <w:rPr>
          <w:rFonts w:cs="Arial"/>
        </w:rPr>
        <w:t xml:space="preserve">retail </w:t>
      </w:r>
      <w:r w:rsidRPr="00333051">
        <w:rPr>
          <w:rFonts w:cs="Arial"/>
        </w:rPr>
        <w:t xml:space="preserve">price increase of at least 20%, generating </w:t>
      </w:r>
      <w:r w:rsidR="00FA1CA4">
        <w:rPr>
          <w:rFonts w:cs="Arial"/>
        </w:rPr>
        <w:t>significant revenue</w:t>
      </w:r>
      <w:r w:rsidRPr="00333051">
        <w:rPr>
          <w:rFonts w:cs="Arial"/>
        </w:rPr>
        <w:t xml:space="preserve"> and reducing </w:t>
      </w:r>
      <w:r w:rsidR="0052641B">
        <w:rPr>
          <w:rFonts w:cs="Arial"/>
        </w:rPr>
        <w:t>sugary drink consumption</w:t>
      </w:r>
      <w:r w:rsidRPr="00333051">
        <w:rPr>
          <w:rFonts w:cs="Arial"/>
        </w:rPr>
        <w:t>.</w:t>
      </w:r>
    </w:p>
    <w:p w14:paraId="71FAD3AE" w14:textId="77777777" w:rsidR="00FA1CA4" w:rsidRDefault="00FA1CA4" w:rsidP="00FA1CA4">
      <w:pPr>
        <w:shd w:val="clear" w:color="auto" w:fill="FFFFFF" w:themeFill="background1"/>
        <w:autoSpaceDE w:val="0"/>
        <w:autoSpaceDN w:val="0"/>
        <w:adjustRightInd w:val="0"/>
        <w:spacing w:after="0" w:line="360" w:lineRule="auto"/>
        <w:rPr>
          <w:rFonts w:cs="Arial"/>
        </w:rPr>
      </w:pPr>
    </w:p>
    <w:p w14:paraId="3E979C25" w14:textId="77777777" w:rsidR="004B79CB" w:rsidRPr="000D4B7B" w:rsidRDefault="004B79CB" w:rsidP="00FA1CA4">
      <w:pPr>
        <w:shd w:val="clear" w:color="auto" w:fill="FFFFFF" w:themeFill="background1"/>
        <w:autoSpaceDE w:val="0"/>
        <w:autoSpaceDN w:val="0"/>
        <w:adjustRightInd w:val="0"/>
        <w:spacing w:after="0" w:line="360" w:lineRule="auto"/>
        <w:rPr>
          <w:rFonts w:cs="Arial"/>
          <w:b/>
        </w:rPr>
      </w:pPr>
      <w:r w:rsidRPr="000D4B7B">
        <w:rPr>
          <w:rFonts w:cs="Arial"/>
          <w:b/>
        </w:rPr>
        <w:t>Introduction</w:t>
      </w:r>
    </w:p>
    <w:p w14:paraId="594DFA80" w14:textId="56C4DAC8" w:rsidR="00092DDE" w:rsidRDefault="00BE0EF5" w:rsidP="000D4B7B">
      <w:pPr>
        <w:shd w:val="clear" w:color="auto" w:fill="FFFFFF" w:themeFill="background1"/>
        <w:autoSpaceDE w:val="0"/>
        <w:autoSpaceDN w:val="0"/>
        <w:adjustRightInd w:val="0"/>
        <w:spacing w:before="120" w:after="120" w:line="360" w:lineRule="auto"/>
        <w:rPr>
          <w:rFonts w:cs="Arial"/>
        </w:rPr>
      </w:pPr>
      <w:r w:rsidRPr="00333051">
        <w:rPr>
          <w:rFonts w:cs="Arial"/>
        </w:rPr>
        <w:t xml:space="preserve">The OPC welcomes the opportunity to make a pre-budget submission to the </w:t>
      </w:r>
      <w:r w:rsidR="007031BD">
        <w:rPr>
          <w:rFonts w:cs="Arial"/>
        </w:rPr>
        <w:t>2020-2021</w:t>
      </w:r>
      <w:r w:rsidRPr="0099235B">
        <w:rPr>
          <w:rFonts w:cs="Arial"/>
        </w:rPr>
        <w:t xml:space="preserve"> </w:t>
      </w:r>
      <w:r w:rsidR="002C4C60" w:rsidRPr="00DB6A28">
        <w:rPr>
          <w:rFonts w:cs="Arial"/>
        </w:rPr>
        <w:t xml:space="preserve">Australian Government </w:t>
      </w:r>
      <w:r w:rsidR="00A57C72" w:rsidRPr="00985DA8">
        <w:rPr>
          <w:rFonts w:cs="Arial"/>
        </w:rPr>
        <w:t xml:space="preserve">(Government) </w:t>
      </w:r>
      <w:r w:rsidR="00FC3AC1" w:rsidRPr="00985DA8">
        <w:rPr>
          <w:rFonts w:cs="Arial"/>
        </w:rPr>
        <w:t xml:space="preserve">budget. </w:t>
      </w:r>
      <w:r w:rsidR="004C72FF" w:rsidRPr="00985DA8">
        <w:rPr>
          <w:rFonts w:cs="Arial"/>
        </w:rPr>
        <w:t xml:space="preserve">Obesity is </w:t>
      </w:r>
      <w:r w:rsidR="004C72FF" w:rsidRPr="00F44DD6">
        <w:rPr>
          <w:rFonts w:cs="Arial"/>
        </w:rPr>
        <w:t xml:space="preserve">a </w:t>
      </w:r>
      <w:r w:rsidR="00953858" w:rsidRPr="00F44DD6">
        <w:rPr>
          <w:rFonts w:cs="Arial"/>
        </w:rPr>
        <w:t xml:space="preserve">critical </w:t>
      </w:r>
      <w:r w:rsidR="00953858" w:rsidRPr="00A8392B">
        <w:rPr>
          <w:rFonts w:cs="Arial"/>
        </w:rPr>
        <w:t>issue</w:t>
      </w:r>
      <w:r w:rsidR="004C72FF" w:rsidRPr="00A8392B">
        <w:rPr>
          <w:rFonts w:cs="Arial"/>
        </w:rPr>
        <w:t xml:space="preserve"> in Australia from both a health and economic perspective. The National Health Survey for </w:t>
      </w:r>
      <w:r w:rsidR="005A391A">
        <w:rPr>
          <w:rFonts w:cs="Arial"/>
        </w:rPr>
        <w:t>2017-18</w:t>
      </w:r>
      <w:r w:rsidR="004C72FF" w:rsidRPr="00A8392B">
        <w:rPr>
          <w:rFonts w:cs="Arial"/>
        </w:rPr>
        <w:t xml:space="preserve"> reports that </w:t>
      </w:r>
      <w:r w:rsidR="00770C2C" w:rsidRPr="00A8392B">
        <w:rPr>
          <w:rFonts w:cs="Arial"/>
        </w:rPr>
        <w:t>two-thirds (67</w:t>
      </w:r>
      <w:r w:rsidR="004C72FF" w:rsidRPr="00A8392B">
        <w:rPr>
          <w:rFonts w:cs="Arial"/>
        </w:rPr>
        <w:t>.4</w:t>
      </w:r>
      <w:r w:rsidR="00770C2C" w:rsidRPr="00A8392B">
        <w:rPr>
          <w:rFonts w:cs="Arial"/>
        </w:rPr>
        <w:t>0</w:t>
      </w:r>
      <w:r w:rsidR="004C72FF" w:rsidRPr="00A8392B">
        <w:rPr>
          <w:rFonts w:cs="Arial"/>
        </w:rPr>
        <w:t>%</w:t>
      </w:r>
      <w:r w:rsidR="00FA1CA4">
        <w:rPr>
          <w:rFonts w:cs="Arial"/>
        </w:rPr>
        <w:t>)</w:t>
      </w:r>
      <w:r w:rsidR="004C72FF" w:rsidRPr="00A8392B">
        <w:rPr>
          <w:rFonts w:cs="Arial"/>
        </w:rPr>
        <w:t xml:space="preserve"> of Australians are overweight or obese and </w:t>
      </w:r>
      <w:r w:rsidR="00770C2C" w:rsidRPr="00A8392B">
        <w:rPr>
          <w:rFonts w:cs="Arial"/>
        </w:rPr>
        <w:t>around one-quarter (24.9%)</w:t>
      </w:r>
      <w:r w:rsidR="004C72FF" w:rsidRPr="00A8392B">
        <w:rPr>
          <w:rFonts w:cs="Arial"/>
        </w:rPr>
        <w:t xml:space="preserve"> of children </w:t>
      </w:r>
      <w:r w:rsidR="00793D2E" w:rsidRPr="00A8392B">
        <w:rPr>
          <w:rFonts w:cs="Arial"/>
        </w:rPr>
        <w:t>age</w:t>
      </w:r>
      <w:r w:rsidR="00793D2E">
        <w:rPr>
          <w:rFonts w:cs="Arial"/>
        </w:rPr>
        <w:t>d</w:t>
      </w:r>
      <w:r w:rsidR="00793D2E" w:rsidRPr="00A8392B">
        <w:rPr>
          <w:rFonts w:cs="Arial"/>
        </w:rPr>
        <w:t xml:space="preserve"> </w:t>
      </w:r>
      <w:r w:rsidR="004C72FF" w:rsidRPr="00A8392B">
        <w:rPr>
          <w:rFonts w:cs="Arial"/>
        </w:rPr>
        <w:t>5-17 are overweight or obese.</w:t>
      </w:r>
      <w:r w:rsidR="004C72FF" w:rsidRPr="00333051">
        <w:rPr>
          <w:rFonts w:cs="Arial"/>
          <w:vertAlign w:val="superscript"/>
        </w:rPr>
        <w:endnoteReference w:id="1"/>
      </w:r>
      <w:r w:rsidR="004C72FF" w:rsidRPr="00333051">
        <w:rPr>
          <w:rFonts w:cs="Arial"/>
        </w:rPr>
        <w:t xml:space="preserve"> From a health perspective, these figures mean that a large </w:t>
      </w:r>
      <w:r w:rsidR="004C72FF" w:rsidRPr="00DB6A28">
        <w:rPr>
          <w:rFonts w:cs="Arial"/>
        </w:rPr>
        <w:t>proportion of the populati</w:t>
      </w:r>
      <w:r w:rsidR="00FA1CA4">
        <w:rPr>
          <w:rFonts w:cs="Arial"/>
        </w:rPr>
        <w:t>on is at heightened risk of non</w:t>
      </w:r>
      <w:r w:rsidR="00FA1CA4">
        <w:rPr>
          <w:rFonts w:cs="Arial"/>
        </w:rPr>
        <w:noBreakHyphen/>
      </w:r>
      <w:r w:rsidR="004C72FF" w:rsidRPr="00DB6A28">
        <w:rPr>
          <w:rFonts w:cs="Arial"/>
        </w:rPr>
        <w:t>communicable dis</w:t>
      </w:r>
      <w:r w:rsidR="004C72FF" w:rsidRPr="00A8392B">
        <w:rPr>
          <w:rFonts w:cs="Arial"/>
        </w:rPr>
        <w:t xml:space="preserve">eases including cardiovascular disease, </w:t>
      </w:r>
      <w:r w:rsidR="00FA1CA4">
        <w:rPr>
          <w:rFonts w:cs="Arial"/>
        </w:rPr>
        <w:t xml:space="preserve">type 2 </w:t>
      </w:r>
      <w:r w:rsidR="004C72FF" w:rsidRPr="00A8392B">
        <w:rPr>
          <w:rFonts w:cs="Arial"/>
        </w:rPr>
        <w:t>diabetes and some cancers.</w:t>
      </w:r>
      <w:r w:rsidR="004C72FF" w:rsidRPr="00333051">
        <w:rPr>
          <w:rFonts w:cs="Arial"/>
          <w:vertAlign w:val="superscript"/>
        </w:rPr>
        <w:endnoteReference w:id="2"/>
      </w:r>
      <w:r w:rsidR="004C72FF" w:rsidRPr="00333051">
        <w:rPr>
          <w:rFonts w:cs="Arial"/>
        </w:rPr>
        <w:t xml:space="preserve"> </w:t>
      </w:r>
      <w:r w:rsidR="002D75FE" w:rsidRPr="00333051">
        <w:rPr>
          <w:rFonts w:cs="Arial"/>
        </w:rPr>
        <w:t>From an economic perspective, high rates of obesity and associated chronic disease</w:t>
      </w:r>
      <w:r w:rsidR="008802DA">
        <w:rPr>
          <w:rFonts w:cs="Arial"/>
        </w:rPr>
        <w:t xml:space="preserve"> and lost productivity</w:t>
      </w:r>
      <w:r w:rsidR="002D75FE" w:rsidRPr="00333051">
        <w:rPr>
          <w:rFonts w:cs="Arial"/>
        </w:rPr>
        <w:t xml:space="preserve"> </w:t>
      </w:r>
      <w:r w:rsidR="00953858" w:rsidRPr="00DB6A28">
        <w:rPr>
          <w:rFonts w:cs="Arial"/>
        </w:rPr>
        <w:t>cost the Government, as well as State and Territory governments, businesses and individuals, a</w:t>
      </w:r>
      <w:r w:rsidR="00953858" w:rsidRPr="00985DA8">
        <w:rPr>
          <w:rFonts w:cs="Arial"/>
        </w:rPr>
        <w:t xml:space="preserve"> s</w:t>
      </w:r>
      <w:r w:rsidR="000D65FF">
        <w:rPr>
          <w:rFonts w:cs="Arial"/>
        </w:rPr>
        <w:t>ignificant</w:t>
      </w:r>
      <w:r w:rsidR="00953858" w:rsidRPr="00985DA8">
        <w:rPr>
          <w:rFonts w:cs="Arial"/>
        </w:rPr>
        <w:t xml:space="preserve"> amount</w:t>
      </w:r>
      <w:r w:rsidR="00953858" w:rsidRPr="00333051">
        <w:rPr>
          <w:rFonts w:cs="Arial"/>
        </w:rPr>
        <w:t>.</w:t>
      </w:r>
      <w:r w:rsidR="00197288" w:rsidRPr="00333051">
        <w:rPr>
          <w:rFonts w:cs="Arial"/>
        </w:rPr>
        <w:t xml:space="preserve"> </w:t>
      </w:r>
    </w:p>
    <w:p w14:paraId="1F8FF025" w14:textId="3B3518F1" w:rsidR="003A3BEE" w:rsidRPr="002D61FF" w:rsidRDefault="005A391A" w:rsidP="008E20A8">
      <w:pPr>
        <w:shd w:val="clear" w:color="auto" w:fill="FFFFFF" w:themeFill="background1"/>
        <w:autoSpaceDE w:val="0"/>
        <w:autoSpaceDN w:val="0"/>
        <w:adjustRightInd w:val="0"/>
        <w:spacing w:before="120" w:after="120" w:line="360" w:lineRule="auto"/>
        <w:rPr>
          <w:rFonts w:cs="Arial"/>
        </w:rPr>
      </w:pPr>
      <w:r>
        <w:rPr>
          <w:rFonts w:cs="Arial"/>
        </w:rPr>
        <w:lastRenderedPageBreak/>
        <w:t>To address this critical public health issue,</w:t>
      </w:r>
      <w:r w:rsidR="003A3BEE">
        <w:rPr>
          <w:rFonts w:cs="Arial"/>
        </w:rPr>
        <w:t xml:space="preserve"> the OPC advocates for a comprehensive range of measures to be introduced by government</w:t>
      </w:r>
      <w:r w:rsidR="00911934">
        <w:rPr>
          <w:rFonts w:cs="Arial"/>
        </w:rPr>
        <w:t>.</w:t>
      </w:r>
      <w:r w:rsidR="003A3BEE">
        <w:rPr>
          <w:rFonts w:cs="Arial"/>
        </w:rPr>
        <w:t xml:space="preserve"> </w:t>
      </w:r>
      <w:r w:rsidR="003A3BEE" w:rsidRPr="00D74E55">
        <w:rPr>
          <w:rFonts w:cs="Arial"/>
        </w:rPr>
        <w:t>For</w:t>
      </w:r>
      <w:r w:rsidR="003A3BEE" w:rsidRPr="00333051">
        <w:rPr>
          <w:rFonts w:cs="Arial"/>
        </w:rPr>
        <w:t xml:space="preserve"> more information on the policies and positions supported by the OPC, please see our website at </w:t>
      </w:r>
      <w:hyperlink r:id="rId10" w:history="1">
        <w:r w:rsidR="009C26F7" w:rsidRPr="009C26F7">
          <w:rPr>
            <w:rStyle w:val="Hyperlink"/>
            <w:rFonts w:cs="Arial"/>
          </w:rPr>
          <w:t>www.opc.org.au</w:t>
        </w:r>
      </w:hyperlink>
      <w:r w:rsidR="003A3BEE" w:rsidRPr="00333051">
        <w:rPr>
          <w:rFonts w:cs="Arial"/>
        </w:rPr>
        <w:t>.</w:t>
      </w:r>
      <w:r w:rsidR="003A3BEE" w:rsidRPr="0099235B">
        <w:rPr>
          <w:rFonts w:cs="Arial"/>
        </w:rPr>
        <w:t xml:space="preserve"> </w:t>
      </w:r>
    </w:p>
    <w:p w14:paraId="6FFC87A4" w14:textId="77777777" w:rsidR="003A3BEE" w:rsidRDefault="003A3BEE" w:rsidP="00D72D8D">
      <w:pPr>
        <w:spacing w:after="0" w:line="360" w:lineRule="auto"/>
        <w:rPr>
          <w:rFonts w:cs="Arial"/>
        </w:rPr>
      </w:pPr>
    </w:p>
    <w:p w14:paraId="45EC945E" w14:textId="60E7C7D2" w:rsidR="00493739" w:rsidRPr="00D74E55" w:rsidRDefault="00EA3674" w:rsidP="00D72D8D">
      <w:pPr>
        <w:spacing w:after="0" w:line="360" w:lineRule="auto"/>
        <w:rPr>
          <w:rFonts w:cs="Arial"/>
          <w:b/>
        </w:rPr>
      </w:pPr>
      <w:r w:rsidRPr="00D74E55">
        <w:rPr>
          <w:rFonts w:cs="Arial"/>
          <w:b/>
        </w:rPr>
        <w:t xml:space="preserve">Recommendation 1: </w:t>
      </w:r>
      <w:r w:rsidR="00911934">
        <w:rPr>
          <w:rFonts w:cs="Arial"/>
          <w:b/>
        </w:rPr>
        <w:t>Allocate</w:t>
      </w:r>
      <w:r w:rsidR="00FE2F23">
        <w:rPr>
          <w:rFonts w:cs="Arial"/>
          <w:b/>
        </w:rPr>
        <w:t xml:space="preserve"> appropriate ongoing funding </w:t>
      </w:r>
      <w:r w:rsidR="000D65FF">
        <w:rPr>
          <w:rFonts w:cs="Arial"/>
          <w:b/>
        </w:rPr>
        <w:t>to implement</w:t>
      </w:r>
      <w:r w:rsidR="00FE2F23">
        <w:rPr>
          <w:rFonts w:cs="Arial"/>
          <w:b/>
        </w:rPr>
        <w:t xml:space="preserve"> the </w:t>
      </w:r>
      <w:r w:rsidR="00493739" w:rsidRPr="00D74E55">
        <w:rPr>
          <w:rFonts w:cs="Arial"/>
          <w:b/>
        </w:rPr>
        <w:t>National Obesity Strategy</w:t>
      </w:r>
    </w:p>
    <w:p w14:paraId="3DDC79A9" w14:textId="5C8BE78C" w:rsidR="00FE2F23" w:rsidRDefault="00B75C5C" w:rsidP="00BA2E59">
      <w:pPr>
        <w:shd w:val="clear" w:color="auto" w:fill="FFFFFF" w:themeFill="background1"/>
        <w:autoSpaceDE w:val="0"/>
        <w:autoSpaceDN w:val="0"/>
        <w:adjustRightInd w:val="0"/>
        <w:spacing w:before="120" w:after="120" w:line="360" w:lineRule="auto"/>
        <w:rPr>
          <w:rFonts w:cs="Arial"/>
        </w:rPr>
      </w:pPr>
      <w:r w:rsidRPr="00333051">
        <w:rPr>
          <w:rFonts w:cs="Arial"/>
        </w:rPr>
        <w:t xml:space="preserve">The COAG Health Council </w:t>
      </w:r>
      <w:r w:rsidR="00DE4284">
        <w:rPr>
          <w:rFonts w:cs="Arial"/>
        </w:rPr>
        <w:t>has recently consulted</w:t>
      </w:r>
      <w:r w:rsidR="00FE2F23">
        <w:rPr>
          <w:rFonts w:cs="Arial"/>
        </w:rPr>
        <w:t xml:space="preserve"> on the National Obesity Strategy. We strongly support the development of this strategy as a fundamental framework to direct action on obesity prevention in Australia. </w:t>
      </w:r>
    </w:p>
    <w:p w14:paraId="3FAAD9A3" w14:textId="3B28BAFD" w:rsidR="00FE2F23" w:rsidRDefault="00FE2F23" w:rsidP="00BA2E59">
      <w:pPr>
        <w:shd w:val="clear" w:color="auto" w:fill="FFFFFF" w:themeFill="background1"/>
        <w:autoSpaceDE w:val="0"/>
        <w:autoSpaceDN w:val="0"/>
        <w:adjustRightInd w:val="0"/>
        <w:spacing w:before="120" w:after="120" w:line="360" w:lineRule="auto"/>
        <w:rPr>
          <w:rFonts w:cs="Arial"/>
        </w:rPr>
      </w:pPr>
      <w:r>
        <w:rPr>
          <w:rFonts w:cs="Arial"/>
        </w:rPr>
        <w:t xml:space="preserve">The strategy requires appropriate funding to ensure that it </w:t>
      </w:r>
      <w:r w:rsidR="00045269">
        <w:rPr>
          <w:rFonts w:cs="Arial"/>
        </w:rPr>
        <w:t>is</w:t>
      </w:r>
      <w:r>
        <w:rPr>
          <w:rFonts w:cs="Arial"/>
        </w:rPr>
        <w:t xml:space="preserve"> implemented and monitored. This funding must be new</w:t>
      </w:r>
      <w:r w:rsidR="009E1B44">
        <w:rPr>
          <w:rFonts w:cs="Arial"/>
        </w:rPr>
        <w:t xml:space="preserve"> funding </w:t>
      </w:r>
      <w:r w:rsidR="00333FD5">
        <w:rPr>
          <w:rFonts w:cs="Arial"/>
        </w:rPr>
        <w:t>and</w:t>
      </w:r>
      <w:r w:rsidR="009E1B44">
        <w:rPr>
          <w:rFonts w:cs="Arial"/>
        </w:rPr>
        <w:t xml:space="preserve"> must be ongoing</w:t>
      </w:r>
      <w:r w:rsidR="000D65FF">
        <w:rPr>
          <w:rFonts w:cs="Arial"/>
        </w:rPr>
        <w:t xml:space="preserve"> and sustained over the strategy’s </w:t>
      </w:r>
      <w:r w:rsidR="00E21752">
        <w:rPr>
          <w:rFonts w:cs="Arial"/>
        </w:rPr>
        <w:t>10-year</w:t>
      </w:r>
      <w:r w:rsidR="000D65FF">
        <w:rPr>
          <w:rFonts w:cs="Arial"/>
        </w:rPr>
        <w:t xml:space="preserve"> time period</w:t>
      </w:r>
      <w:r w:rsidR="009E1B44">
        <w:rPr>
          <w:rFonts w:cs="Arial"/>
        </w:rPr>
        <w:t>. The amount of funding</w:t>
      </w:r>
      <w:r w:rsidR="000D65FF">
        <w:rPr>
          <w:rFonts w:cs="Arial"/>
        </w:rPr>
        <w:t xml:space="preserve"> required </w:t>
      </w:r>
      <w:r w:rsidR="00CD609E">
        <w:rPr>
          <w:rFonts w:cs="Arial"/>
        </w:rPr>
        <w:t>must</w:t>
      </w:r>
      <w:r w:rsidR="000D65FF">
        <w:rPr>
          <w:rFonts w:cs="Arial"/>
        </w:rPr>
        <w:t xml:space="preserve"> be based </w:t>
      </w:r>
      <w:r w:rsidR="009E1B44">
        <w:rPr>
          <w:rFonts w:cs="Arial"/>
        </w:rPr>
        <w:t xml:space="preserve">on the final measures included in the strategy and the </w:t>
      </w:r>
      <w:r w:rsidR="009970CC">
        <w:rPr>
          <w:rFonts w:cs="Arial"/>
        </w:rPr>
        <w:t>implementation plan</w:t>
      </w:r>
      <w:r w:rsidR="009E1B44">
        <w:rPr>
          <w:rFonts w:cs="Arial"/>
        </w:rPr>
        <w:t>.</w:t>
      </w:r>
      <w:r w:rsidR="00CD609E">
        <w:rPr>
          <w:rFonts w:cs="Arial"/>
        </w:rPr>
        <w:t xml:space="preserve"> We understand that the strategy may not be finalised before the budget is prepared, and so we ask the Government to provide an allocation in the 2020-2021 budget that is estimated based on</w:t>
      </w:r>
      <w:r w:rsidR="00714158">
        <w:rPr>
          <w:rFonts w:cs="Arial"/>
        </w:rPr>
        <w:t xml:space="preserve"> the</w:t>
      </w:r>
      <w:r w:rsidR="00CD609E">
        <w:rPr>
          <w:rFonts w:cs="Arial"/>
        </w:rPr>
        <w:t xml:space="preserve"> </w:t>
      </w:r>
      <w:r w:rsidR="00714158">
        <w:rPr>
          <w:rFonts w:cs="Arial"/>
        </w:rPr>
        <w:t xml:space="preserve">implementation of </w:t>
      </w:r>
      <w:r w:rsidR="00CD609E">
        <w:rPr>
          <w:rFonts w:cs="Arial"/>
        </w:rPr>
        <w:t>the current</w:t>
      </w:r>
      <w:r w:rsidR="00793D2E">
        <w:rPr>
          <w:rFonts w:cs="Arial"/>
        </w:rPr>
        <w:t xml:space="preserve"> immediate or short-term</w:t>
      </w:r>
      <w:r w:rsidR="00CD609E">
        <w:rPr>
          <w:rFonts w:cs="Arial"/>
        </w:rPr>
        <w:t xml:space="preserve"> proposals in the National Obesity Strategy consultation paper. </w:t>
      </w:r>
    </w:p>
    <w:p w14:paraId="084E6905" w14:textId="77777777" w:rsidR="00844A61" w:rsidRDefault="00844A61" w:rsidP="00BA2E59">
      <w:pPr>
        <w:spacing w:after="0" w:line="360" w:lineRule="auto"/>
        <w:rPr>
          <w:rFonts w:cs="Arial"/>
        </w:rPr>
      </w:pPr>
    </w:p>
    <w:p w14:paraId="4E0F77C3" w14:textId="09EDEB6D" w:rsidR="009C26F7" w:rsidRDefault="00E72B83" w:rsidP="00BA2E59">
      <w:pPr>
        <w:spacing w:after="0" w:line="360" w:lineRule="auto"/>
        <w:rPr>
          <w:rFonts w:cs="Arial"/>
          <w:b/>
        </w:rPr>
      </w:pPr>
      <w:r w:rsidRPr="002D61FF">
        <w:rPr>
          <w:rFonts w:cs="Arial"/>
          <w:b/>
        </w:rPr>
        <w:t xml:space="preserve">Recommendation 2: </w:t>
      </w:r>
      <w:r w:rsidR="009E1B44">
        <w:rPr>
          <w:rFonts w:cs="Arial"/>
          <w:b/>
        </w:rPr>
        <w:t xml:space="preserve"> </w:t>
      </w:r>
      <w:r w:rsidR="00045269">
        <w:rPr>
          <w:rFonts w:cs="Arial"/>
          <w:b/>
        </w:rPr>
        <w:t xml:space="preserve">Allocate </w:t>
      </w:r>
      <w:r w:rsidR="00E21752">
        <w:rPr>
          <w:rFonts w:cs="Arial"/>
          <w:b/>
        </w:rPr>
        <w:t xml:space="preserve">a minimum of </w:t>
      </w:r>
      <w:r w:rsidR="00045269">
        <w:rPr>
          <w:rFonts w:cs="Arial"/>
          <w:b/>
        </w:rPr>
        <w:t xml:space="preserve">5% of the </w:t>
      </w:r>
      <w:r w:rsidR="007923A9">
        <w:rPr>
          <w:rFonts w:cs="Arial"/>
          <w:b/>
        </w:rPr>
        <w:t xml:space="preserve">annual </w:t>
      </w:r>
      <w:r w:rsidR="00045269">
        <w:rPr>
          <w:rFonts w:cs="Arial"/>
          <w:b/>
        </w:rPr>
        <w:t>health budget to preventive health</w:t>
      </w:r>
    </w:p>
    <w:p w14:paraId="2C91F891" w14:textId="0F511022" w:rsidR="00CD609E" w:rsidRDefault="00C85AC3" w:rsidP="009C26F7">
      <w:pPr>
        <w:shd w:val="clear" w:color="auto" w:fill="FFFFFF" w:themeFill="background1"/>
        <w:autoSpaceDE w:val="0"/>
        <w:autoSpaceDN w:val="0"/>
        <w:adjustRightInd w:val="0"/>
        <w:spacing w:before="120" w:after="120" w:line="360" w:lineRule="auto"/>
        <w:rPr>
          <w:rFonts w:cs="Arial"/>
        </w:rPr>
      </w:pPr>
      <w:r w:rsidRPr="00333051">
        <w:rPr>
          <w:rFonts w:cs="Arial"/>
        </w:rPr>
        <w:t xml:space="preserve">We </w:t>
      </w:r>
      <w:r w:rsidR="00911934">
        <w:rPr>
          <w:rFonts w:cs="Arial"/>
        </w:rPr>
        <w:t xml:space="preserve">support the Government’s commitment to developing a National Preventive Health Strategy. </w:t>
      </w:r>
      <w:r w:rsidR="00CD609E">
        <w:rPr>
          <w:rFonts w:cs="Arial"/>
        </w:rPr>
        <w:t xml:space="preserve">As with the National Obesity Strategy, this must be linked to an ongoing funding allocation. We recommend that measures set out in the final National Preventive Health Strategy are allocated new funding </w:t>
      </w:r>
      <w:r w:rsidR="009970CC">
        <w:rPr>
          <w:rFonts w:cs="Arial"/>
        </w:rPr>
        <w:t>t</w:t>
      </w:r>
      <w:r w:rsidR="00CD609E">
        <w:rPr>
          <w:rFonts w:cs="Arial"/>
        </w:rPr>
        <w:t>o ensure they are implemented, monitored and maintained where effective.</w:t>
      </w:r>
    </w:p>
    <w:p w14:paraId="554168DB" w14:textId="77777777" w:rsidR="007C3520" w:rsidRDefault="00CD609E" w:rsidP="005461E4">
      <w:pPr>
        <w:shd w:val="clear" w:color="auto" w:fill="FFFFFF" w:themeFill="background1"/>
        <w:autoSpaceDE w:val="0"/>
        <w:autoSpaceDN w:val="0"/>
        <w:adjustRightInd w:val="0"/>
        <w:spacing w:before="120" w:after="120" w:line="360" w:lineRule="auto"/>
        <w:rPr>
          <w:rFonts w:cs="Arial"/>
        </w:rPr>
      </w:pPr>
      <w:r>
        <w:rPr>
          <w:rFonts w:cs="Arial"/>
        </w:rPr>
        <w:t>In addition, we recommend the Government commit to an ongoing investment in preventive health</w:t>
      </w:r>
      <w:r w:rsidR="006D16D5">
        <w:rPr>
          <w:rFonts w:cs="Arial"/>
        </w:rPr>
        <w:t xml:space="preserve"> representing</w:t>
      </w:r>
      <w:r w:rsidR="00E21752">
        <w:rPr>
          <w:rFonts w:cs="Arial"/>
        </w:rPr>
        <w:t xml:space="preserve"> at least</w:t>
      </w:r>
      <w:r w:rsidR="006D16D5">
        <w:rPr>
          <w:rFonts w:cs="Arial"/>
        </w:rPr>
        <w:t xml:space="preserve"> 5% of the</w:t>
      </w:r>
      <w:r w:rsidR="005461E4">
        <w:rPr>
          <w:rFonts w:cs="Arial"/>
        </w:rPr>
        <w:t xml:space="preserve"> annual</w:t>
      </w:r>
      <w:r w:rsidR="006D16D5">
        <w:rPr>
          <w:rFonts w:cs="Arial"/>
        </w:rPr>
        <w:t xml:space="preserve"> national health budget</w:t>
      </w:r>
      <w:r w:rsidR="00714158">
        <w:rPr>
          <w:rFonts w:cs="Arial"/>
        </w:rPr>
        <w:t xml:space="preserve"> within a set time period</w:t>
      </w:r>
      <w:r w:rsidR="006D16D5">
        <w:rPr>
          <w:rFonts w:cs="Arial"/>
        </w:rPr>
        <w:t>.</w:t>
      </w:r>
      <w:r w:rsidR="00BF2449">
        <w:rPr>
          <w:rFonts w:cs="Arial"/>
        </w:rPr>
        <w:t xml:space="preserve"> This represents a significant increase from existing funding levels and would demonstrate the Government’s </w:t>
      </w:r>
      <w:r w:rsidR="00781313">
        <w:rPr>
          <w:rFonts w:cs="Arial"/>
        </w:rPr>
        <w:t xml:space="preserve">strong </w:t>
      </w:r>
      <w:r w:rsidR="00BF2449">
        <w:rPr>
          <w:rFonts w:cs="Arial"/>
        </w:rPr>
        <w:t>commitment to preventive health</w:t>
      </w:r>
      <w:r w:rsidR="00880E71">
        <w:rPr>
          <w:rFonts w:cs="Arial"/>
        </w:rPr>
        <w:t xml:space="preserve"> </w:t>
      </w:r>
      <w:r w:rsidR="00D50BB2">
        <w:rPr>
          <w:rFonts w:cs="Arial"/>
        </w:rPr>
        <w:t>and complement expenditure by State and Territory Governments</w:t>
      </w:r>
      <w:r w:rsidR="005461E4">
        <w:rPr>
          <w:rFonts w:cs="Arial"/>
        </w:rPr>
        <w:t>.</w:t>
      </w:r>
      <w:r w:rsidR="006C0881">
        <w:rPr>
          <w:rFonts w:cs="Arial"/>
        </w:rPr>
        <w:t xml:space="preserve"> </w:t>
      </w:r>
    </w:p>
    <w:p w14:paraId="60E826C9" w14:textId="632C55DE" w:rsidR="00781313" w:rsidRDefault="006C0881" w:rsidP="005461E4">
      <w:pPr>
        <w:shd w:val="clear" w:color="auto" w:fill="FFFFFF" w:themeFill="background1"/>
        <w:autoSpaceDE w:val="0"/>
        <w:autoSpaceDN w:val="0"/>
        <w:adjustRightInd w:val="0"/>
        <w:spacing w:before="120" w:after="120" w:line="360" w:lineRule="auto"/>
        <w:rPr>
          <w:rFonts w:cs="Arial"/>
        </w:rPr>
      </w:pPr>
      <w:r>
        <w:rPr>
          <w:rFonts w:cs="Arial"/>
        </w:rPr>
        <w:t>This commitment could be implemented through graduated increases in investment</w:t>
      </w:r>
      <w:r w:rsidR="00880E71">
        <w:rPr>
          <w:rFonts w:cs="Arial"/>
        </w:rPr>
        <w:t>, for example over the period covered by the National Preventive Health Strategy. P</w:t>
      </w:r>
      <w:r>
        <w:rPr>
          <w:rFonts w:cs="Arial"/>
        </w:rPr>
        <w:t xml:space="preserve">riority funding </w:t>
      </w:r>
      <w:r w:rsidR="00880E71">
        <w:rPr>
          <w:rFonts w:cs="Arial"/>
        </w:rPr>
        <w:t xml:space="preserve">should be </w:t>
      </w:r>
      <w:r>
        <w:rPr>
          <w:rFonts w:cs="Arial"/>
        </w:rPr>
        <w:t>given to measures that have been demonstrated to be effective.</w:t>
      </w:r>
      <w:r w:rsidR="00D50BB2">
        <w:rPr>
          <w:rFonts w:cs="Arial"/>
        </w:rPr>
        <w:t xml:space="preserve"> </w:t>
      </w:r>
      <w:r>
        <w:rPr>
          <w:rFonts w:cs="Arial"/>
        </w:rPr>
        <w:t xml:space="preserve">The </w:t>
      </w:r>
      <w:r w:rsidR="00480FFA">
        <w:rPr>
          <w:rFonts w:cs="Arial"/>
        </w:rPr>
        <w:t>ongoing</w:t>
      </w:r>
      <w:r w:rsidR="00880E71">
        <w:rPr>
          <w:rFonts w:cs="Arial"/>
        </w:rPr>
        <w:t xml:space="preserve"> 5% </w:t>
      </w:r>
      <w:r>
        <w:rPr>
          <w:rFonts w:cs="Arial"/>
        </w:rPr>
        <w:lastRenderedPageBreak/>
        <w:t>investment should</w:t>
      </w:r>
      <w:r w:rsidR="00045269">
        <w:rPr>
          <w:rFonts w:cs="Arial"/>
        </w:rPr>
        <w:t xml:space="preserve"> be embedded into ongoing funding allocations, with a mechanism developed to identify priorities for allocation of the funds on an annual basis. </w:t>
      </w:r>
    </w:p>
    <w:p w14:paraId="25A7B640" w14:textId="75413055" w:rsidR="00045269" w:rsidRDefault="00045269" w:rsidP="005461E4">
      <w:pPr>
        <w:shd w:val="clear" w:color="auto" w:fill="FFFFFF" w:themeFill="background1"/>
        <w:autoSpaceDE w:val="0"/>
        <w:autoSpaceDN w:val="0"/>
        <w:adjustRightInd w:val="0"/>
        <w:spacing w:before="120" w:after="120" w:line="360" w:lineRule="auto"/>
        <w:rPr>
          <w:rFonts w:cs="Arial"/>
        </w:rPr>
      </w:pPr>
      <w:r>
        <w:rPr>
          <w:rFonts w:cs="Arial"/>
        </w:rPr>
        <w:t xml:space="preserve">We recommend this funding and associated oversight arrangements are incorporated into the National Preventive Health Strategy. This funding should be distinct from the funding required to implement the final National Obesity Strategy. </w:t>
      </w:r>
    </w:p>
    <w:p w14:paraId="647FE295" w14:textId="77777777" w:rsidR="009970CC" w:rsidRDefault="009970CC" w:rsidP="00D74E55">
      <w:pPr>
        <w:spacing w:before="120" w:after="120" w:line="360" w:lineRule="auto"/>
        <w:rPr>
          <w:rFonts w:cs="Arial"/>
          <w:b/>
        </w:rPr>
      </w:pPr>
    </w:p>
    <w:p w14:paraId="165BAF2C" w14:textId="33E49DA0" w:rsidR="002F3F42" w:rsidRPr="0029266F" w:rsidRDefault="00092DDE" w:rsidP="00D74E55">
      <w:pPr>
        <w:spacing w:before="120" w:after="120" w:line="360" w:lineRule="auto"/>
        <w:rPr>
          <w:rFonts w:cs="Arial"/>
          <w:b/>
        </w:rPr>
      </w:pPr>
      <w:r w:rsidRPr="0029266F">
        <w:rPr>
          <w:rFonts w:cs="Arial"/>
          <w:b/>
        </w:rPr>
        <w:t xml:space="preserve">Recommendation 3: </w:t>
      </w:r>
      <w:r w:rsidR="00816C90" w:rsidRPr="0029266F">
        <w:rPr>
          <w:rFonts w:cs="Arial"/>
          <w:b/>
        </w:rPr>
        <w:t xml:space="preserve">Introduce a health levy on </w:t>
      </w:r>
      <w:r w:rsidR="00607C25">
        <w:rPr>
          <w:rFonts w:cs="Arial"/>
          <w:b/>
        </w:rPr>
        <w:t>sugary drinks</w:t>
      </w:r>
      <w:r w:rsidR="00016898">
        <w:rPr>
          <w:rFonts w:cs="Arial"/>
          <w:b/>
        </w:rPr>
        <w:t xml:space="preserve"> to increase the retail price by 20%</w:t>
      </w:r>
    </w:p>
    <w:p w14:paraId="565BE414" w14:textId="5E98EE90" w:rsidR="00B82CB7" w:rsidRPr="0099235B" w:rsidRDefault="00B82CB7" w:rsidP="0029266F">
      <w:pPr>
        <w:shd w:val="clear" w:color="auto" w:fill="FFFFFF" w:themeFill="background1"/>
        <w:autoSpaceDE w:val="0"/>
        <w:autoSpaceDN w:val="0"/>
        <w:adjustRightInd w:val="0"/>
        <w:spacing w:before="120" w:after="120" w:line="360" w:lineRule="auto"/>
        <w:rPr>
          <w:rFonts w:cs="Arial"/>
          <w:u w:val="single"/>
        </w:rPr>
      </w:pPr>
      <w:r w:rsidRPr="00333051">
        <w:rPr>
          <w:rFonts w:cs="Arial"/>
          <w:u w:val="single"/>
        </w:rPr>
        <w:t>Background</w:t>
      </w:r>
    </w:p>
    <w:p w14:paraId="0DDE5B53" w14:textId="2ABDE4B6" w:rsidR="002B4E30" w:rsidRPr="0099235B" w:rsidRDefault="00B8425A" w:rsidP="0029266F">
      <w:pPr>
        <w:shd w:val="clear" w:color="auto" w:fill="FFFFFF" w:themeFill="background1"/>
        <w:autoSpaceDE w:val="0"/>
        <w:autoSpaceDN w:val="0"/>
        <w:adjustRightInd w:val="0"/>
        <w:spacing w:before="120" w:after="120" w:line="360" w:lineRule="auto"/>
        <w:rPr>
          <w:rFonts w:cs="Arial"/>
        </w:rPr>
      </w:pPr>
      <w:r>
        <w:rPr>
          <w:rFonts w:cs="Arial"/>
        </w:rPr>
        <w:t xml:space="preserve">Health levies on </w:t>
      </w:r>
      <w:r w:rsidR="00607C25">
        <w:rPr>
          <w:rFonts w:cs="Arial"/>
        </w:rPr>
        <w:t>sugary drinks</w:t>
      </w:r>
      <w:r w:rsidR="00150540" w:rsidRPr="00DB6A28">
        <w:rPr>
          <w:rFonts w:cs="Arial"/>
        </w:rPr>
        <w:t xml:space="preserve"> </w:t>
      </w:r>
      <w:r w:rsidR="005904F6" w:rsidRPr="00985DA8">
        <w:rPr>
          <w:rFonts w:cs="Arial"/>
        </w:rPr>
        <w:t>are</w:t>
      </w:r>
      <w:r>
        <w:rPr>
          <w:rFonts w:cs="Arial"/>
        </w:rPr>
        <w:t xml:space="preserve"> a ‘win-win’ for g</w:t>
      </w:r>
      <w:r w:rsidR="00150540" w:rsidRPr="00D74E55">
        <w:rPr>
          <w:rFonts w:cs="Arial"/>
        </w:rPr>
        <w:t>overnments</w:t>
      </w:r>
      <w:r w:rsidR="00F03C3B">
        <w:rPr>
          <w:rFonts w:cs="Arial"/>
        </w:rPr>
        <w:t xml:space="preserve">, as </w:t>
      </w:r>
      <w:r w:rsidR="0032780C">
        <w:rPr>
          <w:rFonts w:cs="Arial"/>
        </w:rPr>
        <w:t>in addition to raising revenues, evidence suggests that they can reduce sugary drink consumption.</w:t>
      </w:r>
      <w:r w:rsidR="00961906" w:rsidRPr="00333051">
        <w:rPr>
          <w:rStyle w:val="EndnoteReference"/>
          <w:rFonts w:cs="Arial"/>
        </w:rPr>
        <w:endnoteReference w:id="3"/>
      </w:r>
      <w:r w:rsidR="00961906" w:rsidRPr="00333051">
        <w:rPr>
          <w:rFonts w:cs="Arial"/>
        </w:rPr>
        <w:t xml:space="preserve"> </w:t>
      </w:r>
    </w:p>
    <w:p w14:paraId="2662431D" w14:textId="2E3EF5FF" w:rsidR="00083311" w:rsidRPr="00333051" w:rsidRDefault="00016898" w:rsidP="0029266F">
      <w:pPr>
        <w:shd w:val="clear" w:color="auto" w:fill="FFFFFF" w:themeFill="background1"/>
        <w:autoSpaceDE w:val="0"/>
        <w:autoSpaceDN w:val="0"/>
        <w:adjustRightInd w:val="0"/>
        <w:spacing w:before="120" w:after="120" w:line="360" w:lineRule="auto"/>
        <w:rPr>
          <w:rFonts w:cs="Arial"/>
        </w:rPr>
      </w:pPr>
      <w:r>
        <w:rPr>
          <w:rFonts w:cs="Arial"/>
        </w:rPr>
        <w:t xml:space="preserve">We recommend the introduction of a levy to increase the retail price </w:t>
      </w:r>
      <w:r w:rsidR="00607C25">
        <w:rPr>
          <w:rFonts w:cs="Arial"/>
        </w:rPr>
        <w:t>of sugary drinks</w:t>
      </w:r>
      <w:r>
        <w:rPr>
          <w:rFonts w:cs="Arial"/>
        </w:rPr>
        <w:t xml:space="preserve"> by a minimum of 20%, as this is what has been shown to be effective</w:t>
      </w:r>
      <w:r w:rsidR="007E0FD8">
        <w:rPr>
          <w:rFonts w:cs="Arial"/>
        </w:rPr>
        <w:t xml:space="preserve"> in changing behaviour</w:t>
      </w:r>
      <w:r>
        <w:rPr>
          <w:rFonts w:cs="Arial"/>
        </w:rPr>
        <w:t xml:space="preserve">. </w:t>
      </w:r>
      <w:r w:rsidR="00562CCE" w:rsidRPr="002D61FF">
        <w:rPr>
          <w:rFonts w:cs="Arial"/>
        </w:rPr>
        <w:t>A</w:t>
      </w:r>
      <w:r w:rsidR="00D91A69" w:rsidRPr="002D61FF">
        <w:rPr>
          <w:rFonts w:cs="Arial"/>
        </w:rPr>
        <w:t>n</w:t>
      </w:r>
      <w:r w:rsidR="00E95AF0" w:rsidRPr="00DB6A28">
        <w:rPr>
          <w:rFonts w:cs="Arial"/>
        </w:rPr>
        <w:t xml:space="preserve"> </w:t>
      </w:r>
      <w:r w:rsidR="00562CCE" w:rsidRPr="00985DA8">
        <w:rPr>
          <w:rFonts w:cs="Arial"/>
        </w:rPr>
        <w:t xml:space="preserve">Australian </w:t>
      </w:r>
      <w:r w:rsidR="00856538">
        <w:rPr>
          <w:rFonts w:cs="Arial"/>
        </w:rPr>
        <w:t xml:space="preserve">modelling </w:t>
      </w:r>
      <w:r w:rsidR="00562CCE" w:rsidRPr="00985DA8">
        <w:rPr>
          <w:rFonts w:cs="Arial"/>
        </w:rPr>
        <w:t xml:space="preserve">study </w:t>
      </w:r>
      <w:r w:rsidR="001242D6" w:rsidRPr="00985DA8">
        <w:rPr>
          <w:rFonts w:cs="Arial"/>
        </w:rPr>
        <w:t>f</w:t>
      </w:r>
      <w:r w:rsidR="001242D6" w:rsidRPr="00D74E55">
        <w:rPr>
          <w:rFonts w:cs="Arial"/>
        </w:rPr>
        <w:t xml:space="preserve">ound </w:t>
      </w:r>
      <w:r w:rsidR="000D14A1" w:rsidRPr="008D7518">
        <w:rPr>
          <w:rFonts w:cs="Arial"/>
        </w:rPr>
        <w:t xml:space="preserve">that a </w:t>
      </w:r>
      <w:r w:rsidR="00562CCE" w:rsidRPr="00A8392B">
        <w:rPr>
          <w:rFonts w:cs="Arial"/>
        </w:rPr>
        <w:t xml:space="preserve">20% </w:t>
      </w:r>
      <w:r w:rsidR="002913CD" w:rsidRPr="00A8392B">
        <w:rPr>
          <w:rFonts w:cs="Arial"/>
        </w:rPr>
        <w:t>health levy</w:t>
      </w:r>
      <w:r w:rsidR="00562CCE" w:rsidRPr="0029266F">
        <w:rPr>
          <w:rFonts w:cs="Arial"/>
        </w:rPr>
        <w:t xml:space="preserve"> on </w:t>
      </w:r>
      <w:r w:rsidR="00607C25">
        <w:rPr>
          <w:rFonts w:cs="Arial"/>
        </w:rPr>
        <w:t>sugary drink</w:t>
      </w:r>
      <w:r w:rsidR="00562CCE" w:rsidRPr="0029266F">
        <w:rPr>
          <w:rFonts w:cs="Arial"/>
        </w:rPr>
        <w:t xml:space="preserve">s could result in a 12.6% decline in consumption of </w:t>
      </w:r>
      <w:r w:rsidR="00607C25">
        <w:rPr>
          <w:rFonts w:cs="Arial"/>
        </w:rPr>
        <w:t>sugary drink</w:t>
      </w:r>
      <w:r w:rsidR="00562CCE" w:rsidRPr="0029266F">
        <w:rPr>
          <w:rFonts w:cs="Arial"/>
        </w:rPr>
        <w:t>s and a</w:t>
      </w:r>
      <w:r w:rsidR="00AA24F2" w:rsidRPr="00DF6974">
        <w:rPr>
          <w:rFonts w:cs="Arial"/>
        </w:rPr>
        <w:t>n overall</w:t>
      </w:r>
      <w:r w:rsidR="00562CCE" w:rsidRPr="00DF6974">
        <w:rPr>
          <w:rFonts w:cs="Arial"/>
        </w:rPr>
        <w:t xml:space="preserve"> decline in obesity of 2.7% in men and 1.2% in women. It is estimated that 1,606 more Australians would be alive in 25 years</w:t>
      </w:r>
      <w:r w:rsidR="00EC7AC1" w:rsidRPr="00AC7F06">
        <w:rPr>
          <w:rFonts w:cs="Arial"/>
        </w:rPr>
        <w:t xml:space="preserve"> if the </w:t>
      </w:r>
      <w:r w:rsidR="002913CD" w:rsidRPr="00C76675">
        <w:rPr>
          <w:rFonts w:cs="Arial"/>
        </w:rPr>
        <w:t>levy</w:t>
      </w:r>
      <w:r w:rsidR="00EC7AC1" w:rsidRPr="00E96C40">
        <w:rPr>
          <w:rFonts w:cs="Arial"/>
        </w:rPr>
        <w:t xml:space="preserve"> were introduced</w:t>
      </w:r>
      <w:r w:rsidR="00562CCE" w:rsidRPr="000C5269">
        <w:rPr>
          <w:rFonts w:cs="Arial"/>
        </w:rPr>
        <w:t>.</w:t>
      </w:r>
      <w:r w:rsidR="0051487B" w:rsidRPr="00333051">
        <w:rPr>
          <w:rStyle w:val="EndnoteReference"/>
          <w:rFonts w:cs="Arial"/>
        </w:rPr>
        <w:endnoteReference w:id="4"/>
      </w:r>
    </w:p>
    <w:p w14:paraId="27F12A3B" w14:textId="5A67AE47" w:rsidR="005B4D9D" w:rsidRDefault="003D3F85" w:rsidP="009970CC">
      <w:pPr>
        <w:shd w:val="clear" w:color="auto" w:fill="FFFFFF" w:themeFill="background1"/>
        <w:autoSpaceDE w:val="0"/>
        <w:autoSpaceDN w:val="0"/>
        <w:adjustRightInd w:val="0"/>
        <w:spacing w:before="120" w:after="120" w:line="360" w:lineRule="auto"/>
        <w:rPr>
          <w:rFonts w:cs="Arial"/>
        </w:rPr>
      </w:pPr>
      <w:r w:rsidRPr="00A8392B">
        <w:rPr>
          <w:rFonts w:cs="Arial"/>
        </w:rPr>
        <w:t xml:space="preserve">Research around the world </w:t>
      </w:r>
      <w:r w:rsidR="007B72F8">
        <w:rPr>
          <w:rFonts w:cs="Arial"/>
        </w:rPr>
        <w:t>shows</w:t>
      </w:r>
      <w:r w:rsidRPr="00A8392B">
        <w:rPr>
          <w:rFonts w:cs="Arial"/>
        </w:rPr>
        <w:t xml:space="preserve"> that </w:t>
      </w:r>
      <w:r w:rsidR="008D6A01" w:rsidRPr="00A8392B">
        <w:rPr>
          <w:rFonts w:cs="Arial"/>
        </w:rPr>
        <w:t xml:space="preserve">these </w:t>
      </w:r>
      <w:r w:rsidR="007B72F8">
        <w:rPr>
          <w:rFonts w:cs="Arial"/>
        </w:rPr>
        <w:t>levies</w:t>
      </w:r>
      <w:r w:rsidR="008D6A01" w:rsidRPr="00A8392B">
        <w:rPr>
          <w:rFonts w:cs="Arial"/>
        </w:rPr>
        <w:t xml:space="preserve"> can be influential in improv</w:t>
      </w:r>
      <w:r w:rsidR="005D2B71" w:rsidRPr="0029266F">
        <w:rPr>
          <w:rFonts w:cs="Arial"/>
        </w:rPr>
        <w:t xml:space="preserve">ing diets across the </w:t>
      </w:r>
      <w:r w:rsidR="005D2B71" w:rsidRPr="00DF6974">
        <w:rPr>
          <w:rFonts w:cs="Arial"/>
        </w:rPr>
        <w:t>population by</w:t>
      </w:r>
      <w:r w:rsidR="008D6A01" w:rsidRPr="00DF6974">
        <w:rPr>
          <w:rFonts w:cs="Arial"/>
        </w:rPr>
        <w:t xml:space="preserve"> encourag</w:t>
      </w:r>
      <w:r w:rsidR="005D2B71" w:rsidRPr="00346381">
        <w:rPr>
          <w:rFonts w:cs="Arial"/>
        </w:rPr>
        <w:t>i</w:t>
      </w:r>
      <w:r w:rsidR="005D2B71" w:rsidRPr="00AC7F06">
        <w:rPr>
          <w:rFonts w:cs="Arial"/>
        </w:rPr>
        <w:t>ng</w:t>
      </w:r>
      <w:r w:rsidR="008D6A01" w:rsidRPr="00C76675">
        <w:rPr>
          <w:rFonts w:cs="Arial"/>
        </w:rPr>
        <w:t xml:space="preserve"> companies to reformulate their products</w:t>
      </w:r>
      <w:r w:rsidR="005D2B71" w:rsidRPr="00E96C40">
        <w:rPr>
          <w:rFonts w:cs="Arial"/>
        </w:rPr>
        <w:t xml:space="preserve"> or</w:t>
      </w:r>
      <w:r w:rsidR="00527D89">
        <w:rPr>
          <w:rFonts w:cs="Arial"/>
        </w:rPr>
        <w:t xml:space="preserve"> </w:t>
      </w:r>
      <w:r w:rsidR="005D2B71" w:rsidRPr="00E96C40">
        <w:rPr>
          <w:rFonts w:cs="Arial"/>
        </w:rPr>
        <w:t>making healt</w:t>
      </w:r>
      <w:r w:rsidR="00500EE9" w:rsidRPr="00C86C40">
        <w:rPr>
          <w:rFonts w:cs="Arial"/>
        </w:rPr>
        <w:t>hier options more affordable, raising revenues for governments to spend on obesity prevention</w:t>
      </w:r>
      <w:r w:rsidR="00500EE9" w:rsidRPr="000C5269">
        <w:rPr>
          <w:rFonts w:cs="Arial"/>
        </w:rPr>
        <w:t>, or both.</w:t>
      </w:r>
      <w:r w:rsidR="00324FE1" w:rsidRPr="000C5269">
        <w:rPr>
          <w:rFonts w:cs="Arial"/>
        </w:rPr>
        <w:t xml:space="preserve"> </w:t>
      </w:r>
      <w:r w:rsidR="005A3AE2" w:rsidRPr="00333051">
        <w:rPr>
          <w:rFonts w:cs="Arial"/>
        </w:rPr>
        <w:t xml:space="preserve">Evidence from Mexico has found a sustained reduction in </w:t>
      </w:r>
      <w:r w:rsidR="00A8043E" w:rsidRPr="002D61FF">
        <w:rPr>
          <w:rFonts w:cs="Arial"/>
        </w:rPr>
        <w:t>s</w:t>
      </w:r>
      <w:r w:rsidR="00A8043E" w:rsidRPr="00DB6A28">
        <w:rPr>
          <w:rFonts w:cs="Arial"/>
        </w:rPr>
        <w:t>ugary drinks</w:t>
      </w:r>
      <w:r w:rsidR="005A3AE2" w:rsidRPr="00985DA8">
        <w:rPr>
          <w:rFonts w:cs="Arial"/>
        </w:rPr>
        <w:t xml:space="preserve"> consumption following </w:t>
      </w:r>
      <w:r w:rsidR="00254091">
        <w:rPr>
          <w:rFonts w:cs="Arial"/>
        </w:rPr>
        <w:t xml:space="preserve">the </w:t>
      </w:r>
      <w:r w:rsidR="006A3E76">
        <w:rPr>
          <w:rFonts w:cs="Arial"/>
        </w:rPr>
        <w:t xml:space="preserve">2014 </w:t>
      </w:r>
      <w:r w:rsidR="00254091">
        <w:rPr>
          <w:rFonts w:cs="Arial"/>
        </w:rPr>
        <w:t xml:space="preserve">introduction of </w:t>
      </w:r>
      <w:r w:rsidR="005A3AE2" w:rsidRPr="00985DA8">
        <w:rPr>
          <w:rFonts w:cs="Arial"/>
        </w:rPr>
        <w:t xml:space="preserve">a levy </w:t>
      </w:r>
      <w:r w:rsidR="006A3E76">
        <w:rPr>
          <w:rFonts w:cs="Arial"/>
        </w:rPr>
        <w:t xml:space="preserve">on </w:t>
      </w:r>
      <w:r w:rsidR="00607C25">
        <w:rPr>
          <w:rFonts w:cs="Arial"/>
        </w:rPr>
        <w:t>sugary drinks</w:t>
      </w:r>
      <w:r w:rsidR="006A3E76">
        <w:rPr>
          <w:rFonts w:cs="Arial"/>
        </w:rPr>
        <w:t xml:space="preserve"> </w:t>
      </w:r>
      <w:r w:rsidR="00254091">
        <w:rPr>
          <w:rFonts w:cs="Arial"/>
        </w:rPr>
        <w:t>of approximately 10%</w:t>
      </w:r>
      <w:r w:rsidR="00A8043E" w:rsidRPr="00985DA8">
        <w:rPr>
          <w:rFonts w:cs="Arial"/>
        </w:rPr>
        <w:t xml:space="preserve">, with the biggest fall in the purchase of </w:t>
      </w:r>
      <w:r w:rsidR="00315BF5">
        <w:rPr>
          <w:rFonts w:cs="Arial"/>
        </w:rPr>
        <w:t xml:space="preserve">sugary </w:t>
      </w:r>
      <w:r w:rsidR="00A8043E" w:rsidRPr="00985DA8">
        <w:rPr>
          <w:rFonts w:cs="Arial"/>
        </w:rPr>
        <w:t>drinks among lower socioeconomic groups</w:t>
      </w:r>
      <w:r w:rsidR="006E4209">
        <w:rPr>
          <w:rFonts w:cs="Arial"/>
        </w:rPr>
        <w:t>.</w:t>
      </w:r>
      <w:r w:rsidR="00C911A6" w:rsidRPr="00897055">
        <w:rPr>
          <w:rFonts w:cs="Arial"/>
          <w:vertAlign w:val="superscript"/>
          <w:lang w:val="en-US"/>
        </w:rPr>
        <w:endnoteReference w:id="5"/>
      </w:r>
      <w:r w:rsidR="00C911A6" w:rsidRPr="00333051">
        <w:rPr>
          <w:rFonts w:cs="Arial"/>
        </w:rPr>
        <w:t xml:space="preserve"> </w:t>
      </w:r>
      <w:r w:rsidR="00CA14F1" w:rsidRPr="00D74E55">
        <w:rPr>
          <w:rFonts w:cs="Arial"/>
        </w:rPr>
        <w:t>In the UK,</w:t>
      </w:r>
      <w:r w:rsidR="009970CC">
        <w:rPr>
          <w:rFonts w:cs="Arial"/>
        </w:rPr>
        <w:t xml:space="preserve"> t</w:t>
      </w:r>
      <w:r w:rsidR="00CA14F1" w:rsidRPr="00DF6974">
        <w:rPr>
          <w:rFonts w:cs="Arial"/>
        </w:rPr>
        <w:t>he majority of producers have</w:t>
      </w:r>
      <w:r w:rsidR="00CA14F1" w:rsidRPr="00346381">
        <w:rPr>
          <w:rFonts w:cs="Arial"/>
        </w:rPr>
        <w:t xml:space="preserve"> reformulat</w:t>
      </w:r>
      <w:r w:rsidR="00CA14F1" w:rsidRPr="00AC7F06">
        <w:rPr>
          <w:rFonts w:cs="Arial"/>
        </w:rPr>
        <w:t>ed</w:t>
      </w:r>
      <w:r w:rsidR="00CA14F1" w:rsidRPr="00C76675">
        <w:rPr>
          <w:rFonts w:cs="Arial"/>
        </w:rPr>
        <w:t xml:space="preserve"> products to minimise or avoid the tax they pay, while simultaneo</w:t>
      </w:r>
      <w:r w:rsidR="00CA14F1" w:rsidRPr="00E96C40">
        <w:rPr>
          <w:rFonts w:cs="Arial"/>
        </w:rPr>
        <w:t>usly reducing sugar content.</w:t>
      </w:r>
      <w:r w:rsidR="00CA14F1" w:rsidRPr="00333051">
        <w:rPr>
          <w:rStyle w:val="EndnoteReference"/>
          <w:rFonts w:cs="Arial"/>
        </w:rPr>
        <w:endnoteReference w:id="6"/>
      </w:r>
      <w:r w:rsidR="00CA14F1" w:rsidRPr="00333051">
        <w:rPr>
          <w:rFonts w:cs="Arial"/>
        </w:rPr>
        <w:t xml:space="preserve"> </w:t>
      </w:r>
    </w:p>
    <w:p w14:paraId="05C28F7A" w14:textId="77777777" w:rsidR="00F41887" w:rsidRPr="00245859" w:rsidRDefault="00B82CB7" w:rsidP="00A8392B">
      <w:pPr>
        <w:spacing w:before="120" w:after="120" w:line="360" w:lineRule="auto"/>
        <w:rPr>
          <w:rFonts w:cs="Arial"/>
        </w:rPr>
      </w:pPr>
      <w:r w:rsidRPr="00DB6A28">
        <w:rPr>
          <w:rFonts w:cs="Arial"/>
          <w:u w:val="single"/>
        </w:rPr>
        <w:t>Economic impact</w:t>
      </w:r>
      <w:r w:rsidR="00251F7C">
        <w:rPr>
          <w:rFonts w:cs="Arial"/>
          <w:u w:val="single"/>
        </w:rPr>
        <w:t xml:space="preserve"> and cost-effectiveness</w:t>
      </w:r>
    </w:p>
    <w:p w14:paraId="52D85B3B" w14:textId="23BFBAE3" w:rsidR="00CA76B2" w:rsidRDefault="00CE4016" w:rsidP="004103A2">
      <w:pPr>
        <w:spacing w:before="120" w:after="120" w:line="360" w:lineRule="auto"/>
        <w:rPr>
          <w:rFonts w:cs="Arial"/>
        </w:rPr>
      </w:pPr>
      <w:r w:rsidRPr="00D74E55">
        <w:rPr>
          <w:rFonts w:cs="Arial"/>
        </w:rPr>
        <w:t xml:space="preserve">A health levy on </w:t>
      </w:r>
      <w:r w:rsidR="00607C25">
        <w:rPr>
          <w:rFonts w:cs="Arial"/>
        </w:rPr>
        <w:t>sugary drink</w:t>
      </w:r>
      <w:r w:rsidRPr="00D74E55">
        <w:rPr>
          <w:rFonts w:cs="Arial"/>
        </w:rPr>
        <w:t>s</w:t>
      </w:r>
      <w:r w:rsidR="00B713C1" w:rsidRPr="008D7518">
        <w:rPr>
          <w:rFonts w:cs="Arial"/>
        </w:rPr>
        <w:t xml:space="preserve"> would provide a significant revenue source for the Government</w:t>
      </w:r>
      <w:r w:rsidR="00D676AB" w:rsidRPr="00A8392B">
        <w:rPr>
          <w:rFonts w:cs="Arial"/>
        </w:rPr>
        <w:t xml:space="preserve">, estimated by various studies and reports at between </w:t>
      </w:r>
      <w:r w:rsidR="006E4DAE" w:rsidRPr="00A8392B">
        <w:rPr>
          <w:rFonts w:cs="Arial"/>
        </w:rPr>
        <w:t>$400 and $</w:t>
      </w:r>
      <w:r w:rsidR="004103A2">
        <w:rPr>
          <w:rFonts w:cs="Arial"/>
        </w:rPr>
        <w:t>642</w:t>
      </w:r>
      <w:r w:rsidR="006E4DAE" w:rsidRPr="00A8392B">
        <w:rPr>
          <w:rFonts w:cs="Arial"/>
        </w:rPr>
        <w:t xml:space="preserve"> million annually.</w:t>
      </w:r>
      <w:r w:rsidR="006E4DAE" w:rsidRPr="00333051">
        <w:rPr>
          <w:rStyle w:val="EndnoteReference"/>
          <w:rFonts w:cs="Arial"/>
        </w:rPr>
        <w:endnoteReference w:id="7"/>
      </w:r>
      <w:r w:rsidR="00CA76B2">
        <w:rPr>
          <w:rFonts w:cs="Arial"/>
        </w:rPr>
        <w:t xml:space="preserve"> It </w:t>
      </w:r>
      <w:r w:rsidR="001B28EE">
        <w:rPr>
          <w:rFonts w:cs="Arial"/>
        </w:rPr>
        <w:t xml:space="preserve">is also predicted </w:t>
      </w:r>
      <w:r w:rsidR="00CA76B2">
        <w:rPr>
          <w:rFonts w:cs="Arial"/>
        </w:rPr>
        <w:t>to reduce healthcare spending.</w:t>
      </w:r>
    </w:p>
    <w:p w14:paraId="7552EF33" w14:textId="5A274025" w:rsidR="001E770C" w:rsidRPr="00D057D4" w:rsidRDefault="001E770C" w:rsidP="001E770C">
      <w:pPr>
        <w:spacing w:before="120" w:after="120" w:line="360" w:lineRule="auto"/>
        <w:rPr>
          <w:rFonts w:cs="Arial"/>
        </w:rPr>
      </w:pPr>
      <w:r w:rsidRPr="00D057D4">
        <w:rPr>
          <w:rFonts w:cs="Arial"/>
        </w:rPr>
        <w:t>A specific area where the Government may see substantial healthcare savings within a relatively short period is on denta</w:t>
      </w:r>
      <w:r w:rsidRPr="00DB6A28">
        <w:rPr>
          <w:rFonts w:cs="Arial"/>
        </w:rPr>
        <w:t xml:space="preserve">l health. Evidence shows that </w:t>
      </w:r>
      <w:r w:rsidR="00607C25">
        <w:rPr>
          <w:rFonts w:cs="Arial"/>
        </w:rPr>
        <w:t>sugary drink</w:t>
      </w:r>
      <w:r w:rsidRPr="00DB6A28">
        <w:rPr>
          <w:rFonts w:cs="Arial"/>
        </w:rPr>
        <w:t xml:space="preserve"> consumption is linked to high levels of dental caries</w:t>
      </w:r>
      <w:r w:rsidRPr="00245859">
        <w:rPr>
          <w:rFonts w:cs="Arial"/>
        </w:rPr>
        <w:t xml:space="preserve"> and dental erosion.</w:t>
      </w:r>
      <w:r w:rsidRPr="00333051">
        <w:rPr>
          <w:rStyle w:val="EndnoteReference"/>
          <w:rFonts w:cs="Arial"/>
        </w:rPr>
        <w:endnoteReference w:id="8"/>
      </w:r>
      <w:r w:rsidRPr="00333051">
        <w:rPr>
          <w:rFonts w:cs="Arial"/>
        </w:rPr>
        <w:t xml:space="preserve"> </w:t>
      </w:r>
      <w:r w:rsidRPr="002D61FF">
        <w:rPr>
          <w:rFonts w:cs="Arial"/>
        </w:rPr>
        <w:t xml:space="preserve">A decrease in </w:t>
      </w:r>
      <w:r w:rsidR="00607C25">
        <w:rPr>
          <w:rFonts w:cs="Arial"/>
        </w:rPr>
        <w:t xml:space="preserve">sugary drink </w:t>
      </w:r>
      <w:r w:rsidRPr="002D61FF">
        <w:rPr>
          <w:rFonts w:cs="Arial"/>
        </w:rPr>
        <w:t>consumption may</w:t>
      </w:r>
      <w:r w:rsidRPr="004B182C">
        <w:rPr>
          <w:rFonts w:cs="Arial"/>
        </w:rPr>
        <w:t xml:space="preserve"> lead to a drop in the levels of dental caries and dental erosion, resulting in </w:t>
      </w:r>
      <w:r w:rsidRPr="004B182C">
        <w:rPr>
          <w:rFonts w:cs="Arial"/>
        </w:rPr>
        <w:lastRenderedPageBreak/>
        <w:t>decreased government spending on d</w:t>
      </w:r>
      <w:r w:rsidRPr="00D057D4">
        <w:rPr>
          <w:rFonts w:cs="Arial"/>
        </w:rPr>
        <w:t xml:space="preserve">ental services, including on hospital dental treatment for children. </w:t>
      </w:r>
    </w:p>
    <w:p w14:paraId="09AF5DE2" w14:textId="3164EF58" w:rsidR="000F2DD6" w:rsidRDefault="005B65BD" w:rsidP="00D74E55">
      <w:pPr>
        <w:spacing w:before="120" w:after="120" w:line="360" w:lineRule="auto"/>
        <w:rPr>
          <w:rFonts w:cs="Arial"/>
        </w:rPr>
      </w:pPr>
      <w:r w:rsidRPr="00333051">
        <w:rPr>
          <w:rFonts w:cs="Arial"/>
        </w:rPr>
        <w:t>In Australia, a</w:t>
      </w:r>
      <w:r w:rsidR="00CE6F58" w:rsidRPr="002D61FF">
        <w:rPr>
          <w:rFonts w:cs="Arial"/>
        </w:rPr>
        <w:t xml:space="preserve"> health levy</w:t>
      </w:r>
      <w:r w:rsidRPr="002D61FF">
        <w:rPr>
          <w:rFonts w:cs="Arial"/>
        </w:rPr>
        <w:t xml:space="preserve"> on </w:t>
      </w:r>
      <w:r w:rsidR="00607C25">
        <w:rPr>
          <w:rFonts w:cs="Arial"/>
        </w:rPr>
        <w:t>sugary drink</w:t>
      </w:r>
      <w:r w:rsidRPr="002D61FF">
        <w:rPr>
          <w:rFonts w:cs="Arial"/>
        </w:rPr>
        <w:t>s could be relatively simply imposed through existing tax structures, keeping the costs of implementation and administration reasonably low.</w:t>
      </w:r>
      <w:r w:rsidRPr="00333051">
        <w:rPr>
          <w:rStyle w:val="EndnoteReference"/>
          <w:rFonts w:cs="Arial"/>
        </w:rPr>
        <w:endnoteReference w:id="9"/>
      </w:r>
      <w:r w:rsidR="001C5998" w:rsidRPr="00333051">
        <w:rPr>
          <w:rFonts w:cs="Arial"/>
        </w:rPr>
        <w:t xml:space="preserve"> </w:t>
      </w:r>
      <w:r w:rsidRPr="002D61FF">
        <w:rPr>
          <w:rFonts w:cs="Arial"/>
        </w:rPr>
        <w:t xml:space="preserve">Use of existing tax frameworks capable of accommodating a tax would </w:t>
      </w:r>
      <w:r w:rsidRPr="00D057D4">
        <w:rPr>
          <w:rFonts w:cs="Arial"/>
        </w:rPr>
        <w:t>mean implementation would not require the development of complex independent legislation and administrative structures.</w:t>
      </w:r>
      <w:r w:rsidR="001C5998" w:rsidRPr="00333051">
        <w:rPr>
          <w:rStyle w:val="EndnoteReference"/>
          <w:rFonts w:cs="Arial"/>
        </w:rPr>
        <w:endnoteReference w:id="10"/>
      </w:r>
      <w:r w:rsidRPr="00333051">
        <w:rPr>
          <w:rFonts w:cs="Arial"/>
        </w:rPr>
        <w:t xml:space="preserve"> </w:t>
      </w:r>
    </w:p>
    <w:p w14:paraId="27B15F60" w14:textId="1E02D396" w:rsidR="00740C7F" w:rsidRDefault="00251F7C" w:rsidP="00740C7F">
      <w:pPr>
        <w:spacing w:before="120" w:after="120" w:line="360" w:lineRule="auto"/>
        <w:rPr>
          <w:rFonts w:cs="Arial"/>
        </w:rPr>
      </w:pPr>
      <w:r>
        <w:rPr>
          <w:rFonts w:cs="Arial"/>
        </w:rPr>
        <w:t>The</w:t>
      </w:r>
      <w:r w:rsidR="00740C7F">
        <w:rPr>
          <w:rFonts w:cs="Arial"/>
        </w:rPr>
        <w:t xml:space="preserve"> low cost of implementation and administration, together with its </w:t>
      </w:r>
      <w:r w:rsidR="009F3939">
        <w:rPr>
          <w:rFonts w:cs="Arial"/>
        </w:rPr>
        <w:t>potential to reduce</w:t>
      </w:r>
      <w:r w:rsidR="00740C7F">
        <w:rPr>
          <w:rFonts w:cs="Arial"/>
        </w:rPr>
        <w:t xml:space="preserve"> obesity and associated healthcare spending, mean that a health levy on </w:t>
      </w:r>
      <w:r w:rsidR="00315BF5">
        <w:rPr>
          <w:rFonts w:cs="Arial"/>
        </w:rPr>
        <w:t>sugary drinks</w:t>
      </w:r>
      <w:r w:rsidR="00740C7F">
        <w:rPr>
          <w:rFonts w:cs="Arial"/>
        </w:rPr>
        <w:t xml:space="preserve"> is a cost-effective policy. A</w:t>
      </w:r>
      <w:r w:rsidR="00D72CBE">
        <w:rPr>
          <w:rFonts w:cs="Arial"/>
        </w:rPr>
        <w:t xml:space="preserve"> 2018</w:t>
      </w:r>
      <w:r w:rsidR="00740C7F">
        <w:rPr>
          <w:rFonts w:cs="Arial"/>
        </w:rPr>
        <w:t xml:space="preserve"> analysis </w:t>
      </w:r>
      <w:r>
        <w:rPr>
          <w:rFonts w:cs="Arial"/>
        </w:rPr>
        <w:t xml:space="preserve">of </w:t>
      </w:r>
      <w:r w:rsidR="00740C7F">
        <w:rPr>
          <w:rFonts w:cs="Arial"/>
        </w:rPr>
        <w:t xml:space="preserve">cost-effective policies to tackle Australia’s obesity epidemic by Deakin University identified that a health levy on </w:t>
      </w:r>
      <w:r w:rsidR="00607C25">
        <w:rPr>
          <w:rFonts w:cs="Arial"/>
        </w:rPr>
        <w:t>sugary drink</w:t>
      </w:r>
      <w:r w:rsidR="00740C7F">
        <w:rPr>
          <w:rFonts w:cs="Arial"/>
        </w:rPr>
        <w:t xml:space="preserve">s would save the Australian Government $1.7bn, costing very little (~$11.8m) to implement, while delivering $1.7bn in total healthcare cost offsets. This intervention was predicted to save the Government more money </w:t>
      </w:r>
      <w:r w:rsidR="00785287">
        <w:rPr>
          <w:rFonts w:cs="Arial"/>
        </w:rPr>
        <w:t xml:space="preserve">(both now and in the longer-term) </w:t>
      </w:r>
      <w:r w:rsidR="00740C7F">
        <w:rPr>
          <w:rFonts w:cs="Arial"/>
        </w:rPr>
        <w:t>than any other</w:t>
      </w:r>
      <w:r>
        <w:rPr>
          <w:rFonts w:cs="Arial"/>
        </w:rPr>
        <w:t xml:space="preserve">, even without </w:t>
      </w:r>
      <w:proofErr w:type="gramStart"/>
      <w:r>
        <w:rPr>
          <w:rFonts w:cs="Arial"/>
        </w:rPr>
        <w:t>taking into account</w:t>
      </w:r>
      <w:proofErr w:type="gramEnd"/>
      <w:r>
        <w:rPr>
          <w:rFonts w:cs="Arial"/>
        </w:rPr>
        <w:t xml:space="preserve"> the revenue generated by the levy</w:t>
      </w:r>
      <w:r w:rsidR="00E72F51">
        <w:rPr>
          <w:rFonts w:cs="Arial"/>
        </w:rPr>
        <w:t>.</w:t>
      </w:r>
      <w:r w:rsidR="00740C7F">
        <w:rPr>
          <w:rStyle w:val="EndnoteReference"/>
          <w:rFonts w:cs="Arial"/>
        </w:rPr>
        <w:endnoteReference w:id="11"/>
      </w:r>
    </w:p>
    <w:p w14:paraId="79FA6814" w14:textId="77777777" w:rsidR="004C2508" w:rsidRPr="00714D15" w:rsidRDefault="00B75978" w:rsidP="00714D15">
      <w:pPr>
        <w:spacing w:before="120" w:after="120" w:line="360" w:lineRule="auto"/>
        <w:rPr>
          <w:rFonts w:cs="Arial"/>
          <w:b/>
        </w:rPr>
      </w:pPr>
      <w:r w:rsidRPr="00714D15">
        <w:rPr>
          <w:rFonts w:cs="Arial"/>
          <w:b/>
        </w:rPr>
        <w:t>Conclusion</w:t>
      </w:r>
    </w:p>
    <w:p w14:paraId="1677AD78" w14:textId="20A71013" w:rsidR="00283221" w:rsidRPr="008D7518" w:rsidRDefault="00283221" w:rsidP="00714D15">
      <w:pPr>
        <w:spacing w:before="120" w:after="120" w:line="360" w:lineRule="auto"/>
        <w:rPr>
          <w:rFonts w:cs="Arial"/>
        </w:rPr>
      </w:pPr>
      <w:r w:rsidRPr="00245859">
        <w:rPr>
          <w:rFonts w:cs="Arial"/>
        </w:rPr>
        <w:t>We urge the Government to</w:t>
      </w:r>
      <w:r w:rsidR="00E72F51">
        <w:rPr>
          <w:rFonts w:cs="Arial"/>
        </w:rPr>
        <w:t xml:space="preserve"> </w:t>
      </w:r>
      <w:r w:rsidR="007923A9">
        <w:rPr>
          <w:rFonts w:cs="Arial"/>
        </w:rPr>
        <w:t xml:space="preserve">appropriately </w:t>
      </w:r>
      <w:r w:rsidR="00E72F51">
        <w:rPr>
          <w:rFonts w:cs="Arial"/>
        </w:rPr>
        <w:t xml:space="preserve">fund implementation of </w:t>
      </w:r>
      <w:r w:rsidR="007923A9">
        <w:rPr>
          <w:rFonts w:cs="Arial"/>
        </w:rPr>
        <w:t>the</w:t>
      </w:r>
      <w:r w:rsidR="00E72F51">
        <w:rPr>
          <w:rFonts w:cs="Arial"/>
        </w:rPr>
        <w:t xml:space="preserve"> National Obesity Strategy and</w:t>
      </w:r>
      <w:r w:rsidRPr="00245859">
        <w:rPr>
          <w:rFonts w:cs="Arial"/>
        </w:rPr>
        <w:t xml:space="preserve"> </w:t>
      </w:r>
      <w:r w:rsidR="007923A9">
        <w:rPr>
          <w:rFonts w:cs="Arial"/>
        </w:rPr>
        <w:t xml:space="preserve">to allocate </w:t>
      </w:r>
      <w:r w:rsidR="003B3D63">
        <w:rPr>
          <w:rFonts w:cs="Arial"/>
        </w:rPr>
        <w:t xml:space="preserve">a minimum of </w:t>
      </w:r>
      <w:r w:rsidR="007923A9">
        <w:rPr>
          <w:rFonts w:cs="Arial"/>
        </w:rPr>
        <w:t xml:space="preserve">5% of the annual health budget to preventive health, on an ongoing basis. </w:t>
      </w:r>
      <w:r w:rsidRPr="00245859">
        <w:rPr>
          <w:rFonts w:cs="Arial"/>
        </w:rPr>
        <w:t>A substantial investment in</w:t>
      </w:r>
      <w:r w:rsidRPr="00D74E55">
        <w:rPr>
          <w:rFonts w:cs="Arial"/>
        </w:rPr>
        <w:t xml:space="preserve"> </w:t>
      </w:r>
      <w:r w:rsidR="007923A9">
        <w:rPr>
          <w:rFonts w:cs="Arial"/>
        </w:rPr>
        <w:t xml:space="preserve">preventive health, </w:t>
      </w:r>
      <w:proofErr w:type="gramStart"/>
      <w:r w:rsidR="007923A9">
        <w:rPr>
          <w:rFonts w:cs="Arial"/>
        </w:rPr>
        <w:t xml:space="preserve">in particular </w:t>
      </w:r>
      <w:r w:rsidRPr="00D74E55">
        <w:rPr>
          <w:rFonts w:cs="Arial"/>
        </w:rPr>
        <w:t>obesity</w:t>
      </w:r>
      <w:proofErr w:type="gramEnd"/>
      <w:r w:rsidRPr="00D74E55">
        <w:rPr>
          <w:rFonts w:cs="Arial"/>
        </w:rPr>
        <w:t xml:space="preserve"> prevention</w:t>
      </w:r>
      <w:r w:rsidR="007923A9">
        <w:rPr>
          <w:rFonts w:cs="Arial"/>
        </w:rPr>
        <w:t>,</w:t>
      </w:r>
      <w:r w:rsidRPr="00D74E55">
        <w:rPr>
          <w:rFonts w:cs="Arial"/>
        </w:rPr>
        <w:t xml:space="preserve"> is urgently needed.</w:t>
      </w:r>
    </w:p>
    <w:p w14:paraId="0846A525" w14:textId="57D042DE" w:rsidR="00261431" w:rsidRPr="002D61FF" w:rsidRDefault="00484480" w:rsidP="00985DA8">
      <w:pPr>
        <w:spacing w:before="120" w:after="120" w:line="360" w:lineRule="auto"/>
        <w:rPr>
          <w:rFonts w:cs="Arial"/>
        </w:rPr>
      </w:pPr>
      <w:r w:rsidRPr="00A8392B">
        <w:rPr>
          <w:rFonts w:cs="Arial"/>
        </w:rPr>
        <w:t>A</w:t>
      </w:r>
      <w:r w:rsidR="00A925B0" w:rsidRPr="00A8392B">
        <w:rPr>
          <w:rFonts w:cs="Arial"/>
        </w:rPr>
        <w:t xml:space="preserve"> health levy on </w:t>
      </w:r>
      <w:r w:rsidR="00607C25">
        <w:rPr>
          <w:rFonts w:cs="Arial"/>
        </w:rPr>
        <w:t>sugary drink</w:t>
      </w:r>
      <w:r w:rsidR="00A925B0" w:rsidRPr="004A622E">
        <w:rPr>
          <w:rFonts w:cs="Arial"/>
        </w:rPr>
        <w:t>s in</w:t>
      </w:r>
      <w:r w:rsidRPr="004A622E">
        <w:rPr>
          <w:rFonts w:cs="Arial"/>
        </w:rPr>
        <w:t xml:space="preserve"> Australia deserves close attention given the evidence supporting a </w:t>
      </w:r>
      <w:r w:rsidR="00E72F51">
        <w:rPr>
          <w:rFonts w:cs="Arial"/>
        </w:rPr>
        <w:t xml:space="preserve">levy </w:t>
      </w:r>
      <w:r w:rsidRPr="004A622E">
        <w:rPr>
          <w:rFonts w:cs="Arial"/>
        </w:rPr>
        <w:t xml:space="preserve">as a cost-effective and potentially powerful </w:t>
      </w:r>
      <w:r w:rsidR="007923A9">
        <w:rPr>
          <w:rFonts w:cs="Arial"/>
        </w:rPr>
        <w:t xml:space="preserve">obesity prevention </w:t>
      </w:r>
      <w:r w:rsidRPr="004A622E">
        <w:rPr>
          <w:rFonts w:cs="Arial"/>
        </w:rPr>
        <w:t>intervention</w:t>
      </w:r>
      <w:r w:rsidRPr="00C86C40">
        <w:rPr>
          <w:rFonts w:cs="Arial"/>
        </w:rPr>
        <w:t xml:space="preserve">. </w:t>
      </w:r>
      <w:r w:rsidR="005C3D15" w:rsidRPr="00C47BC7">
        <w:rPr>
          <w:rFonts w:cs="Arial"/>
        </w:rPr>
        <w:t xml:space="preserve">For more information on the policies and positions supported by the OPC, please see our website at </w:t>
      </w:r>
      <w:hyperlink r:id="rId11" w:history="1">
        <w:r w:rsidR="009C26F7" w:rsidRPr="00647631">
          <w:rPr>
            <w:rStyle w:val="Hyperlink"/>
            <w:rFonts w:cs="Arial"/>
          </w:rPr>
          <w:t>www.opc.org.au</w:t>
        </w:r>
      </w:hyperlink>
      <w:r w:rsidR="005C3D15" w:rsidRPr="00333051">
        <w:rPr>
          <w:rFonts w:cs="Arial"/>
        </w:rPr>
        <w:t xml:space="preserve">. </w:t>
      </w:r>
    </w:p>
    <w:p w14:paraId="69D12A95" w14:textId="77777777" w:rsidR="002A4515" w:rsidRPr="00333051" w:rsidRDefault="00410BDB" w:rsidP="00587062">
      <w:pPr>
        <w:spacing w:line="360" w:lineRule="auto"/>
        <w:rPr>
          <w:rFonts w:cs="Arial"/>
          <w:b/>
        </w:rPr>
      </w:pPr>
      <w:r w:rsidRPr="00985DA8">
        <w:rPr>
          <w:rFonts w:cs="Arial"/>
        </w:rPr>
        <w:br w:type="page"/>
      </w:r>
      <w:r w:rsidR="00587062" w:rsidRPr="00587062">
        <w:rPr>
          <w:rFonts w:cs="Arial"/>
          <w:b/>
        </w:rPr>
        <w:lastRenderedPageBreak/>
        <w:t>R</w:t>
      </w:r>
      <w:r w:rsidR="00C44E51" w:rsidRPr="00985DA8">
        <w:rPr>
          <w:rFonts w:cs="Arial"/>
          <w:b/>
        </w:rPr>
        <w:t>eferences</w:t>
      </w:r>
    </w:p>
    <w:sectPr w:rsidR="002A4515" w:rsidRPr="00333051">
      <w:headerReference w:type="default" r:id="rId12"/>
      <w:footerReference w:type="default" r:id="rId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6D2B6" w14:textId="77777777" w:rsidR="00A70D6A" w:rsidRDefault="00A70D6A" w:rsidP="00D80571">
      <w:pPr>
        <w:spacing w:after="0" w:line="240" w:lineRule="auto"/>
      </w:pPr>
      <w:r>
        <w:separator/>
      </w:r>
    </w:p>
  </w:endnote>
  <w:endnote w:type="continuationSeparator" w:id="0">
    <w:p w14:paraId="326579D5" w14:textId="77777777" w:rsidR="00A70D6A" w:rsidRDefault="00A70D6A" w:rsidP="00D80571">
      <w:pPr>
        <w:spacing w:after="0" w:line="240" w:lineRule="auto"/>
      </w:pPr>
      <w:r>
        <w:continuationSeparator/>
      </w:r>
    </w:p>
  </w:endnote>
  <w:endnote w:id="1">
    <w:p w14:paraId="5178EBBA" w14:textId="77777777" w:rsidR="004C72FF" w:rsidRPr="00DF6974" w:rsidRDefault="004C72FF" w:rsidP="004C72FF">
      <w:pPr>
        <w:pStyle w:val="EndnoteText"/>
        <w:rPr>
          <w:rFonts w:cs="Arial"/>
          <w:lang w:val="en-US"/>
        </w:rPr>
      </w:pPr>
      <w:r>
        <w:rPr>
          <w:rStyle w:val="EndnoteReference"/>
        </w:rPr>
        <w:endnoteRef/>
      </w:r>
      <w:r>
        <w:t xml:space="preserve"> </w:t>
      </w:r>
      <w:r w:rsidRPr="00856869">
        <w:t xml:space="preserve">Australian Bureau of </w:t>
      </w:r>
      <w:r w:rsidRPr="00DF6974">
        <w:rPr>
          <w:rFonts w:cs="Arial"/>
        </w:rPr>
        <w:t xml:space="preserve">Statistics, </w:t>
      </w:r>
      <w:r w:rsidR="005A391A">
        <w:rPr>
          <w:lang w:val="en"/>
        </w:rPr>
        <w:t>National Health Survey: First Results, 2017-18</w:t>
      </w:r>
      <w:r w:rsidR="00376AE5" w:rsidRPr="00DF6974">
        <w:rPr>
          <w:rFonts w:cs="Arial"/>
        </w:rPr>
        <w:t>.</w:t>
      </w:r>
    </w:p>
  </w:endnote>
  <w:endnote w:id="2">
    <w:p w14:paraId="26F80FF2" w14:textId="77777777" w:rsidR="004C72FF" w:rsidRPr="00DF6974" w:rsidRDefault="004C72FF" w:rsidP="004C72FF">
      <w:pPr>
        <w:pStyle w:val="EndnoteText"/>
        <w:rPr>
          <w:rFonts w:cs="Arial"/>
          <w:lang w:val="en-US"/>
        </w:rPr>
      </w:pPr>
      <w:r w:rsidRPr="00DF6974">
        <w:rPr>
          <w:rStyle w:val="EndnoteReference"/>
          <w:rFonts w:cs="Arial"/>
        </w:rPr>
        <w:endnoteRef/>
      </w:r>
      <w:r w:rsidRPr="00DF6974">
        <w:rPr>
          <w:rFonts w:cs="Arial"/>
        </w:rPr>
        <w:t xml:space="preserve"> World Health Organization</w:t>
      </w:r>
      <w:r w:rsidR="00856869" w:rsidRPr="00DF6974">
        <w:rPr>
          <w:rFonts w:cs="Arial"/>
        </w:rPr>
        <w:t>,</w:t>
      </w:r>
      <w:r w:rsidRPr="00DF6974">
        <w:rPr>
          <w:rFonts w:cs="Arial"/>
        </w:rPr>
        <w:t xml:space="preserve"> Obesity: preventing and managing the global epidemic, Report of a WHO consultation. Technical Report Series 894. Geneva, 2000; The </w:t>
      </w:r>
      <w:proofErr w:type="spellStart"/>
      <w:r w:rsidRPr="00DF6974">
        <w:rPr>
          <w:rFonts w:cs="Arial"/>
        </w:rPr>
        <w:t>InterAct</w:t>
      </w:r>
      <w:proofErr w:type="spellEnd"/>
      <w:r w:rsidRPr="00DF6974">
        <w:rPr>
          <w:rFonts w:cs="Arial"/>
        </w:rPr>
        <w:t xml:space="preserve"> Consortium. Consumption of sweet beverages and type 2 diabetes incidence in European adults: results from EPIC-</w:t>
      </w:r>
      <w:proofErr w:type="spellStart"/>
      <w:r w:rsidRPr="00DF6974">
        <w:rPr>
          <w:rFonts w:cs="Arial"/>
        </w:rPr>
        <w:t>InterAct</w:t>
      </w:r>
      <w:proofErr w:type="spellEnd"/>
      <w:r w:rsidRPr="00DF6974">
        <w:rPr>
          <w:rFonts w:cs="Arial"/>
        </w:rPr>
        <w:t xml:space="preserve">. </w:t>
      </w:r>
      <w:proofErr w:type="spellStart"/>
      <w:r w:rsidRPr="00522513">
        <w:rPr>
          <w:rFonts w:cs="Arial"/>
          <w:i/>
        </w:rPr>
        <w:t>Diabetologia</w:t>
      </w:r>
      <w:proofErr w:type="spellEnd"/>
      <w:r w:rsidRPr="00DF6974">
        <w:rPr>
          <w:rFonts w:cs="Arial"/>
        </w:rPr>
        <w:t xml:space="preserve"> PMID, 2013</w:t>
      </w:r>
      <w:r w:rsidR="00E80EC7" w:rsidRPr="00DF6974">
        <w:rPr>
          <w:rFonts w:cs="Arial"/>
        </w:rPr>
        <w:t>.</w:t>
      </w:r>
    </w:p>
  </w:endnote>
  <w:endnote w:id="3">
    <w:p w14:paraId="1447000D" w14:textId="760790B8" w:rsidR="00961906" w:rsidRPr="00F11E09" w:rsidRDefault="00961906" w:rsidP="00961906">
      <w:pPr>
        <w:pStyle w:val="EndnoteText"/>
      </w:pPr>
      <w:r w:rsidRPr="008E20A8">
        <w:rPr>
          <w:rStyle w:val="EndnoteReference"/>
          <w:rFonts w:cs="Arial"/>
        </w:rPr>
        <w:endnoteRef/>
      </w:r>
      <w:r w:rsidR="006C257E">
        <w:t xml:space="preserve"> </w:t>
      </w:r>
      <w:r w:rsidR="00A87310" w:rsidRPr="006C257E">
        <w:t xml:space="preserve">Wright A, Smith KE, and </w:t>
      </w:r>
      <w:proofErr w:type="spellStart"/>
      <w:r w:rsidR="00A87310" w:rsidRPr="006C257E">
        <w:t>Hellowell</w:t>
      </w:r>
      <w:proofErr w:type="spellEnd"/>
      <w:r w:rsidR="00A87310" w:rsidRPr="006C257E">
        <w:t xml:space="preserve"> M. Policy lessons from health taxes: a systematic review of empirical studies. </w:t>
      </w:r>
      <w:r w:rsidR="00A87310" w:rsidRPr="006C257E">
        <w:rPr>
          <w:i/>
          <w:iCs/>
        </w:rPr>
        <w:t>BMC Public Health</w:t>
      </w:r>
      <w:r w:rsidR="00A87310" w:rsidRPr="006C257E">
        <w:t>, 2017; 17:583</w:t>
      </w:r>
      <w:r w:rsidR="001B28EE">
        <w:t xml:space="preserve">; </w:t>
      </w:r>
      <w:proofErr w:type="spellStart"/>
      <w:r w:rsidR="00A87310" w:rsidRPr="006C257E">
        <w:t>Thow</w:t>
      </w:r>
      <w:proofErr w:type="spellEnd"/>
      <w:r w:rsidR="00A87310" w:rsidRPr="006C257E">
        <w:t xml:space="preserve"> AM, Downs S, and Jan S. A systematic review of the effectiveness of food taxes and subsidies to improve diets: Understanding the recent evidence. </w:t>
      </w:r>
      <w:r w:rsidR="00A87310" w:rsidRPr="006C257E">
        <w:rPr>
          <w:i/>
          <w:iCs/>
        </w:rPr>
        <w:t>Nutrition Reviews</w:t>
      </w:r>
      <w:r w:rsidR="00A87310" w:rsidRPr="006C257E">
        <w:t>, 2014; 72(9):551-565</w:t>
      </w:r>
      <w:r w:rsidR="006C257E">
        <w:t>;</w:t>
      </w:r>
      <w:r w:rsidRPr="006C257E">
        <w:t xml:space="preserve"> </w:t>
      </w:r>
      <w:r w:rsidRPr="008E20A8">
        <w:rPr>
          <w:rFonts w:cs="Arial"/>
        </w:rPr>
        <w:t xml:space="preserve">Helen </w:t>
      </w:r>
      <w:proofErr w:type="spellStart"/>
      <w:r w:rsidRPr="008E20A8">
        <w:rPr>
          <w:rFonts w:cs="Arial"/>
        </w:rPr>
        <w:t>Eyles</w:t>
      </w:r>
      <w:proofErr w:type="spellEnd"/>
      <w:r w:rsidRPr="008E20A8">
        <w:rPr>
          <w:rFonts w:cs="Arial"/>
        </w:rPr>
        <w:t xml:space="preserve"> et al., ‘Food Pricing Strategies, Population Diets, and Non-Communicable Diseases: A Systematic Review of Simulation Studies’ (2012) 9(12) </w:t>
      </w:r>
      <w:r w:rsidRPr="00522513">
        <w:rPr>
          <w:rFonts w:cs="Arial"/>
          <w:i/>
        </w:rPr>
        <w:t>PLOS Medicine</w:t>
      </w:r>
      <w:r w:rsidRPr="008E20A8">
        <w:rPr>
          <w:rFonts w:cs="Arial"/>
        </w:rPr>
        <w:t xml:space="preserve"> 1</w:t>
      </w:r>
      <w:r w:rsidR="001B28EE">
        <w:rPr>
          <w:rFonts w:cs="Arial"/>
        </w:rPr>
        <w:t>;</w:t>
      </w:r>
      <w:r w:rsidR="006C257E" w:rsidRPr="006C257E">
        <w:rPr>
          <w:rFonts w:cs="Arial"/>
        </w:rPr>
        <w:t xml:space="preserve"> </w:t>
      </w:r>
      <w:r w:rsidR="006C257E" w:rsidRPr="008E20A8">
        <w:rPr>
          <w:rFonts w:cs="Arial"/>
        </w:rPr>
        <w:t xml:space="preserve">Brownell et al. ‘The Public Health and Economic Benefits of Taxing Sugar-Sweetened Beverages’ 361(16) </w:t>
      </w:r>
      <w:r w:rsidR="006C257E" w:rsidRPr="00522513">
        <w:rPr>
          <w:rFonts w:cs="Arial"/>
          <w:i/>
        </w:rPr>
        <w:t>New England Journal of Medicine</w:t>
      </w:r>
      <w:r w:rsidR="006C257E" w:rsidRPr="008E20A8">
        <w:rPr>
          <w:rFonts w:cs="Arial"/>
        </w:rPr>
        <w:t xml:space="preserve"> 1599; </w:t>
      </w:r>
      <w:proofErr w:type="spellStart"/>
      <w:r w:rsidR="006C257E" w:rsidRPr="008E20A8">
        <w:rPr>
          <w:rFonts w:cs="Arial"/>
        </w:rPr>
        <w:t>Andreyeva</w:t>
      </w:r>
      <w:proofErr w:type="spellEnd"/>
      <w:r w:rsidR="006C257E" w:rsidRPr="008E20A8">
        <w:rPr>
          <w:rFonts w:cs="Arial"/>
        </w:rPr>
        <w:t xml:space="preserve"> et al. ‘Estimating the potential impact of sugar-sweetened beverages to reduce consumption and generate revenue’ (2011) 52(6) </w:t>
      </w:r>
      <w:r w:rsidR="006C257E" w:rsidRPr="00522513">
        <w:rPr>
          <w:rFonts w:cs="Arial"/>
          <w:i/>
        </w:rPr>
        <w:t>Preventive Medicine</w:t>
      </w:r>
      <w:r w:rsidR="006C257E" w:rsidRPr="008E20A8">
        <w:rPr>
          <w:rFonts w:cs="Arial"/>
        </w:rPr>
        <w:t xml:space="preserve"> 413; Wang YC et al. ‘A penny-per-ounce tax on sugar</w:t>
      </w:r>
      <w:r w:rsidR="006C257E">
        <w:rPr>
          <w:rFonts w:cs="Arial"/>
        </w:rPr>
        <w:t xml:space="preserve"> </w:t>
      </w:r>
      <w:r w:rsidR="006C257E" w:rsidRPr="008E20A8">
        <w:rPr>
          <w:rFonts w:cs="Arial"/>
        </w:rPr>
        <w:t xml:space="preserve">sweetened beverages would cut health and cost burdens of diabetes’ (2012) 31 </w:t>
      </w:r>
      <w:r w:rsidR="006C257E" w:rsidRPr="00522513">
        <w:rPr>
          <w:rFonts w:cs="Arial"/>
          <w:i/>
        </w:rPr>
        <w:t>Health Affair</w:t>
      </w:r>
      <w:r w:rsidR="006C257E" w:rsidRPr="008E20A8">
        <w:rPr>
          <w:rFonts w:cs="Arial"/>
        </w:rPr>
        <w:t xml:space="preserve"> 199–207</w:t>
      </w:r>
      <w:r w:rsidR="001B28EE">
        <w:rPr>
          <w:rFonts w:cs="Arial"/>
        </w:rPr>
        <w:t>.</w:t>
      </w:r>
    </w:p>
  </w:endnote>
  <w:endnote w:id="4">
    <w:p w14:paraId="759E239B" w14:textId="77777777" w:rsidR="0051487B" w:rsidRPr="008E20A8" w:rsidRDefault="0051487B">
      <w:pPr>
        <w:pStyle w:val="EndnoteText"/>
        <w:rPr>
          <w:rFonts w:cs="Arial"/>
          <w:lang w:val="en-US"/>
        </w:rPr>
      </w:pPr>
      <w:r w:rsidRPr="008E20A8">
        <w:rPr>
          <w:rStyle w:val="EndnoteReference"/>
          <w:rFonts w:cs="Arial"/>
        </w:rPr>
        <w:endnoteRef/>
      </w:r>
      <w:r w:rsidRPr="008E20A8">
        <w:rPr>
          <w:rFonts w:cs="Arial"/>
        </w:rPr>
        <w:t xml:space="preserve"> </w:t>
      </w:r>
      <w:proofErr w:type="spellStart"/>
      <w:r w:rsidR="006A3E76" w:rsidRPr="00856869">
        <w:t>Veerman</w:t>
      </w:r>
      <w:proofErr w:type="spellEnd"/>
      <w:r w:rsidR="006A3E76" w:rsidRPr="00856869">
        <w:t xml:space="preserve"> JL, Sacks G, Antonopoulos N, Martin J, “The impact of a tax on sugar-sweetened beverages on health and health care costs; a modelling study”, (2016) </w:t>
      </w:r>
      <w:proofErr w:type="spellStart"/>
      <w:r w:rsidR="006A3E76" w:rsidRPr="00522513">
        <w:rPr>
          <w:i/>
        </w:rPr>
        <w:t>PloS</w:t>
      </w:r>
      <w:proofErr w:type="spellEnd"/>
      <w:r w:rsidR="006A3E76" w:rsidRPr="00522513">
        <w:rPr>
          <w:i/>
        </w:rPr>
        <w:t xml:space="preserve"> One</w:t>
      </w:r>
      <w:r w:rsidR="006A3E76" w:rsidRPr="00856869">
        <w:t>, 11(4)</w:t>
      </w:r>
      <w:r w:rsidR="00E80EC7" w:rsidRPr="008E20A8">
        <w:rPr>
          <w:rFonts w:cs="Arial"/>
        </w:rPr>
        <w:t>.</w:t>
      </w:r>
    </w:p>
  </w:endnote>
  <w:endnote w:id="5">
    <w:p w14:paraId="0D6D5CB3" w14:textId="1B47C7B3" w:rsidR="00C911A6" w:rsidRPr="00DF6974" w:rsidRDefault="00C911A6" w:rsidP="001B28EE">
      <w:pPr>
        <w:pStyle w:val="FootnoteText"/>
        <w:rPr>
          <w:lang w:val="en-US"/>
        </w:rPr>
      </w:pPr>
      <w:r w:rsidRPr="00DF6974">
        <w:rPr>
          <w:rStyle w:val="EndnoteReference"/>
          <w:rFonts w:cs="Arial"/>
        </w:rPr>
        <w:endnoteRef/>
      </w:r>
      <w:r w:rsidRPr="00DF6974">
        <w:rPr>
          <w:rFonts w:cs="Arial"/>
        </w:rPr>
        <w:t xml:space="preserve"> </w:t>
      </w:r>
      <w:proofErr w:type="spellStart"/>
      <w:r w:rsidRPr="00DF6974">
        <w:rPr>
          <w:rFonts w:cs="Arial"/>
          <w:lang w:val="en-US"/>
        </w:rPr>
        <w:t>Colchero</w:t>
      </w:r>
      <w:proofErr w:type="spellEnd"/>
      <w:r w:rsidRPr="00DF6974">
        <w:rPr>
          <w:rFonts w:cs="Arial"/>
          <w:lang w:val="en-US"/>
        </w:rPr>
        <w:t xml:space="preserve"> A, Popkin B, Rivera JA, Ng SW, </w:t>
      </w:r>
      <w:bookmarkStart w:id="0" w:name="_GoBack"/>
      <w:bookmarkEnd w:id="0"/>
      <w:r w:rsidRPr="00DF6974">
        <w:rPr>
          <w:rFonts w:cs="Arial"/>
          <w:lang w:val="en-US"/>
        </w:rPr>
        <w:t xml:space="preserve">“In Mexico, evidence of sustained consumer response two years after implementing a sugar-sweetened beverage tax”, </w:t>
      </w:r>
      <w:r w:rsidRPr="00DF6974">
        <w:rPr>
          <w:rFonts w:cs="Arial"/>
          <w:i/>
          <w:lang w:val="en-US"/>
        </w:rPr>
        <w:t xml:space="preserve">Health Affairs, </w:t>
      </w:r>
      <w:r w:rsidRPr="00DF6974">
        <w:rPr>
          <w:rFonts w:cs="Arial"/>
          <w:lang w:val="en-US"/>
        </w:rPr>
        <w:t>2017.</w:t>
      </w:r>
      <w:r w:rsidRPr="00DF6974">
        <w:rPr>
          <w:rFonts w:cs="Arial"/>
          <w:i/>
          <w:lang w:val="en-US"/>
        </w:rPr>
        <w:t xml:space="preserve"> </w:t>
      </w:r>
      <w:r w:rsidR="008772FA">
        <w:fldChar w:fldCharType="begin"/>
      </w:r>
      <w:r w:rsidR="008772FA">
        <w:instrText xml:space="preserve"> HYPERLINK "http://m.content.healthaffairs.org/content/early/2017/02/16/hlthaff.2016.1231" </w:instrText>
      </w:r>
      <w:r w:rsidR="008772FA">
        <w:fldChar w:fldCharType="separate"/>
      </w:r>
      <w:r w:rsidR="006E4209" w:rsidRPr="004D410D">
        <w:rPr>
          <w:rStyle w:val="Hyperlink"/>
          <w:rFonts w:cs="Arial"/>
          <w:iCs/>
          <w:lang w:val="en-US"/>
        </w:rPr>
        <w:t>http://m.content.healthaffairs.org/content/early/2017/02/16/hlthaff.2016.1231</w:t>
      </w:r>
      <w:r w:rsidR="008772FA">
        <w:rPr>
          <w:rStyle w:val="Hyperlink"/>
          <w:rFonts w:cs="Arial"/>
          <w:iCs/>
          <w:lang w:val="en-US"/>
        </w:rPr>
        <w:fldChar w:fldCharType="end"/>
      </w:r>
      <w:r w:rsidR="006E4209" w:rsidRPr="004D410D">
        <w:rPr>
          <w:rFonts w:cs="Arial"/>
          <w:iCs/>
          <w:lang w:val="en-US"/>
        </w:rPr>
        <w:t>;</w:t>
      </w:r>
      <w:r w:rsidR="006E4209">
        <w:rPr>
          <w:rFonts w:cs="Arial"/>
          <w:i/>
          <w:iCs/>
          <w:lang w:val="en-US"/>
        </w:rPr>
        <w:t xml:space="preserve"> </w:t>
      </w:r>
      <w:r w:rsidR="006E4209" w:rsidRPr="006E4209">
        <w:rPr>
          <w:rFonts w:cs="Arial"/>
        </w:rPr>
        <w:t xml:space="preserve"> </w:t>
      </w:r>
      <w:proofErr w:type="spellStart"/>
      <w:r w:rsidR="006E4209" w:rsidRPr="00DF6974">
        <w:rPr>
          <w:rFonts w:cs="Arial"/>
        </w:rPr>
        <w:t>Colchero</w:t>
      </w:r>
      <w:proofErr w:type="spellEnd"/>
      <w:r w:rsidR="006E4209" w:rsidRPr="00DF6974">
        <w:rPr>
          <w:rFonts w:cs="Arial"/>
        </w:rPr>
        <w:t>, M., Popkin, B., Rivera, J., and Ng, S. (2016) ‘Beverage purchases from stores in Mexico under the excise t</w:t>
      </w:r>
      <w:r w:rsidR="006E4209" w:rsidRPr="00E96C40">
        <w:rPr>
          <w:rFonts w:cs="Arial"/>
        </w:rPr>
        <w:t xml:space="preserve">ax on sugar sweetened beverages: observational study’, </w:t>
      </w:r>
      <w:r w:rsidR="006E4209" w:rsidRPr="00C86C40">
        <w:rPr>
          <w:rFonts w:cs="Arial"/>
          <w:i/>
        </w:rPr>
        <w:t>BMJ</w:t>
      </w:r>
      <w:r w:rsidR="006E4209" w:rsidRPr="000C5269">
        <w:rPr>
          <w:rFonts w:cs="Arial"/>
        </w:rPr>
        <w:t xml:space="preserve">, </w:t>
      </w:r>
      <w:proofErr w:type="gramStart"/>
      <w:r w:rsidR="006E4209" w:rsidRPr="000C5269">
        <w:rPr>
          <w:rFonts w:cs="Arial"/>
        </w:rPr>
        <w:t>352:e</w:t>
      </w:r>
      <w:proofErr w:type="gramEnd"/>
      <w:r w:rsidR="006E4209" w:rsidRPr="000C5269">
        <w:rPr>
          <w:rFonts w:cs="Arial"/>
        </w:rPr>
        <w:t xml:space="preserve">6704. </w:t>
      </w:r>
      <w:hyperlink r:id="rId1" w:history="1">
        <w:proofErr w:type="spellStart"/>
        <w:r w:rsidR="006E4209" w:rsidRPr="000C5269">
          <w:rPr>
            <w:rStyle w:val="Hyperlink"/>
            <w:rFonts w:cs="Arial"/>
          </w:rPr>
          <w:t>doi</w:t>
        </w:r>
        <w:proofErr w:type="spellEnd"/>
        <w:r w:rsidR="006E4209" w:rsidRPr="000C5269">
          <w:rPr>
            <w:rStyle w:val="Hyperlink"/>
            <w:rFonts w:cs="Arial"/>
          </w:rPr>
          <w:t>: 10.1136/bmj.h6704</w:t>
        </w:r>
      </w:hyperlink>
      <w:r w:rsidR="006E4209" w:rsidRPr="00B50252">
        <w:rPr>
          <w:rFonts w:cs="Arial"/>
        </w:rPr>
        <w:t>.</w:t>
      </w:r>
    </w:p>
  </w:endnote>
  <w:endnote w:id="6">
    <w:p w14:paraId="43AD1F14" w14:textId="3453ABF2" w:rsidR="00CA14F1" w:rsidRPr="00DF6974" w:rsidRDefault="00CA14F1" w:rsidP="00CA14F1">
      <w:pPr>
        <w:pStyle w:val="EndnoteText"/>
        <w:rPr>
          <w:rFonts w:cs="Arial"/>
        </w:rPr>
      </w:pPr>
      <w:r w:rsidRPr="00DF6974">
        <w:rPr>
          <w:rStyle w:val="EndnoteReference"/>
          <w:rFonts w:cs="Arial"/>
        </w:rPr>
        <w:endnoteRef/>
      </w:r>
      <w:r w:rsidRPr="00DF6974">
        <w:rPr>
          <w:rFonts w:cs="Arial"/>
        </w:rPr>
        <w:t xml:space="preserve"> </w:t>
      </w:r>
      <w:r w:rsidR="000E5549" w:rsidRPr="00F11E09">
        <w:t>UK Government. Soft Drinks Industry Levy comes into effect. London, England 2018. Available from:</w:t>
      </w:r>
      <w:r w:rsidR="000E5549">
        <w:rPr>
          <w:rStyle w:val="body"/>
          <w:rFonts w:cs="Arial"/>
          <w:color w:val="404350"/>
          <w:sz w:val="23"/>
          <w:szCs w:val="23"/>
          <w:lang w:val="en-US"/>
        </w:rPr>
        <w:t xml:space="preserve"> </w:t>
      </w:r>
      <w:r w:rsidR="000E5549" w:rsidRPr="00F11E09">
        <w:rPr>
          <w:rStyle w:val="Hyperlink"/>
        </w:rPr>
        <w:t>https://www.gov.uk/government/news/soft-drinks-industry-levy-comes-into-effect</w:t>
      </w:r>
    </w:p>
  </w:endnote>
  <w:endnote w:id="7">
    <w:p w14:paraId="1FF6C3D5" w14:textId="31F0B2F7" w:rsidR="00522513" w:rsidRPr="00856869" w:rsidRDefault="006E4DAE" w:rsidP="00522513">
      <w:pPr>
        <w:pStyle w:val="EndnoteText"/>
      </w:pPr>
      <w:r>
        <w:rPr>
          <w:rStyle w:val="EndnoteReference"/>
        </w:rPr>
        <w:endnoteRef/>
      </w:r>
      <w:r>
        <w:t xml:space="preserve"> </w:t>
      </w:r>
      <w:proofErr w:type="spellStart"/>
      <w:r w:rsidRPr="00E80EC7">
        <w:t>Veerman</w:t>
      </w:r>
      <w:proofErr w:type="spellEnd"/>
      <w:r w:rsidRPr="00E80EC7">
        <w:t xml:space="preserve"> JL, Sacks G, An</w:t>
      </w:r>
      <w:r>
        <w:t xml:space="preserve">tonopoulos N, Martin J, above n </w:t>
      </w:r>
      <w:r w:rsidR="004E3244">
        <w:t>4</w:t>
      </w:r>
      <w:r>
        <w:t xml:space="preserve">. </w:t>
      </w:r>
      <w:r w:rsidR="00522513" w:rsidRPr="00856869">
        <w:t xml:space="preserve">Duckett, S., </w:t>
      </w:r>
      <w:proofErr w:type="spellStart"/>
      <w:r w:rsidR="00522513" w:rsidRPr="00856869">
        <w:t>Swerissen</w:t>
      </w:r>
      <w:proofErr w:type="spellEnd"/>
      <w:r w:rsidR="00522513" w:rsidRPr="00856869">
        <w:t>, H. and Wiltshire, T. 2016, A sugary drinks tax: recovering the</w:t>
      </w:r>
      <w:r w:rsidR="00522513">
        <w:t xml:space="preserve"> </w:t>
      </w:r>
      <w:r w:rsidR="00522513" w:rsidRPr="00856869">
        <w:t>community costs of obesity, Grattan Institute</w:t>
      </w:r>
      <w:r w:rsidR="00522513">
        <w:t>.</w:t>
      </w:r>
    </w:p>
    <w:p w14:paraId="58C37ACC" w14:textId="77777777" w:rsidR="006E4DAE" w:rsidRDefault="004103A2">
      <w:pPr>
        <w:pStyle w:val="EndnoteText"/>
      </w:pPr>
      <w:r>
        <w:t xml:space="preserve">Lal A Mantilla-Herrera AM, </w:t>
      </w:r>
      <w:proofErr w:type="spellStart"/>
      <w:r>
        <w:t>Veerman</w:t>
      </w:r>
      <w:proofErr w:type="spellEnd"/>
      <w:r>
        <w:t xml:space="preserve"> L. Backholer K, Sacks G, Moodie M, </w:t>
      </w:r>
      <w:proofErr w:type="spellStart"/>
      <w:r>
        <w:t>Siahpush</w:t>
      </w:r>
      <w:proofErr w:type="spellEnd"/>
      <w:r>
        <w:t xml:space="preserve"> M, Carter R, Peeters A. (2017) Modelled health benefits of a sugar sweetened beverage tax across different socioeconomic groups in Australia: a cost-effectiveness and equity analysis</w:t>
      </w:r>
      <w:r w:rsidRPr="004103A2">
        <w:rPr>
          <w:i/>
        </w:rPr>
        <w:t>. PLOS Med</w:t>
      </w:r>
      <w:r>
        <w:t xml:space="preserve"> 14(6).</w:t>
      </w:r>
    </w:p>
  </w:endnote>
  <w:endnote w:id="8">
    <w:p w14:paraId="073F4E44" w14:textId="7E291B8E" w:rsidR="001E770C" w:rsidRPr="001B79FC" w:rsidRDefault="001E770C" w:rsidP="001E770C">
      <w:pPr>
        <w:pStyle w:val="EndnoteText"/>
        <w:rPr>
          <w:lang w:val="en-US"/>
        </w:rPr>
      </w:pPr>
      <w:r w:rsidRPr="001B79FC">
        <w:rPr>
          <w:rStyle w:val="EndnoteReference"/>
        </w:rPr>
        <w:endnoteRef/>
      </w:r>
      <w:r w:rsidRPr="001B79FC">
        <w:t xml:space="preserve"> </w:t>
      </w:r>
      <w:r w:rsidR="00EF2ED0" w:rsidRPr="00C86C40">
        <w:rPr>
          <w:rFonts w:cs="Arial"/>
        </w:rPr>
        <w:t>N</w:t>
      </w:r>
      <w:r w:rsidR="00EF2ED0" w:rsidRPr="000C5269">
        <w:rPr>
          <w:rFonts w:cs="Arial"/>
        </w:rPr>
        <w:t>ational Health and Medical Research Council, Australian Dietary Guidelines (Incorporating the Australian Guide to Healthy Eating) 2013</w:t>
      </w:r>
      <w:r w:rsidRPr="001B79FC">
        <w:t xml:space="preserve">; </w:t>
      </w:r>
      <w:proofErr w:type="spellStart"/>
      <w:r w:rsidRPr="001B79FC">
        <w:t>Vartanian</w:t>
      </w:r>
      <w:proofErr w:type="spellEnd"/>
      <w:r w:rsidRPr="001B79FC">
        <w:t xml:space="preserve"> et al., ‘Effects of soft drink consumption on nutrition and health: A systematic review and meta-analysis’ (2007) 97(4) </w:t>
      </w:r>
      <w:r w:rsidRPr="00522513">
        <w:rPr>
          <w:i/>
        </w:rPr>
        <w:t>American Journal of Public Health</w:t>
      </w:r>
      <w:r w:rsidRPr="001B79FC">
        <w:t xml:space="preserve"> 667; </w:t>
      </w:r>
      <w:proofErr w:type="spellStart"/>
      <w:r w:rsidRPr="001B79FC">
        <w:t>Tahmassebi</w:t>
      </w:r>
      <w:proofErr w:type="spellEnd"/>
      <w:r w:rsidRPr="001B79FC">
        <w:t xml:space="preserve"> JF, Duggal MS, Malik-</w:t>
      </w:r>
      <w:proofErr w:type="spellStart"/>
      <w:r w:rsidRPr="001B79FC">
        <w:t>Kotru</w:t>
      </w:r>
      <w:proofErr w:type="spellEnd"/>
      <w:r w:rsidRPr="001B79FC">
        <w:t xml:space="preserve"> G, Curzon ME. Soft drinks and dental health: a review of the current literature. </w:t>
      </w:r>
      <w:r w:rsidRPr="00587062">
        <w:rPr>
          <w:i/>
        </w:rPr>
        <w:t>J Dent</w:t>
      </w:r>
      <w:r w:rsidRPr="001B79FC">
        <w:t xml:space="preserve"> 2006; 34(1): 2-11; Armfield JM, Spencer AJ, Roberts-Thomson KF, </w:t>
      </w:r>
      <w:proofErr w:type="spellStart"/>
      <w:r w:rsidRPr="001B79FC">
        <w:t>Plastow</w:t>
      </w:r>
      <w:proofErr w:type="spellEnd"/>
      <w:r w:rsidRPr="001B79FC">
        <w:t xml:space="preserve"> K. Water fluoridation and the association of sugar-sweetened beverage consumption and dental caries in Australian children. </w:t>
      </w:r>
      <w:r w:rsidRPr="00522513">
        <w:rPr>
          <w:i/>
        </w:rPr>
        <w:t>Am J Public Health</w:t>
      </w:r>
      <w:r w:rsidRPr="001B79FC">
        <w:t xml:space="preserve"> 2013; 103(3): 494-500; Moynihan PJ, Kelly SA. Effect on caries of restricting sugars intake: systematic review to inform WHO guidelines. </w:t>
      </w:r>
      <w:r w:rsidRPr="00522513">
        <w:rPr>
          <w:i/>
        </w:rPr>
        <w:t>J Dent Res</w:t>
      </w:r>
      <w:r w:rsidRPr="001B79FC">
        <w:t xml:space="preserve"> 2014; 93(1): 8-18.</w:t>
      </w:r>
    </w:p>
  </w:endnote>
  <w:endnote w:id="9">
    <w:p w14:paraId="22AA29FF" w14:textId="77777777" w:rsidR="005B65BD" w:rsidRPr="004174F1" w:rsidRDefault="005B65BD">
      <w:pPr>
        <w:pStyle w:val="EndnoteText"/>
        <w:rPr>
          <w:lang w:val="en-US"/>
        </w:rPr>
      </w:pPr>
      <w:r w:rsidRPr="00856869">
        <w:rPr>
          <w:rStyle w:val="EndnoteReference"/>
        </w:rPr>
        <w:endnoteRef/>
      </w:r>
      <w:r w:rsidRPr="00856869">
        <w:t xml:space="preserve"> </w:t>
      </w:r>
      <w:proofErr w:type="spellStart"/>
      <w:r w:rsidRPr="00856869">
        <w:t>Thow</w:t>
      </w:r>
      <w:proofErr w:type="spellEnd"/>
      <w:r w:rsidRPr="00856869">
        <w:t xml:space="preserve"> A and </w:t>
      </w:r>
      <w:proofErr w:type="spellStart"/>
      <w:r w:rsidRPr="00856869">
        <w:t>Kaplin</w:t>
      </w:r>
      <w:proofErr w:type="spellEnd"/>
      <w:r w:rsidRPr="00856869">
        <w:t xml:space="preserve"> L (2013) ‘Using economic policy</w:t>
      </w:r>
      <w:r w:rsidRPr="00376AE5">
        <w:t xml:space="preserve"> to tackle chronic disease: Options for the Australian Government’ 20 Journal of Law and Medicine 604 at 608-609</w:t>
      </w:r>
      <w:r w:rsidR="004174F1">
        <w:t>.</w:t>
      </w:r>
    </w:p>
  </w:endnote>
  <w:endnote w:id="10">
    <w:p w14:paraId="7519E450" w14:textId="77777777" w:rsidR="001C5998" w:rsidRPr="004174F1" w:rsidRDefault="001C5998">
      <w:pPr>
        <w:pStyle w:val="EndnoteText"/>
        <w:rPr>
          <w:lang w:val="en-US"/>
        </w:rPr>
      </w:pPr>
      <w:r w:rsidRPr="004174F1">
        <w:rPr>
          <w:rStyle w:val="EndnoteReference"/>
        </w:rPr>
        <w:endnoteRef/>
      </w:r>
      <w:r w:rsidRPr="004174F1">
        <w:t xml:space="preserve"> </w:t>
      </w:r>
      <w:r w:rsidR="004174F1">
        <w:t>Ibid.</w:t>
      </w:r>
    </w:p>
  </w:endnote>
  <w:endnote w:id="11">
    <w:p w14:paraId="7D58D89B" w14:textId="77777777" w:rsidR="00740C7F" w:rsidRDefault="00740C7F" w:rsidP="00740C7F">
      <w:pPr>
        <w:pStyle w:val="EndnoteText"/>
      </w:pPr>
      <w:r>
        <w:rPr>
          <w:rStyle w:val="EndnoteReference"/>
        </w:rPr>
        <w:endnoteRef/>
      </w:r>
      <w:r>
        <w:t xml:space="preserve"> </w:t>
      </w:r>
      <w:proofErr w:type="spellStart"/>
      <w:r>
        <w:t>Ananthapavan</w:t>
      </w:r>
      <w:proofErr w:type="spellEnd"/>
      <w:r>
        <w:t xml:space="preserve"> J, Sacks G, Brown V, Moodie M, Nguyen P, </w:t>
      </w:r>
      <w:proofErr w:type="spellStart"/>
      <w:r>
        <w:t>Barendregt</w:t>
      </w:r>
      <w:proofErr w:type="spellEnd"/>
      <w:r>
        <w:t xml:space="preserve"> J, </w:t>
      </w:r>
      <w:proofErr w:type="spellStart"/>
      <w:r>
        <w:t>Veerman</w:t>
      </w:r>
      <w:proofErr w:type="spellEnd"/>
      <w:r>
        <w:t xml:space="preserve"> L, Mantilla Herrera A, Lal A, Peeters A, Carter R. Assessing cost-effectiveness of obesity prevention policies in Australia 2018 (ACE-Obesity Policy). Melbourne: Deakin University,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177893"/>
      <w:docPartObj>
        <w:docPartGallery w:val="Page Numbers (Bottom of Page)"/>
        <w:docPartUnique/>
      </w:docPartObj>
    </w:sdtPr>
    <w:sdtEndPr>
      <w:rPr>
        <w:noProof/>
      </w:rPr>
    </w:sdtEndPr>
    <w:sdtContent>
      <w:p w14:paraId="5E264561" w14:textId="7917A550" w:rsidR="00407CE1" w:rsidRDefault="00407CE1">
        <w:pPr>
          <w:pStyle w:val="Footer"/>
          <w:jc w:val="right"/>
        </w:pPr>
        <w:r>
          <w:fldChar w:fldCharType="begin"/>
        </w:r>
        <w:r>
          <w:instrText xml:space="preserve"> PAGE   \* MERGEFORMAT </w:instrText>
        </w:r>
        <w:r>
          <w:fldChar w:fldCharType="separate"/>
        </w:r>
        <w:r w:rsidR="00BA2E59">
          <w:rPr>
            <w:noProof/>
          </w:rPr>
          <w:t>8</w:t>
        </w:r>
        <w:r>
          <w:rPr>
            <w:noProof/>
          </w:rPr>
          <w:fldChar w:fldCharType="end"/>
        </w:r>
      </w:p>
    </w:sdtContent>
  </w:sdt>
  <w:p w14:paraId="7D409232" w14:textId="77777777" w:rsidR="00407CE1" w:rsidRDefault="0040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74E81" w14:textId="77777777" w:rsidR="00A70D6A" w:rsidRDefault="00A70D6A" w:rsidP="00D80571">
      <w:pPr>
        <w:spacing w:after="0" w:line="240" w:lineRule="auto"/>
      </w:pPr>
      <w:r>
        <w:separator/>
      </w:r>
    </w:p>
  </w:footnote>
  <w:footnote w:type="continuationSeparator" w:id="0">
    <w:p w14:paraId="1648FF53" w14:textId="77777777" w:rsidR="00A70D6A" w:rsidRDefault="00A70D6A" w:rsidP="00D80571">
      <w:pPr>
        <w:spacing w:after="0" w:line="240" w:lineRule="auto"/>
      </w:pPr>
      <w:r>
        <w:continuationSeparator/>
      </w:r>
    </w:p>
  </w:footnote>
  <w:footnote w:id="1">
    <w:p w14:paraId="6D711180" w14:textId="13CB9EF3" w:rsidR="006D4CEE" w:rsidRPr="00D80571" w:rsidRDefault="006D4CEE" w:rsidP="006D4CEE">
      <w:pPr>
        <w:pStyle w:val="FootnoteText"/>
        <w:rPr>
          <w:lang w:val="en-US"/>
        </w:rPr>
      </w:pPr>
      <w:r>
        <w:rPr>
          <w:rStyle w:val="FootnoteReference"/>
        </w:rPr>
        <w:footnoteRef/>
      </w:r>
      <w:r>
        <w:t xml:space="preserve"> </w:t>
      </w:r>
      <w:r w:rsidR="006D0598">
        <w:rPr>
          <w:lang w:val="en-US"/>
        </w:rPr>
        <w:t>Sugary drinks</w:t>
      </w:r>
      <w:r>
        <w:rPr>
          <w:lang w:val="en-US"/>
        </w:rPr>
        <w:t xml:space="preserve"> include all non-alcoholic </w:t>
      </w:r>
      <w:r w:rsidR="006E4209">
        <w:rPr>
          <w:lang w:val="en-US"/>
        </w:rPr>
        <w:t>water-based</w:t>
      </w:r>
      <w:r>
        <w:rPr>
          <w:lang w:val="en-US"/>
        </w:rPr>
        <w:t xml:space="preserve"> </w:t>
      </w:r>
      <w:r w:rsidR="006D0598">
        <w:rPr>
          <w:lang w:val="en-US"/>
        </w:rPr>
        <w:t xml:space="preserve">drinks </w:t>
      </w:r>
      <w:r>
        <w:rPr>
          <w:lang w:val="en-US"/>
        </w:rPr>
        <w:t xml:space="preserve">with added sugar, such as sugar-sweetened soft drinks, energy drinks, sports drinks and cordials, excluding 100% fruit juices.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D941" w14:textId="77777777" w:rsidR="00407CE1" w:rsidRDefault="00407CE1">
    <w:pPr>
      <w:pStyle w:val="Header"/>
      <w:jc w:val="right"/>
    </w:pPr>
  </w:p>
  <w:p w14:paraId="41085DC4" w14:textId="77777777" w:rsidR="00407CE1" w:rsidRDefault="00407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F2D97"/>
    <w:multiLevelType w:val="hybridMultilevel"/>
    <w:tmpl w:val="7A524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E3F2C"/>
    <w:multiLevelType w:val="multilevel"/>
    <w:tmpl w:val="FFE48B6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C33E9D"/>
    <w:multiLevelType w:val="multilevel"/>
    <w:tmpl w:val="A422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16D45"/>
    <w:multiLevelType w:val="hybridMultilevel"/>
    <w:tmpl w:val="9656C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D70A42"/>
    <w:multiLevelType w:val="hybridMultilevel"/>
    <w:tmpl w:val="6E66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0C0CD4"/>
    <w:multiLevelType w:val="hybridMultilevel"/>
    <w:tmpl w:val="EA16E8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5570B9"/>
    <w:multiLevelType w:val="hybridMultilevel"/>
    <w:tmpl w:val="5B367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4D722D"/>
    <w:multiLevelType w:val="hybridMultilevel"/>
    <w:tmpl w:val="0EC04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39023A"/>
    <w:multiLevelType w:val="hybridMultilevel"/>
    <w:tmpl w:val="3C946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0"/>
  </w:num>
  <w:num w:numId="5">
    <w:abstractNumId w:val="4"/>
  </w:num>
  <w:num w:numId="6">
    <w:abstractNumId w:val="3"/>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B4"/>
    <w:rsid w:val="00000FA3"/>
    <w:rsid w:val="000044B9"/>
    <w:rsid w:val="00004B15"/>
    <w:rsid w:val="00007E83"/>
    <w:rsid w:val="00016898"/>
    <w:rsid w:val="000170B7"/>
    <w:rsid w:val="000253BA"/>
    <w:rsid w:val="00025452"/>
    <w:rsid w:val="00031C41"/>
    <w:rsid w:val="00031C5A"/>
    <w:rsid w:val="000325E7"/>
    <w:rsid w:val="00032EB6"/>
    <w:rsid w:val="0003579F"/>
    <w:rsid w:val="00045269"/>
    <w:rsid w:val="00045819"/>
    <w:rsid w:val="00050E0F"/>
    <w:rsid w:val="00052915"/>
    <w:rsid w:val="00056336"/>
    <w:rsid w:val="00057A4D"/>
    <w:rsid w:val="00062788"/>
    <w:rsid w:val="000627B5"/>
    <w:rsid w:val="00063D77"/>
    <w:rsid w:val="00064053"/>
    <w:rsid w:val="000725CC"/>
    <w:rsid w:val="00072F15"/>
    <w:rsid w:val="00083311"/>
    <w:rsid w:val="00091A36"/>
    <w:rsid w:val="00092DDE"/>
    <w:rsid w:val="000B1B6D"/>
    <w:rsid w:val="000B45D1"/>
    <w:rsid w:val="000C1E2B"/>
    <w:rsid w:val="000C49B0"/>
    <w:rsid w:val="000C5269"/>
    <w:rsid w:val="000C5729"/>
    <w:rsid w:val="000C75C6"/>
    <w:rsid w:val="000D14A1"/>
    <w:rsid w:val="000D4B7B"/>
    <w:rsid w:val="000D651A"/>
    <w:rsid w:val="000D65FF"/>
    <w:rsid w:val="000E38AC"/>
    <w:rsid w:val="000E5549"/>
    <w:rsid w:val="000E68FD"/>
    <w:rsid w:val="000F2DD6"/>
    <w:rsid w:val="00103280"/>
    <w:rsid w:val="0010332B"/>
    <w:rsid w:val="00103E63"/>
    <w:rsid w:val="00103EB9"/>
    <w:rsid w:val="001042B2"/>
    <w:rsid w:val="00111307"/>
    <w:rsid w:val="001134E2"/>
    <w:rsid w:val="0011561A"/>
    <w:rsid w:val="0011620E"/>
    <w:rsid w:val="001242D6"/>
    <w:rsid w:val="00124A8D"/>
    <w:rsid w:val="001270AD"/>
    <w:rsid w:val="00127BBC"/>
    <w:rsid w:val="0013338B"/>
    <w:rsid w:val="0013524E"/>
    <w:rsid w:val="00141E4F"/>
    <w:rsid w:val="00150540"/>
    <w:rsid w:val="00154EC5"/>
    <w:rsid w:val="001559DE"/>
    <w:rsid w:val="00156D46"/>
    <w:rsid w:val="0016734E"/>
    <w:rsid w:val="001727D2"/>
    <w:rsid w:val="00174330"/>
    <w:rsid w:val="001759D8"/>
    <w:rsid w:val="00176A9C"/>
    <w:rsid w:val="00177475"/>
    <w:rsid w:val="001808F5"/>
    <w:rsid w:val="00180A86"/>
    <w:rsid w:val="00183578"/>
    <w:rsid w:val="0018361D"/>
    <w:rsid w:val="00195E18"/>
    <w:rsid w:val="00197288"/>
    <w:rsid w:val="001A0A11"/>
    <w:rsid w:val="001A0A39"/>
    <w:rsid w:val="001A1FAD"/>
    <w:rsid w:val="001A358A"/>
    <w:rsid w:val="001B0635"/>
    <w:rsid w:val="001B28EE"/>
    <w:rsid w:val="001B4C50"/>
    <w:rsid w:val="001B79FC"/>
    <w:rsid w:val="001C49C1"/>
    <w:rsid w:val="001C4DA2"/>
    <w:rsid w:val="001C5998"/>
    <w:rsid w:val="001C7E10"/>
    <w:rsid w:val="001D285F"/>
    <w:rsid w:val="001D3944"/>
    <w:rsid w:val="001E28E6"/>
    <w:rsid w:val="001E770C"/>
    <w:rsid w:val="001F2F1D"/>
    <w:rsid w:val="00203408"/>
    <w:rsid w:val="00210D5A"/>
    <w:rsid w:val="0021355C"/>
    <w:rsid w:val="00214C61"/>
    <w:rsid w:val="002168F8"/>
    <w:rsid w:val="00226A88"/>
    <w:rsid w:val="002311BB"/>
    <w:rsid w:val="00231474"/>
    <w:rsid w:val="0023675C"/>
    <w:rsid w:val="00237B28"/>
    <w:rsid w:val="00242E67"/>
    <w:rsid w:val="00245859"/>
    <w:rsid w:val="00251F7C"/>
    <w:rsid w:val="0025307C"/>
    <w:rsid w:val="00254091"/>
    <w:rsid w:val="00261431"/>
    <w:rsid w:val="002641B0"/>
    <w:rsid w:val="00264613"/>
    <w:rsid w:val="00270C61"/>
    <w:rsid w:val="00272B09"/>
    <w:rsid w:val="0027399E"/>
    <w:rsid w:val="00283221"/>
    <w:rsid w:val="002910BA"/>
    <w:rsid w:val="002913CD"/>
    <w:rsid w:val="0029266F"/>
    <w:rsid w:val="00294AFE"/>
    <w:rsid w:val="002A4515"/>
    <w:rsid w:val="002A542A"/>
    <w:rsid w:val="002B17B6"/>
    <w:rsid w:val="002B2AC1"/>
    <w:rsid w:val="002B4E30"/>
    <w:rsid w:val="002B65DB"/>
    <w:rsid w:val="002C4C60"/>
    <w:rsid w:val="002D61FF"/>
    <w:rsid w:val="002D75FE"/>
    <w:rsid w:val="002E1082"/>
    <w:rsid w:val="002E4F95"/>
    <w:rsid w:val="002F3BE6"/>
    <w:rsid w:val="002F3F42"/>
    <w:rsid w:val="002F7EBF"/>
    <w:rsid w:val="0030048D"/>
    <w:rsid w:val="0030327A"/>
    <w:rsid w:val="003037AF"/>
    <w:rsid w:val="00304D0C"/>
    <w:rsid w:val="00311245"/>
    <w:rsid w:val="00313842"/>
    <w:rsid w:val="00315BF5"/>
    <w:rsid w:val="00317A25"/>
    <w:rsid w:val="00320BD6"/>
    <w:rsid w:val="00322117"/>
    <w:rsid w:val="00324FE1"/>
    <w:rsid w:val="0032780C"/>
    <w:rsid w:val="00333051"/>
    <w:rsid w:val="00333FD5"/>
    <w:rsid w:val="00334CDB"/>
    <w:rsid w:val="00335F16"/>
    <w:rsid w:val="00346381"/>
    <w:rsid w:val="003523CD"/>
    <w:rsid w:val="00352E48"/>
    <w:rsid w:val="0035662D"/>
    <w:rsid w:val="00357F4A"/>
    <w:rsid w:val="00370A42"/>
    <w:rsid w:val="00376AE5"/>
    <w:rsid w:val="003901A6"/>
    <w:rsid w:val="003901CE"/>
    <w:rsid w:val="003946CA"/>
    <w:rsid w:val="003A3BEE"/>
    <w:rsid w:val="003A672A"/>
    <w:rsid w:val="003A7341"/>
    <w:rsid w:val="003B0FAC"/>
    <w:rsid w:val="003B3D63"/>
    <w:rsid w:val="003B4219"/>
    <w:rsid w:val="003B4B84"/>
    <w:rsid w:val="003B5414"/>
    <w:rsid w:val="003D00CF"/>
    <w:rsid w:val="003D3875"/>
    <w:rsid w:val="003D3F85"/>
    <w:rsid w:val="003E63DC"/>
    <w:rsid w:val="003E6DEB"/>
    <w:rsid w:val="003F2E7B"/>
    <w:rsid w:val="003F5AD9"/>
    <w:rsid w:val="003F705B"/>
    <w:rsid w:val="00400AD0"/>
    <w:rsid w:val="00403414"/>
    <w:rsid w:val="00407CE1"/>
    <w:rsid w:val="004103A2"/>
    <w:rsid w:val="00410542"/>
    <w:rsid w:val="00410BDB"/>
    <w:rsid w:val="004174F1"/>
    <w:rsid w:val="00417F9C"/>
    <w:rsid w:val="004204CD"/>
    <w:rsid w:val="0042227B"/>
    <w:rsid w:val="00422AA1"/>
    <w:rsid w:val="00423053"/>
    <w:rsid w:val="004272B2"/>
    <w:rsid w:val="0043365C"/>
    <w:rsid w:val="004345FB"/>
    <w:rsid w:val="00434731"/>
    <w:rsid w:val="00441A49"/>
    <w:rsid w:val="00441CAD"/>
    <w:rsid w:val="00451D44"/>
    <w:rsid w:val="00453EAB"/>
    <w:rsid w:val="00460BC1"/>
    <w:rsid w:val="00464896"/>
    <w:rsid w:val="004662F8"/>
    <w:rsid w:val="00474D2B"/>
    <w:rsid w:val="00476CB6"/>
    <w:rsid w:val="00480FFA"/>
    <w:rsid w:val="00481F2C"/>
    <w:rsid w:val="004828C6"/>
    <w:rsid w:val="00484480"/>
    <w:rsid w:val="004852FF"/>
    <w:rsid w:val="00485474"/>
    <w:rsid w:val="004877B9"/>
    <w:rsid w:val="0049321F"/>
    <w:rsid w:val="00493739"/>
    <w:rsid w:val="004A01F4"/>
    <w:rsid w:val="004A3771"/>
    <w:rsid w:val="004A4B28"/>
    <w:rsid w:val="004A622E"/>
    <w:rsid w:val="004A78C4"/>
    <w:rsid w:val="004B05F9"/>
    <w:rsid w:val="004B0B49"/>
    <w:rsid w:val="004B182C"/>
    <w:rsid w:val="004B1A2B"/>
    <w:rsid w:val="004B34BB"/>
    <w:rsid w:val="004B375D"/>
    <w:rsid w:val="004B79CB"/>
    <w:rsid w:val="004C05F8"/>
    <w:rsid w:val="004C2508"/>
    <w:rsid w:val="004C6FF0"/>
    <w:rsid w:val="004C72FF"/>
    <w:rsid w:val="004C7B50"/>
    <w:rsid w:val="004D2F38"/>
    <w:rsid w:val="004D3851"/>
    <w:rsid w:val="004D410D"/>
    <w:rsid w:val="004E3244"/>
    <w:rsid w:val="004F4D7C"/>
    <w:rsid w:val="00500EE9"/>
    <w:rsid w:val="005059F7"/>
    <w:rsid w:val="00510E87"/>
    <w:rsid w:val="0051487B"/>
    <w:rsid w:val="00514DD8"/>
    <w:rsid w:val="005170AE"/>
    <w:rsid w:val="00522513"/>
    <w:rsid w:val="0052641B"/>
    <w:rsid w:val="00527D89"/>
    <w:rsid w:val="0053024C"/>
    <w:rsid w:val="005338FD"/>
    <w:rsid w:val="0053576D"/>
    <w:rsid w:val="00537808"/>
    <w:rsid w:val="00537BDF"/>
    <w:rsid w:val="005461E4"/>
    <w:rsid w:val="00547E8B"/>
    <w:rsid w:val="00554174"/>
    <w:rsid w:val="00562CCE"/>
    <w:rsid w:val="00566A9E"/>
    <w:rsid w:val="00577064"/>
    <w:rsid w:val="005779D3"/>
    <w:rsid w:val="00581CB1"/>
    <w:rsid w:val="00587062"/>
    <w:rsid w:val="005904F6"/>
    <w:rsid w:val="005A391A"/>
    <w:rsid w:val="005A3AE2"/>
    <w:rsid w:val="005B1219"/>
    <w:rsid w:val="005B200F"/>
    <w:rsid w:val="005B4B86"/>
    <w:rsid w:val="005B4D9D"/>
    <w:rsid w:val="005B65BD"/>
    <w:rsid w:val="005C3D15"/>
    <w:rsid w:val="005C4C2B"/>
    <w:rsid w:val="005C54B9"/>
    <w:rsid w:val="005C7AC8"/>
    <w:rsid w:val="005C7D0A"/>
    <w:rsid w:val="005D2B71"/>
    <w:rsid w:val="005D4568"/>
    <w:rsid w:val="005D6BCC"/>
    <w:rsid w:val="005D76C8"/>
    <w:rsid w:val="005E3F7A"/>
    <w:rsid w:val="005E5016"/>
    <w:rsid w:val="005E5CD0"/>
    <w:rsid w:val="005E6E67"/>
    <w:rsid w:val="005F1B3A"/>
    <w:rsid w:val="005F32ED"/>
    <w:rsid w:val="006044B8"/>
    <w:rsid w:val="00605EBE"/>
    <w:rsid w:val="00607C25"/>
    <w:rsid w:val="00607F30"/>
    <w:rsid w:val="0061138B"/>
    <w:rsid w:val="00611573"/>
    <w:rsid w:val="00613B28"/>
    <w:rsid w:val="006140A0"/>
    <w:rsid w:val="00614536"/>
    <w:rsid w:val="0061560C"/>
    <w:rsid w:val="00616EC3"/>
    <w:rsid w:val="006271EB"/>
    <w:rsid w:val="00646521"/>
    <w:rsid w:val="006551B1"/>
    <w:rsid w:val="00656A59"/>
    <w:rsid w:val="00661D9F"/>
    <w:rsid w:val="006641DE"/>
    <w:rsid w:val="00664357"/>
    <w:rsid w:val="00667A41"/>
    <w:rsid w:val="0067333C"/>
    <w:rsid w:val="00681385"/>
    <w:rsid w:val="00686F38"/>
    <w:rsid w:val="00687BBA"/>
    <w:rsid w:val="0069438A"/>
    <w:rsid w:val="00695D22"/>
    <w:rsid w:val="006969CB"/>
    <w:rsid w:val="00697C6A"/>
    <w:rsid w:val="006A37D7"/>
    <w:rsid w:val="006A3E76"/>
    <w:rsid w:val="006A4525"/>
    <w:rsid w:val="006A6969"/>
    <w:rsid w:val="006B1CF2"/>
    <w:rsid w:val="006B4593"/>
    <w:rsid w:val="006B57E3"/>
    <w:rsid w:val="006B65B4"/>
    <w:rsid w:val="006B68D1"/>
    <w:rsid w:val="006B7808"/>
    <w:rsid w:val="006C0881"/>
    <w:rsid w:val="006C257E"/>
    <w:rsid w:val="006C387B"/>
    <w:rsid w:val="006D0598"/>
    <w:rsid w:val="006D16D5"/>
    <w:rsid w:val="006D1712"/>
    <w:rsid w:val="006D38C1"/>
    <w:rsid w:val="006D4CEE"/>
    <w:rsid w:val="006D52F9"/>
    <w:rsid w:val="006D582F"/>
    <w:rsid w:val="006D7834"/>
    <w:rsid w:val="006E1C4F"/>
    <w:rsid w:val="006E4209"/>
    <w:rsid w:val="006E4BD0"/>
    <w:rsid w:val="006E4DAE"/>
    <w:rsid w:val="006F127C"/>
    <w:rsid w:val="006F163D"/>
    <w:rsid w:val="00701AF4"/>
    <w:rsid w:val="007031BD"/>
    <w:rsid w:val="00714158"/>
    <w:rsid w:val="00714D15"/>
    <w:rsid w:val="00716568"/>
    <w:rsid w:val="0071699B"/>
    <w:rsid w:val="00733B7B"/>
    <w:rsid w:val="00737209"/>
    <w:rsid w:val="00740C7F"/>
    <w:rsid w:val="00742F6C"/>
    <w:rsid w:val="0074479B"/>
    <w:rsid w:val="00747B2E"/>
    <w:rsid w:val="00752BBB"/>
    <w:rsid w:val="007531AE"/>
    <w:rsid w:val="00756A53"/>
    <w:rsid w:val="00757D4A"/>
    <w:rsid w:val="00763991"/>
    <w:rsid w:val="0076541E"/>
    <w:rsid w:val="007675AE"/>
    <w:rsid w:val="007707E5"/>
    <w:rsid w:val="00770C2C"/>
    <w:rsid w:val="007729AC"/>
    <w:rsid w:val="00772B7A"/>
    <w:rsid w:val="00773C19"/>
    <w:rsid w:val="00775358"/>
    <w:rsid w:val="00781313"/>
    <w:rsid w:val="007846C7"/>
    <w:rsid w:val="00785287"/>
    <w:rsid w:val="007874CC"/>
    <w:rsid w:val="007903B7"/>
    <w:rsid w:val="0079150C"/>
    <w:rsid w:val="00791DCF"/>
    <w:rsid w:val="007923A9"/>
    <w:rsid w:val="00793D2E"/>
    <w:rsid w:val="007A02E9"/>
    <w:rsid w:val="007A0E79"/>
    <w:rsid w:val="007A3089"/>
    <w:rsid w:val="007A3808"/>
    <w:rsid w:val="007A4AB2"/>
    <w:rsid w:val="007B2160"/>
    <w:rsid w:val="007B4C7B"/>
    <w:rsid w:val="007B72F8"/>
    <w:rsid w:val="007C2D89"/>
    <w:rsid w:val="007C3520"/>
    <w:rsid w:val="007C5201"/>
    <w:rsid w:val="007C61A1"/>
    <w:rsid w:val="007D0293"/>
    <w:rsid w:val="007D02CF"/>
    <w:rsid w:val="007E0FD8"/>
    <w:rsid w:val="007E18E8"/>
    <w:rsid w:val="007E3332"/>
    <w:rsid w:val="007E4BCD"/>
    <w:rsid w:val="007E7AA9"/>
    <w:rsid w:val="007F04F9"/>
    <w:rsid w:val="007F0F07"/>
    <w:rsid w:val="007F12E2"/>
    <w:rsid w:val="007F4F37"/>
    <w:rsid w:val="007F6289"/>
    <w:rsid w:val="0080020E"/>
    <w:rsid w:val="008057B9"/>
    <w:rsid w:val="008079EC"/>
    <w:rsid w:val="00810B2B"/>
    <w:rsid w:val="00810D49"/>
    <w:rsid w:val="00813B56"/>
    <w:rsid w:val="00813BAE"/>
    <w:rsid w:val="00816C90"/>
    <w:rsid w:val="008176F4"/>
    <w:rsid w:val="00820457"/>
    <w:rsid w:val="00821DD2"/>
    <w:rsid w:val="00822244"/>
    <w:rsid w:val="00823A8A"/>
    <w:rsid w:val="0083470B"/>
    <w:rsid w:val="0083620E"/>
    <w:rsid w:val="00844A61"/>
    <w:rsid w:val="00847688"/>
    <w:rsid w:val="00851726"/>
    <w:rsid w:val="00852F23"/>
    <w:rsid w:val="00856538"/>
    <w:rsid w:val="00856869"/>
    <w:rsid w:val="008578E0"/>
    <w:rsid w:val="00857A71"/>
    <w:rsid w:val="00861697"/>
    <w:rsid w:val="008643F3"/>
    <w:rsid w:val="008673E6"/>
    <w:rsid w:val="00871EE9"/>
    <w:rsid w:val="00872D5A"/>
    <w:rsid w:val="00876D4D"/>
    <w:rsid w:val="008772FA"/>
    <w:rsid w:val="008802DA"/>
    <w:rsid w:val="00880E71"/>
    <w:rsid w:val="00881E4D"/>
    <w:rsid w:val="00882088"/>
    <w:rsid w:val="00884D72"/>
    <w:rsid w:val="0089376F"/>
    <w:rsid w:val="00894B97"/>
    <w:rsid w:val="0089702E"/>
    <w:rsid w:val="00897055"/>
    <w:rsid w:val="008A4FE1"/>
    <w:rsid w:val="008A675F"/>
    <w:rsid w:val="008B0F41"/>
    <w:rsid w:val="008B1EC2"/>
    <w:rsid w:val="008B51BE"/>
    <w:rsid w:val="008B569D"/>
    <w:rsid w:val="008C1923"/>
    <w:rsid w:val="008C6A1F"/>
    <w:rsid w:val="008C70A0"/>
    <w:rsid w:val="008C7189"/>
    <w:rsid w:val="008C769A"/>
    <w:rsid w:val="008D459D"/>
    <w:rsid w:val="008D6A01"/>
    <w:rsid w:val="008D7518"/>
    <w:rsid w:val="008E20A8"/>
    <w:rsid w:val="008E3EE2"/>
    <w:rsid w:val="008E42B1"/>
    <w:rsid w:val="008E6289"/>
    <w:rsid w:val="008F461D"/>
    <w:rsid w:val="008F5E98"/>
    <w:rsid w:val="008F73E7"/>
    <w:rsid w:val="00900585"/>
    <w:rsid w:val="00903866"/>
    <w:rsid w:val="00904CF4"/>
    <w:rsid w:val="00911934"/>
    <w:rsid w:val="00914BAE"/>
    <w:rsid w:val="00925D79"/>
    <w:rsid w:val="009273CA"/>
    <w:rsid w:val="00930CCC"/>
    <w:rsid w:val="00937634"/>
    <w:rsid w:val="009431D7"/>
    <w:rsid w:val="009512ED"/>
    <w:rsid w:val="00953858"/>
    <w:rsid w:val="0095444D"/>
    <w:rsid w:val="00960C88"/>
    <w:rsid w:val="00961906"/>
    <w:rsid w:val="009777D9"/>
    <w:rsid w:val="00981472"/>
    <w:rsid w:val="00985DA8"/>
    <w:rsid w:val="0098706F"/>
    <w:rsid w:val="0099235B"/>
    <w:rsid w:val="009928DF"/>
    <w:rsid w:val="00995857"/>
    <w:rsid w:val="0099598A"/>
    <w:rsid w:val="00995D2E"/>
    <w:rsid w:val="009970CC"/>
    <w:rsid w:val="009A2221"/>
    <w:rsid w:val="009A57C4"/>
    <w:rsid w:val="009A63B6"/>
    <w:rsid w:val="009A6FF9"/>
    <w:rsid w:val="009B6331"/>
    <w:rsid w:val="009B63A6"/>
    <w:rsid w:val="009B736B"/>
    <w:rsid w:val="009C219B"/>
    <w:rsid w:val="009C26F7"/>
    <w:rsid w:val="009E0E89"/>
    <w:rsid w:val="009E1B44"/>
    <w:rsid w:val="009E27FB"/>
    <w:rsid w:val="009E4B14"/>
    <w:rsid w:val="009F3939"/>
    <w:rsid w:val="00A10D28"/>
    <w:rsid w:val="00A23239"/>
    <w:rsid w:val="00A243A1"/>
    <w:rsid w:val="00A25E67"/>
    <w:rsid w:val="00A270C4"/>
    <w:rsid w:val="00A277D6"/>
    <w:rsid w:val="00A30403"/>
    <w:rsid w:val="00A3069F"/>
    <w:rsid w:val="00A33D2B"/>
    <w:rsid w:val="00A34444"/>
    <w:rsid w:val="00A36AC1"/>
    <w:rsid w:val="00A41B1A"/>
    <w:rsid w:val="00A422EA"/>
    <w:rsid w:val="00A504E1"/>
    <w:rsid w:val="00A50D98"/>
    <w:rsid w:val="00A57C72"/>
    <w:rsid w:val="00A613CE"/>
    <w:rsid w:val="00A62B93"/>
    <w:rsid w:val="00A63B90"/>
    <w:rsid w:val="00A70D6A"/>
    <w:rsid w:val="00A71E83"/>
    <w:rsid w:val="00A73760"/>
    <w:rsid w:val="00A74CEB"/>
    <w:rsid w:val="00A76F82"/>
    <w:rsid w:val="00A8043E"/>
    <w:rsid w:val="00A831A4"/>
    <w:rsid w:val="00A83733"/>
    <w:rsid w:val="00A8392B"/>
    <w:rsid w:val="00A84AE8"/>
    <w:rsid w:val="00A86601"/>
    <w:rsid w:val="00A87310"/>
    <w:rsid w:val="00A925B0"/>
    <w:rsid w:val="00A92B46"/>
    <w:rsid w:val="00A95E7B"/>
    <w:rsid w:val="00A95E88"/>
    <w:rsid w:val="00A96F4D"/>
    <w:rsid w:val="00AA24F2"/>
    <w:rsid w:val="00AB0248"/>
    <w:rsid w:val="00AB3A0C"/>
    <w:rsid w:val="00AB5848"/>
    <w:rsid w:val="00AC454D"/>
    <w:rsid w:val="00AC7F06"/>
    <w:rsid w:val="00AD44CA"/>
    <w:rsid w:val="00AD6B44"/>
    <w:rsid w:val="00AE3331"/>
    <w:rsid w:val="00AE3DEB"/>
    <w:rsid w:val="00AE443E"/>
    <w:rsid w:val="00AF3EBF"/>
    <w:rsid w:val="00AF61AB"/>
    <w:rsid w:val="00B03699"/>
    <w:rsid w:val="00B06943"/>
    <w:rsid w:val="00B15853"/>
    <w:rsid w:val="00B313B3"/>
    <w:rsid w:val="00B32B22"/>
    <w:rsid w:val="00B413CE"/>
    <w:rsid w:val="00B50252"/>
    <w:rsid w:val="00B50CF5"/>
    <w:rsid w:val="00B51732"/>
    <w:rsid w:val="00B6004A"/>
    <w:rsid w:val="00B60470"/>
    <w:rsid w:val="00B611CF"/>
    <w:rsid w:val="00B635E3"/>
    <w:rsid w:val="00B713C1"/>
    <w:rsid w:val="00B72800"/>
    <w:rsid w:val="00B72F2F"/>
    <w:rsid w:val="00B75096"/>
    <w:rsid w:val="00B75978"/>
    <w:rsid w:val="00B75C5C"/>
    <w:rsid w:val="00B8162F"/>
    <w:rsid w:val="00B81BAE"/>
    <w:rsid w:val="00B82CB7"/>
    <w:rsid w:val="00B83E70"/>
    <w:rsid w:val="00B8425A"/>
    <w:rsid w:val="00B94E13"/>
    <w:rsid w:val="00BA17BC"/>
    <w:rsid w:val="00BA2E59"/>
    <w:rsid w:val="00BB65D5"/>
    <w:rsid w:val="00BB73D9"/>
    <w:rsid w:val="00BC638E"/>
    <w:rsid w:val="00BE092B"/>
    <w:rsid w:val="00BE0EF5"/>
    <w:rsid w:val="00BE6833"/>
    <w:rsid w:val="00BF2449"/>
    <w:rsid w:val="00BF27AD"/>
    <w:rsid w:val="00BF616F"/>
    <w:rsid w:val="00BF703E"/>
    <w:rsid w:val="00BF76C0"/>
    <w:rsid w:val="00C05A20"/>
    <w:rsid w:val="00C07647"/>
    <w:rsid w:val="00C07D2D"/>
    <w:rsid w:val="00C23889"/>
    <w:rsid w:val="00C41099"/>
    <w:rsid w:val="00C4230D"/>
    <w:rsid w:val="00C44E51"/>
    <w:rsid w:val="00C4681F"/>
    <w:rsid w:val="00C46B10"/>
    <w:rsid w:val="00C47BC7"/>
    <w:rsid w:val="00C50D2C"/>
    <w:rsid w:val="00C5289E"/>
    <w:rsid w:val="00C53893"/>
    <w:rsid w:val="00C55119"/>
    <w:rsid w:val="00C55E0E"/>
    <w:rsid w:val="00C6060D"/>
    <w:rsid w:val="00C62E8D"/>
    <w:rsid w:val="00C65CCC"/>
    <w:rsid w:val="00C66C96"/>
    <w:rsid w:val="00C72BA3"/>
    <w:rsid w:val="00C76675"/>
    <w:rsid w:val="00C814F5"/>
    <w:rsid w:val="00C82221"/>
    <w:rsid w:val="00C85AC3"/>
    <w:rsid w:val="00C86016"/>
    <w:rsid w:val="00C86B65"/>
    <w:rsid w:val="00C86C40"/>
    <w:rsid w:val="00C878DE"/>
    <w:rsid w:val="00C90ABF"/>
    <w:rsid w:val="00C90D5A"/>
    <w:rsid w:val="00C911A6"/>
    <w:rsid w:val="00C93230"/>
    <w:rsid w:val="00CA14F1"/>
    <w:rsid w:val="00CA76B2"/>
    <w:rsid w:val="00CB791E"/>
    <w:rsid w:val="00CC2132"/>
    <w:rsid w:val="00CD5DE2"/>
    <w:rsid w:val="00CD609E"/>
    <w:rsid w:val="00CD675F"/>
    <w:rsid w:val="00CE0156"/>
    <w:rsid w:val="00CE0F15"/>
    <w:rsid w:val="00CE3D73"/>
    <w:rsid w:val="00CE4016"/>
    <w:rsid w:val="00CE6F58"/>
    <w:rsid w:val="00CF034C"/>
    <w:rsid w:val="00CF0441"/>
    <w:rsid w:val="00CF3F5E"/>
    <w:rsid w:val="00D056CA"/>
    <w:rsid w:val="00D057D4"/>
    <w:rsid w:val="00D07761"/>
    <w:rsid w:val="00D1324A"/>
    <w:rsid w:val="00D1543D"/>
    <w:rsid w:val="00D21316"/>
    <w:rsid w:val="00D27E47"/>
    <w:rsid w:val="00D31A9E"/>
    <w:rsid w:val="00D35BBF"/>
    <w:rsid w:val="00D37066"/>
    <w:rsid w:val="00D41706"/>
    <w:rsid w:val="00D50BB2"/>
    <w:rsid w:val="00D55C0D"/>
    <w:rsid w:val="00D55CC4"/>
    <w:rsid w:val="00D57172"/>
    <w:rsid w:val="00D63D23"/>
    <w:rsid w:val="00D64533"/>
    <w:rsid w:val="00D676AB"/>
    <w:rsid w:val="00D70384"/>
    <w:rsid w:val="00D720A9"/>
    <w:rsid w:val="00D72CBE"/>
    <w:rsid w:val="00D72D8D"/>
    <w:rsid w:val="00D74E55"/>
    <w:rsid w:val="00D7677D"/>
    <w:rsid w:val="00D77D1E"/>
    <w:rsid w:val="00D80571"/>
    <w:rsid w:val="00D80F4B"/>
    <w:rsid w:val="00D8118B"/>
    <w:rsid w:val="00D84440"/>
    <w:rsid w:val="00D86174"/>
    <w:rsid w:val="00D877F2"/>
    <w:rsid w:val="00D91A69"/>
    <w:rsid w:val="00D929A9"/>
    <w:rsid w:val="00D96303"/>
    <w:rsid w:val="00DA0496"/>
    <w:rsid w:val="00DA226D"/>
    <w:rsid w:val="00DA45EB"/>
    <w:rsid w:val="00DA69A5"/>
    <w:rsid w:val="00DA741B"/>
    <w:rsid w:val="00DB4519"/>
    <w:rsid w:val="00DB6A28"/>
    <w:rsid w:val="00DC1B65"/>
    <w:rsid w:val="00DC217F"/>
    <w:rsid w:val="00DC2E34"/>
    <w:rsid w:val="00DC734A"/>
    <w:rsid w:val="00DD0028"/>
    <w:rsid w:val="00DD46FB"/>
    <w:rsid w:val="00DD6600"/>
    <w:rsid w:val="00DE102C"/>
    <w:rsid w:val="00DE4284"/>
    <w:rsid w:val="00DE73A4"/>
    <w:rsid w:val="00DF0C25"/>
    <w:rsid w:val="00DF46DA"/>
    <w:rsid w:val="00DF66C4"/>
    <w:rsid w:val="00DF6974"/>
    <w:rsid w:val="00E0191F"/>
    <w:rsid w:val="00E03B79"/>
    <w:rsid w:val="00E101B9"/>
    <w:rsid w:val="00E10CE6"/>
    <w:rsid w:val="00E12C9D"/>
    <w:rsid w:val="00E1442C"/>
    <w:rsid w:val="00E156F8"/>
    <w:rsid w:val="00E15F38"/>
    <w:rsid w:val="00E21752"/>
    <w:rsid w:val="00E23DB0"/>
    <w:rsid w:val="00E27CB9"/>
    <w:rsid w:val="00E35E45"/>
    <w:rsid w:val="00E36F1F"/>
    <w:rsid w:val="00E452B3"/>
    <w:rsid w:val="00E45F08"/>
    <w:rsid w:val="00E50B07"/>
    <w:rsid w:val="00E5403D"/>
    <w:rsid w:val="00E54961"/>
    <w:rsid w:val="00E55E3E"/>
    <w:rsid w:val="00E56502"/>
    <w:rsid w:val="00E602E8"/>
    <w:rsid w:val="00E60CD8"/>
    <w:rsid w:val="00E630B0"/>
    <w:rsid w:val="00E72B83"/>
    <w:rsid w:val="00E72F51"/>
    <w:rsid w:val="00E742AE"/>
    <w:rsid w:val="00E77012"/>
    <w:rsid w:val="00E777A7"/>
    <w:rsid w:val="00E80EC7"/>
    <w:rsid w:val="00E93562"/>
    <w:rsid w:val="00E95AF0"/>
    <w:rsid w:val="00E96C40"/>
    <w:rsid w:val="00E97442"/>
    <w:rsid w:val="00EA3674"/>
    <w:rsid w:val="00EB60F1"/>
    <w:rsid w:val="00EC1AB1"/>
    <w:rsid w:val="00EC262F"/>
    <w:rsid w:val="00EC2F43"/>
    <w:rsid w:val="00EC3343"/>
    <w:rsid w:val="00EC6157"/>
    <w:rsid w:val="00EC69E8"/>
    <w:rsid w:val="00EC7AC1"/>
    <w:rsid w:val="00EE1766"/>
    <w:rsid w:val="00EE197D"/>
    <w:rsid w:val="00EE4DE6"/>
    <w:rsid w:val="00EE500D"/>
    <w:rsid w:val="00EF2084"/>
    <w:rsid w:val="00EF2ED0"/>
    <w:rsid w:val="00EF5032"/>
    <w:rsid w:val="00F00405"/>
    <w:rsid w:val="00F03C3B"/>
    <w:rsid w:val="00F03D90"/>
    <w:rsid w:val="00F06D0E"/>
    <w:rsid w:val="00F06E17"/>
    <w:rsid w:val="00F10236"/>
    <w:rsid w:val="00F11E09"/>
    <w:rsid w:val="00F13CE4"/>
    <w:rsid w:val="00F165EF"/>
    <w:rsid w:val="00F25BC2"/>
    <w:rsid w:val="00F2629B"/>
    <w:rsid w:val="00F32C24"/>
    <w:rsid w:val="00F335B7"/>
    <w:rsid w:val="00F343E8"/>
    <w:rsid w:val="00F35C99"/>
    <w:rsid w:val="00F41887"/>
    <w:rsid w:val="00F44DD6"/>
    <w:rsid w:val="00F47563"/>
    <w:rsid w:val="00F51986"/>
    <w:rsid w:val="00F51A32"/>
    <w:rsid w:val="00F54B8E"/>
    <w:rsid w:val="00F65ED5"/>
    <w:rsid w:val="00F66EC7"/>
    <w:rsid w:val="00F673BC"/>
    <w:rsid w:val="00F8222B"/>
    <w:rsid w:val="00F84062"/>
    <w:rsid w:val="00F870B7"/>
    <w:rsid w:val="00F961D9"/>
    <w:rsid w:val="00FA1CA4"/>
    <w:rsid w:val="00FA1E91"/>
    <w:rsid w:val="00FA4284"/>
    <w:rsid w:val="00FA49AE"/>
    <w:rsid w:val="00FA4CFE"/>
    <w:rsid w:val="00FB5940"/>
    <w:rsid w:val="00FC3AC1"/>
    <w:rsid w:val="00FC75BC"/>
    <w:rsid w:val="00FD0469"/>
    <w:rsid w:val="00FD048C"/>
    <w:rsid w:val="00FD0C61"/>
    <w:rsid w:val="00FD2E16"/>
    <w:rsid w:val="00FD2F91"/>
    <w:rsid w:val="00FD58D9"/>
    <w:rsid w:val="00FE1A48"/>
    <w:rsid w:val="00FE1B75"/>
    <w:rsid w:val="00FE2F23"/>
    <w:rsid w:val="00FE3520"/>
    <w:rsid w:val="00FE3580"/>
    <w:rsid w:val="00FF01C6"/>
    <w:rsid w:val="00FF5009"/>
    <w:rsid w:val="00FF56CE"/>
    <w:rsid w:val="00FF62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39BC30"/>
  <w15:docId w15:val="{F8D91635-523B-4CE7-BB68-710AD794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75AE"/>
    <w:rPr>
      <w:rFonts w:ascii="Arial" w:hAnsi="Arial" w:cs="Times New Roman"/>
    </w:rPr>
  </w:style>
  <w:style w:type="paragraph" w:styleId="Heading1">
    <w:name w:val="heading 1"/>
    <w:basedOn w:val="Normal"/>
    <w:next w:val="Normal"/>
    <w:link w:val="Heading1Char"/>
    <w:uiPriority w:val="9"/>
    <w:qFormat/>
    <w:rsid w:val="007675AE"/>
    <w:pPr>
      <w:keepNext/>
      <w:spacing w:before="240" w:after="60"/>
      <w:outlineLvl w:val="0"/>
    </w:pPr>
    <w:rPr>
      <w:rFonts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7675AE"/>
    <w:pPr>
      <w:keepNext/>
      <w:spacing w:before="240" w:after="60"/>
      <w:outlineLvl w:val="1"/>
    </w:pPr>
    <w:rPr>
      <w:rFonts w:eastAsiaTheme="majorEastAsia" w:cstheme="majorBidi"/>
      <w:b/>
      <w:bCs/>
      <w:i/>
      <w:iCs/>
      <w:sz w:val="28"/>
      <w:szCs w:val="28"/>
    </w:rPr>
  </w:style>
  <w:style w:type="paragraph" w:styleId="Heading4">
    <w:name w:val="heading 4"/>
    <w:basedOn w:val="Normal"/>
    <w:link w:val="Heading4Char"/>
    <w:uiPriority w:val="9"/>
    <w:qFormat/>
    <w:rsid w:val="00BF76C0"/>
    <w:pPr>
      <w:spacing w:after="0" w:line="240" w:lineRule="auto"/>
      <w:outlineLvl w:val="3"/>
    </w:pPr>
    <w:rPr>
      <w:rFonts w:ascii="Times New Roman" w:eastAsia="Times New Roman" w:hAnsi="Times New Roman"/>
      <w:b/>
      <w:bCs/>
      <w:color w:val="666666"/>
      <w:sz w:val="23"/>
      <w:szCs w:val="2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5AE"/>
    <w:rPr>
      <w:rFonts w:ascii="Arial" w:eastAsiaTheme="majorEastAsia" w:hAnsi="Arial" w:cstheme="majorBidi"/>
      <w:b/>
      <w:bCs/>
      <w:kern w:val="32"/>
      <w:sz w:val="32"/>
      <w:szCs w:val="32"/>
    </w:rPr>
  </w:style>
  <w:style w:type="character" w:customStyle="1" w:styleId="Heading2Char">
    <w:name w:val="Heading 2 Char"/>
    <w:basedOn w:val="DefaultParagraphFont"/>
    <w:link w:val="Heading2"/>
    <w:uiPriority w:val="9"/>
    <w:semiHidden/>
    <w:rsid w:val="007675AE"/>
    <w:rPr>
      <w:rFonts w:ascii="Arial" w:eastAsiaTheme="majorEastAsia" w:hAnsi="Arial" w:cstheme="majorBidi"/>
      <w:b/>
      <w:bCs/>
      <w:i/>
      <w:iCs/>
      <w:sz w:val="28"/>
      <w:szCs w:val="28"/>
    </w:rPr>
  </w:style>
  <w:style w:type="paragraph" w:styleId="Title">
    <w:name w:val="Title"/>
    <w:basedOn w:val="Normal"/>
    <w:next w:val="Normal"/>
    <w:link w:val="TitleChar"/>
    <w:uiPriority w:val="10"/>
    <w:qFormat/>
    <w:rsid w:val="007675AE"/>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7675AE"/>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7675AE"/>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7675AE"/>
    <w:rPr>
      <w:rFonts w:ascii="Arial" w:eastAsiaTheme="majorEastAsia" w:hAnsi="Arial" w:cstheme="majorBidi"/>
      <w:sz w:val="24"/>
      <w:szCs w:val="24"/>
    </w:rPr>
  </w:style>
  <w:style w:type="paragraph" w:styleId="FootnoteText">
    <w:name w:val="footnote text"/>
    <w:aliases w:val="Normal + Times: 9 Point,ACMA Footnote Text,ABA Footnote Text,footnote text,Footnote Text Char Char,Footnote Text Char1 Char Char,Footnote Text Char Char Char Char,Footnote Text Char1 Char Char Char Char,Footnote Text Char2 Char Char,f"/>
    <w:basedOn w:val="Normal"/>
    <w:link w:val="FootnoteTextChar"/>
    <w:uiPriority w:val="99"/>
    <w:unhideWhenUsed/>
    <w:rsid w:val="00D80571"/>
    <w:pPr>
      <w:spacing w:after="0" w:line="240" w:lineRule="auto"/>
    </w:pPr>
    <w:rPr>
      <w:sz w:val="20"/>
      <w:szCs w:val="20"/>
    </w:rPr>
  </w:style>
  <w:style w:type="character" w:customStyle="1" w:styleId="FootnoteTextChar">
    <w:name w:val="Footnote Text Char"/>
    <w:aliases w:val="Normal + Times: 9 Point Char,ACMA Footnote Text Char,ABA Footnote Text Char,footnote text Char,Footnote Text Char Char Char,Footnote Text Char1 Char Char Char,Footnote Text Char Char Char Char Char,Footnote Text Char2 Char Char Char"/>
    <w:basedOn w:val="DefaultParagraphFont"/>
    <w:link w:val="FootnoteText"/>
    <w:uiPriority w:val="99"/>
    <w:semiHidden/>
    <w:rsid w:val="00D80571"/>
    <w:rPr>
      <w:rFonts w:ascii="Arial" w:hAnsi="Arial" w:cs="Times New Roman"/>
      <w:sz w:val="20"/>
      <w:szCs w:val="20"/>
    </w:rPr>
  </w:style>
  <w:style w:type="character" w:styleId="FootnoteReference">
    <w:name w:val="footnote reference"/>
    <w:basedOn w:val="DefaultParagraphFont"/>
    <w:uiPriority w:val="99"/>
    <w:semiHidden/>
    <w:unhideWhenUsed/>
    <w:rsid w:val="00D80571"/>
    <w:rPr>
      <w:vertAlign w:val="superscript"/>
    </w:rPr>
  </w:style>
  <w:style w:type="paragraph" w:styleId="ListParagraph">
    <w:name w:val="List Paragraph"/>
    <w:basedOn w:val="Normal"/>
    <w:uiPriority w:val="34"/>
    <w:qFormat/>
    <w:rsid w:val="00111307"/>
    <w:pPr>
      <w:ind w:left="720"/>
      <w:contextualSpacing/>
    </w:pPr>
  </w:style>
  <w:style w:type="paragraph" w:styleId="Header">
    <w:name w:val="header"/>
    <w:basedOn w:val="Normal"/>
    <w:link w:val="HeaderChar"/>
    <w:uiPriority w:val="99"/>
    <w:unhideWhenUsed/>
    <w:rsid w:val="00407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CE1"/>
    <w:rPr>
      <w:rFonts w:ascii="Arial" w:hAnsi="Arial" w:cs="Times New Roman"/>
    </w:rPr>
  </w:style>
  <w:style w:type="paragraph" w:styleId="Footer">
    <w:name w:val="footer"/>
    <w:basedOn w:val="Normal"/>
    <w:link w:val="FooterChar"/>
    <w:uiPriority w:val="99"/>
    <w:unhideWhenUsed/>
    <w:rsid w:val="00407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CE1"/>
    <w:rPr>
      <w:rFonts w:ascii="Arial" w:hAnsi="Arial" w:cs="Times New Roman"/>
    </w:rPr>
  </w:style>
  <w:style w:type="character" w:styleId="CommentReference">
    <w:name w:val="annotation reference"/>
    <w:basedOn w:val="DefaultParagraphFont"/>
    <w:uiPriority w:val="99"/>
    <w:semiHidden/>
    <w:unhideWhenUsed/>
    <w:rsid w:val="009B63A6"/>
    <w:rPr>
      <w:sz w:val="16"/>
      <w:szCs w:val="16"/>
    </w:rPr>
  </w:style>
  <w:style w:type="paragraph" w:styleId="CommentText">
    <w:name w:val="annotation text"/>
    <w:basedOn w:val="Normal"/>
    <w:link w:val="CommentTextChar"/>
    <w:uiPriority w:val="99"/>
    <w:semiHidden/>
    <w:unhideWhenUsed/>
    <w:rsid w:val="009B63A6"/>
    <w:pPr>
      <w:spacing w:line="240" w:lineRule="auto"/>
    </w:pPr>
    <w:rPr>
      <w:sz w:val="20"/>
      <w:szCs w:val="20"/>
    </w:rPr>
  </w:style>
  <w:style w:type="character" w:customStyle="1" w:styleId="CommentTextChar">
    <w:name w:val="Comment Text Char"/>
    <w:basedOn w:val="DefaultParagraphFont"/>
    <w:link w:val="CommentText"/>
    <w:uiPriority w:val="99"/>
    <w:semiHidden/>
    <w:rsid w:val="009B63A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B63A6"/>
    <w:rPr>
      <w:b/>
      <w:bCs/>
    </w:rPr>
  </w:style>
  <w:style w:type="character" w:customStyle="1" w:styleId="CommentSubjectChar">
    <w:name w:val="Comment Subject Char"/>
    <w:basedOn w:val="CommentTextChar"/>
    <w:link w:val="CommentSubject"/>
    <w:uiPriority w:val="99"/>
    <w:semiHidden/>
    <w:rsid w:val="009B63A6"/>
    <w:rPr>
      <w:rFonts w:ascii="Arial" w:hAnsi="Arial" w:cs="Times New Roman"/>
      <w:b/>
      <w:bCs/>
      <w:sz w:val="20"/>
      <w:szCs w:val="20"/>
    </w:rPr>
  </w:style>
  <w:style w:type="paragraph" w:styleId="BalloonText">
    <w:name w:val="Balloon Text"/>
    <w:basedOn w:val="Normal"/>
    <w:link w:val="BalloonTextChar"/>
    <w:uiPriority w:val="99"/>
    <w:semiHidden/>
    <w:unhideWhenUsed/>
    <w:rsid w:val="009B6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3A6"/>
    <w:rPr>
      <w:rFonts w:ascii="Tahoma" w:hAnsi="Tahoma" w:cs="Tahoma"/>
      <w:sz w:val="16"/>
      <w:szCs w:val="16"/>
    </w:rPr>
  </w:style>
  <w:style w:type="paragraph" w:styleId="BlockText">
    <w:name w:val="Block Text"/>
    <w:basedOn w:val="Normal"/>
    <w:semiHidden/>
    <w:rsid w:val="00045819"/>
    <w:pPr>
      <w:spacing w:after="120" w:line="240" w:lineRule="auto"/>
      <w:ind w:left="1440" w:right="1440"/>
    </w:pPr>
    <w:rPr>
      <w:rFonts w:ascii="Times New Roman" w:eastAsia="Times New Roman" w:hAnsi="Times New Roman"/>
      <w:sz w:val="20"/>
      <w:szCs w:val="20"/>
    </w:rPr>
  </w:style>
  <w:style w:type="paragraph" w:styleId="EndnoteText">
    <w:name w:val="endnote text"/>
    <w:basedOn w:val="Normal"/>
    <w:link w:val="EndnoteTextChar"/>
    <w:uiPriority w:val="99"/>
    <w:unhideWhenUsed/>
    <w:rsid w:val="00B713C1"/>
    <w:pPr>
      <w:spacing w:after="0" w:line="240" w:lineRule="auto"/>
    </w:pPr>
    <w:rPr>
      <w:sz w:val="20"/>
      <w:szCs w:val="20"/>
    </w:rPr>
  </w:style>
  <w:style w:type="character" w:customStyle="1" w:styleId="EndnoteTextChar">
    <w:name w:val="Endnote Text Char"/>
    <w:basedOn w:val="DefaultParagraphFont"/>
    <w:link w:val="EndnoteText"/>
    <w:uiPriority w:val="99"/>
    <w:rsid w:val="00B713C1"/>
    <w:rPr>
      <w:rFonts w:ascii="Arial" w:hAnsi="Arial" w:cs="Times New Roman"/>
      <w:sz w:val="20"/>
      <w:szCs w:val="20"/>
    </w:rPr>
  </w:style>
  <w:style w:type="character" w:styleId="EndnoteReference">
    <w:name w:val="endnote reference"/>
    <w:basedOn w:val="DefaultParagraphFont"/>
    <w:uiPriority w:val="99"/>
    <w:unhideWhenUsed/>
    <w:rsid w:val="00B713C1"/>
    <w:rPr>
      <w:vertAlign w:val="superscript"/>
    </w:rPr>
  </w:style>
  <w:style w:type="character" w:styleId="Hyperlink">
    <w:name w:val="Hyperlink"/>
    <w:basedOn w:val="DefaultParagraphFont"/>
    <w:uiPriority w:val="99"/>
    <w:unhideWhenUsed/>
    <w:rsid w:val="0061560C"/>
    <w:rPr>
      <w:color w:val="0000FF" w:themeColor="hyperlink"/>
      <w:u w:val="single"/>
    </w:rPr>
  </w:style>
  <w:style w:type="character" w:styleId="FollowedHyperlink">
    <w:name w:val="FollowedHyperlink"/>
    <w:basedOn w:val="DefaultParagraphFont"/>
    <w:uiPriority w:val="99"/>
    <w:semiHidden/>
    <w:unhideWhenUsed/>
    <w:rsid w:val="008F5E98"/>
    <w:rPr>
      <w:color w:val="800080" w:themeColor="followedHyperlink"/>
      <w:u w:val="single"/>
    </w:rPr>
  </w:style>
  <w:style w:type="character" w:customStyle="1" w:styleId="Heading4Char">
    <w:name w:val="Heading 4 Char"/>
    <w:basedOn w:val="DefaultParagraphFont"/>
    <w:link w:val="Heading4"/>
    <w:uiPriority w:val="9"/>
    <w:rsid w:val="00BF76C0"/>
    <w:rPr>
      <w:rFonts w:ascii="Times New Roman" w:eastAsia="Times New Roman" w:hAnsi="Times New Roman" w:cs="Times New Roman"/>
      <w:b/>
      <w:bCs/>
      <w:color w:val="666666"/>
      <w:sz w:val="23"/>
      <w:szCs w:val="23"/>
      <w:lang w:eastAsia="en-AU"/>
    </w:rPr>
  </w:style>
  <w:style w:type="paragraph" w:customStyle="1" w:styleId="Default">
    <w:name w:val="Default"/>
    <w:rsid w:val="004B0B49"/>
    <w:pPr>
      <w:autoSpaceDE w:val="0"/>
      <w:autoSpaceDN w:val="0"/>
      <w:adjustRightInd w:val="0"/>
      <w:spacing w:after="0" w:line="240" w:lineRule="auto"/>
    </w:pPr>
    <w:rPr>
      <w:rFonts w:ascii="Arial" w:hAnsi="Arial" w:cs="Arial"/>
      <w:color w:val="000000"/>
      <w:sz w:val="24"/>
      <w:szCs w:val="24"/>
    </w:rPr>
  </w:style>
  <w:style w:type="character" w:customStyle="1" w:styleId="body">
    <w:name w:val="body"/>
    <w:basedOn w:val="DefaultParagraphFont"/>
    <w:rsid w:val="000E5549"/>
  </w:style>
  <w:style w:type="character" w:styleId="UnresolvedMention">
    <w:name w:val="Unresolved Mention"/>
    <w:basedOn w:val="DefaultParagraphFont"/>
    <w:uiPriority w:val="99"/>
    <w:semiHidden/>
    <w:unhideWhenUsed/>
    <w:rsid w:val="006E4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602371">
      <w:bodyDiv w:val="1"/>
      <w:marLeft w:val="0"/>
      <w:marRight w:val="0"/>
      <w:marTop w:val="0"/>
      <w:marBottom w:val="0"/>
      <w:divBdr>
        <w:top w:val="none" w:sz="0" w:space="0" w:color="auto"/>
        <w:left w:val="none" w:sz="0" w:space="0" w:color="auto"/>
        <w:bottom w:val="none" w:sz="0" w:space="0" w:color="auto"/>
        <w:right w:val="none" w:sz="0" w:space="0" w:color="auto"/>
      </w:divBdr>
      <w:divsChild>
        <w:div w:id="1009061758">
          <w:marLeft w:val="0"/>
          <w:marRight w:val="0"/>
          <w:marTop w:val="100"/>
          <w:marBottom w:val="100"/>
          <w:divBdr>
            <w:top w:val="none" w:sz="0" w:space="0" w:color="auto"/>
            <w:left w:val="none" w:sz="0" w:space="0" w:color="auto"/>
            <w:bottom w:val="none" w:sz="0" w:space="0" w:color="auto"/>
            <w:right w:val="none" w:sz="0" w:space="0" w:color="auto"/>
          </w:divBdr>
          <w:divsChild>
            <w:div w:id="1297025039">
              <w:marLeft w:val="0"/>
              <w:marRight w:val="0"/>
              <w:marTop w:val="0"/>
              <w:marBottom w:val="0"/>
              <w:divBdr>
                <w:top w:val="none" w:sz="0" w:space="0" w:color="auto"/>
                <w:left w:val="none" w:sz="0" w:space="0" w:color="auto"/>
                <w:bottom w:val="none" w:sz="0" w:space="0" w:color="auto"/>
                <w:right w:val="none" w:sz="0" w:space="0" w:color="auto"/>
              </w:divBdr>
              <w:divsChild>
                <w:div w:id="1194028535">
                  <w:marLeft w:val="105"/>
                  <w:marRight w:val="105"/>
                  <w:marTop w:val="150"/>
                  <w:marBottom w:val="150"/>
                  <w:divBdr>
                    <w:top w:val="none" w:sz="0" w:space="0" w:color="auto"/>
                    <w:left w:val="none" w:sz="0" w:space="0" w:color="auto"/>
                    <w:bottom w:val="none" w:sz="0" w:space="0" w:color="auto"/>
                    <w:right w:val="none" w:sz="0" w:space="0" w:color="auto"/>
                  </w:divBdr>
                  <w:divsChild>
                    <w:div w:id="199174799">
                      <w:marLeft w:val="0"/>
                      <w:marRight w:val="0"/>
                      <w:marTop w:val="0"/>
                      <w:marBottom w:val="0"/>
                      <w:divBdr>
                        <w:top w:val="none" w:sz="0" w:space="0" w:color="auto"/>
                        <w:left w:val="none" w:sz="0" w:space="0" w:color="auto"/>
                        <w:bottom w:val="none" w:sz="0" w:space="0" w:color="auto"/>
                        <w:right w:val="none" w:sz="0" w:space="0" w:color="auto"/>
                      </w:divBdr>
                      <w:divsChild>
                        <w:div w:id="1255087069">
                          <w:marLeft w:val="0"/>
                          <w:marRight w:val="0"/>
                          <w:marTop w:val="0"/>
                          <w:marBottom w:val="0"/>
                          <w:divBdr>
                            <w:top w:val="none" w:sz="0" w:space="0" w:color="auto"/>
                            <w:left w:val="none" w:sz="0" w:space="0" w:color="auto"/>
                            <w:bottom w:val="none" w:sz="0" w:space="0" w:color="auto"/>
                            <w:right w:val="none" w:sz="0" w:space="0" w:color="auto"/>
                          </w:divBdr>
                          <w:divsChild>
                            <w:div w:id="601031669">
                              <w:marLeft w:val="0"/>
                              <w:marRight w:val="0"/>
                              <w:marTop w:val="0"/>
                              <w:marBottom w:val="0"/>
                              <w:divBdr>
                                <w:top w:val="none" w:sz="0" w:space="0" w:color="auto"/>
                                <w:left w:val="none" w:sz="0" w:space="0" w:color="auto"/>
                                <w:bottom w:val="none" w:sz="0" w:space="0" w:color="auto"/>
                                <w:right w:val="none" w:sz="0" w:space="0" w:color="auto"/>
                              </w:divBdr>
                              <w:divsChild>
                                <w:div w:id="1436367874">
                                  <w:marLeft w:val="105"/>
                                  <w:marRight w:val="105"/>
                                  <w:marTop w:val="150"/>
                                  <w:marBottom w:val="150"/>
                                  <w:divBdr>
                                    <w:top w:val="none" w:sz="0" w:space="0" w:color="auto"/>
                                    <w:left w:val="none" w:sz="0" w:space="0" w:color="auto"/>
                                    <w:bottom w:val="none" w:sz="0" w:space="0" w:color="auto"/>
                                    <w:right w:val="none" w:sz="0" w:space="0" w:color="auto"/>
                                  </w:divBdr>
                                  <w:divsChild>
                                    <w:div w:id="1878006074">
                                      <w:marLeft w:val="0"/>
                                      <w:marRight w:val="0"/>
                                      <w:marTop w:val="0"/>
                                      <w:marBottom w:val="0"/>
                                      <w:divBdr>
                                        <w:top w:val="none" w:sz="0" w:space="0" w:color="auto"/>
                                        <w:left w:val="none" w:sz="0" w:space="0" w:color="auto"/>
                                        <w:bottom w:val="none" w:sz="0" w:space="0" w:color="auto"/>
                                        <w:right w:val="none" w:sz="0" w:space="0" w:color="auto"/>
                                      </w:divBdr>
                                      <w:divsChild>
                                        <w:div w:id="1495148456">
                                          <w:marLeft w:val="0"/>
                                          <w:marRight w:val="0"/>
                                          <w:marTop w:val="0"/>
                                          <w:marBottom w:val="0"/>
                                          <w:divBdr>
                                            <w:top w:val="none" w:sz="0" w:space="0" w:color="auto"/>
                                            <w:left w:val="none" w:sz="0" w:space="0" w:color="auto"/>
                                            <w:bottom w:val="none" w:sz="0" w:space="0" w:color="auto"/>
                                            <w:right w:val="none" w:sz="0" w:space="0" w:color="auto"/>
                                          </w:divBdr>
                                          <w:divsChild>
                                            <w:div w:id="1820724567">
                                              <w:marLeft w:val="0"/>
                                              <w:marRight w:val="0"/>
                                              <w:marTop w:val="0"/>
                                              <w:marBottom w:val="0"/>
                                              <w:divBdr>
                                                <w:top w:val="none" w:sz="0" w:space="0" w:color="auto"/>
                                                <w:left w:val="none" w:sz="0" w:space="0" w:color="auto"/>
                                                <w:bottom w:val="none" w:sz="0" w:space="0" w:color="auto"/>
                                                <w:right w:val="none" w:sz="0" w:space="0" w:color="auto"/>
                                              </w:divBdr>
                                              <w:divsChild>
                                                <w:div w:id="709644453">
                                                  <w:marLeft w:val="0"/>
                                                  <w:marRight w:val="0"/>
                                                  <w:marTop w:val="0"/>
                                                  <w:marBottom w:val="0"/>
                                                  <w:divBdr>
                                                    <w:top w:val="none" w:sz="0" w:space="0" w:color="auto"/>
                                                    <w:left w:val="none" w:sz="0" w:space="0" w:color="auto"/>
                                                    <w:bottom w:val="none" w:sz="0" w:space="0" w:color="auto"/>
                                                    <w:right w:val="none" w:sz="0" w:space="0" w:color="auto"/>
                                                  </w:divBdr>
                                                  <w:divsChild>
                                                    <w:div w:id="1942490324">
                                                      <w:marLeft w:val="105"/>
                                                      <w:marRight w:val="105"/>
                                                      <w:marTop w:val="150"/>
                                                      <w:marBottom w:val="150"/>
                                                      <w:divBdr>
                                                        <w:top w:val="none" w:sz="0" w:space="0" w:color="auto"/>
                                                        <w:left w:val="none" w:sz="0" w:space="0" w:color="auto"/>
                                                        <w:bottom w:val="none" w:sz="0" w:space="0" w:color="auto"/>
                                                        <w:right w:val="none" w:sz="0" w:space="0" w:color="auto"/>
                                                      </w:divBdr>
                                                      <w:divsChild>
                                                        <w:div w:id="1746686514">
                                                          <w:marLeft w:val="0"/>
                                                          <w:marRight w:val="0"/>
                                                          <w:marTop w:val="0"/>
                                                          <w:marBottom w:val="0"/>
                                                          <w:divBdr>
                                                            <w:top w:val="none" w:sz="0" w:space="0" w:color="auto"/>
                                                            <w:left w:val="none" w:sz="0" w:space="0" w:color="auto"/>
                                                            <w:bottom w:val="none" w:sz="0" w:space="0" w:color="auto"/>
                                                            <w:right w:val="none" w:sz="0" w:space="0" w:color="auto"/>
                                                          </w:divBdr>
                                                          <w:divsChild>
                                                            <w:div w:id="1446460570">
                                                              <w:marLeft w:val="0"/>
                                                              <w:marRight w:val="0"/>
                                                              <w:marTop w:val="0"/>
                                                              <w:marBottom w:val="0"/>
                                                              <w:divBdr>
                                                                <w:top w:val="none" w:sz="0" w:space="0" w:color="auto"/>
                                                                <w:left w:val="none" w:sz="0" w:space="0" w:color="auto"/>
                                                                <w:bottom w:val="none" w:sz="0" w:space="0" w:color="auto"/>
                                                                <w:right w:val="none" w:sz="0" w:space="0" w:color="auto"/>
                                                              </w:divBdr>
                                                              <w:divsChild>
                                                                <w:div w:id="7562275">
                                                                  <w:marLeft w:val="0"/>
                                                                  <w:marRight w:val="0"/>
                                                                  <w:marTop w:val="0"/>
                                                                  <w:marBottom w:val="0"/>
                                                                  <w:divBdr>
                                                                    <w:top w:val="none" w:sz="0" w:space="0" w:color="auto"/>
                                                                    <w:left w:val="none" w:sz="0" w:space="0" w:color="auto"/>
                                                                    <w:bottom w:val="none" w:sz="0" w:space="0" w:color="auto"/>
                                                                    <w:right w:val="none" w:sz="0" w:space="0" w:color="auto"/>
                                                                  </w:divBdr>
                                                                </w:div>
                                                                <w:div w:id="12293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customXml" Target="../customXml/item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c.org.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c.org.a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ncbi.nlm.nih.gov/pubmed/26738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2020FG-108-8370</_dlc_DocId>
    <_dlc_DocIdUrl xmlns="0f563589-9cf9-4143-b1eb-fb0534803d38">
      <Url>http://tweb/sites/fg/bpd/_layouts/15/DocIdRedir.aspx?ID=2020FG-108-8370</Url>
      <Description>2020FG-108-8370</Description>
    </_dlc_DocIdUrl>
    <RoutingTargetPath xmlns="http://schemas.microsoft.com/sharepoint/v3"/>
    <RoutingTargetFolder xmlns="http://schemas.microsoft.com/sharepoint/v3"/>
  </documentManagement>
</p:properties>
</file>

<file path=customXml/itemProps1.xml><?xml version="1.0" encoding="utf-8"?>
<ds:datastoreItem xmlns:ds="http://schemas.openxmlformats.org/officeDocument/2006/customXml" ds:itemID="{3F8579FF-7FEC-4281-BC37-01A5A55FDFAF}">
  <ds:schemaRefs>
    <ds:schemaRef ds:uri="http://schemas.openxmlformats.org/officeDocument/2006/bibliography"/>
  </ds:schemaRefs>
</ds:datastoreItem>
</file>

<file path=customXml/itemProps2.xml><?xml version="1.0" encoding="utf-8"?>
<ds:datastoreItem xmlns:ds="http://schemas.openxmlformats.org/officeDocument/2006/customXml" ds:itemID="{7D6DE9B9-097F-456D-A639-108D5CCA19B3}"/>
</file>

<file path=customXml/itemProps3.xml><?xml version="1.0" encoding="utf-8"?>
<ds:datastoreItem xmlns:ds="http://schemas.openxmlformats.org/officeDocument/2006/customXml" ds:itemID="{982DC86A-6734-45BF-A213-367C41405A82}"/>
</file>

<file path=customXml/itemProps4.xml><?xml version="1.0" encoding="utf-8"?>
<ds:datastoreItem xmlns:ds="http://schemas.openxmlformats.org/officeDocument/2006/customXml" ds:itemID="{EB4B4FCA-62D7-4FF8-BCDA-550DE8198246}"/>
</file>

<file path=customXml/itemProps5.xml><?xml version="1.0" encoding="utf-8"?>
<ds:datastoreItem xmlns:ds="http://schemas.openxmlformats.org/officeDocument/2006/customXml" ds:itemID="{98AC4802-38E5-4778-BF0F-4D3919EF1E3A}"/>
</file>

<file path=customXml/itemProps6.xml><?xml version="1.0" encoding="utf-8"?>
<ds:datastoreItem xmlns:ds="http://schemas.openxmlformats.org/officeDocument/2006/customXml" ds:itemID="{0EB3E47F-D612-4653-9D09-AFBE12B16C43}"/>
</file>

<file path=customXml/itemProps7.xml><?xml version="1.0" encoding="utf-8"?>
<ds:datastoreItem xmlns:ds="http://schemas.openxmlformats.org/officeDocument/2006/customXml" ds:itemID="{F9C889FF-02B9-458B-915B-578CA788C2B9}"/>
</file>

<file path=docProps/app.xml><?xml version="1.0" encoding="utf-8"?>
<Properties xmlns="http://schemas.openxmlformats.org/officeDocument/2006/extended-properties" xmlns:vt="http://schemas.openxmlformats.org/officeDocument/2006/docPropsVTypes">
  <Template>Normal</Template>
  <TotalTime>2</TotalTime>
  <Pages>6</Pages>
  <Words>1281</Words>
  <Characters>7307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Cancer Council Victoria</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Katarnya Hickey</dc:creator>
  <cp:lastModifiedBy>Kathryn Bloom</cp:lastModifiedBy>
  <cp:revision>2</cp:revision>
  <cp:lastPrinted>2017-01-18T10:23:00Z</cp:lastPrinted>
  <dcterms:created xsi:type="dcterms:W3CDTF">2019-12-23T03:15:00Z</dcterms:created>
  <dcterms:modified xsi:type="dcterms:W3CDTF">2019-12-23T03:15:00Z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0cf1ac86-b2e6-43d7-874e-45a7964a9adf</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{0cf1ac86-b2e6-43d7-874e-45a7964a9adf}</vt:lpwstr>
  </property>
  <property fmtid="{D5CDD505-2E9C-101B-9397-08002B2CF9AE}" pid="9" name="RecordPoint_ActiveItemWebId">
    <vt:lpwstr>{2af1fd9f-9360-4de3-abf2-ccd65f89a90c}</vt:lpwstr>
  </property>
  <property fmtid="{D5CDD505-2E9C-101B-9397-08002B2CF9AE}" pid="10" name="RecordPoint_RecordNumberSubmitted">
    <vt:lpwstr>R0002193259</vt:lpwstr>
  </property>
  <property fmtid="{D5CDD505-2E9C-101B-9397-08002B2CF9AE}" pid="11" name="RecordPoint_SubmissionCompleted">
    <vt:lpwstr>2020-01-20T18:06:09.1541235+11:00</vt:lpwstr>
  </property>
</Properties>
</file>