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56DFC" w14:textId="77777777" w:rsidR="00995A9C" w:rsidRDefault="001D2EA2" w:rsidP="009A2457">
      <w:pPr>
        <w:spacing w:after="0" w:line="240" w:lineRule="auto"/>
        <w:rPr>
          <w:rFonts w:cs="Times New Roman"/>
          <w:color w:val="7567A4"/>
          <w:sz w:val="28"/>
          <w:szCs w:val="28"/>
        </w:rPr>
      </w:pPr>
      <w:bookmarkStart w:id="0" w:name="_Toc420676249"/>
      <w:bookmarkStart w:id="1" w:name="_Toc425424118"/>
      <w:bookmarkStart w:id="2" w:name="_Toc173902364"/>
      <w:r>
        <w:rPr>
          <w:rFonts w:cs="Times New Roman"/>
          <w:noProof/>
          <w:color w:val="7567A4"/>
          <w:sz w:val="28"/>
          <w:szCs w:val="28"/>
        </w:rPr>
        <mc:AlternateContent>
          <mc:Choice Requires="wps">
            <w:drawing>
              <wp:anchor distT="45720" distB="45720" distL="114300" distR="114300" simplePos="0" relativeHeight="251658241" behindDoc="0" locked="0" layoutInCell="1" allowOverlap="1" wp14:anchorId="25A7D22D" wp14:editId="38AB3523">
                <wp:simplePos x="0" y="0"/>
                <wp:positionH relativeFrom="margin">
                  <wp:posOffset>361950</wp:posOffset>
                </wp:positionH>
                <wp:positionV relativeFrom="paragraph">
                  <wp:posOffset>5019675</wp:posOffset>
                </wp:positionV>
                <wp:extent cx="5384800" cy="18764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876425"/>
                        </a:xfrm>
                        <a:prstGeom prst="rect">
                          <a:avLst/>
                        </a:prstGeom>
                        <a:noFill/>
                        <a:ln w="9525">
                          <a:noFill/>
                          <a:miter lim="800000"/>
                          <a:headEnd/>
                          <a:tailEnd/>
                        </a:ln>
                      </wps:spPr>
                      <wps:txbx>
                        <w:txbxContent>
                          <w:p w14:paraId="70541CD4" w14:textId="4C081D37" w:rsidR="00AB58B3" w:rsidRDefault="00AB58B3" w:rsidP="003E0236">
                            <w:pPr>
                              <w:pStyle w:val="ListParagraph"/>
                              <w:ind w:left="1080" w:firstLine="0"/>
                              <w:rPr>
                                <w:rFonts w:ascii="Segoe UI" w:hAnsi="Segoe UI" w:cs="Segoe UI"/>
                                <w:color w:val="FFFFFF" w:themeColor="background1"/>
                                <w:sz w:val="44"/>
                                <w:szCs w:val="35"/>
                              </w:rPr>
                            </w:pPr>
                            <w:r>
                              <w:rPr>
                                <w:rFonts w:ascii="Segoe UI" w:hAnsi="Segoe UI" w:cs="Segoe UI"/>
                                <w:color w:val="FFFFFF" w:themeColor="background1"/>
                                <w:sz w:val="44"/>
                                <w:szCs w:val="35"/>
                              </w:rPr>
                              <w:t>Improving Palliative Care in</w:t>
                            </w:r>
                          </w:p>
                          <w:p w14:paraId="04CF36D3" w14:textId="08F97942" w:rsidR="00E05B93" w:rsidRDefault="00E05B93">
                            <w:pPr>
                              <w:pStyle w:val="ListParagraph"/>
                              <w:ind w:left="1080" w:firstLine="0"/>
                              <w:rPr>
                                <w:rFonts w:ascii="Segoe UI" w:hAnsi="Segoe UI" w:cs="Segoe UI"/>
                                <w:color w:val="FFFFFF" w:themeColor="background1"/>
                                <w:sz w:val="44"/>
                                <w:szCs w:val="35"/>
                              </w:rPr>
                            </w:pPr>
                            <w:r w:rsidRPr="00B956AA">
                              <w:rPr>
                                <w:rFonts w:ascii="Segoe UI" w:hAnsi="Segoe UI" w:cs="Segoe UI"/>
                                <w:color w:val="FFFFFF" w:themeColor="background1"/>
                                <w:sz w:val="44"/>
                                <w:szCs w:val="35"/>
                              </w:rPr>
                              <w:t xml:space="preserve">Residential Aged Care </w:t>
                            </w:r>
                          </w:p>
                          <w:p w14:paraId="1C76FE24" w14:textId="1C302AD2" w:rsidR="00E05B93" w:rsidRPr="001D2EA2" w:rsidRDefault="00E05B93" w:rsidP="00B956AA">
                            <w:pPr>
                              <w:pStyle w:val="ListParagraph"/>
                              <w:ind w:left="1080" w:firstLine="0"/>
                              <w:rPr>
                                <w:rFonts w:ascii="Segoe UI" w:hAnsi="Segoe UI" w:cs="Segoe UI"/>
                                <w:color w:val="FFFFFF" w:themeColor="background1"/>
                                <w:sz w:val="44"/>
                                <w:szCs w:val="3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7D22D" id="_x0000_t202" coordsize="21600,21600" o:spt="202" path="m,l,21600r21600,l21600,xe">
                <v:stroke joinstyle="miter"/>
                <v:path gradientshapeok="t" o:connecttype="rect"/>
              </v:shapetype>
              <v:shape id="Text Box 2" o:spid="_x0000_s1026" type="#_x0000_t202" style="position:absolute;margin-left:28.5pt;margin-top:395.25pt;width:424pt;height:14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" filled="f" stroked="f">
                <v:textbox>
                  <w:txbxContent>
                    <w:p w14:paraId="70541CD4" w14:textId="4C081D37" w:rsidR="00AB58B3" w:rsidRDefault="00AB58B3" w:rsidP="003E0236">
                      <w:pPr>
                        <w:pStyle w:val="ListParagraph"/>
                        <w:ind w:left="1080" w:firstLine="0"/>
                        <w:rPr>
                          <w:rFonts w:ascii="Segoe UI" w:hAnsi="Segoe UI" w:cs="Segoe UI"/>
                          <w:color w:val="FFFFFF" w:themeColor="background1"/>
                          <w:sz w:val="44"/>
                          <w:szCs w:val="35"/>
                        </w:rPr>
                      </w:pPr>
                      <w:r>
                        <w:rPr>
                          <w:rFonts w:ascii="Segoe UI" w:hAnsi="Segoe UI" w:cs="Segoe UI"/>
                          <w:color w:val="FFFFFF" w:themeColor="background1"/>
                          <w:sz w:val="44"/>
                          <w:szCs w:val="35"/>
                        </w:rPr>
                        <w:t>Improving Palliative Care in</w:t>
                      </w:r>
                    </w:p>
                    <w:p w14:paraId="04CF36D3" w14:textId="08F97942" w:rsidR="00E05B93" w:rsidRDefault="00E05B93">
                      <w:pPr>
                        <w:pStyle w:val="ListParagraph"/>
                        <w:ind w:left="1080" w:firstLine="0"/>
                        <w:rPr>
                          <w:rFonts w:ascii="Segoe UI" w:hAnsi="Segoe UI" w:cs="Segoe UI"/>
                          <w:color w:val="FFFFFF" w:themeColor="background1"/>
                          <w:sz w:val="44"/>
                          <w:szCs w:val="35"/>
                        </w:rPr>
                      </w:pPr>
                      <w:r w:rsidRPr="00B956AA">
                        <w:rPr>
                          <w:rFonts w:ascii="Segoe UI" w:hAnsi="Segoe UI" w:cs="Segoe UI"/>
                          <w:color w:val="FFFFFF" w:themeColor="background1"/>
                          <w:sz w:val="44"/>
                          <w:szCs w:val="35"/>
                        </w:rPr>
                        <w:t xml:space="preserve">Residential Aged Care </w:t>
                      </w:r>
                    </w:p>
                    <w:p w14:paraId="1C76FE24" w14:textId="1C302AD2" w:rsidR="00E05B93" w:rsidRPr="001D2EA2" w:rsidRDefault="00E05B93" w:rsidP="00B956AA">
                      <w:pPr>
                        <w:pStyle w:val="ListParagraph"/>
                        <w:ind w:left="1080" w:firstLine="0"/>
                        <w:rPr>
                          <w:rFonts w:ascii="Segoe UI" w:hAnsi="Segoe UI" w:cs="Segoe UI"/>
                          <w:color w:val="FFFFFF" w:themeColor="background1"/>
                          <w:sz w:val="44"/>
                          <w:szCs w:val="35"/>
                        </w:rPr>
                      </w:pPr>
                    </w:p>
                  </w:txbxContent>
                </v:textbox>
                <w10:wrap anchorx="margin"/>
              </v:shape>
            </w:pict>
          </mc:Fallback>
        </mc:AlternateContent>
      </w:r>
      <w:r w:rsidR="008A3CBD">
        <w:rPr>
          <w:rFonts w:cs="Times New Roman"/>
          <w:noProof/>
          <w:color w:val="7567A4"/>
          <w:sz w:val="28"/>
          <w:szCs w:val="28"/>
        </w:rPr>
        <mc:AlternateContent>
          <mc:Choice Requires="wps">
            <w:drawing>
              <wp:anchor distT="45720" distB="45720" distL="114300" distR="114300" simplePos="0" relativeHeight="251658240" behindDoc="0" locked="0" layoutInCell="1" allowOverlap="1" wp14:anchorId="7D1D4DCA" wp14:editId="683E38AA">
                <wp:simplePos x="0" y="0"/>
                <wp:positionH relativeFrom="margin">
                  <wp:posOffset>335915</wp:posOffset>
                </wp:positionH>
                <wp:positionV relativeFrom="paragraph">
                  <wp:posOffset>3394710</wp:posOffset>
                </wp:positionV>
                <wp:extent cx="5384800" cy="17354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735455"/>
                        </a:xfrm>
                        <a:prstGeom prst="rect">
                          <a:avLst/>
                        </a:prstGeom>
                        <a:noFill/>
                        <a:ln w="9525">
                          <a:noFill/>
                          <a:miter lim="800000"/>
                          <a:headEnd/>
                          <a:tailEnd/>
                        </a:ln>
                      </wps:spPr>
                      <wps:txbx>
                        <w:txbxContent>
                          <w:p w14:paraId="598DCD56" w14:textId="77777777" w:rsidR="00E05B93" w:rsidRPr="00A557B6" w:rsidRDefault="00E05B93" w:rsidP="000239D7">
                            <w:pPr>
                              <w:pStyle w:val="p1"/>
                              <w:spacing w:before="100" w:beforeAutospacing="1" w:after="100" w:afterAutospacing="1" w:line="1160" w:lineRule="exact"/>
                              <w:contextualSpacing/>
                              <w:rPr>
                                <w:b/>
                                <w:bCs/>
                                <w:color w:val="FFFFFF" w:themeColor="background1"/>
                                <w:kern w:val="10"/>
                                <w:sz w:val="72"/>
                                <w:szCs w:val="72"/>
                              </w:rPr>
                            </w:pPr>
                            <w:r w:rsidRPr="00A557B6">
                              <w:rPr>
                                <w:b/>
                                <w:bCs/>
                                <w:color w:val="FFFFFF" w:themeColor="background1"/>
                                <w:kern w:val="10"/>
                                <w:sz w:val="72"/>
                                <w:szCs w:val="72"/>
                              </w:rPr>
                              <w:t>Pre-Budget Submission 2020-21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D4DCA" id="_x0000_s1027" type="#_x0000_t202" style="position:absolute;margin-left:26.45pt;margin-top:267.3pt;width:424pt;height:136.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" filled="f" stroked="f">
                <v:textbox>
                  <w:txbxContent>
                    <w:p w14:paraId="598DCD56" w14:textId="77777777" w:rsidR="00E05B93" w:rsidRPr="00A557B6" w:rsidRDefault="00E05B93" w:rsidP="000239D7">
                      <w:pPr>
                        <w:pStyle w:val="p1"/>
                        <w:spacing w:before="100" w:beforeAutospacing="1" w:after="100" w:afterAutospacing="1" w:line="1160" w:lineRule="exact"/>
                        <w:contextualSpacing/>
                        <w:rPr>
                          <w:b/>
                          <w:bCs/>
                          <w:color w:val="FFFFFF" w:themeColor="background1"/>
                          <w:kern w:val="10"/>
                          <w:sz w:val="72"/>
                          <w:szCs w:val="72"/>
                        </w:rPr>
                      </w:pPr>
                      <w:r w:rsidRPr="00A557B6">
                        <w:rPr>
                          <w:b/>
                          <w:bCs/>
                          <w:color w:val="FFFFFF" w:themeColor="background1"/>
                          <w:kern w:val="10"/>
                          <w:sz w:val="72"/>
                          <w:szCs w:val="72"/>
                        </w:rPr>
                        <w:t>Pre-Budget Submission 2020-21</w:t>
                      </w:r>
                    </w:p>
                  </w:txbxContent>
                </v:textbox>
                <w10:wrap anchorx="margin"/>
              </v:shape>
            </w:pict>
          </mc:Fallback>
        </mc:AlternateContent>
      </w:r>
      <w:r w:rsidR="00995A9C">
        <w:rPr>
          <w:noProof/>
        </w:rPr>
        <w:drawing>
          <wp:inline distT="0" distB="0" distL="0" distR="0" wp14:anchorId="3610BC62" wp14:editId="3B17C149">
            <wp:extent cx="6116955" cy="86713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_Document Cover_Purp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6955" cy="8671331"/>
                    </a:xfrm>
                    <a:prstGeom prst="rect">
                      <a:avLst/>
                    </a:prstGeom>
                  </pic:spPr>
                </pic:pic>
              </a:graphicData>
            </a:graphic>
          </wp:inline>
        </w:drawing>
      </w:r>
      <w:r w:rsidR="00995A9C">
        <w:rPr>
          <w:rFonts w:cs="Times New Roman"/>
          <w:color w:val="7567A4"/>
          <w:sz w:val="28"/>
          <w:szCs w:val="28"/>
        </w:rPr>
        <w:br w:type="page"/>
      </w:r>
    </w:p>
    <w:p w14:paraId="252D58D6" w14:textId="77777777" w:rsidR="00F4786D" w:rsidRPr="006F2386" w:rsidRDefault="00F4786D" w:rsidP="00F4786D">
      <w:pPr>
        <w:pStyle w:val="Heading1"/>
        <w:rPr>
          <w:rFonts w:ascii="Segoe UI" w:hAnsi="Segoe UI"/>
          <w:b/>
          <w:color w:val="5E2788"/>
          <w:sz w:val="44"/>
          <w:lang w:val="en-US"/>
        </w:rPr>
      </w:pPr>
      <w:r w:rsidRPr="006F2386">
        <w:rPr>
          <w:rFonts w:ascii="Segoe UI" w:hAnsi="Segoe UI"/>
          <w:b/>
          <w:color w:val="5E2788"/>
          <w:sz w:val="44"/>
          <w:lang w:val="en-US"/>
        </w:rPr>
        <w:lastRenderedPageBreak/>
        <w:t>Executive Summary</w:t>
      </w:r>
    </w:p>
    <w:p w14:paraId="72CD988A" w14:textId="5E055F9F" w:rsidR="00503E3F" w:rsidRPr="0021730C" w:rsidRDefault="00FA1A96" w:rsidP="00503E3F">
      <w:pPr>
        <w:spacing w:line="240" w:lineRule="auto"/>
        <w:rPr>
          <w:rFonts w:ascii="Segoe UI" w:hAnsi="Segoe UI" w:cs="Segoe UI"/>
          <w:sz w:val="22"/>
          <w:szCs w:val="22"/>
          <w:lang w:val="en-US"/>
        </w:rPr>
      </w:pPr>
      <w:r>
        <w:rPr>
          <w:rFonts w:ascii="Segoe UI" w:hAnsi="Segoe UI" w:cs="Segoe UI"/>
          <w:sz w:val="22"/>
          <w:szCs w:val="22"/>
          <w:lang w:val="en-US"/>
        </w:rPr>
        <w:t xml:space="preserve">The </w:t>
      </w:r>
      <w:r w:rsidR="00503E3F" w:rsidRPr="0021730C">
        <w:rPr>
          <w:rFonts w:ascii="Segoe UI" w:hAnsi="Segoe UI" w:cs="Segoe UI"/>
          <w:sz w:val="22"/>
          <w:szCs w:val="22"/>
          <w:lang w:val="en-US"/>
        </w:rPr>
        <w:t>Royal Commission into Aged Care</w:t>
      </w:r>
      <w:r>
        <w:rPr>
          <w:rFonts w:ascii="Segoe UI" w:hAnsi="Segoe UI" w:cs="Segoe UI"/>
          <w:sz w:val="22"/>
          <w:szCs w:val="22"/>
          <w:lang w:val="en-US"/>
        </w:rPr>
        <w:t>, Quality</w:t>
      </w:r>
      <w:r w:rsidR="00503E3F" w:rsidRPr="0021730C">
        <w:rPr>
          <w:rFonts w:ascii="Segoe UI" w:hAnsi="Segoe UI" w:cs="Segoe UI"/>
          <w:sz w:val="22"/>
          <w:szCs w:val="22"/>
          <w:lang w:val="en-US"/>
        </w:rPr>
        <w:t xml:space="preserve"> and Safety has</w:t>
      </w:r>
      <w:r w:rsidR="00C67B58">
        <w:rPr>
          <w:rFonts w:ascii="Segoe UI" w:hAnsi="Segoe UI" w:cs="Segoe UI"/>
          <w:sz w:val="22"/>
          <w:szCs w:val="22"/>
          <w:lang w:val="en-US"/>
        </w:rPr>
        <w:t xml:space="preserve"> demanded</w:t>
      </w:r>
      <w:r w:rsidR="00503E3F" w:rsidRPr="0021730C">
        <w:rPr>
          <w:rFonts w:ascii="Segoe UI" w:hAnsi="Segoe UI" w:cs="Segoe UI"/>
          <w:sz w:val="22"/>
          <w:szCs w:val="22"/>
          <w:lang w:val="en-US"/>
        </w:rPr>
        <w:t xml:space="preserve"> </w:t>
      </w:r>
      <w:r w:rsidR="00503E3F">
        <w:rPr>
          <w:rFonts w:ascii="Segoe UI" w:hAnsi="Segoe UI" w:cs="Segoe UI"/>
          <w:sz w:val="22"/>
          <w:szCs w:val="22"/>
          <w:lang w:val="en-US"/>
        </w:rPr>
        <w:t>systemic change</w:t>
      </w:r>
      <w:r w:rsidR="00503E3F" w:rsidRPr="0021730C">
        <w:rPr>
          <w:rFonts w:ascii="Segoe UI" w:hAnsi="Segoe UI" w:cs="Segoe UI"/>
          <w:sz w:val="22"/>
          <w:szCs w:val="22"/>
          <w:lang w:val="en-US"/>
        </w:rPr>
        <w:t xml:space="preserve"> </w:t>
      </w:r>
      <w:r w:rsidR="00540D42">
        <w:rPr>
          <w:rFonts w:ascii="Segoe UI" w:hAnsi="Segoe UI" w:cs="Segoe UI"/>
          <w:sz w:val="22"/>
          <w:szCs w:val="22"/>
          <w:lang w:val="en-US"/>
        </w:rPr>
        <w:t xml:space="preserve">to enable the </w:t>
      </w:r>
      <w:r w:rsidR="00503E3F" w:rsidRPr="0021730C">
        <w:rPr>
          <w:rFonts w:ascii="Segoe UI" w:hAnsi="Segoe UI" w:cs="Segoe UI"/>
          <w:sz w:val="22"/>
          <w:szCs w:val="22"/>
          <w:lang w:val="en-US"/>
        </w:rPr>
        <w:t>aged care system</w:t>
      </w:r>
      <w:r w:rsidR="00540D42">
        <w:rPr>
          <w:rFonts w:ascii="Segoe UI" w:hAnsi="Segoe UI" w:cs="Segoe UI"/>
          <w:sz w:val="22"/>
          <w:szCs w:val="22"/>
          <w:lang w:val="en-US"/>
        </w:rPr>
        <w:t xml:space="preserve"> to</w:t>
      </w:r>
      <w:r w:rsidR="00503E3F" w:rsidRPr="0021730C">
        <w:rPr>
          <w:rFonts w:ascii="Segoe UI" w:hAnsi="Segoe UI" w:cs="Segoe UI"/>
          <w:sz w:val="22"/>
          <w:szCs w:val="22"/>
          <w:lang w:val="en-US"/>
        </w:rPr>
        <w:t xml:space="preserve"> meet the needs of older, vulnerable </w:t>
      </w:r>
      <w:r w:rsidR="00540D42">
        <w:rPr>
          <w:rFonts w:ascii="Segoe UI" w:hAnsi="Segoe UI" w:cs="Segoe UI"/>
          <w:sz w:val="22"/>
          <w:szCs w:val="22"/>
          <w:lang w:val="en-US"/>
        </w:rPr>
        <w:t>Australians</w:t>
      </w:r>
      <w:r w:rsidR="00503E3F" w:rsidRPr="0021730C">
        <w:rPr>
          <w:rFonts w:ascii="Segoe UI" w:hAnsi="Segoe UI" w:cs="Segoe UI"/>
          <w:sz w:val="22"/>
          <w:szCs w:val="22"/>
          <w:lang w:val="en-US"/>
        </w:rPr>
        <w:t>.</w:t>
      </w:r>
      <w:r w:rsidR="00503E3F">
        <w:rPr>
          <w:rFonts w:ascii="Segoe UI" w:hAnsi="Segoe UI" w:cs="Segoe UI"/>
          <w:sz w:val="22"/>
          <w:szCs w:val="22"/>
          <w:lang w:val="en-US"/>
        </w:rPr>
        <w:t xml:space="preserve"> The hearings hav</w:t>
      </w:r>
      <w:r w:rsidR="000050C1">
        <w:rPr>
          <w:rFonts w:ascii="Segoe UI" w:hAnsi="Segoe UI" w:cs="Segoe UI"/>
          <w:sz w:val="22"/>
          <w:szCs w:val="22"/>
          <w:lang w:val="en-US"/>
        </w:rPr>
        <w:t xml:space="preserve">e highlighted </w:t>
      </w:r>
      <w:r w:rsidR="002B3428">
        <w:rPr>
          <w:rFonts w:ascii="Segoe UI" w:hAnsi="Segoe UI" w:cs="Segoe UI"/>
          <w:sz w:val="22"/>
          <w:szCs w:val="22"/>
          <w:lang w:val="en-US"/>
        </w:rPr>
        <w:t xml:space="preserve">inadequacies in </w:t>
      </w:r>
      <w:r w:rsidR="003A2DB0">
        <w:rPr>
          <w:rFonts w:ascii="Segoe UI" w:hAnsi="Segoe UI" w:cs="Segoe UI"/>
          <w:sz w:val="22"/>
          <w:szCs w:val="22"/>
          <w:lang w:val="en-US"/>
        </w:rPr>
        <w:t>accessibility</w:t>
      </w:r>
      <w:r w:rsidR="002B3428">
        <w:rPr>
          <w:rFonts w:ascii="Segoe UI" w:hAnsi="Segoe UI" w:cs="Segoe UI"/>
          <w:sz w:val="22"/>
          <w:szCs w:val="22"/>
          <w:lang w:val="en-US"/>
        </w:rPr>
        <w:t xml:space="preserve"> and </w:t>
      </w:r>
      <w:r w:rsidR="00C67B58">
        <w:rPr>
          <w:rFonts w:ascii="Segoe UI" w:hAnsi="Segoe UI" w:cs="Segoe UI"/>
          <w:sz w:val="22"/>
          <w:szCs w:val="22"/>
          <w:lang w:val="en-US"/>
        </w:rPr>
        <w:t xml:space="preserve">quality of </w:t>
      </w:r>
      <w:r w:rsidR="00503E3F">
        <w:rPr>
          <w:rFonts w:ascii="Segoe UI" w:hAnsi="Segoe UI" w:cs="Segoe UI"/>
          <w:sz w:val="22"/>
          <w:szCs w:val="22"/>
          <w:lang w:val="en-US"/>
        </w:rPr>
        <w:t xml:space="preserve">palliative care in residential aged </w:t>
      </w:r>
      <w:r w:rsidR="008F73AE">
        <w:rPr>
          <w:rFonts w:ascii="Segoe UI" w:hAnsi="Segoe UI" w:cs="Segoe UI"/>
          <w:sz w:val="22"/>
          <w:szCs w:val="22"/>
          <w:lang w:val="en-US"/>
        </w:rPr>
        <w:t>care and</w:t>
      </w:r>
      <w:r w:rsidR="005F4899">
        <w:rPr>
          <w:rFonts w:ascii="Segoe UI" w:hAnsi="Segoe UI" w:cs="Segoe UI"/>
          <w:sz w:val="22"/>
          <w:szCs w:val="22"/>
          <w:lang w:val="en-US"/>
        </w:rPr>
        <w:t xml:space="preserve"> </w:t>
      </w:r>
      <w:r w:rsidR="00540D42">
        <w:rPr>
          <w:rFonts w:ascii="Segoe UI" w:hAnsi="Segoe UI" w:cs="Segoe UI"/>
          <w:sz w:val="22"/>
          <w:szCs w:val="22"/>
          <w:lang w:val="en-US"/>
        </w:rPr>
        <w:t xml:space="preserve">considered how </w:t>
      </w:r>
      <w:r w:rsidR="005F4899">
        <w:rPr>
          <w:rFonts w:ascii="Segoe UI" w:hAnsi="Segoe UI" w:cs="Segoe UI"/>
          <w:sz w:val="22"/>
          <w:szCs w:val="22"/>
          <w:lang w:val="en-US"/>
        </w:rPr>
        <w:t xml:space="preserve">the </w:t>
      </w:r>
      <w:r w:rsidR="00503E3F">
        <w:rPr>
          <w:rFonts w:ascii="Segoe UI" w:hAnsi="Segoe UI" w:cs="Segoe UI"/>
          <w:sz w:val="22"/>
          <w:szCs w:val="22"/>
          <w:lang w:val="en-US"/>
        </w:rPr>
        <w:t>interface between the health system and aged care</w:t>
      </w:r>
      <w:r w:rsidR="005F4899">
        <w:rPr>
          <w:rFonts w:ascii="Segoe UI" w:hAnsi="Segoe UI" w:cs="Segoe UI"/>
          <w:sz w:val="22"/>
          <w:szCs w:val="22"/>
          <w:lang w:val="en-US"/>
        </w:rPr>
        <w:t xml:space="preserve"> be strengthened</w:t>
      </w:r>
      <w:r w:rsidR="00C67B58">
        <w:rPr>
          <w:rFonts w:ascii="Segoe UI" w:hAnsi="Segoe UI" w:cs="Segoe UI"/>
          <w:sz w:val="22"/>
          <w:szCs w:val="22"/>
          <w:lang w:val="en-US"/>
        </w:rPr>
        <w:t>.</w:t>
      </w:r>
      <w:r w:rsidR="00503E3F">
        <w:rPr>
          <w:rStyle w:val="FootnoteReference"/>
          <w:rFonts w:ascii="Segoe UI" w:hAnsi="Segoe UI" w:cs="Segoe UI"/>
          <w:sz w:val="22"/>
          <w:szCs w:val="22"/>
          <w:lang w:val="en-US"/>
        </w:rPr>
        <w:footnoteReference w:id="2"/>
      </w:r>
      <w:r w:rsidR="00540D42">
        <w:rPr>
          <w:rFonts w:ascii="Segoe UI" w:hAnsi="Segoe UI" w:cs="Segoe UI"/>
          <w:sz w:val="22"/>
          <w:szCs w:val="22"/>
          <w:lang w:val="en-US"/>
        </w:rPr>
        <w:t xml:space="preserve"> </w:t>
      </w:r>
    </w:p>
    <w:p w14:paraId="57B5D9D7" w14:textId="4E062425" w:rsidR="00F4786D" w:rsidRDefault="003E0236" w:rsidP="00F4786D">
      <w:pPr>
        <w:spacing w:line="240" w:lineRule="auto"/>
        <w:rPr>
          <w:rFonts w:ascii="Segoe UI" w:hAnsi="Segoe UI" w:cs="Segoe UI"/>
          <w:sz w:val="22"/>
          <w:szCs w:val="22"/>
          <w:lang w:val="en-US"/>
        </w:rPr>
      </w:pPr>
      <w:r>
        <w:rPr>
          <w:rFonts w:ascii="Segoe UI" w:hAnsi="Segoe UI" w:cs="Segoe UI"/>
          <w:sz w:val="22"/>
          <w:szCs w:val="22"/>
          <w:lang w:val="en-US"/>
        </w:rPr>
        <w:t xml:space="preserve">There are many initiatives that a Federal Budget can </w:t>
      </w:r>
      <w:r w:rsidR="00DF75D7">
        <w:rPr>
          <w:rFonts w:ascii="Segoe UI" w:hAnsi="Segoe UI" w:cs="Segoe UI"/>
          <w:sz w:val="22"/>
          <w:szCs w:val="22"/>
          <w:lang w:val="en-US"/>
        </w:rPr>
        <w:t xml:space="preserve">fund in order to </w:t>
      </w:r>
      <w:r>
        <w:rPr>
          <w:rFonts w:ascii="Segoe UI" w:hAnsi="Segoe UI" w:cs="Segoe UI"/>
          <w:sz w:val="22"/>
          <w:szCs w:val="22"/>
          <w:lang w:val="en-US"/>
        </w:rPr>
        <w:t>strengthen the capability of the aged care sector</w:t>
      </w:r>
      <w:r w:rsidR="00135B62">
        <w:rPr>
          <w:rFonts w:ascii="Segoe UI" w:hAnsi="Segoe UI" w:cs="Segoe UI"/>
          <w:sz w:val="22"/>
          <w:szCs w:val="22"/>
          <w:lang w:val="en-US"/>
        </w:rPr>
        <w:t xml:space="preserve">.   However, a focus on delivering </w:t>
      </w:r>
      <w:r>
        <w:rPr>
          <w:rFonts w:ascii="Segoe UI" w:hAnsi="Segoe UI" w:cs="Segoe UI"/>
          <w:sz w:val="22"/>
          <w:szCs w:val="22"/>
          <w:lang w:val="en-US"/>
        </w:rPr>
        <w:t xml:space="preserve">effective and compassionate </w:t>
      </w:r>
      <w:r w:rsidR="00135B62">
        <w:rPr>
          <w:rFonts w:ascii="Segoe UI" w:hAnsi="Segoe UI" w:cs="Segoe UI"/>
          <w:sz w:val="22"/>
          <w:szCs w:val="22"/>
          <w:lang w:val="en-US"/>
        </w:rPr>
        <w:t>palliative care</w:t>
      </w:r>
      <w:r>
        <w:rPr>
          <w:rFonts w:ascii="Segoe UI" w:hAnsi="Segoe UI" w:cs="Segoe UI"/>
          <w:sz w:val="22"/>
          <w:szCs w:val="22"/>
          <w:lang w:val="en-US"/>
        </w:rPr>
        <w:t xml:space="preserve"> </w:t>
      </w:r>
      <w:r w:rsidR="00135B62">
        <w:rPr>
          <w:rFonts w:ascii="Segoe UI" w:hAnsi="Segoe UI" w:cs="Segoe UI"/>
          <w:sz w:val="22"/>
          <w:szCs w:val="22"/>
          <w:lang w:val="en-US"/>
        </w:rPr>
        <w:t xml:space="preserve">in residential aged care not only improves the quality of end of life care but is a highly efficient economic proposition for the health and aged care </w:t>
      </w:r>
      <w:proofErr w:type="gramStart"/>
      <w:r w:rsidR="00135B62">
        <w:rPr>
          <w:rFonts w:ascii="Segoe UI" w:hAnsi="Segoe UI" w:cs="Segoe UI"/>
          <w:sz w:val="22"/>
          <w:szCs w:val="22"/>
          <w:lang w:val="en-US"/>
        </w:rPr>
        <w:t>system as a whole</w:t>
      </w:r>
      <w:proofErr w:type="gramEnd"/>
      <w:r w:rsidR="00135B62">
        <w:rPr>
          <w:rFonts w:ascii="Segoe UI" w:hAnsi="Segoe UI" w:cs="Segoe UI"/>
          <w:sz w:val="22"/>
          <w:szCs w:val="22"/>
          <w:lang w:val="en-US"/>
        </w:rPr>
        <w:t>.</w:t>
      </w:r>
    </w:p>
    <w:p w14:paraId="02B65A0B" w14:textId="77777777" w:rsidR="00772A2D" w:rsidRDefault="00772A2D" w:rsidP="00F4786D">
      <w:pPr>
        <w:spacing w:line="240" w:lineRule="auto"/>
        <w:rPr>
          <w:rFonts w:ascii="Segoe UI" w:hAnsi="Segoe UI" w:cs="Segoe UI"/>
          <w:sz w:val="22"/>
          <w:szCs w:val="22"/>
          <w:lang w:val="en-US"/>
        </w:rPr>
      </w:pPr>
    </w:p>
    <w:p w14:paraId="35EE97EB" w14:textId="77777777" w:rsidR="00772A2D" w:rsidRPr="004F0180" w:rsidRDefault="00772A2D" w:rsidP="00772A2D">
      <w:pPr>
        <w:pBdr>
          <w:bottom w:val="single" w:sz="4" w:space="1" w:color="7567A4"/>
        </w:pBdr>
        <w:spacing w:before="100" w:beforeAutospacing="1" w:after="100" w:afterAutospacing="1" w:line="240" w:lineRule="auto"/>
        <w:outlineLvl w:val="0"/>
        <w:rPr>
          <w:rFonts w:ascii="Segoe UI" w:hAnsi="Segoe UI" w:cs="Segoe UI"/>
          <w:b/>
          <w:color w:val="470A68" w:themeColor="accent1"/>
          <w:sz w:val="48"/>
          <w:szCs w:val="48"/>
        </w:rPr>
      </w:pPr>
      <w:r w:rsidRPr="006F2386">
        <w:rPr>
          <w:rFonts w:ascii="Segoe UI" w:hAnsi="Segoe UI" w:cs="Segoe UI"/>
          <w:b/>
          <w:color w:val="470A68" w:themeColor="accent1"/>
          <w:sz w:val="44"/>
          <w:szCs w:val="48"/>
        </w:rPr>
        <w:t>About HammondCare</w:t>
      </w:r>
    </w:p>
    <w:p w14:paraId="1D46E9D1" w14:textId="77777777" w:rsidR="00772A2D" w:rsidRDefault="00772A2D" w:rsidP="00772A2D">
      <w:pPr>
        <w:pStyle w:val="paragraph"/>
        <w:textAlignment w:val="baseline"/>
        <w:rPr>
          <w:rStyle w:val="normaltextrun1"/>
          <w:rFonts w:ascii="Segoe UI" w:hAnsi="Segoe UI" w:cs="Segoe UI"/>
          <w:sz w:val="22"/>
          <w:szCs w:val="22"/>
        </w:rPr>
      </w:pPr>
      <w:r w:rsidRPr="00D73EBA">
        <w:rPr>
          <w:rStyle w:val="normaltextrun1"/>
          <w:rFonts w:ascii="Segoe UI" w:hAnsi="Segoe UI" w:cs="Segoe UI"/>
          <w:sz w:val="22"/>
          <w:szCs w:val="22"/>
        </w:rPr>
        <w:t xml:space="preserve">Established in the 1930s, </w:t>
      </w:r>
      <w:r w:rsidRPr="00D73EBA">
        <w:rPr>
          <w:rStyle w:val="spellingerror"/>
          <w:rFonts w:ascii="Segoe UI" w:hAnsi="Segoe UI" w:cs="Segoe UI"/>
          <w:sz w:val="22"/>
          <w:szCs w:val="22"/>
        </w:rPr>
        <w:t>HammondCare</w:t>
      </w:r>
      <w:r w:rsidRPr="00D73EBA">
        <w:rPr>
          <w:rStyle w:val="normaltextrun1"/>
          <w:rFonts w:ascii="Segoe UI" w:hAnsi="Segoe UI" w:cs="Segoe UI"/>
          <w:sz w:val="22"/>
          <w:szCs w:val="22"/>
        </w:rPr>
        <w:t xml:space="preserve"> is an independent Christian charity specialising in dementia care, palliative care, rehabilitation and older persons' mental health services. </w:t>
      </w:r>
      <w:r w:rsidRPr="00D73EBA">
        <w:rPr>
          <w:rStyle w:val="spellingerror"/>
          <w:rFonts w:ascii="Segoe UI" w:hAnsi="Segoe UI" w:cs="Segoe UI"/>
          <w:sz w:val="22"/>
          <w:szCs w:val="22"/>
        </w:rPr>
        <w:t>HammondCare</w:t>
      </w:r>
      <w:r w:rsidRPr="00D73EBA">
        <w:rPr>
          <w:rStyle w:val="normaltextrun1"/>
          <w:rFonts w:ascii="Segoe UI" w:hAnsi="Segoe UI" w:cs="Segoe UI"/>
          <w:sz w:val="22"/>
          <w:szCs w:val="22"/>
        </w:rPr>
        <w:t xml:space="preserve"> is </w:t>
      </w:r>
      <w:r>
        <w:rPr>
          <w:rStyle w:val="normaltextrun1"/>
          <w:rFonts w:ascii="Segoe UI" w:hAnsi="Segoe UI" w:cs="Segoe UI"/>
          <w:sz w:val="22"/>
          <w:szCs w:val="22"/>
        </w:rPr>
        <w:t>committed to</w:t>
      </w:r>
      <w:r w:rsidRPr="00D73EBA">
        <w:rPr>
          <w:rStyle w:val="normaltextrun1"/>
          <w:rFonts w:ascii="Segoe UI" w:hAnsi="Segoe UI" w:cs="Segoe UI"/>
          <w:sz w:val="22"/>
          <w:szCs w:val="22"/>
        </w:rPr>
        <w:t xml:space="preserve"> supporting people who are financially disadvantaged</w:t>
      </w:r>
      <w:r>
        <w:rPr>
          <w:rStyle w:val="normaltextrun1"/>
          <w:rFonts w:ascii="Segoe UI" w:hAnsi="Segoe UI" w:cs="Segoe UI"/>
          <w:sz w:val="22"/>
          <w:szCs w:val="22"/>
        </w:rPr>
        <w:t xml:space="preserve"> and has a </w:t>
      </w:r>
      <w:r w:rsidRPr="00D73EBA">
        <w:rPr>
          <w:rStyle w:val="normaltextrun1"/>
          <w:rFonts w:ascii="Segoe UI" w:hAnsi="Segoe UI" w:cs="Segoe UI"/>
          <w:sz w:val="22"/>
          <w:szCs w:val="22"/>
        </w:rPr>
        <w:t>mission to improve quality of life for people in need, regardless of their circumstances. </w:t>
      </w:r>
    </w:p>
    <w:p w14:paraId="4484A96D" w14:textId="77777777" w:rsidR="00772A2D" w:rsidRDefault="00772A2D" w:rsidP="00772A2D">
      <w:pPr>
        <w:pStyle w:val="paragraph"/>
        <w:textAlignment w:val="baseline"/>
        <w:rPr>
          <w:rStyle w:val="normaltextrun1"/>
          <w:rFonts w:ascii="Segoe UI" w:hAnsi="Segoe UI" w:cs="Segoe UI"/>
          <w:sz w:val="22"/>
          <w:szCs w:val="22"/>
        </w:rPr>
      </w:pPr>
    </w:p>
    <w:p w14:paraId="3064A4C6" w14:textId="75F0CC3C" w:rsidR="00772A2D" w:rsidRDefault="00772A2D" w:rsidP="00772A2D">
      <w:pPr>
        <w:pStyle w:val="paragraph"/>
        <w:textAlignment w:val="baseline"/>
        <w:rPr>
          <w:rStyle w:val="normaltextrun1"/>
          <w:rFonts w:ascii="Segoe UI" w:hAnsi="Segoe UI" w:cs="Segoe UI"/>
          <w:sz w:val="22"/>
          <w:szCs w:val="22"/>
        </w:rPr>
      </w:pPr>
      <w:r>
        <w:rPr>
          <w:rStyle w:val="normaltextrun1"/>
          <w:rFonts w:ascii="Segoe UI" w:hAnsi="Segoe UI" w:cs="Segoe UI"/>
          <w:sz w:val="22"/>
          <w:szCs w:val="22"/>
        </w:rPr>
        <w:t xml:space="preserve">HammondCare is a recognised leader in both the provision of specialist dementia care </w:t>
      </w:r>
      <w:proofErr w:type="gramStart"/>
      <w:r>
        <w:rPr>
          <w:rStyle w:val="normaltextrun1"/>
          <w:rFonts w:ascii="Segoe UI" w:hAnsi="Segoe UI" w:cs="Segoe UI"/>
          <w:sz w:val="22"/>
          <w:szCs w:val="22"/>
        </w:rPr>
        <w:t>services, and</w:t>
      </w:r>
      <w:proofErr w:type="gramEnd"/>
      <w:r>
        <w:rPr>
          <w:rStyle w:val="normaltextrun1"/>
          <w:rFonts w:ascii="Segoe UI" w:hAnsi="Segoe UI" w:cs="Segoe UI"/>
          <w:sz w:val="22"/>
          <w:szCs w:val="22"/>
        </w:rPr>
        <w:t xml:space="preserve"> innovate palliative and supportive care models. </w:t>
      </w:r>
    </w:p>
    <w:p w14:paraId="2012022B" w14:textId="77777777" w:rsidR="00772A2D" w:rsidRDefault="00772A2D" w:rsidP="00772A2D">
      <w:pPr>
        <w:pStyle w:val="paragraph"/>
        <w:textAlignment w:val="baseline"/>
        <w:rPr>
          <w:rStyle w:val="normaltextrun1"/>
          <w:rFonts w:ascii="Segoe UI" w:hAnsi="Segoe UI" w:cs="Segoe UI"/>
          <w:sz w:val="22"/>
          <w:szCs w:val="22"/>
        </w:rPr>
      </w:pPr>
    </w:p>
    <w:p w14:paraId="6DE9F4F9" w14:textId="77777777" w:rsidR="00772A2D" w:rsidRDefault="00772A2D" w:rsidP="00772A2D">
      <w:pPr>
        <w:pStyle w:val="paragraph"/>
        <w:textAlignment w:val="baseline"/>
        <w:rPr>
          <w:rStyle w:val="normaltextrun1"/>
          <w:rFonts w:ascii="Segoe UI" w:hAnsi="Segoe UI" w:cs="Segoe UI"/>
          <w:sz w:val="22"/>
          <w:szCs w:val="22"/>
        </w:rPr>
      </w:pPr>
      <w:r>
        <w:rPr>
          <w:rStyle w:val="normaltextrun1"/>
          <w:rFonts w:ascii="Segoe UI" w:hAnsi="Segoe UI" w:cs="Segoe UI"/>
          <w:sz w:val="22"/>
          <w:szCs w:val="22"/>
        </w:rPr>
        <w:t>In FY19, HammondCare</w:t>
      </w:r>
      <w:r w:rsidRPr="004F0180">
        <w:rPr>
          <w:rStyle w:val="normaltextrun1"/>
          <w:rFonts w:ascii="Segoe UI" w:hAnsi="Segoe UI" w:cs="Segoe UI"/>
          <w:sz w:val="22"/>
          <w:szCs w:val="22"/>
        </w:rPr>
        <w:t xml:space="preserve"> </w:t>
      </w:r>
      <w:r>
        <w:rPr>
          <w:rStyle w:val="normaltextrun1"/>
          <w:rFonts w:ascii="Segoe UI" w:hAnsi="Segoe UI" w:cs="Segoe UI"/>
          <w:sz w:val="22"/>
          <w:szCs w:val="22"/>
        </w:rPr>
        <w:t xml:space="preserve">cared for approximately 8,800 people in the home and in the community, 1,950 people in residential aged care services and 4,597 people through HammondCare’s sub-acute hospitals. </w:t>
      </w:r>
      <w:r w:rsidRPr="004F0180">
        <w:rPr>
          <w:rStyle w:val="normaltextrun1"/>
          <w:rFonts w:ascii="Segoe UI" w:hAnsi="Segoe UI" w:cs="Segoe UI"/>
          <w:sz w:val="22"/>
          <w:szCs w:val="22"/>
        </w:rPr>
        <w:t>HammondCare’s Dementia Centre is recognised in Australia and internationally for its high</w:t>
      </w:r>
      <w:r>
        <w:rPr>
          <w:rStyle w:val="normaltextrun1"/>
          <w:rFonts w:ascii="Segoe UI" w:hAnsi="Segoe UI" w:cs="Segoe UI"/>
          <w:sz w:val="22"/>
          <w:szCs w:val="22"/>
        </w:rPr>
        <w:t>-</w:t>
      </w:r>
      <w:r w:rsidRPr="004F0180">
        <w:rPr>
          <w:rStyle w:val="normaltextrun1"/>
          <w:rFonts w:ascii="Segoe UI" w:hAnsi="Segoe UI" w:cs="Segoe UI"/>
          <w:sz w:val="22"/>
          <w:szCs w:val="22"/>
        </w:rPr>
        <w:t>quality research, consultancy training and conferences in the area of best-practice dementia care.</w:t>
      </w:r>
    </w:p>
    <w:p w14:paraId="4367EDFE" w14:textId="77777777" w:rsidR="00772A2D" w:rsidRDefault="00772A2D" w:rsidP="00772A2D">
      <w:pPr>
        <w:pStyle w:val="paragraph"/>
        <w:textAlignment w:val="baseline"/>
        <w:rPr>
          <w:rStyle w:val="normaltextrun1"/>
          <w:rFonts w:ascii="Segoe UI" w:hAnsi="Segoe UI" w:cs="Segoe UI"/>
          <w:sz w:val="22"/>
          <w:szCs w:val="22"/>
        </w:rPr>
      </w:pPr>
    </w:p>
    <w:p w14:paraId="7B309AF6" w14:textId="77777777" w:rsidR="00783BA5" w:rsidRDefault="00783BA5" w:rsidP="00783BA5">
      <w:pPr>
        <w:rPr>
          <w:sz w:val="22"/>
          <w:szCs w:val="22"/>
        </w:rPr>
      </w:pPr>
    </w:p>
    <w:p w14:paraId="1A056D27" w14:textId="77777777" w:rsidR="00783BA5" w:rsidRDefault="00783BA5" w:rsidP="00783BA5">
      <w:pPr>
        <w:rPr>
          <w:sz w:val="22"/>
          <w:szCs w:val="22"/>
        </w:rPr>
      </w:pPr>
    </w:p>
    <w:p w14:paraId="1242A385" w14:textId="49986D43" w:rsidR="00F4786D" w:rsidRPr="001D0BA3" w:rsidRDefault="00772A2D" w:rsidP="00F4786D">
      <w:pPr>
        <w:pBdr>
          <w:bottom w:val="single" w:sz="4" w:space="1" w:color="7567A4"/>
        </w:pBdr>
        <w:spacing w:before="100" w:beforeAutospacing="1" w:after="100" w:afterAutospacing="1" w:line="240" w:lineRule="auto"/>
        <w:outlineLvl w:val="0"/>
        <w:rPr>
          <w:rFonts w:ascii="Segoe UI" w:hAnsi="Segoe UI" w:cs="Segoe UI"/>
          <w:color w:val="470A68" w:themeColor="accent1"/>
          <w:sz w:val="28"/>
          <w:szCs w:val="28"/>
        </w:rPr>
      </w:pPr>
      <w:r>
        <w:rPr>
          <w:rFonts w:ascii="Segoe UI" w:hAnsi="Segoe UI" w:cs="Segoe UI"/>
          <w:color w:val="470A68" w:themeColor="accent1"/>
          <w:sz w:val="28"/>
          <w:szCs w:val="28"/>
        </w:rPr>
        <w:t>C</w:t>
      </w:r>
      <w:r w:rsidR="00F4786D">
        <w:rPr>
          <w:rFonts w:ascii="Segoe UI" w:hAnsi="Segoe UI" w:cs="Segoe UI"/>
          <w:color w:val="470A68" w:themeColor="accent1"/>
          <w:sz w:val="28"/>
          <w:szCs w:val="28"/>
        </w:rPr>
        <w:t>ontact</w:t>
      </w:r>
    </w:p>
    <w:p w14:paraId="2187DE6A" w14:textId="77777777" w:rsidR="00F4786D" w:rsidRPr="00783BA5" w:rsidRDefault="00F4786D" w:rsidP="00F4786D">
      <w:pPr>
        <w:rPr>
          <w:rFonts w:ascii="Segoe UI" w:hAnsi="Segoe UI" w:cs="Segoe UI"/>
          <w:sz w:val="22"/>
          <w:szCs w:val="22"/>
        </w:rPr>
      </w:pPr>
      <w:r>
        <w:rPr>
          <w:rFonts w:ascii="Segoe UI" w:hAnsi="Segoe UI" w:cs="Segoe UI"/>
          <w:b/>
          <w:sz w:val="22"/>
          <w:szCs w:val="22"/>
        </w:rPr>
        <w:t>Dr Stephen Judd</w:t>
      </w:r>
      <w:r w:rsidRPr="00783BA5">
        <w:rPr>
          <w:rFonts w:ascii="Segoe UI" w:hAnsi="Segoe UI" w:cs="Segoe UI"/>
          <w:b/>
          <w:sz w:val="22"/>
          <w:szCs w:val="22"/>
        </w:rPr>
        <w:br/>
      </w:r>
      <w:r>
        <w:rPr>
          <w:rFonts w:ascii="Segoe UI" w:hAnsi="Segoe UI" w:cs="Segoe UI"/>
          <w:sz w:val="22"/>
          <w:szCs w:val="22"/>
        </w:rPr>
        <w:t xml:space="preserve">Chief Executive </w:t>
      </w:r>
      <w:r w:rsidRPr="00783BA5">
        <w:rPr>
          <w:rFonts w:ascii="Segoe UI" w:hAnsi="Segoe UI" w:cs="Segoe UI"/>
          <w:sz w:val="22"/>
          <w:szCs w:val="22"/>
        </w:rPr>
        <w:br/>
        <w:t>HammondCare</w:t>
      </w:r>
    </w:p>
    <w:p w14:paraId="031AF001" w14:textId="172C530E" w:rsidR="00755720" w:rsidRPr="006F2386" w:rsidRDefault="00F4786D" w:rsidP="00772A2D">
      <w:pPr>
        <w:pBdr>
          <w:bottom w:val="single" w:sz="4" w:space="1" w:color="7567A4"/>
        </w:pBdr>
        <w:spacing w:before="100" w:beforeAutospacing="1" w:after="100" w:afterAutospacing="1" w:line="240" w:lineRule="auto"/>
        <w:outlineLvl w:val="0"/>
        <w:rPr>
          <w:sz w:val="24"/>
          <w:lang w:val="en-US"/>
        </w:rPr>
      </w:pPr>
      <w:r>
        <w:rPr>
          <w:rFonts w:ascii="Segoe UI" w:hAnsi="Segoe UI" w:cs="Segoe UI"/>
          <w:sz w:val="22"/>
          <w:szCs w:val="22"/>
        </w:rPr>
        <w:t>E: sjudd</w:t>
      </w:r>
      <w:r w:rsidRPr="00783BA5">
        <w:rPr>
          <w:rFonts w:ascii="Segoe UI" w:hAnsi="Segoe UI" w:cs="Segoe UI"/>
          <w:sz w:val="22"/>
          <w:szCs w:val="22"/>
        </w:rPr>
        <w:t>@hammond.com.au</w:t>
      </w:r>
      <w:r w:rsidRPr="00783BA5">
        <w:rPr>
          <w:rFonts w:ascii="Segoe UI" w:hAnsi="Segoe UI" w:cs="Segoe UI"/>
          <w:sz w:val="22"/>
          <w:szCs w:val="22"/>
        </w:rPr>
        <w:br/>
        <w:t xml:space="preserve">P: </w:t>
      </w:r>
      <w:r>
        <w:rPr>
          <w:rFonts w:ascii="Segoe UI" w:hAnsi="Segoe UI" w:cs="Segoe UI"/>
          <w:sz w:val="22"/>
          <w:szCs w:val="22"/>
        </w:rPr>
        <w:t>02 8280 8420</w:t>
      </w:r>
      <w:r>
        <w:br w:type="page"/>
      </w:r>
      <w:bookmarkEnd w:id="0"/>
      <w:bookmarkEnd w:id="1"/>
      <w:bookmarkEnd w:id="2"/>
      <w:r w:rsidR="00772A2D" w:rsidRPr="00F3568F">
        <w:rPr>
          <w:rStyle w:val="normaltextrun1"/>
          <w:rFonts w:ascii="Segoe UI" w:hAnsi="Segoe UI" w:cs="Segoe UI"/>
          <w:szCs w:val="22"/>
        </w:rPr>
        <w:lastRenderedPageBreak/>
        <w:t xml:space="preserve"> </w:t>
      </w:r>
      <w:r w:rsidR="00306D9C" w:rsidRPr="00F3568F">
        <w:rPr>
          <w:rFonts w:ascii="Segoe UI" w:hAnsi="Segoe UI"/>
          <w:b/>
          <w:color w:val="5E2788"/>
          <w:sz w:val="40"/>
          <w:lang w:val="en-US"/>
        </w:rPr>
        <w:t>Improving</w:t>
      </w:r>
      <w:r w:rsidR="00755720" w:rsidRPr="00F3568F">
        <w:rPr>
          <w:rFonts w:ascii="Segoe UI" w:hAnsi="Segoe UI"/>
          <w:b/>
          <w:color w:val="5E2788"/>
          <w:sz w:val="40"/>
          <w:lang w:val="en-US"/>
        </w:rPr>
        <w:t xml:space="preserve"> palliative care </w:t>
      </w:r>
      <w:r w:rsidR="00840C2E" w:rsidRPr="00F3568F">
        <w:rPr>
          <w:rFonts w:ascii="Segoe UI" w:hAnsi="Segoe UI"/>
          <w:b/>
          <w:color w:val="5E2788"/>
          <w:sz w:val="40"/>
          <w:lang w:val="en-US"/>
        </w:rPr>
        <w:t>in</w:t>
      </w:r>
      <w:r w:rsidR="00755720" w:rsidRPr="00F3568F">
        <w:rPr>
          <w:rFonts w:ascii="Segoe UI" w:hAnsi="Segoe UI"/>
          <w:b/>
          <w:color w:val="5E2788"/>
          <w:sz w:val="40"/>
          <w:lang w:val="en-US"/>
        </w:rPr>
        <w:t xml:space="preserve"> residential aged care </w:t>
      </w:r>
    </w:p>
    <w:p w14:paraId="38EE9F98" w14:textId="36828CED" w:rsidR="0075789E" w:rsidRPr="0075789E" w:rsidRDefault="001D2EA2" w:rsidP="0075789E">
      <w:pPr>
        <w:pStyle w:val="Heading2"/>
        <w:spacing w:before="120" w:after="120" w:line="240" w:lineRule="auto"/>
        <w:rPr>
          <w:rFonts w:ascii="Segoe UI" w:hAnsi="Segoe UI"/>
          <w:color w:val="702082" w:themeColor="accent2"/>
          <w:sz w:val="32"/>
          <w:lang w:val="en-US"/>
        </w:rPr>
      </w:pPr>
      <w:bookmarkStart w:id="3" w:name="_Toc173902365"/>
      <w:bookmarkEnd w:id="3"/>
      <w:r>
        <w:rPr>
          <w:rFonts w:ascii="Segoe UI" w:hAnsi="Segoe UI"/>
          <w:color w:val="702082" w:themeColor="accent2"/>
          <w:sz w:val="32"/>
          <w:lang w:val="en-US"/>
        </w:rPr>
        <w:t xml:space="preserve">The need for </w:t>
      </w:r>
      <w:r w:rsidR="00840C2E">
        <w:rPr>
          <w:rFonts w:ascii="Segoe UI" w:hAnsi="Segoe UI"/>
          <w:color w:val="702082" w:themeColor="accent2"/>
          <w:sz w:val="32"/>
          <w:lang w:val="en-US"/>
        </w:rPr>
        <w:t xml:space="preserve">better end-of-life </w:t>
      </w:r>
      <w:r>
        <w:rPr>
          <w:rFonts w:ascii="Segoe UI" w:hAnsi="Segoe UI"/>
          <w:color w:val="702082" w:themeColor="accent2"/>
          <w:sz w:val="32"/>
          <w:lang w:val="en-US"/>
        </w:rPr>
        <w:t xml:space="preserve">care </w:t>
      </w:r>
    </w:p>
    <w:p w14:paraId="4F26EAAD" w14:textId="78CC9F21" w:rsidR="00135B62" w:rsidRPr="00135B62" w:rsidRDefault="00135B62" w:rsidP="00135B62">
      <w:pPr>
        <w:rPr>
          <w:rFonts w:ascii="Segoe UI" w:hAnsi="Segoe UI" w:cs="Segoe UI"/>
          <w:sz w:val="22"/>
          <w:szCs w:val="22"/>
        </w:rPr>
      </w:pPr>
      <w:r w:rsidRPr="00135B62">
        <w:rPr>
          <w:rFonts w:ascii="Segoe UI" w:hAnsi="Segoe UI" w:cs="Segoe UI"/>
          <w:sz w:val="22"/>
          <w:szCs w:val="22"/>
        </w:rPr>
        <w:t xml:space="preserve">Australians </w:t>
      </w:r>
      <w:proofErr w:type="gramStart"/>
      <w:r w:rsidRPr="00135B62">
        <w:rPr>
          <w:rFonts w:ascii="Segoe UI" w:hAnsi="Segoe UI" w:cs="Segoe UI"/>
          <w:sz w:val="22"/>
          <w:szCs w:val="22"/>
        </w:rPr>
        <w:t>have to</w:t>
      </w:r>
      <w:proofErr w:type="gramEnd"/>
      <w:r w:rsidRPr="00135B62">
        <w:rPr>
          <w:rFonts w:ascii="Segoe UI" w:hAnsi="Segoe UI" w:cs="Segoe UI"/>
          <w:sz w:val="22"/>
          <w:szCs w:val="22"/>
        </w:rPr>
        <w:t xml:space="preserve"> change where </w:t>
      </w:r>
      <w:r w:rsidR="00DF75D7">
        <w:rPr>
          <w:rFonts w:ascii="Segoe UI" w:hAnsi="Segoe UI" w:cs="Segoe UI"/>
          <w:sz w:val="22"/>
          <w:szCs w:val="22"/>
        </w:rPr>
        <w:t>they</w:t>
      </w:r>
      <w:r w:rsidRPr="00135B62">
        <w:rPr>
          <w:rFonts w:ascii="Segoe UI" w:hAnsi="Segoe UI" w:cs="Segoe UI"/>
          <w:sz w:val="22"/>
          <w:szCs w:val="22"/>
        </w:rPr>
        <w:t xml:space="preserve"> die in the next few decades.  Currently</w:t>
      </w:r>
      <w:r w:rsidR="0057009A">
        <w:rPr>
          <w:rFonts w:ascii="Segoe UI" w:hAnsi="Segoe UI" w:cs="Segoe UI"/>
          <w:sz w:val="22"/>
          <w:szCs w:val="22"/>
        </w:rPr>
        <w:t>,</w:t>
      </w:r>
      <w:r w:rsidRPr="00135B62">
        <w:rPr>
          <w:rFonts w:ascii="Segoe UI" w:hAnsi="Segoe UI" w:cs="Segoe UI"/>
          <w:sz w:val="22"/>
          <w:szCs w:val="22"/>
        </w:rPr>
        <w:t xml:space="preserve"> just over half of Australians (54%) die in hospitals with the rest dying in residential aged care (32%) and their own homes (14%)</w:t>
      </w:r>
      <w:r w:rsidR="00C0046E">
        <w:rPr>
          <w:rFonts w:ascii="Segoe UI" w:hAnsi="Segoe UI" w:cs="Segoe UI"/>
          <w:sz w:val="22"/>
          <w:szCs w:val="22"/>
        </w:rPr>
        <w:t>.</w:t>
      </w:r>
      <w:r w:rsidR="00D435B8">
        <w:rPr>
          <w:rStyle w:val="FootnoteReference"/>
          <w:rFonts w:ascii="Segoe UI" w:hAnsi="Segoe UI" w:cs="Segoe UI"/>
          <w:sz w:val="22"/>
          <w:szCs w:val="22"/>
        </w:rPr>
        <w:footnoteReference w:id="3"/>
      </w:r>
      <w:r w:rsidR="00C0046E">
        <w:rPr>
          <w:rFonts w:ascii="Segoe UI" w:hAnsi="Segoe UI" w:cs="Segoe UI"/>
          <w:sz w:val="22"/>
          <w:szCs w:val="22"/>
        </w:rPr>
        <w:t xml:space="preserve"> More Australians die in the acute hospital setting as a proportion of the number of deaths than in countries such as New Zealand, France, Ireland and the US.</w:t>
      </w:r>
      <w:r w:rsidR="00D435B8">
        <w:rPr>
          <w:rStyle w:val="FootnoteReference"/>
          <w:rFonts w:ascii="Segoe UI" w:hAnsi="Segoe UI" w:cs="Segoe UI"/>
          <w:sz w:val="22"/>
          <w:szCs w:val="22"/>
        </w:rPr>
        <w:footnoteReference w:id="4"/>
      </w:r>
      <w:r w:rsidR="00C0046E">
        <w:rPr>
          <w:rFonts w:ascii="Segoe UI" w:hAnsi="Segoe UI" w:cs="Segoe UI"/>
          <w:sz w:val="22"/>
          <w:szCs w:val="22"/>
        </w:rPr>
        <w:t xml:space="preserve"> </w:t>
      </w:r>
    </w:p>
    <w:p w14:paraId="63D42267" w14:textId="3A64FFFA" w:rsidR="00DF75D7" w:rsidRDefault="00135B62" w:rsidP="00DF75D7">
      <w:pPr>
        <w:rPr>
          <w:rFonts w:ascii="Segoe UI" w:hAnsi="Segoe UI" w:cs="Segoe UI"/>
          <w:sz w:val="22"/>
          <w:szCs w:val="22"/>
        </w:rPr>
      </w:pPr>
      <w:r w:rsidRPr="00135B62">
        <w:rPr>
          <w:rFonts w:ascii="Segoe UI" w:hAnsi="Segoe UI" w:cs="Segoe UI"/>
          <w:sz w:val="22"/>
          <w:szCs w:val="22"/>
        </w:rPr>
        <w:t xml:space="preserve">If </w:t>
      </w:r>
      <w:r w:rsidR="00C0046E">
        <w:rPr>
          <w:rFonts w:ascii="Segoe UI" w:hAnsi="Segoe UI" w:cs="Segoe UI"/>
          <w:sz w:val="22"/>
          <w:szCs w:val="22"/>
        </w:rPr>
        <w:t xml:space="preserve">Australians do not start to change </w:t>
      </w:r>
      <w:r w:rsidRPr="00135B62">
        <w:rPr>
          <w:rFonts w:ascii="Segoe UI" w:hAnsi="Segoe UI" w:cs="Segoe UI"/>
          <w:sz w:val="22"/>
          <w:szCs w:val="22"/>
        </w:rPr>
        <w:t>where we die – if we continue to predominantly die in hospitals – then, with the annual death rate in Australia projected to double to more than 300,000 in the next 40 years, we’ll need the equivalent of an extra 9 New Royal Adelaide Hospitals</w:t>
      </w:r>
      <w:r w:rsidR="00540BA0">
        <w:rPr>
          <w:rFonts w:ascii="Segoe UI" w:hAnsi="Segoe UI" w:cs="Segoe UI"/>
          <w:sz w:val="22"/>
          <w:szCs w:val="22"/>
        </w:rPr>
        <w:t xml:space="preserve"> (opened</w:t>
      </w:r>
      <w:r w:rsidR="00D8401F">
        <w:rPr>
          <w:rFonts w:ascii="Segoe UI" w:hAnsi="Segoe UI" w:cs="Segoe UI"/>
          <w:sz w:val="22"/>
          <w:szCs w:val="22"/>
        </w:rPr>
        <w:t xml:space="preserve"> at a cost of $2.2bn</w:t>
      </w:r>
      <w:r w:rsidR="00175537">
        <w:rPr>
          <w:rFonts w:ascii="Segoe UI" w:hAnsi="Segoe UI" w:cs="Segoe UI"/>
          <w:sz w:val="22"/>
          <w:szCs w:val="22"/>
        </w:rPr>
        <w:t xml:space="preserve"> to build</w:t>
      </w:r>
      <w:r w:rsidR="00D8401F">
        <w:rPr>
          <w:rFonts w:ascii="Segoe UI" w:hAnsi="Segoe UI" w:cs="Segoe UI"/>
          <w:sz w:val="22"/>
          <w:szCs w:val="22"/>
        </w:rPr>
        <w:t xml:space="preserve"> for 800 </w:t>
      </w:r>
      <w:r w:rsidR="00D8401F" w:rsidRPr="00BC27B8">
        <w:rPr>
          <w:rFonts w:ascii="Segoe UI" w:hAnsi="Segoe UI" w:cs="Segoe UI"/>
          <w:sz w:val="22"/>
          <w:szCs w:val="22"/>
        </w:rPr>
        <w:t>beds)</w:t>
      </w:r>
      <w:r w:rsidRPr="00BC27B8">
        <w:rPr>
          <w:rFonts w:ascii="Segoe UI" w:hAnsi="Segoe UI" w:cs="Segoe UI"/>
          <w:sz w:val="22"/>
          <w:szCs w:val="22"/>
        </w:rPr>
        <w:t xml:space="preserve">, or 15 new Northern Beaches Hospitals </w:t>
      </w:r>
      <w:r w:rsidR="00D8401F" w:rsidRPr="00BC27B8">
        <w:rPr>
          <w:rFonts w:ascii="Segoe UI" w:hAnsi="Segoe UI" w:cs="Segoe UI"/>
          <w:sz w:val="22"/>
          <w:szCs w:val="22"/>
        </w:rPr>
        <w:t xml:space="preserve">(opened at a cost of $1.1bn </w:t>
      </w:r>
      <w:r w:rsidR="00175537">
        <w:rPr>
          <w:rFonts w:ascii="Segoe UI" w:hAnsi="Segoe UI" w:cs="Segoe UI"/>
          <w:sz w:val="22"/>
          <w:szCs w:val="22"/>
        </w:rPr>
        <w:t xml:space="preserve">to build </w:t>
      </w:r>
      <w:r w:rsidR="00D8401F" w:rsidRPr="00BC27B8">
        <w:rPr>
          <w:rFonts w:ascii="Segoe UI" w:hAnsi="Segoe UI" w:cs="Segoe UI"/>
          <w:sz w:val="22"/>
          <w:szCs w:val="22"/>
        </w:rPr>
        <w:t xml:space="preserve">for 488 beds) </w:t>
      </w:r>
      <w:r w:rsidRPr="00BC27B8">
        <w:rPr>
          <w:rFonts w:ascii="Segoe UI" w:hAnsi="Segoe UI" w:cs="Segoe UI"/>
          <w:sz w:val="22"/>
          <w:szCs w:val="22"/>
        </w:rPr>
        <w:t xml:space="preserve">in the </w:t>
      </w:r>
      <w:r w:rsidR="00C0046E" w:rsidRPr="00BC27B8">
        <w:rPr>
          <w:rFonts w:ascii="Segoe UI" w:hAnsi="Segoe UI" w:cs="Segoe UI"/>
          <w:sz w:val="22"/>
          <w:szCs w:val="22"/>
        </w:rPr>
        <w:t>coming three decades</w:t>
      </w:r>
      <w:r w:rsidRPr="00BC27B8">
        <w:rPr>
          <w:rFonts w:ascii="Segoe UI" w:hAnsi="Segoe UI" w:cs="Segoe UI"/>
          <w:sz w:val="22"/>
          <w:szCs w:val="22"/>
        </w:rPr>
        <w:t xml:space="preserve"> – purely for people to die in.</w:t>
      </w:r>
      <w:r w:rsidR="00D435B8" w:rsidRPr="00BC27B8">
        <w:rPr>
          <w:rStyle w:val="FootnoteReference"/>
          <w:rFonts w:ascii="Segoe UI" w:hAnsi="Segoe UI" w:cs="Segoe UI"/>
          <w:sz w:val="22"/>
          <w:szCs w:val="22"/>
        </w:rPr>
        <w:footnoteReference w:id="5"/>
      </w:r>
      <w:r w:rsidRPr="00BC27B8">
        <w:rPr>
          <w:rFonts w:ascii="Segoe UI" w:hAnsi="Segoe UI" w:cs="Segoe UI"/>
          <w:sz w:val="22"/>
          <w:szCs w:val="22"/>
        </w:rPr>
        <w:t xml:space="preserve">  For capital costs alone, </w:t>
      </w:r>
      <w:r w:rsidR="00C0046E" w:rsidRPr="00BC27B8">
        <w:rPr>
          <w:rFonts w:ascii="Segoe UI" w:hAnsi="Segoe UI" w:cs="Segoe UI"/>
          <w:sz w:val="22"/>
          <w:szCs w:val="22"/>
        </w:rPr>
        <w:t xml:space="preserve">Australia will need </w:t>
      </w:r>
      <w:r w:rsidR="00DF75D7" w:rsidRPr="00BC27B8">
        <w:rPr>
          <w:rFonts w:ascii="Segoe UI" w:hAnsi="Segoe UI" w:cs="Segoe UI"/>
          <w:sz w:val="22"/>
          <w:szCs w:val="22"/>
        </w:rPr>
        <w:t>$15-$20b</w:t>
      </w:r>
      <w:r w:rsidR="00C0046E" w:rsidRPr="00BC27B8">
        <w:rPr>
          <w:rFonts w:ascii="Segoe UI" w:hAnsi="Segoe UI" w:cs="Segoe UI"/>
          <w:sz w:val="22"/>
          <w:szCs w:val="22"/>
        </w:rPr>
        <w:t xml:space="preserve"> in</w:t>
      </w:r>
      <w:r w:rsidR="00C0046E">
        <w:rPr>
          <w:rFonts w:ascii="Segoe UI" w:hAnsi="Segoe UI" w:cs="Segoe UI"/>
          <w:sz w:val="22"/>
          <w:szCs w:val="22"/>
        </w:rPr>
        <w:t xml:space="preserve"> today’s terms</w:t>
      </w:r>
      <w:r w:rsidR="00DF75D7">
        <w:rPr>
          <w:rFonts w:ascii="Segoe UI" w:hAnsi="Segoe UI" w:cs="Segoe UI"/>
          <w:sz w:val="22"/>
          <w:szCs w:val="22"/>
        </w:rPr>
        <w:t xml:space="preserve"> to build these hospitals</w:t>
      </w:r>
      <w:r w:rsidR="001471E9">
        <w:rPr>
          <w:rFonts w:ascii="Segoe UI" w:hAnsi="Segoe UI" w:cs="Segoe UI"/>
          <w:sz w:val="22"/>
          <w:szCs w:val="22"/>
        </w:rPr>
        <w:t xml:space="preserve"> and, with a</w:t>
      </w:r>
      <w:r w:rsidR="00DF75D7">
        <w:rPr>
          <w:rFonts w:ascii="Segoe UI" w:hAnsi="Segoe UI" w:cs="Segoe UI"/>
          <w:sz w:val="22"/>
          <w:szCs w:val="22"/>
        </w:rPr>
        <w:t xml:space="preserve">dditional annual operating costs, </w:t>
      </w:r>
      <w:r w:rsidR="001471E9">
        <w:rPr>
          <w:rFonts w:ascii="Segoe UI" w:hAnsi="Segoe UI" w:cs="Segoe UI"/>
          <w:sz w:val="22"/>
          <w:szCs w:val="22"/>
        </w:rPr>
        <w:t>an additional</w:t>
      </w:r>
      <w:r w:rsidR="00DF75D7">
        <w:rPr>
          <w:rFonts w:ascii="Segoe UI" w:hAnsi="Segoe UI" w:cs="Segoe UI"/>
          <w:sz w:val="22"/>
          <w:szCs w:val="22"/>
        </w:rPr>
        <w:t xml:space="preserve"> </w:t>
      </w:r>
      <w:r w:rsidRPr="00135B62">
        <w:rPr>
          <w:rFonts w:ascii="Segoe UI" w:hAnsi="Segoe UI" w:cs="Segoe UI"/>
          <w:sz w:val="22"/>
          <w:szCs w:val="22"/>
        </w:rPr>
        <w:t>$3.6</w:t>
      </w:r>
      <w:r w:rsidR="00C0046E">
        <w:rPr>
          <w:rFonts w:ascii="Segoe UI" w:hAnsi="Segoe UI" w:cs="Segoe UI"/>
          <w:sz w:val="22"/>
          <w:szCs w:val="22"/>
        </w:rPr>
        <w:t xml:space="preserve"> </w:t>
      </w:r>
      <w:r w:rsidRPr="00135B62">
        <w:rPr>
          <w:rFonts w:ascii="Segoe UI" w:hAnsi="Segoe UI" w:cs="Segoe UI"/>
          <w:sz w:val="22"/>
          <w:szCs w:val="22"/>
        </w:rPr>
        <w:t>billion annually</w:t>
      </w:r>
      <w:r w:rsidR="00C0046E">
        <w:rPr>
          <w:rFonts w:ascii="Segoe UI" w:hAnsi="Segoe UI" w:cs="Segoe UI"/>
          <w:sz w:val="22"/>
          <w:szCs w:val="22"/>
        </w:rPr>
        <w:t>.</w:t>
      </w:r>
      <w:r w:rsidR="001471E9">
        <w:rPr>
          <w:rStyle w:val="FootnoteReference"/>
          <w:rFonts w:ascii="Segoe UI" w:hAnsi="Segoe UI" w:cs="Segoe UI"/>
          <w:sz w:val="22"/>
          <w:szCs w:val="22"/>
        </w:rPr>
        <w:footnoteReference w:id="6"/>
      </w:r>
      <w:r w:rsidR="00DF75D7">
        <w:rPr>
          <w:rFonts w:ascii="Segoe UI" w:hAnsi="Segoe UI" w:cs="Segoe UI"/>
          <w:sz w:val="22"/>
          <w:szCs w:val="22"/>
        </w:rPr>
        <w:t xml:space="preserve">  </w:t>
      </w:r>
    </w:p>
    <w:p w14:paraId="4DA78A4F" w14:textId="4E4BCFD9" w:rsidR="00DF75D7" w:rsidRPr="00135B62" w:rsidRDefault="001471E9" w:rsidP="00DF75D7">
      <w:pPr>
        <w:rPr>
          <w:rFonts w:ascii="Segoe UI" w:hAnsi="Segoe UI" w:cs="Segoe UI"/>
          <w:sz w:val="22"/>
          <w:szCs w:val="22"/>
        </w:rPr>
      </w:pPr>
      <w:r>
        <w:rPr>
          <w:rFonts w:ascii="Segoe UI" w:hAnsi="Segoe UI" w:cs="Segoe UI"/>
          <w:sz w:val="22"/>
          <w:szCs w:val="22"/>
        </w:rPr>
        <w:t>These costs would not include</w:t>
      </w:r>
      <w:r w:rsidR="00DF75D7">
        <w:rPr>
          <w:rFonts w:ascii="Segoe UI" w:hAnsi="Segoe UI" w:cs="Segoe UI"/>
          <w:sz w:val="22"/>
          <w:szCs w:val="22"/>
        </w:rPr>
        <w:t xml:space="preserve"> the growing </w:t>
      </w:r>
      <w:r w:rsidR="00DF75D7" w:rsidRPr="00135B62">
        <w:rPr>
          <w:rFonts w:ascii="Segoe UI" w:hAnsi="Segoe UI" w:cs="Segoe UI"/>
          <w:sz w:val="22"/>
          <w:szCs w:val="22"/>
        </w:rPr>
        <w:t xml:space="preserve">need for </w:t>
      </w:r>
      <w:r w:rsidR="00DF75D7">
        <w:rPr>
          <w:rFonts w:ascii="Segoe UI" w:hAnsi="Segoe UI" w:cs="Segoe UI"/>
          <w:sz w:val="22"/>
          <w:szCs w:val="22"/>
        </w:rPr>
        <w:t xml:space="preserve">the additional </w:t>
      </w:r>
      <w:r w:rsidR="00DF75D7" w:rsidRPr="00135B62">
        <w:rPr>
          <w:rFonts w:ascii="Segoe UI" w:hAnsi="Segoe UI" w:cs="Segoe UI"/>
          <w:sz w:val="22"/>
          <w:szCs w:val="22"/>
        </w:rPr>
        <w:t>hospital services that treat the increased demographic demand for chronic conditions of an ageing population.</w:t>
      </w:r>
    </w:p>
    <w:p w14:paraId="1349414F" w14:textId="64AF6D80" w:rsidR="001471E9" w:rsidRDefault="001471E9" w:rsidP="00135B62">
      <w:pPr>
        <w:spacing w:after="0" w:line="240" w:lineRule="auto"/>
        <w:jc w:val="both"/>
        <w:rPr>
          <w:rFonts w:ascii="Segoe UI" w:hAnsi="Segoe UI"/>
          <w:color w:val="702082" w:themeColor="accent2"/>
          <w:sz w:val="32"/>
          <w:lang w:val="en-US"/>
        </w:rPr>
      </w:pPr>
      <w:r>
        <w:rPr>
          <w:rFonts w:ascii="Segoe UI" w:hAnsi="Segoe UI"/>
          <w:color w:val="702082" w:themeColor="accent2"/>
          <w:sz w:val="32"/>
          <w:lang w:val="en-US"/>
        </w:rPr>
        <w:t>End-of-life care for people in residential aged care</w:t>
      </w:r>
    </w:p>
    <w:p w14:paraId="3BAA951B" w14:textId="77777777" w:rsidR="001471E9" w:rsidRDefault="001471E9" w:rsidP="00135B62">
      <w:pPr>
        <w:spacing w:after="0" w:line="240" w:lineRule="auto"/>
        <w:jc w:val="both"/>
        <w:rPr>
          <w:rFonts w:ascii="Segoe UI" w:hAnsi="Segoe UI" w:cs="Segoe UI"/>
          <w:sz w:val="22"/>
          <w:szCs w:val="22"/>
        </w:rPr>
      </w:pPr>
    </w:p>
    <w:p w14:paraId="05575B95" w14:textId="1B5B2939" w:rsidR="00DF75D7" w:rsidRDefault="00C0046E" w:rsidP="00135B62">
      <w:pPr>
        <w:spacing w:after="0" w:line="240" w:lineRule="auto"/>
        <w:jc w:val="both"/>
        <w:rPr>
          <w:rFonts w:ascii="Segoe UI" w:hAnsi="Segoe UI" w:cs="Segoe UI"/>
          <w:sz w:val="22"/>
          <w:szCs w:val="22"/>
        </w:rPr>
      </w:pPr>
      <w:r>
        <w:rPr>
          <w:rFonts w:ascii="Segoe UI" w:hAnsi="Segoe UI" w:cs="Segoe UI"/>
          <w:sz w:val="22"/>
          <w:szCs w:val="22"/>
        </w:rPr>
        <w:t xml:space="preserve">Australia can address this situation by improving support for palliative care in different settings – in the home, in hospices as well as in residential care.      </w:t>
      </w:r>
    </w:p>
    <w:p w14:paraId="3D9356A8" w14:textId="77777777" w:rsidR="00DF75D7" w:rsidRDefault="00DF75D7" w:rsidP="00135B62">
      <w:pPr>
        <w:spacing w:after="0" w:line="240" w:lineRule="auto"/>
        <w:jc w:val="both"/>
        <w:rPr>
          <w:rFonts w:ascii="Segoe UI" w:hAnsi="Segoe UI" w:cs="Segoe UI"/>
          <w:sz w:val="22"/>
          <w:szCs w:val="22"/>
        </w:rPr>
      </w:pPr>
    </w:p>
    <w:p w14:paraId="1D4A92DB" w14:textId="64F6C08E" w:rsidR="00135B62" w:rsidRDefault="00C0046E" w:rsidP="00135B62">
      <w:pPr>
        <w:spacing w:after="0" w:line="240" w:lineRule="auto"/>
        <w:jc w:val="both"/>
        <w:rPr>
          <w:rFonts w:ascii="Segoe UI" w:hAnsi="Segoe UI" w:cs="Segoe UI"/>
          <w:sz w:val="22"/>
          <w:szCs w:val="22"/>
        </w:rPr>
      </w:pPr>
      <w:r>
        <w:rPr>
          <w:rFonts w:ascii="Segoe UI" w:hAnsi="Segoe UI" w:cs="Segoe UI"/>
          <w:sz w:val="22"/>
          <w:szCs w:val="22"/>
        </w:rPr>
        <w:t xml:space="preserve">For the purposes of this Pre-Budget submission we address the latter: </w:t>
      </w:r>
      <w:r w:rsidRPr="00CE02F3">
        <w:rPr>
          <w:rFonts w:ascii="Segoe UI" w:hAnsi="Segoe UI" w:cs="Segoe UI"/>
          <w:b/>
          <w:sz w:val="22"/>
          <w:szCs w:val="22"/>
        </w:rPr>
        <w:t>i</w:t>
      </w:r>
      <w:r w:rsidR="00135B62" w:rsidRPr="00CE02F3">
        <w:rPr>
          <w:rFonts w:ascii="Segoe UI" w:hAnsi="Segoe UI" w:cs="Segoe UI"/>
          <w:b/>
          <w:sz w:val="22"/>
          <w:szCs w:val="22"/>
        </w:rPr>
        <w:t>ncreasing the provision of palliative care in residential aged care</w:t>
      </w:r>
      <w:r>
        <w:rPr>
          <w:rFonts w:ascii="Segoe UI" w:hAnsi="Segoe UI" w:cs="Segoe UI"/>
          <w:sz w:val="22"/>
          <w:szCs w:val="22"/>
        </w:rPr>
        <w:t xml:space="preserve">. This </w:t>
      </w:r>
      <w:r w:rsidR="00135B62" w:rsidRPr="006F2386">
        <w:rPr>
          <w:rFonts w:ascii="Segoe UI" w:hAnsi="Segoe UI" w:cs="Segoe UI"/>
          <w:sz w:val="22"/>
          <w:szCs w:val="22"/>
        </w:rPr>
        <w:t>not only improves quality of life at the end of life</w:t>
      </w:r>
      <w:r>
        <w:rPr>
          <w:rFonts w:ascii="Segoe UI" w:hAnsi="Segoe UI" w:cs="Segoe UI"/>
          <w:sz w:val="22"/>
          <w:szCs w:val="22"/>
        </w:rPr>
        <w:t xml:space="preserve"> but also makes </w:t>
      </w:r>
      <w:r w:rsidR="00135B62" w:rsidRPr="006F2386">
        <w:rPr>
          <w:rFonts w:ascii="Segoe UI" w:hAnsi="Segoe UI" w:cs="Segoe UI"/>
          <w:sz w:val="22"/>
          <w:szCs w:val="22"/>
        </w:rPr>
        <w:t xml:space="preserve">economic sense </w:t>
      </w:r>
      <w:r>
        <w:rPr>
          <w:rFonts w:ascii="Segoe UI" w:hAnsi="Segoe UI" w:cs="Segoe UI"/>
          <w:sz w:val="22"/>
          <w:szCs w:val="22"/>
        </w:rPr>
        <w:t xml:space="preserve">as </w:t>
      </w:r>
      <w:r w:rsidR="00135B62" w:rsidRPr="006F2386">
        <w:rPr>
          <w:rFonts w:ascii="Segoe UI" w:hAnsi="Segoe UI" w:cs="Segoe UI"/>
          <w:sz w:val="22"/>
          <w:szCs w:val="22"/>
        </w:rPr>
        <w:t>it has the capacity to reduce avoidable</w:t>
      </w:r>
      <w:r w:rsidR="00135B62">
        <w:rPr>
          <w:rFonts w:ascii="Segoe UI" w:hAnsi="Segoe UI" w:cs="Segoe UI"/>
          <w:sz w:val="22"/>
          <w:szCs w:val="22"/>
        </w:rPr>
        <w:t xml:space="preserve"> and un-necessary</w:t>
      </w:r>
      <w:r w:rsidR="00135B62" w:rsidRPr="006F2386">
        <w:rPr>
          <w:rFonts w:ascii="Segoe UI" w:hAnsi="Segoe UI" w:cs="Segoe UI"/>
          <w:sz w:val="22"/>
          <w:szCs w:val="22"/>
        </w:rPr>
        <w:t xml:space="preserve"> hospital admissions and provide better symptom control, pain relief and comfort for residents and their families at a lower cost.</w:t>
      </w:r>
      <w:r w:rsidR="00135B62" w:rsidRPr="006F2386">
        <w:rPr>
          <w:rFonts w:ascii="Segoe UI" w:hAnsi="Segoe UI" w:cs="Segoe UI"/>
          <w:sz w:val="22"/>
          <w:szCs w:val="22"/>
          <w:vertAlign w:val="superscript"/>
        </w:rPr>
        <w:t xml:space="preserve"> </w:t>
      </w:r>
      <w:r w:rsidR="00135B62" w:rsidRPr="006F2386">
        <w:rPr>
          <w:rStyle w:val="FootnoteReference"/>
          <w:rFonts w:ascii="Segoe UI" w:hAnsi="Segoe UI" w:cs="Segoe UI"/>
          <w:sz w:val="22"/>
          <w:szCs w:val="22"/>
        </w:rPr>
        <w:footnoteReference w:id="7"/>
      </w:r>
      <w:r w:rsidR="00135B62" w:rsidRPr="006F2386">
        <w:rPr>
          <w:rFonts w:ascii="Segoe UI" w:hAnsi="Segoe UI" w:cs="Segoe UI"/>
          <w:sz w:val="22"/>
          <w:szCs w:val="22"/>
        </w:rPr>
        <w:t xml:space="preserve"> </w:t>
      </w:r>
    </w:p>
    <w:p w14:paraId="2567E1B5" w14:textId="77777777" w:rsidR="00135B62" w:rsidRPr="00694B14" w:rsidRDefault="00135B62" w:rsidP="00135B62">
      <w:pPr>
        <w:spacing w:after="0" w:line="240" w:lineRule="auto"/>
        <w:jc w:val="both"/>
        <w:rPr>
          <w:rFonts w:ascii="Segoe UI" w:hAnsi="Segoe UI" w:cs="Segoe UI"/>
          <w:sz w:val="22"/>
          <w:szCs w:val="22"/>
        </w:rPr>
      </w:pPr>
    </w:p>
    <w:p w14:paraId="3192F3A4" w14:textId="37FC402C" w:rsidR="008F1603" w:rsidRPr="0075789E" w:rsidRDefault="008F1603" w:rsidP="008F1603">
      <w:pPr>
        <w:spacing w:after="0" w:line="240" w:lineRule="auto"/>
        <w:jc w:val="both"/>
        <w:rPr>
          <w:rFonts w:ascii="Segoe UI" w:hAnsi="Segoe UI" w:cs="Segoe UI"/>
          <w:sz w:val="22"/>
          <w:szCs w:val="22"/>
        </w:rPr>
      </w:pPr>
      <w:r w:rsidRPr="0075789E">
        <w:rPr>
          <w:rFonts w:ascii="Segoe UI" w:hAnsi="Segoe UI" w:cs="Segoe UI"/>
          <w:sz w:val="22"/>
          <w:szCs w:val="22"/>
        </w:rPr>
        <w:t>A 2015 Australian study of residential aged care homes</w:t>
      </w:r>
      <w:r w:rsidR="00B7536B">
        <w:rPr>
          <w:rFonts w:ascii="Segoe UI" w:hAnsi="Segoe UI" w:cs="Segoe UI"/>
          <w:sz w:val="22"/>
          <w:szCs w:val="22"/>
        </w:rPr>
        <w:t xml:space="preserve"> </w:t>
      </w:r>
      <w:r w:rsidRPr="0075789E">
        <w:rPr>
          <w:rFonts w:ascii="Segoe UI" w:hAnsi="Segoe UI" w:cs="Segoe UI"/>
          <w:sz w:val="22"/>
          <w:szCs w:val="22"/>
        </w:rPr>
        <w:t xml:space="preserve">demonstrated that in the last month of life, residents living with dementia </w:t>
      </w:r>
      <w:r w:rsidR="00B7536B">
        <w:rPr>
          <w:rFonts w:ascii="Segoe UI" w:hAnsi="Segoe UI" w:cs="Segoe UI"/>
          <w:sz w:val="22"/>
          <w:szCs w:val="22"/>
        </w:rPr>
        <w:t xml:space="preserve">who were not </w:t>
      </w:r>
      <w:r w:rsidRPr="0075789E">
        <w:rPr>
          <w:rFonts w:ascii="Segoe UI" w:hAnsi="Segoe UI" w:cs="Segoe UI"/>
          <w:sz w:val="22"/>
          <w:szCs w:val="22"/>
        </w:rPr>
        <w:t>receiving palliative care</w:t>
      </w:r>
      <w:r w:rsidR="0028521F">
        <w:rPr>
          <w:rFonts w:ascii="Segoe UI" w:hAnsi="Segoe UI" w:cs="Segoe UI"/>
          <w:sz w:val="22"/>
          <w:szCs w:val="22"/>
        </w:rPr>
        <w:t>,</w:t>
      </w:r>
      <w:bookmarkStart w:id="4" w:name="_GoBack"/>
      <w:bookmarkEnd w:id="4"/>
      <w:r w:rsidRPr="0075789E">
        <w:rPr>
          <w:rFonts w:ascii="Segoe UI" w:hAnsi="Segoe UI" w:cs="Segoe UI"/>
          <w:sz w:val="22"/>
          <w:szCs w:val="22"/>
        </w:rPr>
        <w:t xml:space="preserve"> visited the emergency department 3.1 times more often than those who were receiving palliative care.</w:t>
      </w:r>
      <w:r w:rsidR="00313E9E">
        <w:rPr>
          <w:rStyle w:val="FootnoteReference"/>
          <w:rFonts w:ascii="Segoe UI" w:hAnsi="Segoe UI" w:cs="Segoe UI"/>
          <w:sz w:val="22"/>
          <w:szCs w:val="22"/>
        </w:rPr>
        <w:footnoteReference w:id="8"/>
      </w:r>
      <w:r w:rsidR="00D5717E">
        <w:rPr>
          <w:rFonts w:ascii="Segoe UI" w:hAnsi="Segoe UI" w:cs="Segoe UI"/>
          <w:sz w:val="22"/>
          <w:szCs w:val="22"/>
        </w:rPr>
        <w:t xml:space="preserve"> </w:t>
      </w:r>
      <w:r w:rsidRPr="0075789E">
        <w:rPr>
          <w:rFonts w:ascii="Segoe UI" w:hAnsi="Segoe UI" w:cs="Segoe UI"/>
          <w:sz w:val="22"/>
          <w:szCs w:val="22"/>
        </w:rPr>
        <w:t>The additional cost of providing palliative care in nursing homes – which includes increased and upskilled staff, co-</w:t>
      </w:r>
      <w:r w:rsidRPr="0075789E">
        <w:rPr>
          <w:rFonts w:ascii="Segoe UI" w:hAnsi="Segoe UI" w:cs="Segoe UI"/>
          <w:sz w:val="22"/>
          <w:szCs w:val="22"/>
        </w:rPr>
        <w:lastRenderedPageBreak/>
        <w:t>ordinated primary care, access to specialist palliative care and round the clock access to controlled medications – is significantly offset by the savings accrued from reduced ambulance transfers, hospital admissions, in-patient hospital stays and hospital deaths. Reducing hospitalisations and ambulance transfers ha</w:t>
      </w:r>
      <w:r w:rsidR="006152D6">
        <w:rPr>
          <w:rFonts w:ascii="Segoe UI" w:hAnsi="Segoe UI" w:cs="Segoe UI"/>
          <w:sz w:val="22"/>
          <w:szCs w:val="22"/>
        </w:rPr>
        <w:t xml:space="preserve">s </w:t>
      </w:r>
      <w:r w:rsidRPr="0075789E">
        <w:rPr>
          <w:rFonts w:ascii="Segoe UI" w:hAnsi="Segoe UI" w:cs="Segoe UI"/>
          <w:sz w:val="22"/>
          <w:szCs w:val="22"/>
        </w:rPr>
        <w:t>been estimated to result in cost-savings of approximately $27 million per annum.</w:t>
      </w:r>
      <w:r w:rsidR="001A065F">
        <w:rPr>
          <w:rStyle w:val="FootnoteReference"/>
          <w:rFonts w:ascii="Segoe UI" w:hAnsi="Segoe UI" w:cs="Segoe UI"/>
          <w:sz w:val="22"/>
          <w:szCs w:val="22"/>
        </w:rPr>
        <w:footnoteReference w:id="9"/>
      </w:r>
    </w:p>
    <w:p w14:paraId="6D99A20F" w14:textId="77777777" w:rsidR="0070369E" w:rsidRDefault="0070369E" w:rsidP="00276676">
      <w:pPr>
        <w:autoSpaceDE w:val="0"/>
        <w:autoSpaceDN w:val="0"/>
        <w:adjustRightInd w:val="0"/>
        <w:spacing w:after="0" w:line="240" w:lineRule="auto"/>
        <w:rPr>
          <w:rFonts w:ascii="Segoe UI" w:hAnsi="Segoe UI" w:cs="Segoe UI"/>
          <w:color w:val="000000"/>
          <w:sz w:val="22"/>
          <w:szCs w:val="22"/>
          <w:lang w:eastAsia="ja-JP"/>
        </w:rPr>
      </w:pPr>
    </w:p>
    <w:p w14:paraId="7DC88838" w14:textId="42DF237F" w:rsidR="00DA4A06" w:rsidRDefault="00B7536B" w:rsidP="00B956AA">
      <w:pPr>
        <w:autoSpaceDE w:val="0"/>
        <w:autoSpaceDN w:val="0"/>
        <w:adjustRightInd w:val="0"/>
        <w:spacing w:after="0" w:line="240" w:lineRule="auto"/>
        <w:rPr>
          <w:rFonts w:ascii="Segoe UI" w:hAnsi="Segoe UI" w:cs="Segoe UI"/>
          <w:color w:val="000000"/>
          <w:sz w:val="22"/>
          <w:szCs w:val="22"/>
          <w:lang w:eastAsia="ja-JP"/>
        </w:rPr>
      </w:pPr>
      <w:r>
        <w:rPr>
          <w:rFonts w:ascii="Segoe UI" w:hAnsi="Segoe UI" w:cs="Segoe UI"/>
          <w:color w:val="000000"/>
          <w:sz w:val="22"/>
          <w:szCs w:val="22"/>
          <w:lang w:eastAsia="ja-JP"/>
        </w:rPr>
        <w:t xml:space="preserve">Evidence from the </w:t>
      </w:r>
      <w:r w:rsidR="00276676" w:rsidRPr="00276676">
        <w:rPr>
          <w:rFonts w:ascii="Segoe UI" w:hAnsi="Segoe UI" w:cs="Segoe UI"/>
          <w:color w:val="000000"/>
          <w:sz w:val="22"/>
          <w:szCs w:val="22"/>
          <w:lang w:eastAsia="ja-JP"/>
        </w:rPr>
        <w:t>Royal Commission into Aged Care Quality and Safety</w:t>
      </w:r>
      <w:r w:rsidR="00510CD9">
        <w:rPr>
          <w:rFonts w:ascii="Segoe UI" w:hAnsi="Segoe UI" w:cs="Segoe UI"/>
          <w:color w:val="000000"/>
          <w:sz w:val="22"/>
          <w:szCs w:val="22"/>
          <w:lang w:eastAsia="ja-JP"/>
        </w:rPr>
        <w:t xml:space="preserve"> </w:t>
      </w:r>
      <w:r w:rsidR="00473B13">
        <w:rPr>
          <w:rFonts w:ascii="Segoe UI" w:hAnsi="Segoe UI" w:cs="Segoe UI"/>
          <w:color w:val="000000"/>
          <w:sz w:val="22"/>
          <w:szCs w:val="22"/>
          <w:lang w:eastAsia="ja-JP"/>
        </w:rPr>
        <w:t>has</w:t>
      </w:r>
      <w:r w:rsidR="00AD38A6">
        <w:rPr>
          <w:rFonts w:ascii="Segoe UI" w:hAnsi="Segoe UI" w:cs="Segoe UI"/>
          <w:color w:val="000000"/>
          <w:sz w:val="22"/>
          <w:szCs w:val="22"/>
          <w:lang w:eastAsia="ja-JP"/>
        </w:rPr>
        <w:t xml:space="preserve"> also</w:t>
      </w:r>
      <w:r w:rsidR="00473B13">
        <w:rPr>
          <w:rFonts w:ascii="Segoe UI" w:hAnsi="Segoe UI" w:cs="Segoe UI"/>
          <w:color w:val="000000"/>
          <w:sz w:val="22"/>
          <w:szCs w:val="22"/>
          <w:lang w:eastAsia="ja-JP"/>
        </w:rPr>
        <w:t xml:space="preserve"> </w:t>
      </w:r>
      <w:r w:rsidR="009E42FD">
        <w:rPr>
          <w:rFonts w:ascii="Segoe UI" w:hAnsi="Segoe UI" w:cs="Segoe UI"/>
          <w:color w:val="000000"/>
          <w:sz w:val="22"/>
          <w:szCs w:val="22"/>
          <w:lang w:eastAsia="ja-JP"/>
        </w:rPr>
        <w:t xml:space="preserve">highlighted </w:t>
      </w:r>
      <w:r w:rsidR="002C40DA">
        <w:rPr>
          <w:rFonts w:ascii="Segoe UI" w:hAnsi="Segoe UI" w:cs="Segoe UI"/>
          <w:color w:val="000000"/>
          <w:sz w:val="22"/>
          <w:szCs w:val="22"/>
          <w:lang w:eastAsia="ja-JP"/>
        </w:rPr>
        <w:t>t</w:t>
      </w:r>
      <w:r w:rsidR="00510CD9">
        <w:rPr>
          <w:rFonts w:ascii="Segoe UI" w:hAnsi="Segoe UI" w:cs="Segoe UI"/>
          <w:color w:val="000000"/>
          <w:sz w:val="22"/>
          <w:szCs w:val="22"/>
          <w:lang w:eastAsia="ja-JP"/>
        </w:rPr>
        <w:t>he problematic interface between</w:t>
      </w:r>
      <w:r w:rsidR="009E42FD">
        <w:rPr>
          <w:rFonts w:ascii="Segoe UI" w:hAnsi="Segoe UI" w:cs="Segoe UI"/>
          <w:color w:val="000000"/>
          <w:sz w:val="22"/>
          <w:szCs w:val="22"/>
          <w:lang w:eastAsia="ja-JP"/>
        </w:rPr>
        <w:t xml:space="preserve"> health</w:t>
      </w:r>
      <w:r w:rsidR="00510CD9">
        <w:rPr>
          <w:rFonts w:ascii="Segoe UI" w:hAnsi="Segoe UI" w:cs="Segoe UI"/>
          <w:color w:val="000000"/>
          <w:sz w:val="22"/>
          <w:szCs w:val="22"/>
          <w:lang w:eastAsia="ja-JP"/>
        </w:rPr>
        <w:t xml:space="preserve"> services</w:t>
      </w:r>
      <w:r w:rsidR="009E42FD">
        <w:rPr>
          <w:rFonts w:ascii="Segoe UI" w:hAnsi="Segoe UI" w:cs="Segoe UI"/>
          <w:color w:val="000000"/>
          <w:sz w:val="22"/>
          <w:szCs w:val="22"/>
          <w:lang w:eastAsia="ja-JP"/>
        </w:rPr>
        <w:t xml:space="preserve"> and aged care</w:t>
      </w:r>
      <w:r w:rsidR="00510CD9">
        <w:rPr>
          <w:rFonts w:ascii="Segoe UI" w:hAnsi="Segoe UI" w:cs="Segoe UI"/>
          <w:color w:val="000000"/>
          <w:sz w:val="22"/>
          <w:szCs w:val="22"/>
          <w:lang w:eastAsia="ja-JP"/>
        </w:rPr>
        <w:t xml:space="preserve">, emphasising </w:t>
      </w:r>
      <w:r w:rsidR="009E42FD">
        <w:rPr>
          <w:rFonts w:ascii="Segoe UI" w:hAnsi="Segoe UI" w:cs="Segoe UI"/>
          <w:color w:val="000000"/>
          <w:sz w:val="22"/>
          <w:szCs w:val="22"/>
          <w:lang w:eastAsia="ja-JP"/>
        </w:rPr>
        <w:t xml:space="preserve">the need </w:t>
      </w:r>
      <w:r w:rsidR="00510CD9">
        <w:rPr>
          <w:rFonts w:ascii="Segoe UI" w:hAnsi="Segoe UI" w:cs="Segoe UI"/>
          <w:color w:val="000000"/>
          <w:sz w:val="22"/>
          <w:szCs w:val="22"/>
          <w:lang w:eastAsia="ja-JP"/>
        </w:rPr>
        <w:t>to</w:t>
      </w:r>
      <w:r w:rsidR="009E42FD">
        <w:rPr>
          <w:rFonts w:ascii="Segoe UI" w:hAnsi="Segoe UI" w:cs="Segoe UI"/>
          <w:color w:val="000000"/>
          <w:sz w:val="22"/>
          <w:szCs w:val="22"/>
          <w:lang w:eastAsia="ja-JP"/>
        </w:rPr>
        <w:t xml:space="preserve"> improve </w:t>
      </w:r>
      <w:r w:rsidR="00276676" w:rsidRPr="00B956AA">
        <w:rPr>
          <w:rFonts w:ascii="Segoe UI" w:hAnsi="Segoe UI" w:cs="Segoe UI"/>
          <w:color w:val="000000"/>
          <w:sz w:val="22"/>
          <w:szCs w:val="22"/>
          <w:lang w:eastAsia="ja-JP"/>
        </w:rPr>
        <w:t>palliative care</w:t>
      </w:r>
      <w:r w:rsidR="009E42FD">
        <w:rPr>
          <w:rFonts w:ascii="Segoe UI" w:hAnsi="Segoe UI" w:cs="Segoe UI"/>
          <w:color w:val="000000"/>
          <w:sz w:val="22"/>
          <w:szCs w:val="22"/>
          <w:lang w:eastAsia="ja-JP"/>
        </w:rPr>
        <w:t xml:space="preserve"> service provision</w:t>
      </w:r>
      <w:r w:rsidR="00276676" w:rsidRPr="00B956AA">
        <w:rPr>
          <w:rFonts w:ascii="Segoe UI" w:hAnsi="Segoe UI" w:cs="Segoe UI"/>
          <w:color w:val="000000"/>
          <w:sz w:val="22"/>
          <w:szCs w:val="22"/>
          <w:lang w:eastAsia="ja-JP"/>
        </w:rPr>
        <w:t xml:space="preserve"> </w:t>
      </w:r>
      <w:r w:rsidR="009E42FD">
        <w:rPr>
          <w:rFonts w:ascii="Segoe UI" w:hAnsi="Segoe UI" w:cs="Segoe UI"/>
          <w:color w:val="000000"/>
          <w:sz w:val="22"/>
          <w:szCs w:val="22"/>
          <w:lang w:eastAsia="ja-JP"/>
        </w:rPr>
        <w:t>within</w:t>
      </w:r>
      <w:r w:rsidR="00276676" w:rsidRPr="00B956AA">
        <w:rPr>
          <w:rFonts w:ascii="Segoe UI" w:hAnsi="Segoe UI" w:cs="Segoe UI"/>
          <w:color w:val="000000"/>
          <w:sz w:val="22"/>
          <w:szCs w:val="22"/>
          <w:lang w:eastAsia="ja-JP"/>
        </w:rPr>
        <w:t xml:space="preserve"> residential aged care</w:t>
      </w:r>
      <w:r w:rsidRPr="00B956AA">
        <w:rPr>
          <w:rFonts w:ascii="Segoe UI" w:hAnsi="Segoe UI" w:cs="Segoe UI"/>
          <w:color w:val="000000"/>
          <w:sz w:val="22"/>
          <w:szCs w:val="22"/>
          <w:lang w:eastAsia="ja-JP"/>
        </w:rPr>
        <w:t>.</w:t>
      </w:r>
      <w:r w:rsidR="002F4E95">
        <w:rPr>
          <w:rStyle w:val="FootnoteReference"/>
          <w:rFonts w:ascii="Segoe UI" w:hAnsi="Segoe UI" w:cs="Segoe UI"/>
          <w:color w:val="000000"/>
          <w:sz w:val="22"/>
          <w:szCs w:val="22"/>
          <w:lang w:eastAsia="ja-JP"/>
        </w:rPr>
        <w:footnoteReference w:id="10"/>
      </w:r>
      <w:r w:rsidR="00B956AA">
        <w:rPr>
          <w:rFonts w:ascii="Segoe UI" w:hAnsi="Segoe UI" w:cs="Segoe UI"/>
          <w:color w:val="000000"/>
          <w:sz w:val="22"/>
          <w:szCs w:val="22"/>
          <w:lang w:eastAsia="ja-JP"/>
        </w:rPr>
        <w:t xml:space="preserve"> </w:t>
      </w:r>
      <w:r w:rsidR="00473B13">
        <w:rPr>
          <w:rFonts w:ascii="Segoe UI" w:hAnsi="Segoe UI" w:cs="Segoe UI"/>
          <w:color w:val="000000"/>
          <w:sz w:val="22"/>
          <w:szCs w:val="22"/>
          <w:lang w:eastAsia="ja-JP"/>
        </w:rPr>
        <w:t>The C</w:t>
      </w:r>
      <w:r w:rsidR="00276676" w:rsidRPr="00276676">
        <w:rPr>
          <w:rFonts w:ascii="Segoe UI" w:hAnsi="Segoe UI" w:cs="Segoe UI"/>
          <w:color w:val="000000"/>
          <w:sz w:val="22"/>
          <w:szCs w:val="22"/>
          <w:lang w:eastAsia="ja-JP"/>
        </w:rPr>
        <w:t xml:space="preserve">ommonwealth Government has </w:t>
      </w:r>
      <w:r w:rsidR="00473B13">
        <w:rPr>
          <w:rFonts w:ascii="Segoe UI" w:hAnsi="Segoe UI" w:cs="Segoe UI"/>
          <w:color w:val="000000"/>
          <w:sz w:val="22"/>
          <w:szCs w:val="22"/>
          <w:lang w:eastAsia="ja-JP"/>
        </w:rPr>
        <w:t xml:space="preserve">also </w:t>
      </w:r>
      <w:r w:rsidR="00F944B0">
        <w:rPr>
          <w:rFonts w:ascii="Segoe UI" w:hAnsi="Segoe UI" w:cs="Segoe UI"/>
          <w:color w:val="000000"/>
          <w:sz w:val="22"/>
          <w:szCs w:val="22"/>
          <w:lang w:eastAsia="ja-JP"/>
        </w:rPr>
        <w:t xml:space="preserve">recognised </w:t>
      </w:r>
      <w:r w:rsidR="00473B13">
        <w:rPr>
          <w:rFonts w:ascii="Segoe UI" w:hAnsi="Segoe UI" w:cs="Segoe UI"/>
          <w:color w:val="000000"/>
          <w:sz w:val="22"/>
          <w:szCs w:val="22"/>
          <w:lang w:eastAsia="ja-JP"/>
        </w:rPr>
        <w:t>the need for</w:t>
      </w:r>
      <w:r w:rsidR="00877F43">
        <w:rPr>
          <w:rFonts w:ascii="Segoe UI" w:hAnsi="Segoe UI" w:cs="Segoe UI"/>
          <w:color w:val="000000"/>
          <w:sz w:val="22"/>
          <w:szCs w:val="22"/>
          <w:lang w:eastAsia="ja-JP"/>
        </w:rPr>
        <w:t xml:space="preserve"> change, allocating $32.8 million in their 2018-19 budget to trial and implem</w:t>
      </w:r>
      <w:r w:rsidR="002C40DA">
        <w:rPr>
          <w:rFonts w:ascii="Segoe UI" w:hAnsi="Segoe UI" w:cs="Segoe UI"/>
          <w:color w:val="000000"/>
          <w:sz w:val="22"/>
          <w:szCs w:val="22"/>
          <w:lang w:eastAsia="ja-JP"/>
        </w:rPr>
        <w:t>ent</w:t>
      </w:r>
      <w:r w:rsidR="00877F43">
        <w:rPr>
          <w:rFonts w:ascii="Segoe UI" w:hAnsi="Segoe UI" w:cs="Segoe UI"/>
          <w:color w:val="000000"/>
          <w:sz w:val="22"/>
          <w:szCs w:val="22"/>
          <w:lang w:eastAsia="ja-JP"/>
        </w:rPr>
        <w:t xml:space="preserve"> </w:t>
      </w:r>
      <w:r w:rsidR="00473B13">
        <w:rPr>
          <w:rFonts w:ascii="Segoe UI" w:hAnsi="Segoe UI" w:cs="Segoe UI"/>
          <w:color w:val="000000"/>
          <w:sz w:val="22"/>
          <w:szCs w:val="22"/>
          <w:lang w:eastAsia="ja-JP"/>
        </w:rPr>
        <w:t xml:space="preserve">innovative models </w:t>
      </w:r>
      <w:r w:rsidR="00877F43">
        <w:rPr>
          <w:rFonts w:ascii="Segoe UI" w:hAnsi="Segoe UI" w:cs="Segoe UI"/>
          <w:color w:val="000000"/>
          <w:sz w:val="22"/>
          <w:szCs w:val="22"/>
          <w:lang w:eastAsia="ja-JP"/>
        </w:rPr>
        <w:t xml:space="preserve">that </w:t>
      </w:r>
      <w:r w:rsidR="00473B13">
        <w:rPr>
          <w:rFonts w:ascii="Segoe UI" w:hAnsi="Segoe UI" w:cs="Segoe UI"/>
          <w:color w:val="000000"/>
          <w:sz w:val="22"/>
          <w:szCs w:val="22"/>
          <w:lang w:eastAsia="ja-JP"/>
        </w:rPr>
        <w:t xml:space="preserve">support </w:t>
      </w:r>
      <w:r w:rsidR="00276676" w:rsidRPr="00276676">
        <w:rPr>
          <w:rFonts w:ascii="Segoe UI" w:hAnsi="Segoe UI" w:cs="Segoe UI"/>
          <w:color w:val="000000"/>
          <w:sz w:val="22"/>
          <w:szCs w:val="22"/>
          <w:lang w:eastAsia="ja-JP"/>
        </w:rPr>
        <w:t xml:space="preserve">residents </w:t>
      </w:r>
      <w:r w:rsidR="00473B13">
        <w:rPr>
          <w:rFonts w:ascii="Segoe UI" w:hAnsi="Segoe UI" w:cs="Segoe UI"/>
          <w:color w:val="000000"/>
          <w:sz w:val="22"/>
          <w:szCs w:val="22"/>
          <w:lang w:eastAsia="ja-JP"/>
        </w:rPr>
        <w:t xml:space="preserve">requiring </w:t>
      </w:r>
      <w:r w:rsidR="00276676" w:rsidRPr="00276676">
        <w:rPr>
          <w:rFonts w:ascii="Segoe UI" w:hAnsi="Segoe UI" w:cs="Segoe UI"/>
          <w:color w:val="000000"/>
          <w:sz w:val="22"/>
          <w:szCs w:val="22"/>
          <w:lang w:eastAsia="ja-JP"/>
        </w:rPr>
        <w:t>specialist palliative care</w:t>
      </w:r>
      <w:r w:rsidR="00473B13">
        <w:rPr>
          <w:rFonts w:ascii="Segoe UI" w:hAnsi="Segoe UI" w:cs="Segoe UI"/>
          <w:color w:val="000000"/>
          <w:sz w:val="22"/>
          <w:szCs w:val="22"/>
          <w:lang w:eastAsia="ja-JP"/>
        </w:rPr>
        <w:t xml:space="preserve"> and foster collaboration between residential care</w:t>
      </w:r>
      <w:r w:rsidR="00694B14">
        <w:rPr>
          <w:rFonts w:ascii="Segoe UI" w:hAnsi="Segoe UI" w:cs="Segoe UI"/>
          <w:color w:val="000000"/>
          <w:sz w:val="22"/>
          <w:szCs w:val="22"/>
          <w:lang w:eastAsia="ja-JP"/>
        </w:rPr>
        <w:t xml:space="preserve"> homes</w:t>
      </w:r>
      <w:r w:rsidR="00473B13">
        <w:rPr>
          <w:rFonts w:ascii="Segoe UI" w:hAnsi="Segoe UI" w:cs="Segoe UI"/>
          <w:color w:val="000000"/>
          <w:sz w:val="22"/>
          <w:szCs w:val="22"/>
          <w:lang w:eastAsia="ja-JP"/>
        </w:rPr>
        <w:t xml:space="preserve"> and palliative care specialists</w:t>
      </w:r>
      <w:r w:rsidR="00B956AA">
        <w:rPr>
          <w:rFonts w:ascii="Segoe UI" w:hAnsi="Segoe UI" w:cs="Segoe UI"/>
          <w:color w:val="000000"/>
          <w:sz w:val="22"/>
          <w:szCs w:val="22"/>
          <w:lang w:eastAsia="ja-JP"/>
        </w:rPr>
        <w:t>.</w:t>
      </w:r>
      <w:r w:rsidR="00E324C8">
        <w:rPr>
          <w:rStyle w:val="FootnoteReference"/>
          <w:rFonts w:ascii="Segoe UI" w:hAnsi="Segoe UI" w:cs="Segoe UI"/>
          <w:color w:val="000000"/>
          <w:sz w:val="22"/>
          <w:szCs w:val="22"/>
          <w:lang w:eastAsia="ja-JP"/>
        </w:rPr>
        <w:footnoteReference w:id="11"/>
      </w:r>
      <w:r w:rsidR="002C40DA">
        <w:rPr>
          <w:rFonts w:ascii="Segoe UI" w:hAnsi="Segoe UI" w:cs="Segoe UI"/>
          <w:color w:val="000000"/>
          <w:sz w:val="22"/>
          <w:szCs w:val="22"/>
          <w:lang w:eastAsia="ja-JP"/>
        </w:rPr>
        <w:t xml:space="preserve"> </w:t>
      </w:r>
      <w:r w:rsidR="00F944B0">
        <w:rPr>
          <w:rFonts w:ascii="Segoe UI" w:hAnsi="Segoe UI" w:cs="Segoe UI"/>
          <w:color w:val="000000"/>
          <w:sz w:val="22"/>
          <w:szCs w:val="22"/>
          <w:lang w:eastAsia="ja-JP"/>
        </w:rPr>
        <w:t xml:space="preserve"> </w:t>
      </w:r>
    </w:p>
    <w:p w14:paraId="111EC3EF" w14:textId="77777777" w:rsidR="0075789E" w:rsidRPr="0075789E" w:rsidRDefault="0075789E" w:rsidP="0075789E">
      <w:pPr>
        <w:spacing w:after="0" w:line="240" w:lineRule="auto"/>
        <w:jc w:val="both"/>
        <w:rPr>
          <w:rFonts w:ascii="Segoe UI" w:hAnsi="Segoe UI" w:cs="Segoe UI"/>
        </w:rPr>
      </w:pPr>
    </w:p>
    <w:p w14:paraId="644F5767" w14:textId="4655731F" w:rsidR="0075789E" w:rsidRPr="00276676" w:rsidRDefault="0075789E" w:rsidP="00276676">
      <w:pPr>
        <w:pStyle w:val="Title"/>
        <w:jc w:val="both"/>
        <w:rPr>
          <w:rFonts w:ascii="Segoe UI" w:hAnsi="Segoe UI" w:cs="Segoe UI"/>
          <w:sz w:val="32"/>
          <w:szCs w:val="32"/>
        </w:rPr>
      </w:pPr>
      <w:r w:rsidRPr="00276676">
        <w:rPr>
          <w:rFonts w:ascii="Segoe UI" w:hAnsi="Segoe UI" w:cs="Segoe UI"/>
          <w:sz w:val="32"/>
          <w:szCs w:val="32"/>
        </w:rPr>
        <w:t xml:space="preserve">The </w:t>
      </w:r>
      <w:r w:rsidR="00655AFC">
        <w:rPr>
          <w:rFonts w:ascii="Segoe UI" w:hAnsi="Segoe UI" w:cs="Segoe UI"/>
          <w:sz w:val="32"/>
          <w:szCs w:val="32"/>
        </w:rPr>
        <w:t>g</w:t>
      </w:r>
      <w:r w:rsidRPr="00276676">
        <w:rPr>
          <w:rFonts w:ascii="Segoe UI" w:hAnsi="Segoe UI" w:cs="Segoe UI"/>
          <w:sz w:val="32"/>
          <w:szCs w:val="32"/>
        </w:rPr>
        <w:t xml:space="preserve">ap in </w:t>
      </w:r>
      <w:r w:rsidR="00655AFC">
        <w:rPr>
          <w:rFonts w:ascii="Segoe UI" w:hAnsi="Segoe UI" w:cs="Segoe UI"/>
          <w:sz w:val="32"/>
          <w:szCs w:val="32"/>
        </w:rPr>
        <w:t>p</w:t>
      </w:r>
      <w:r w:rsidRPr="00276676">
        <w:rPr>
          <w:rFonts w:ascii="Segoe UI" w:hAnsi="Segoe UI" w:cs="Segoe UI"/>
          <w:sz w:val="32"/>
          <w:szCs w:val="32"/>
        </w:rPr>
        <w:t xml:space="preserve">alliative </w:t>
      </w:r>
      <w:r w:rsidR="00655AFC">
        <w:rPr>
          <w:rFonts w:ascii="Segoe UI" w:hAnsi="Segoe UI" w:cs="Segoe UI"/>
          <w:sz w:val="32"/>
          <w:szCs w:val="32"/>
        </w:rPr>
        <w:t>c</w:t>
      </w:r>
      <w:r w:rsidRPr="00276676">
        <w:rPr>
          <w:rFonts w:ascii="Segoe UI" w:hAnsi="Segoe UI" w:cs="Segoe UI"/>
          <w:sz w:val="32"/>
          <w:szCs w:val="32"/>
        </w:rPr>
        <w:t xml:space="preserve">are provision in </w:t>
      </w:r>
      <w:r w:rsidR="00655AFC">
        <w:rPr>
          <w:rFonts w:ascii="Segoe UI" w:hAnsi="Segoe UI" w:cs="Segoe UI"/>
          <w:sz w:val="32"/>
          <w:szCs w:val="32"/>
        </w:rPr>
        <w:t>r</w:t>
      </w:r>
      <w:r w:rsidRPr="00276676">
        <w:rPr>
          <w:rFonts w:ascii="Segoe UI" w:hAnsi="Segoe UI" w:cs="Segoe UI"/>
          <w:sz w:val="32"/>
          <w:szCs w:val="32"/>
        </w:rPr>
        <w:t xml:space="preserve">esidential </w:t>
      </w:r>
      <w:r w:rsidR="00655AFC">
        <w:rPr>
          <w:rFonts w:ascii="Segoe UI" w:hAnsi="Segoe UI" w:cs="Segoe UI"/>
          <w:sz w:val="32"/>
          <w:szCs w:val="32"/>
        </w:rPr>
        <w:t>c</w:t>
      </w:r>
      <w:r w:rsidRPr="00276676">
        <w:rPr>
          <w:rFonts w:ascii="Segoe UI" w:hAnsi="Segoe UI" w:cs="Segoe UI"/>
          <w:sz w:val="32"/>
          <w:szCs w:val="32"/>
        </w:rPr>
        <w:t>are</w:t>
      </w:r>
    </w:p>
    <w:p w14:paraId="52D8F15E" w14:textId="77777777" w:rsidR="0075789E" w:rsidRPr="00925C55" w:rsidRDefault="0075789E" w:rsidP="0075789E">
      <w:pPr>
        <w:pStyle w:val="Subtitle"/>
        <w:spacing w:after="0" w:line="240" w:lineRule="auto"/>
        <w:jc w:val="both"/>
        <w:rPr>
          <w:sz w:val="20"/>
          <w:szCs w:val="20"/>
        </w:rPr>
      </w:pPr>
    </w:p>
    <w:p w14:paraId="3C8E5A9B" w14:textId="0429F1BD" w:rsidR="0075789E" w:rsidRPr="00DA4A06" w:rsidRDefault="00F944B0" w:rsidP="0075789E">
      <w:pPr>
        <w:spacing w:after="0" w:line="240" w:lineRule="auto"/>
        <w:jc w:val="both"/>
        <w:rPr>
          <w:rFonts w:ascii="Segoe UI" w:hAnsi="Segoe UI" w:cs="Segoe UI"/>
          <w:sz w:val="22"/>
          <w:szCs w:val="22"/>
        </w:rPr>
      </w:pPr>
      <w:r>
        <w:rPr>
          <w:rFonts w:ascii="Segoe UI" w:hAnsi="Segoe UI" w:cs="Segoe UI"/>
          <w:sz w:val="22"/>
          <w:szCs w:val="22"/>
        </w:rPr>
        <w:t xml:space="preserve">Residential aged care palliative care service provision </w:t>
      </w:r>
      <w:r w:rsidR="0075789E" w:rsidRPr="00DA4A06">
        <w:rPr>
          <w:rFonts w:ascii="Segoe UI" w:hAnsi="Segoe UI" w:cs="Segoe UI"/>
          <w:sz w:val="22"/>
          <w:szCs w:val="22"/>
        </w:rPr>
        <w:t>varies</w:t>
      </w:r>
      <w:r>
        <w:rPr>
          <w:rFonts w:ascii="Segoe UI" w:hAnsi="Segoe UI" w:cs="Segoe UI"/>
          <w:sz w:val="22"/>
          <w:szCs w:val="22"/>
        </w:rPr>
        <w:t xml:space="preserve"> significantly </w:t>
      </w:r>
      <w:r w:rsidR="00694B14">
        <w:rPr>
          <w:rFonts w:ascii="Segoe UI" w:hAnsi="Segoe UI" w:cs="Segoe UI"/>
          <w:sz w:val="22"/>
          <w:szCs w:val="22"/>
        </w:rPr>
        <w:t xml:space="preserve">between providers </w:t>
      </w:r>
      <w:r>
        <w:rPr>
          <w:rFonts w:ascii="Segoe UI" w:hAnsi="Segoe UI" w:cs="Segoe UI"/>
          <w:sz w:val="22"/>
          <w:szCs w:val="22"/>
        </w:rPr>
        <w:t xml:space="preserve">and between states and territories. </w:t>
      </w:r>
      <w:r w:rsidR="00BC783A" w:rsidRPr="00C41085">
        <w:rPr>
          <w:rFonts w:ascii="Segoe UI" w:hAnsi="Segoe UI" w:cs="Segoe UI"/>
          <w:sz w:val="22"/>
          <w:szCs w:val="22"/>
        </w:rPr>
        <w:t>M</w:t>
      </w:r>
      <w:r w:rsidR="0075789E" w:rsidRPr="00C41085">
        <w:rPr>
          <w:rFonts w:ascii="Segoe UI" w:hAnsi="Segoe UI" w:cs="Segoe UI"/>
          <w:sz w:val="22"/>
          <w:szCs w:val="22"/>
        </w:rPr>
        <w:t>ost</w:t>
      </w:r>
      <w:r w:rsidR="0075789E" w:rsidRPr="00DA4A06">
        <w:rPr>
          <w:rFonts w:ascii="Segoe UI" w:hAnsi="Segoe UI" w:cs="Segoe UI"/>
          <w:sz w:val="22"/>
          <w:szCs w:val="22"/>
        </w:rPr>
        <w:t xml:space="preserve"> nursing homes lack adequate levels of specialised staff to provide the time-limited, intensive support that good palliative care requires. Visiting medical staff</w:t>
      </w:r>
      <w:r>
        <w:rPr>
          <w:rFonts w:ascii="Segoe UI" w:hAnsi="Segoe UI" w:cs="Segoe UI"/>
          <w:sz w:val="22"/>
          <w:szCs w:val="22"/>
        </w:rPr>
        <w:t>,</w:t>
      </w:r>
      <w:r w:rsidR="0075789E" w:rsidRPr="00DA4A06">
        <w:rPr>
          <w:rFonts w:ascii="Segoe UI" w:hAnsi="Segoe UI" w:cs="Segoe UI"/>
          <w:sz w:val="22"/>
          <w:szCs w:val="22"/>
        </w:rPr>
        <w:t xml:space="preserve"> including </w:t>
      </w:r>
      <w:r w:rsidR="009E42FD">
        <w:rPr>
          <w:rFonts w:ascii="Segoe UI" w:hAnsi="Segoe UI" w:cs="Segoe UI"/>
          <w:sz w:val="22"/>
          <w:szCs w:val="22"/>
        </w:rPr>
        <w:t>general practitioner</w:t>
      </w:r>
      <w:r w:rsidR="0075789E" w:rsidRPr="00DA4A06">
        <w:rPr>
          <w:rFonts w:ascii="Segoe UI" w:hAnsi="Segoe UI" w:cs="Segoe UI"/>
          <w:sz w:val="22"/>
          <w:szCs w:val="22"/>
        </w:rPr>
        <w:t>s</w:t>
      </w:r>
      <w:r w:rsidR="009E42FD">
        <w:rPr>
          <w:rFonts w:ascii="Segoe UI" w:hAnsi="Segoe UI" w:cs="Segoe UI"/>
          <w:sz w:val="22"/>
          <w:szCs w:val="22"/>
        </w:rPr>
        <w:t xml:space="preserve"> (GPs)</w:t>
      </w:r>
      <w:r>
        <w:rPr>
          <w:rFonts w:ascii="Segoe UI" w:hAnsi="Segoe UI" w:cs="Segoe UI"/>
          <w:sz w:val="22"/>
          <w:szCs w:val="22"/>
        </w:rPr>
        <w:t>,</w:t>
      </w:r>
      <w:r w:rsidR="0075789E" w:rsidRPr="00DA4A06">
        <w:rPr>
          <w:rFonts w:ascii="Segoe UI" w:hAnsi="Segoe UI" w:cs="Segoe UI"/>
          <w:sz w:val="22"/>
          <w:szCs w:val="22"/>
        </w:rPr>
        <w:t xml:space="preserve"> similarly lack the necessary training and </w:t>
      </w:r>
      <w:r w:rsidR="0075789E" w:rsidRPr="001269FC">
        <w:rPr>
          <w:rFonts w:ascii="Segoe UI" w:hAnsi="Segoe UI" w:cs="Segoe UI"/>
          <w:sz w:val="22"/>
          <w:szCs w:val="22"/>
        </w:rPr>
        <w:t>confidence</w:t>
      </w:r>
      <w:r w:rsidR="0075789E" w:rsidRPr="00276676">
        <w:rPr>
          <w:rStyle w:val="FootnoteReference"/>
          <w:rFonts w:ascii="Segoe UI" w:hAnsi="Segoe UI" w:cs="Segoe UI"/>
          <w:sz w:val="24"/>
          <w:szCs w:val="24"/>
        </w:rPr>
        <w:footnoteReference w:id="12"/>
      </w:r>
      <w:r w:rsidR="0075789E" w:rsidRPr="00276676">
        <w:rPr>
          <w:rFonts w:ascii="Segoe UI" w:hAnsi="Segoe UI" w:cs="Segoe UI"/>
          <w:sz w:val="24"/>
          <w:szCs w:val="24"/>
        </w:rPr>
        <w:t xml:space="preserve"> – </w:t>
      </w:r>
      <w:r w:rsidR="0075789E" w:rsidRPr="001269FC">
        <w:rPr>
          <w:rFonts w:ascii="Segoe UI" w:hAnsi="Segoe UI" w:cs="Segoe UI"/>
          <w:sz w:val="22"/>
          <w:szCs w:val="22"/>
        </w:rPr>
        <w:t>as heard</w:t>
      </w:r>
      <w:r w:rsidR="0075789E" w:rsidRPr="00276676">
        <w:rPr>
          <w:rFonts w:ascii="Segoe UI" w:hAnsi="Segoe UI" w:cs="Segoe UI"/>
          <w:sz w:val="24"/>
          <w:szCs w:val="24"/>
        </w:rPr>
        <w:t xml:space="preserve"> </w:t>
      </w:r>
      <w:r w:rsidR="0075789E" w:rsidRPr="00DA4A06">
        <w:rPr>
          <w:rFonts w:ascii="Segoe UI" w:hAnsi="Segoe UI" w:cs="Segoe UI"/>
          <w:sz w:val="22"/>
          <w:szCs w:val="22"/>
        </w:rPr>
        <w:t xml:space="preserve">in the Sydney </w:t>
      </w:r>
      <w:r w:rsidR="003F3A0F">
        <w:rPr>
          <w:rFonts w:ascii="Segoe UI" w:hAnsi="Segoe UI" w:cs="Segoe UI"/>
          <w:sz w:val="22"/>
          <w:szCs w:val="22"/>
        </w:rPr>
        <w:t>h</w:t>
      </w:r>
      <w:r w:rsidR="0075789E" w:rsidRPr="00DA4A06">
        <w:rPr>
          <w:rFonts w:ascii="Segoe UI" w:hAnsi="Segoe UI" w:cs="Segoe UI"/>
          <w:sz w:val="22"/>
          <w:szCs w:val="22"/>
        </w:rPr>
        <w:t>earing of the</w:t>
      </w:r>
      <w:r w:rsidR="003F3A0F">
        <w:rPr>
          <w:rFonts w:ascii="Segoe UI" w:hAnsi="Segoe UI" w:cs="Segoe UI"/>
          <w:sz w:val="22"/>
          <w:szCs w:val="22"/>
        </w:rPr>
        <w:t xml:space="preserve"> Royal Commission</w:t>
      </w:r>
      <w:r w:rsidR="0075789E" w:rsidRPr="00DA4A06">
        <w:rPr>
          <w:rFonts w:ascii="Segoe UI" w:hAnsi="Segoe UI" w:cs="Segoe UI"/>
          <w:sz w:val="22"/>
          <w:szCs w:val="22"/>
        </w:rPr>
        <w:t>.</w:t>
      </w:r>
      <w:r w:rsidR="0075789E" w:rsidRPr="00DA4A06">
        <w:rPr>
          <w:rStyle w:val="FootnoteReference"/>
          <w:rFonts w:ascii="Segoe UI" w:hAnsi="Segoe UI" w:cs="Segoe UI"/>
          <w:sz w:val="22"/>
          <w:szCs w:val="22"/>
        </w:rPr>
        <w:footnoteReference w:id="13"/>
      </w:r>
      <w:r w:rsidR="0075789E" w:rsidRPr="00DA4A06">
        <w:rPr>
          <w:rFonts w:ascii="Segoe UI" w:hAnsi="Segoe UI" w:cs="Segoe UI"/>
          <w:sz w:val="22"/>
          <w:szCs w:val="22"/>
        </w:rPr>
        <w:t xml:space="preserve"> These </w:t>
      </w:r>
      <w:r w:rsidR="009E42FD">
        <w:rPr>
          <w:rFonts w:ascii="Segoe UI" w:hAnsi="Segoe UI" w:cs="Segoe UI"/>
          <w:sz w:val="22"/>
          <w:szCs w:val="22"/>
        </w:rPr>
        <w:t>inadequacies</w:t>
      </w:r>
      <w:r w:rsidR="0075789E" w:rsidRPr="00DA4A06">
        <w:rPr>
          <w:rFonts w:ascii="Segoe UI" w:hAnsi="Segoe UI" w:cs="Segoe UI"/>
          <w:sz w:val="22"/>
          <w:szCs w:val="22"/>
        </w:rPr>
        <w:t xml:space="preserve"> often lead to detrimental outcomes for the resident, including symptoms being poorly managed and too often treated as medical emergencies </w:t>
      </w:r>
      <w:r w:rsidR="009E42FD">
        <w:rPr>
          <w:rFonts w:ascii="Segoe UI" w:hAnsi="Segoe UI" w:cs="Segoe UI"/>
          <w:sz w:val="22"/>
          <w:szCs w:val="22"/>
        </w:rPr>
        <w:t>that result</w:t>
      </w:r>
      <w:r w:rsidR="0075789E" w:rsidRPr="00DA4A06">
        <w:rPr>
          <w:rFonts w:ascii="Segoe UI" w:hAnsi="Segoe UI" w:cs="Segoe UI"/>
          <w:sz w:val="22"/>
          <w:szCs w:val="22"/>
        </w:rPr>
        <w:t xml:space="preserve"> in unnecessary transfers to hospital.</w:t>
      </w:r>
      <w:r w:rsidR="0075789E" w:rsidRPr="00DA4A06">
        <w:rPr>
          <w:rStyle w:val="FootnoteReference"/>
          <w:rFonts w:ascii="Segoe UI" w:hAnsi="Segoe UI" w:cs="Segoe UI"/>
          <w:sz w:val="22"/>
          <w:szCs w:val="22"/>
        </w:rPr>
        <w:footnoteReference w:id="14"/>
      </w:r>
      <w:r w:rsidR="0075789E" w:rsidRPr="00DA4A06">
        <w:rPr>
          <w:rFonts w:ascii="Segoe UI" w:hAnsi="Segoe UI" w:cs="Segoe UI"/>
          <w:sz w:val="22"/>
          <w:szCs w:val="22"/>
        </w:rPr>
        <w:t xml:space="preserve"> Limited access to palliative care consultants and insufficient funding are </w:t>
      </w:r>
      <w:r w:rsidR="003948F2">
        <w:rPr>
          <w:rFonts w:ascii="Segoe UI" w:hAnsi="Segoe UI" w:cs="Segoe UI"/>
          <w:sz w:val="22"/>
          <w:szCs w:val="22"/>
        </w:rPr>
        <w:t>additional</w:t>
      </w:r>
      <w:r w:rsidR="0075789E" w:rsidRPr="00DA4A06">
        <w:rPr>
          <w:rFonts w:ascii="Segoe UI" w:hAnsi="Segoe UI" w:cs="Segoe UI"/>
          <w:sz w:val="22"/>
          <w:szCs w:val="22"/>
        </w:rPr>
        <w:t xml:space="preserve"> barriers to the provision of good palliative care. </w:t>
      </w:r>
    </w:p>
    <w:p w14:paraId="3C36B79D" w14:textId="77777777" w:rsidR="0075789E" w:rsidRPr="00DA4A06" w:rsidRDefault="0075789E" w:rsidP="0075789E">
      <w:pPr>
        <w:spacing w:after="0" w:line="240" w:lineRule="auto"/>
        <w:jc w:val="both"/>
        <w:rPr>
          <w:rFonts w:ascii="Segoe UI" w:hAnsi="Segoe UI" w:cs="Segoe UI"/>
          <w:sz w:val="22"/>
          <w:szCs w:val="22"/>
        </w:rPr>
      </w:pPr>
    </w:p>
    <w:p w14:paraId="1A2ECA92" w14:textId="10546433" w:rsidR="0075789E" w:rsidRPr="00DA4A06" w:rsidRDefault="00367C2D" w:rsidP="0075789E">
      <w:pPr>
        <w:spacing w:after="0" w:line="240" w:lineRule="auto"/>
        <w:jc w:val="both"/>
        <w:rPr>
          <w:rFonts w:ascii="Segoe UI" w:hAnsi="Segoe UI" w:cs="Segoe UI"/>
          <w:sz w:val="22"/>
          <w:szCs w:val="22"/>
        </w:rPr>
      </w:pPr>
      <w:r>
        <w:rPr>
          <w:rFonts w:ascii="Segoe UI" w:hAnsi="Segoe UI" w:cs="Segoe UI"/>
          <w:sz w:val="22"/>
          <w:szCs w:val="22"/>
        </w:rPr>
        <w:t xml:space="preserve">The case study </w:t>
      </w:r>
      <w:r w:rsidR="003F3A0F">
        <w:rPr>
          <w:rFonts w:ascii="Segoe UI" w:hAnsi="Segoe UI" w:cs="Segoe UI"/>
          <w:sz w:val="22"/>
          <w:szCs w:val="22"/>
        </w:rPr>
        <w:t>of</w:t>
      </w:r>
      <w:r w:rsidR="00493609">
        <w:rPr>
          <w:rFonts w:ascii="Segoe UI" w:hAnsi="Segoe UI" w:cs="Segoe UI"/>
          <w:sz w:val="22"/>
          <w:szCs w:val="22"/>
        </w:rPr>
        <w:t xml:space="preserve"> residential</w:t>
      </w:r>
      <w:r w:rsidR="003F3A0F">
        <w:rPr>
          <w:rFonts w:ascii="Segoe UI" w:hAnsi="Segoe UI" w:cs="Segoe UI"/>
          <w:sz w:val="22"/>
          <w:szCs w:val="22"/>
        </w:rPr>
        <w:t xml:space="preserve"> aged care resident ‘</w:t>
      </w:r>
      <w:r w:rsidR="0075789E" w:rsidRPr="00DA4A06">
        <w:rPr>
          <w:rFonts w:ascii="Segoe UI" w:hAnsi="Segoe UI" w:cs="Segoe UI"/>
          <w:sz w:val="22"/>
          <w:szCs w:val="22"/>
        </w:rPr>
        <w:t>DE</w:t>
      </w:r>
      <w:r w:rsidR="003F3A0F">
        <w:rPr>
          <w:rFonts w:ascii="Segoe UI" w:hAnsi="Segoe UI" w:cs="Segoe UI"/>
          <w:sz w:val="22"/>
          <w:szCs w:val="22"/>
        </w:rPr>
        <w:t>’</w:t>
      </w:r>
      <w:r w:rsidR="00667F6C">
        <w:rPr>
          <w:rFonts w:ascii="Segoe UI" w:hAnsi="Segoe UI" w:cs="Segoe UI"/>
          <w:sz w:val="22"/>
          <w:szCs w:val="22"/>
        </w:rPr>
        <w:t>,</w:t>
      </w:r>
      <w:r w:rsidR="0075789E" w:rsidRPr="00DA4A06">
        <w:rPr>
          <w:rFonts w:ascii="Segoe UI" w:hAnsi="Segoe UI" w:cs="Segoe UI"/>
          <w:sz w:val="22"/>
          <w:szCs w:val="22"/>
        </w:rPr>
        <w:t xml:space="preserve"> presented to the Sydney hearing of the Royal Commission</w:t>
      </w:r>
      <w:r w:rsidR="00667F6C">
        <w:rPr>
          <w:rFonts w:ascii="Segoe UI" w:hAnsi="Segoe UI" w:cs="Segoe UI"/>
          <w:sz w:val="22"/>
          <w:szCs w:val="22"/>
        </w:rPr>
        <w:t>,</w:t>
      </w:r>
      <w:r w:rsidR="0075789E" w:rsidRPr="00DA4A06">
        <w:rPr>
          <w:rFonts w:ascii="Segoe UI" w:hAnsi="Segoe UI" w:cs="Segoe UI"/>
          <w:sz w:val="22"/>
          <w:szCs w:val="22"/>
        </w:rPr>
        <w:t xml:space="preserve"> </w:t>
      </w:r>
      <w:r>
        <w:rPr>
          <w:rFonts w:ascii="Segoe UI" w:hAnsi="Segoe UI" w:cs="Segoe UI"/>
          <w:sz w:val="22"/>
          <w:szCs w:val="22"/>
        </w:rPr>
        <w:t>exemplifies this gap</w:t>
      </w:r>
      <w:r w:rsidR="0075789E" w:rsidRPr="00DA4A06">
        <w:rPr>
          <w:rFonts w:ascii="Segoe UI" w:hAnsi="Segoe UI" w:cs="Segoe UI"/>
          <w:sz w:val="22"/>
          <w:szCs w:val="22"/>
        </w:rPr>
        <w:t xml:space="preserve">. </w:t>
      </w:r>
      <w:r>
        <w:rPr>
          <w:rFonts w:ascii="Segoe UI" w:hAnsi="Segoe UI" w:cs="Segoe UI"/>
          <w:sz w:val="22"/>
          <w:szCs w:val="22"/>
        </w:rPr>
        <w:t xml:space="preserve">Staff at DE’s residential care facility </w:t>
      </w:r>
      <w:r w:rsidR="003F3A0F">
        <w:rPr>
          <w:rFonts w:ascii="Segoe UI" w:hAnsi="Segoe UI" w:cs="Segoe UI"/>
          <w:sz w:val="22"/>
          <w:szCs w:val="22"/>
        </w:rPr>
        <w:t>f</w:t>
      </w:r>
      <w:r w:rsidR="0075789E" w:rsidRPr="00DA4A06">
        <w:rPr>
          <w:rFonts w:ascii="Segoe UI" w:hAnsi="Segoe UI" w:cs="Segoe UI"/>
          <w:sz w:val="22"/>
          <w:szCs w:val="22"/>
        </w:rPr>
        <w:t xml:space="preserve">ailed to </w:t>
      </w:r>
      <w:r w:rsidR="003F3A0F">
        <w:rPr>
          <w:rFonts w:ascii="Segoe UI" w:hAnsi="Segoe UI" w:cs="Segoe UI"/>
          <w:sz w:val="22"/>
          <w:szCs w:val="22"/>
        </w:rPr>
        <w:t xml:space="preserve">adequately </w:t>
      </w:r>
      <w:r w:rsidR="0075789E" w:rsidRPr="00DA4A06">
        <w:rPr>
          <w:rFonts w:ascii="Segoe UI" w:hAnsi="Segoe UI" w:cs="Segoe UI"/>
          <w:sz w:val="22"/>
          <w:szCs w:val="22"/>
        </w:rPr>
        <w:t>communicate DE’s</w:t>
      </w:r>
      <w:r w:rsidR="003F3A0F">
        <w:rPr>
          <w:rFonts w:ascii="Segoe UI" w:hAnsi="Segoe UI" w:cs="Segoe UI"/>
          <w:sz w:val="22"/>
          <w:szCs w:val="22"/>
        </w:rPr>
        <w:t xml:space="preserve"> palliative care status to her</w:t>
      </w:r>
      <w:r w:rsidR="0075789E" w:rsidRPr="00DA4A06">
        <w:rPr>
          <w:rFonts w:ascii="Segoe UI" w:hAnsi="Segoe UI" w:cs="Segoe UI"/>
          <w:sz w:val="22"/>
          <w:szCs w:val="22"/>
        </w:rPr>
        <w:t xml:space="preserve"> daughters</w:t>
      </w:r>
      <w:r w:rsidR="003F3A0F">
        <w:rPr>
          <w:rFonts w:ascii="Segoe UI" w:hAnsi="Segoe UI" w:cs="Segoe UI"/>
          <w:sz w:val="22"/>
          <w:szCs w:val="22"/>
        </w:rPr>
        <w:t xml:space="preserve">, </w:t>
      </w:r>
      <w:r w:rsidR="0075789E" w:rsidRPr="00DA4A06">
        <w:rPr>
          <w:rFonts w:ascii="Segoe UI" w:hAnsi="Segoe UI" w:cs="Segoe UI"/>
          <w:sz w:val="22"/>
          <w:szCs w:val="22"/>
        </w:rPr>
        <w:t xml:space="preserve">including one who was her enduring guardian and authorised representative. DE’s daughters were not </w:t>
      </w:r>
      <w:r w:rsidR="00DE5B66">
        <w:rPr>
          <w:rFonts w:ascii="Segoe UI" w:hAnsi="Segoe UI" w:cs="Segoe UI"/>
          <w:sz w:val="22"/>
          <w:szCs w:val="22"/>
        </w:rPr>
        <w:t>includ</w:t>
      </w:r>
      <w:r w:rsidR="001520CB">
        <w:rPr>
          <w:rFonts w:ascii="Segoe UI" w:hAnsi="Segoe UI" w:cs="Segoe UI"/>
          <w:sz w:val="22"/>
          <w:szCs w:val="22"/>
        </w:rPr>
        <w:t>ed</w:t>
      </w:r>
      <w:r w:rsidR="0075789E" w:rsidRPr="00DA4A06">
        <w:rPr>
          <w:rFonts w:ascii="Segoe UI" w:hAnsi="Segoe UI" w:cs="Segoe UI"/>
          <w:sz w:val="22"/>
          <w:szCs w:val="22"/>
        </w:rPr>
        <w:t xml:space="preserve"> in her palliative care plan</w:t>
      </w:r>
      <w:r w:rsidR="00DE5B66">
        <w:rPr>
          <w:rFonts w:ascii="Segoe UI" w:hAnsi="Segoe UI" w:cs="Segoe UI"/>
          <w:sz w:val="22"/>
          <w:szCs w:val="22"/>
        </w:rPr>
        <w:t>ning</w:t>
      </w:r>
      <w:r w:rsidR="0075789E" w:rsidRPr="00DA4A06">
        <w:rPr>
          <w:rFonts w:ascii="Segoe UI" w:hAnsi="Segoe UI" w:cs="Segoe UI"/>
          <w:sz w:val="22"/>
          <w:szCs w:val="22"/>
        </w:rPr>
        <w:t xml:space="preserve"> and on the night</w:t>
      </w:r>
      <w:r w:rsidR="003F3A0F">
        <w:rPr>
          <w:rFonts w:ascii="Segoe UI" w:hAnsi="Segoe UI" w:cs="Segoe UI"/>
          <w:sz w:val="22"/>
          <w:szCs w:val="22"/>
        </w:rPr>
        <w:t xml:space="preserve"> of DE’s death</w:t>
      </w:r>
      <w:r w:rsidR="001520CB">
        <w:rPr>
          <w:rFonts w:ascii="Segoe UI" w:hAnsi="Segoe UI" w:cs="Segoe UI"/>
          <w:sz w:val="22"/>
          <w:szCs w:val="22"/>
        </w:rPr>
        <w:t xml:space="preserve">, DE </w:t>
      </w:r>
      <w:r w:rsidR="0075789E" w:rsidRPr="00DA4A06">
        <w:rPr>
          <w:rFonts w:ascii="Segoe UI" w:hAnsi="Segoe UI" w:cs="Segoe UI"/>
          <w:sz w:val="22"/>
          <w:szCs w:val="22"/>
        </w:rPr>
        <w:t>was distressed, in pain and fighting for breath</w:t>
      </w:r>
      <w:r w:rsidR="00667F6C">
        <w:rPr>
          <w:rFonts w:ascii="Segoe UI" w:hAnsi="Segoe UI" w:cs="Segoe UI"/>
          <w:sz w:val="22"/>
          <w:szCs w:val="22"/>
        </w:rPr>
        <w:t xml:space="preserve">. DE’s daughters noted their mother’s </w:t>
      </w:r>
      <w:r w:rsidR="0075789E" w:rsidRPr="00DA4A06">
        <w:rPr>
          <w:rFonts w:ascii="Segoe UI" w:hAnsi="Segoe UI" w:cs="Segoe UI"/>
          <w:sz w:val="22"/>
          <w:szCs w:val="22"/>
        </w:rPr>
        <w:t>final month</w:t>
      </w:r>
      <w:r w:rsidR="00667F6C">
        <w:rPr>
          <w:rFonts w:ascii="Segoe UI" w:hAnsi="Segoe UI" w:cs="Segoe UI"/>
          <w:sz w:val="22"/>
          <w:szCs w:val="22"/>
        </w:rPr>
        <w:t xml:space="preserve"> of living</w:t>
      </w:r>
      <w:r w:rsidR="0075789E" w:rsidRPr="00DA4A06">
        <w:rPr>
          <w:rFonts w:ascii="Segoe UI" w:hAnsi="Segoe UI" w:cs="Segoe UI"/>
          <w:sz w:val="22"/>
          <w:szCs w:val="22"/>
        </w:rPr>
        <w:t xml:space="preserve"> would have </w:t>
      </w:r>
      <w:r w:rsidR="00667F6C">
        <w:rPr>
          <w:rFonts w:ascii="Segoe UI" w:hAnsi="Segoe UI" w:cs="Segoe UI"/>
          <w:sz w:val="22"/>
          <w:szCs w:val="22"/>
        </w:rPr>
        <w:t xml:space="preserve">been significantly improved </w:t>
      </w:r>
      <w:r w:rsidR="0075789E" w:rsidRPr="00DA4A06">
        <w:rPr>
          <w:rFonts w:ascii="Segoe UI" w:hAnsi="Segoe UI" w:cs="Segoe UI"/>
          <w:sz w:val="22"/>
          <w:szCs w:val="22"/>
        </w:rPr>
        <w:t>if staff had better training in providing a palliative approach and comfort care at the end</w:t>
      </w:r>
      <w:r w:rsidR="00667F6C">
        <w:rPr>
          <w:rFonts w:ascii="Segoe UI" w:hAnsi="Segoe UI" w:cs="Segoe UI"/>
          <w:sz w:val="22"/>
          <w:szCs w:val="22"/>
        </w:rPr>
        <w:t>-</w:t>
      </w:r>
      <w:r w:rsidR="0075789E" w:rsidRPr="00DA4A06">
        <w:rPr>
          <w:rFonts w:ascii="Segoe UI" w:hAnsi="Segoe UI" w:cs="Segoe UI"/>
          <w:sz w:val="22"/>
          <w:szCs w:val="22"/>
        </w:rPr>
        <w:t>of</w:t>
      </w:r>
      <w:r w:rsidR="00667F6C">
        <w:rPr>
          <w:rFonts w:ascii="Segoe UI" w:hAnsi="Segoe UI" w:cs="Segoe UI"/>
          <w:sz w:val="22"/>
          <w:szCs w:val="22"/>
        </w:rPr>
        <w:t>-</w:t>
      </w:r>
      <w:r w:rsidR="0075789E" w:rsidRPr="00DA4A06">
        <w:rPr>
          <w:rFonts w:ascii="Segoe UI" w:hAnsi="Segoe UI" w:cs="Segoe UI"/>
          <w:sz w:val="22"/>
          <w:szCs w:val="22"/>
        </w:rPr>
        <w:t>life.</w:t>
      </w:r>
    </w:p>
    <w:p w14:paraId="101DEFED" w14:textId="77777777" w:rsidR="00276676" w:rsidRDefault="00276676" w:rsidP="0075789E">
      <w:pPr>
        <w:spacing w:after="0" w:line="240" w:lineRule="auto"/>
        <w:jc w:val="both"/>
        <w:rPr>
          <w:rFonts w:ascii="Segoe UI" w:hAnsi="Segoe UI" w:cs="Segoe UI"/>
          <w:sz w:val="24"/>
          <w:szCs w:val="24"/>
        </w:rPr>
      </w:pPr>
    </w:p>
    <w:p w14:paraId="58358C43" w14:textId="603FCE23" w:rsidR="00772A2D" w:rsidRDefault="00667F6C" w:rsidP="00DA4A06">
      <w:pPr>
        <w:autoSpaceDE w:val="0"/>
        <w:autoSpaceDN w:val="0"/>
        <w:adjustRightInd w:val="0"/>
        <w:spacing w:after="0" w:line="240" w:lineRule="auto"/>
        <w:rPr>
          <w:rFonts w:ascii="Segoe UI" w:hAnsi="Segoe UI" w:cs="Segoe UI"/>
          <w:color w:val="000000"/>
          <w:sz w:val="22"/>
          <w:szCs w:val="22"/>
          <w:lang w:eastAsia="ja-JP"/>
        </w:rPr>
      </w:pPr>
      <w:r>
        <w:rPr>
          <w:rFonts w:ascii="Segoe UI" w:hAnsi="Segoe UI" w:cs="Segoe UI"/>
          <w:color w:val="000000"/>
          <w:sz w:val="22"/>
          <w:szCs w:val="22"/>
          <w:lang w:eastAsia="ja-JP"/>
        </w:rPr>
        <w:t>N</w:t>
      </w:r>
      <w:r w:rsidR="00DA4A06" w:rsidRPr="00DA4A06">
        <w:rPr>
          <w:rFonts w:ascii="Segoe UI" w:hAnsi="Segoe UI" w:cs="Segoe UI"/>
          <w:color w:val="000000"/>
          <w:sz w:val="22"/>
          <w:szCs w:val="22"/>
          <w:lang w:eastAsia="ja-JP"/>
        </w:rPr>
        <w:t>o single approach will address the</w:t>
      </w:r>
      <w:r w:rsidR="00DA4A06">
        <w:rPr>
          <w:rFonts w:ascii="Segoe UI" w:hAnsi="Segoe UI" w:cs="Segoe UI"/>
          <w:color w:val="000000"/>
          <w:sz w:val="22"/>
          <w:szCs w:val="22"/>
          <w:lang w:eastAsia="ja-JP"/>
        </w:rPr>
        <w:t xml:space="preserve"> ga</w:t>
      </w:r>
      <w:r>
        <w:rPr>
          <w:rFonts w:ascii="Segoe UI" w:hAnsi="Segoe UI" w:cs="Segoe UI"/>
          <w:color w:val="000000"/>
          <w:sz w:val="22"/>
          <w:szCs w:val="22"/>
          <w:lang w:eastAsia="ja-JP"/>
        </w:rPr>
        <w:t>ps currently present in palliative care service provision with</w:t>
      </w:r>
      <w:r w:rsidR="001520CB">
        <w:rPr>
          <w:rFonts w:ascii="Segoe UI" w:hAnsi="Segoe UI" w:cs="Segoe UI"/>
          <w:color w:val="000000"/>
          <w:sz w:val="22"/>
          <w:szCs w:val="22"/>
          <w:lang w:eastAsia="ja-JP"/>
        </w:rPr>
        <w:t>in</w:t>
      </w:r>
      <w:r>
        <w:rPr>
          <w:rFonts w:ascii="Segoe UI" w:hAnsi="Segoe UI" w:cs="Segoe UI"/>
          <w:color w:val="000000"/>
          <w:sz w:val="22"/>
          <w:szCs w:val="22"/>
          <w:lang w:eastAsia="ja-JP"/>
        </w:rPr>
        <w:t xml:space="preserve"> residential aged care</w:t>
      </w:r>
      <w:r w:rsidR="00DF75D7">
        <w:rPr>
          <w:rFonts w:ascii="Segoe UI" w:hAnsi="Segoe UI" w:cs="Segoe UI"/>
          <w:color w:val="000000"/>
          <w:sz w:val="22"/>
          <w:szCs w:val="22"/>
          <w:lang w:eastAsia="ja-JP"/>
        </w:rPr>
        <w:t xml:space="preserve">.  The </w:t>
      </w:r>
      <w:r>
        <w:rPr>
          <w:rFonts w:ascii="Segoe UI" w:hAnsi="Segoe UI" w:cs="Segoe UI"/>
          <w:color w:val="000000"/>
          <w:sz w:val="22"/>
          <w:szCs w:val="22"/>
          <w:lang w:eastAsia="ja-JP"/>
        </w:rPr>
        <w:t>sector requires a multi-faceted approach</w:t>
      </w:r>
      <w:r w:rsidR="00567856">
        <w:rPr>
          <w:rFonts w:ascii="Segoe UI" w:hAnsi="Segoe UI" w:cs="Segoe UI"/>
          <w:color w:val="000000"/>
          <w:sz w:val="22"/>
          <w:szCs w:val="22"/>
          <w:lang w:eastAsia="ja-JP"/>
        </w:rPr>
        <w:t xml:space="preserve"> which</w:t>
      </w:r>
      <w:r w:rsidR="00772A2D">
        <w:rPr>
          <w:rFonts w:ascii="Segoe UI" w:hAnsi="Segoe UI" w:cs="Segoe UI"/>
          <w:color w:val="000000"/>
          <w:sz w:val="22"/>
          <w:szCs w:val="22"/>
          <w:lang w:eastAsia="ja-JP"/>
        </w:rPr>
        <w:t xml:space="preserve"> will build palliative care capability across the </w:t>
      </w:r>
      <w:proofErr w:type="gramStart"/>
      <w:r w:rsidR="00772A2D">
        <w:rPr>
          <w:rFonts w:ascii="Segoe UI" w:hAnsi="Segoe UI" w:cs="Segoe UI"/>
          <w:color w:val="000000"/>
          <w:sz w:val="22"/>
          <w:szCs w:val="22"/>
          <w:lang w:eastAsia="ja-JP"/>
        </w:rPr>
        <w:t>sector as a whole</w:t>
      </w:r>
      <w:proofErr w:type="gramEnd"/>
      <w:r w:rsidR="00772A2D">
        <w:rPr>
          <w:rFonts w:ascii="Segoe UI" w:hAnsi="Segoe UI" w:cs="Segoe UI"/>
          <w:color w:val="000000"/>
          <w:sz w:val="22"/>
          <w:szCs w:val="22"/>
          <w:lang w:eastAsia="ja-JP"/>
        </w:rPr>
        <w:t>.</w:t>
      </w:r>
      <w:r w:rsidR="00DF75D7">
        <w:rPr>
          <w:rFonts w:ascii="Segoe UI" w:hAnsi="Segoe UI" w:cs="Segoe UI"/>
          <w:color w:val="000000"/>
          <w:sz w:val="22"/>
          <w:szCs w:val="22"/>
          <w:lang w:eastAsia="ja-JP"/>
        </w:rPr>
        <w:t xml:space="preserve">  </w:t>
      </w:r>
      <w:proofErr w:type="gramStart"/>
      <w:r w:rsidR="00DF75D7">
        <w:rPr>
          <w:rFonts w:ascii="Segoe UI" w:hAnsi="Segoe UI" w:cs="Segoe UI"/>
          <w:color w:val="000000"/>
          <w:sz w:val="22"/>
          <w:szCs w:val="22"/>
          <w:lang w:eastAsia="ja-JP"/>
        </w:rPr>
        <w:t>However</w:t>
      </w:r>
      <w:proofErr w:type="gramEnd"/>
      <w:r w:rsidR="00DF75D7">
        <w:rPr>
          <w:rFonts w:ascii="Segoe UI" w:hAnsi="Segoe UI" w:cs="Segoe UI"/>
          <w:color w:val="000000"/>
          <w:sz w:val="22"/>
          <w:szCs w:val="22"/>
          <w:lang w:eastAsia="ja-JP"/>
        </w:rPr>
        <w:t xml:space="preserve"> improving palliative care in residential aged care not only improves quality of life for older Australians at the end of their lives but has a strong economic payback for the health and aged care sector as a whole.</w:t>
      </w:r>
    </w:p>
    <w:sectPr w:rsidR="00772A2D" w:rsidSect="00F3568F">
      <w:footerReference w:type="default" r:id="rId12"/>
      <w:pgSz w:w="11901" w:h="16817" w:code="1"/>
      <w:pgMar w:top="964" w:right="1134" w:bottom="1418" w:left="1134" w:header="113"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FD94" w14:textId="77777777" w:rsidR="00AA71F3" w:rsidRDefault="00AA71F3" w:rsidP="00391FF9">
      <w:r>
        <w:separator/>
      </w:r>
    </w:p>
  </w:endnote>
  <w:endnote w:type="continuationSeparator" w:id="0">
    <w:p w14:paraId="29BD070C" w14:textId="77777777" w:rsidR="00AA71F3" w:rsidRDefault="00AA71F3" w:rsidP="00391FF9">
      <w:r>
        <w:continuationSeparator/>
      </w:r>
    </w:p>
  </w:endnote>
  <w:endnote w:type="continuationNotice" w:id="1">
    <w:p w14:paraId="273EB31C" w14:textId="77777777" w:rsidR="00AA71F3" w:rsidRDefault="00AA7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Light">
    <w:altName w:val="Microsoft YaHei"/>
    <w:charset w:val="00"/>
    <w:family w:val="auto"/>
    <w:pitch w:val="variable"/>
    <w:sig w:usb0="00000001"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74441"/>
      <w:docPartObj>
        <w:docPartGallery w:val="Page Numbers (Bottom of Page)"/>
        <w:docPartUnique/>
      </w:docPartObj>
    </w:sdtPr>
    <w:sdtEndPr/>
    <w:sdtContent>
      <w:sdt>
        <w:sdtPr>
          <w:id w:val="-1769616900"/>
          <w:docPartObj>
            <w:docPartGallery w:val="Page Numbers (Top of Page)"/>
            <w:docPartUnique/>
          </w:docPartObj>
        </w:sdtPr>
        <w:sdtEndPr/>
        <w:sdtContent>
          <w:p w14:paraId="73A81B13" w14:textId="5765830A" w:rsidR="00772A2D" w:rsidRDefault="00772A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967F90" w14:textId="75DB285B" w:rsidR="00E05B93" w:rsidRPr="00995A9C" w:rsidRDefault="00E05B93" w:rsidP="00391FF9">
    <w:pPr>
      <w:pStyle w:val="Footer"/>
      <w:rPr>
        <w:rFonts w:ascii="Segoe UI" w:hAnsi="Segoe UI"/>
        <w:color w:val="5E278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3C214" w14:textId="77777777" w:rsidR="00AA71F3" w:rsidRDefault="00AA71F3" w:rsidP="00391FF9">
      <w:r>
        <w:separator/>
      </w:r>
    </w:p>
  </w:footnote>
  <w:footnote w:type="continuationSeparator" w:id="0">
    <w:p w14:paraId="792F81E4" w14:textId="77777777" w:rsidR="00AA71F3" w:rsidRDefault="00AA71F3" w:rsidP="00391FF9">
      <w:r>
        <w:continuationSeparator/>
      </w:r>
    </w:p>
  </w:footnote>
  <w:footnote w:type="continuationNotice" w:id="1">
    <w:p w14:paraId="7235F6FF" w14:textId="77777777" w:rsidR="00AA71F3" w:rsidRDefault="00AA71F3">
      <w:pPr>
        <w:spacing w:after="0" w:line="240" w:lineRule="auto"/>
      </w:pPr>
    </w:p>
  </w:footnote>
  <w:footnote w:id="2">
    <w:p w14:paraId="4792683C" w14:textId="77777777" w:rsidR="00503E3F" w:rsidRPr="004F0180" w:rsidRDefault="00503E3F" w:rsidP="00503E3F">
      <w:pPr>
        <w:pStyle w:val="FootnoteText"/>
        <w:rPr>
          <w:sz w:val="16"/>
          <w:szCs w:val="16"/>
        </w:rPr>
      </w:pPr>
      <w:r w:rsidRPr="004F0180">
        <w:rPr>
          <w:rStyle w:val="FootnoteReference"/>
          <w:sz w:val="16"/>
          <w:szCs w:val="16"/>
        </w:rPr>
        <w:footnoteRef/>
      </w:r>
      <w:r w:rsidRPr="004F0180">
        <w:rPr>
          <w:sz w:val="16"/>
          <w:szCs w:val="16"/>
        </w:rPr>
        <w:t xml:space="preserve"> Commonwealth of Australia, 2019, ‘Royal Commission 28.6.19R1’, Royal Commission into Aged Care Quality and Safety, Online Transcript, 28 June 2019, P-2827, viewed 18 October 2019. &lt;</w:t>
      </w:r>
      <w:r w:rsidRPr="004F0180">
        <w:rPr>
          <w:color w:val="0070C0"/>
          <w:sz w:val="16"/>
          <w:szCs w:val="16"/>
        </w:rPr>
        <w:t>https://agedcare.royalcommission.gov.au/hearings/Documents/transcripts-2019/transcript-28-june-2019.pd</w:t>
      </w:r>
      <w:r w:rsidRPr="004F0180">
        <w:rPr>
          <w:sz w:val="16"/>
          <w:szCs w:val="16"/>
        </w:rPr>
        <w:t xml:space="preserve">f&gt;  </w:t>
      </w:r>
    </w:p>
  </w:footnote>
  <w:footnote w:id="3">
    <w:p w14:paraId="588527E0" w14:textId="26DE7A62" w:rsidR="00D435B8" w:rsidRPr="00D0499C" w:rsidRDefault="00D435B8">
      <w:pPr>
        <w:pStyle w:val="FootnoteText"/>
        <w:rPr>
          <w:sz w:val="18"/>
          <w:szCs w:val="18"/>
        </w:rPr>
      </w:pPr>
      <w:r w:rsidRPr="009915B8">
        <w:rPr>
          <w:rStyle w:val="FootnoteReference"/>
          <w:sz w:val="18"/>
          <w:szCs w:val="18"/>
        </w:rPr>
        <w:footnoteRef/>
      </w:r>
      <w:r w:rsidRPr="009915B8">
        <w:rPr>
          <w:sz w:val="18"/>
          <w:szCs w:val="18"/>
        </w:rPr>
        <w:t xml:space="preserve"> </w:t>
      </w:r>
      <w:proofErr w:type="spellStart"/>
      <w:r w:rsidR="009915B8" w:rsidRPr="00D0499C">
        <w:rPr>
          <w:sz w:val="18"/>
          <w:szCs w:val="18"/>
        </w:rPr>
        <w:t>Swerissen</w:t>
      </w:r>
      <w:proofErr w:type="spellEnd"/>
      <w:r w:rsidR="009915B8" w:rsidRPr="00D0499C">
        <w:rPr>
          <w:sz w:val="18"/>
          <w:szCs w:val="18"/>
        </w:rPr>
        <w:t xml:space="preserve"> H and Duckett S, 2015, ‘What can we do to help Australians die the way they want to?’, </w:t>
      </w:r>
      <w:r w:rsidR="009915B8" w:rsidRPr="00D0499C">
        <w:rPr>
          <w:i/>
          <w:iCs/>
          <w:sz w:val="18"/>
          <w:szCs w:val="18"/>
        </w:rPr>
        <w:t xml:space="preserve">Medical Journal Of Australia, </w:t>
      </w:r>
      <w:hyperlink r:id="rId1" w:history="1">
        <w:r w:rsidR="001104F4" w:rsidRPr="00D0499C">
          <w:rPr>
            <w:rStyle w:val="Hyperlink"/>
            <w:sz w:val="18"/>
            <w:szCs w:val="18"/>
          </w:rPr>
          <w:t>https://www.mja.com.au/journal/2015/202/1/what-can-we-do-help-australians-die-way-they-want</w:t>
        </w:r>
      </w:hyperlink>
      <w:r w:rsidR="001104F4" w:rsidRPr="00D0499C">
        <w:rPr>
          <w:color w:val="0000FF"/>
          <w:sz w:val="18"/>
          <w:szCs w:val="18"/>
        </w:rPr>
        <w:t xml:space="preserve"> </w:t>
      </w:r>
    </w:p>
  </w:footnote>
  <w:footnote w:id="4">
    <w:p w14:paraId="4BB5E62B" w14:textId="23B480E7" w:rsidR="00D435B8" w:rsidRPr="00D0499C" w:rsidRDefault="00D435B8">
      <w:pPr>
        <w:pStyle w:val="FootnoteText"/>
        <w:rPr>
          <w:sz w:val="18"/>
          <w:szCs w:val="18"/>
        </w:rPr>
      </w:pPr>
      <w:r w:rsidRPr="00D0499C">
        <w:rPr>
          <w:rStyle w:val="FootnoteReference"/>
          <w:sz w:val="18"/>
          <w:szCs w:val="18"/>
        </w:rPr>
        <w:footnoteRef/>
      </w:r>
      <w:r w:rsidRPr="00D0499C">
        <w:rPr>
          <w:sz w:val="18"/>
          <w:szCs w:val="18"/>
        </w:rPr>
        <w:t xml:space="preserve"> </w:t>
      </w:r>
      <w:r w:rsidR="00371DB0" w:rsidRPr="00D0499C">
        <w:rPr>
          <w:sz w:val="18"/>
          <w:szCs w:val="18"/>
        </w:rPr>
        <w:t xml:space="preserve">Broad JB, Gott M, Kim H, et al. 2013, ‘Where do people die? An international comparison of the percentage of deaths occurring in hospital and residential care settings in 45 populations, using published and available </w:t>
      </w:r>
      <w:proofErr w:type="gramStart"/>
      <w:r w:rsidR="00371DB0" w:rsidRPr="00D0499C">
        <w:rPr>
          <w:sz w:val="18"/>
          <w:szCs w:val="18"/>
        </w:rPr>
        <w:t>statistics’</w:t>
      </w:r>
      <w:proofErr w:type="gramEnd"/>
      <w:r w:rsidR="00371DB0" w:rsidRPr="00D0499C">
        <w:rPr>
          <w:sz w:val="18"/>
          <w:szCs w:val="18"/>
        </w:rPr>
        <w:t xml:space="preserve">. </w:t>
      </w:r>
      <w:r w:rsidR="00371DB0" w:rsidRPr="00D0499C">
        <w:rPr>
          <w:i/>
          <w:iCs/>
          <w:sz w:val="18"/>
          <w:szCs w:val="18"/>
        </w:rPr>
        <w:t>International Journal of Public Health</w:t>
      </w:r>
      <w:r w:rsidR="00371DB0" w:rsidRPr="00D0499C">
        <w:rPr>
          <w:sz w:val="18"/>
          <w:szCs w:val="18"/>
        </w:rPr>
        <w:t>, No, 58, pp. 257-267.</w:t>
      </w:r>
    </w:p>
  </w:footnote>
  <w:footnote w:id="5">
    <w:p w14:paraId="76202742" w14:textId="07EC9922" w:rsidR="00D435B8" w:rsidRPr="00D0499C" w:rsidRDefault="00D435B8">
      <w:pPr>
        <w:pStyle w:val="FootnoteText"/>
        <w:rPr>
          <w:sz w:val="18"/>
          <w:szCs w:val="18"/>
        </w:rPr>
      </w:pPr>
      <w:r w:rsidRPr="00D0499C">
        <w:rPr>
          <w:rStyle w:val="FootnoteReference"/>
          <w:sz w:val="18"/>
          <w:szCs w:val="18"/>
        </w:rPr>
        <w:footnoteRef/>
      </w:r>
      <w:r w:rsidRPr="00D0499C">
        <w:rPr>
          <w:sz w:val="18"/>
          <w:szCs w:val="18"/>
        </w:rPr>
        <w:t xml:space="preserve"> </w:t>
      </w:r>
      <w:r w:rsidR="00106826" w:rsidRPr="00D0499C">
        <w:rPr>
          <w:sz w:val="18"/>
          <w:szCs w:val="18"/>
        </w:rPr>
        <w:t>Estimat</w:t>
      </w:r>
      <w:r w:rsidR="00F3568F">
        <w:rPr>
          <w:sz w:val="18"/>
          <w:szCs w:val="18"/>
        </w:rPr>
        <w:t>e only</w:t>
      </w:r>
      <w:r w:rsidR="00326E92">
        <w:rPr>
          <w:sz w:val="18"/>
          <w:szCs w:val="18"/>
        </w:rPr>
        <w:t xml:space="preserve">: </w:t>
      </w:r>
      <w:r w:rsidRPr="00D0499C">
        <w:rPr>
          <w:sz w:val="18"/>
          <w:szCs w:val="18"/>
        </w:rPr>
        <w:t>150</w:t>
      </w:r>
      <w:r w:rsidR="00187E5E" w:rsidRPr="00D0499C">
        <w:rPr>
          <w:sz w:val="18"/>
          <w:szCs w:val="18"/>
        </w:rPr>
        <w:t>,</w:t>
      </w:r>
      <w:r w:rsidRPr="00D0499C">
        <w:rPr>
          <w:sz w:val="18"/>
          <w:szCs w:val="18"/>
        </w:rPr>
        <w:t>000 extra deaths</w:t>
      </w:r>
      <w:r w:rsidR="00F3568F">
        <w:rPr>
          <w:sz w:val="18"/>
          <w:szCs w:val="18"/>
        </w:rPr>
        <w:t>/</w:t>
      </w:r>
      <w:r w:rsidRPr="00D0499C">
        <w:rPr>
          <w:sz w:val="18"/>
          <w:szCs w:val="18"/>
        </w:rPr>
        <w:t xml:space="preserve"> annum</w:t>
      </w:r>
      <w:r w:rsidR="00860783" w:rsidRPr="00D0499C">
        <w:rPr>
          <w:sz w:val="18"/>
          <w:szCs w:val="18"/>
        </w:rPr>
        <w:t>, with an average 15 day stay in hospital</w:t>
      </w:r>
      <w:r w:rsidR="00F3568F">
        <w:rPr>
          <w:sz w:val="18"/>
          <w:szCs w:val="18"/>
        </w:rPr>
        <w:t xml:space="preserve"> (additional 2.25m hospital bed days/ annum) </w:t>
      </w:r>
    </w:p>
  </w:footnote>
  <w:footnote w:id="6">
    <w:p w14:paraId="6AF7CA4E" w14:textId="304526A5" w:rsidR="001471E9" w:rsidRPr="00D0499C" w:rsidRDefault="001471E9">
      <w:pPr>
        <w:pStyle w:val="FootnoteText"/>
        <w:rPr>
          <w:sz w:val="18"/>
          <w:szCs w:val="18"/>
        </w:rPr>
      </w:pPr>
      <w:r w:rsidRPr="00D0499C">
        <w:rPr>
          <w:rStyle w:val="FootnoteReference"/>
          <w:sz w:val="18"/>
          <w:szCs w:val="18"/>
        </w:rPr>
        <w:footnoteRef/>
      </w:r>
      <w:r w:rsidRPr="00D0499C">
        <w:rPr>
          <w:sz w:val="18"/>
          <w:szCs w:val="18"/>
        </w:rPr>
        <w:t xml:space="preserve"> </w:t>
      </w:r>
      <w:r w:rsidR="00BC27B8" w:rsidRPr="00D0499C">
        <w:rPr>
          <w:sz w:val="18"/>
          <w:szCs w:val="18"/>
        </w:rPr>
        <w:t>Estima</w:t>
      </w:r>
      <w:r w:rsidR="00F3568F">
        <w:rPr>
          <w:sz w:val="18"/>
          <w:szCs w:val="18"/>
        </w:rPr>
        <w:t>te only</w:t>
      </w:r>
      <w:r w:rsidR="00326E92">
        <w:rPr>
          <w:sz w:val="18"/>
          <w:szCs w:val="18"/>
        </w:rPr>
        <w:t xml:space="preserve">: </w:t>
      </w:r>
      <w:r w:rsidRPr="00D0499C">
        <w:rPr>
          <w:sz w:val="18"/>
          <w:szCs w:val="18"/>
        </w:rPr>
        <w:t xml:space="preserve">2.25m hospital bed days </w:t>
      </w:r>
      <w:r w:rsidR="00BC27B8" w:rsidRPr="00D0499C">
        <w:rPr>
          <w:sz w:val="18"/>
          <w:szCs w:val="18"/>
        </w:rPr>
        <w:t xml:space="preserve">at a cost of </w:t>
      </w:r>
      <w:r w:rsidRPr="00D0499C">
        <w:rPr>
          <w:sz w:val="18"/>
          <w:szCs w:val="18"/>
        </w:rPr>
        <w:t>$1</w:t>
      </w:r>
      <w:r w:rsidR="00BC27B8" w:rsidRPr="00D0499C">
        <w:rPr>
          <w:sz w:val="18"/>
          <w:szCs w:val="18"/>
        </w:rPr>
        <w:t>,</w:t>
      </w:r>
      <w:r w:rsidRPr="00D0499C">
        <w:rPr>
          <w:sz w:val="18"/>
          <w:szCs w:val="18"/>
        </w:rPr>
        <w:t>600</w:t>
      </w:r>
      <w:r w:rsidR="00BC27B8" w:rsidRPr="00D0499C">
        <w:rPr>
          <w:sz w:val="18"/>
          <w:szCs w:val="18"/>
        </w:rPr>
        <w:t xml:space="preserve"> </w:t>
      </w:r>
      <w:r w:rsidRPr="00D0499C">
        <w:rPr>
          <w:sz w:val="18"/>
          <w:szCs w:val="18"/>
        </w:rPr>
        <w:t xml:space="preserve">per </w:t>
      </w:r>
      <w:r w:rsidR="00961FCD" w:rsidRPr="00D0499C">
        <w:rPr>
          <w:sz w:val="18"/>
          <w:szCs w:val="18"/>
        </w:rPr>
        <w:t>day</w:t>
      </w:r>
      <w:r w:rsidR="0074684B">
        <w:rPr>
          <w:sz w:val="18"/>
          <w:szCs w:val="18"/>
        </w:rPr>
        <w:t xml:space="preserve"> (total of $3.6bn)</w:t>
      </w:r>
    </w:p>
  </w:footnote>
  <w:footnote w:id="7">
    <w:p w14:paraId="50F09494" w14:textId="734F81EF" w:rsidR="00135B62" w:rsidRPr="00D0499C" w:rsidRDefault="00135B62" w:rsidP="00135B62">
      <w:pPr>
        <w:pStyle w:val="FootnoteText"/>
        <w:rPr>
          <w:sz w:val="18"/>
          <w:szCs w:val="18"/>
        </w:rPr>
      </w:pPr>
      <w:r w:rsidRPr="00D0499C">
        <w:rPr>
          <w:rStyle w:val="FootnoteReference"/>
          <w:sz w:val="18"/>
          <w:szCs w:val="18"/>
        </w:rPr>
        <w:footnoteRef/>
      </w:r>
      <w:r w:rsidRPr="00D0499C">
        <w:rPr>
          <w:sz w:val="18"/>
          <w:szCs w:val="18"/>
        </w:rPr>
        <w:t xml:space="preserve"> </w:t>
      </w:r>
      <w:r w:rsidRPr="00D0499C">
        <w:rPr>
          <w:rFonts w:cstheme="minorHAnsi"/>
          <w:color w:val="333333"/>
          <w:sz w:val="18"/>
          <w:szCs w:val="18"/>
        </w:rPr>
        <w:t xml:space="preserve">Australian Institute of Health Welfare (AIHW) </w:t>
      </w:r>
      <w:r w:rsidR="001104F4" w:rsidRPr="00D0499C">
        <w:rPr>
          <w:rFonts w:cstheme="minorHAnsi"/>
          <w:color w:val="333333"/>
          <w:sz w:val="18"/>
          <w:szCs w:val="18"/>
        </w:rPr>
        <w:t xml:space="preserve">Palliative care services in Australia. </w:t>
      </w:r>
      <w:r w:rsidRPr="00D0499C">
        <w:rPr>
          <w:rFonts w:cstheme="minorHAnsi"/>
          <w:color w:val="333333"/>
          <w:sz w:val="18"/>
          <w:szCs w:val="18"/>
        </w:rPr>
        <w:t>Canberra: AIHW; 2017</w:t>
      </w:r>
      <w:r w:rsidR="001104F4" w:rsidRPr="00D0499C">
        <w:rPr>
          <w:rFonts w:cstheme="minorHAnsi"/>
          <w:color w:val="333333"/>
          <w:sz w:val="18"/>
          <w:szCs w:val="18"/>
        </w:rPr>
        <w:t xml:space="preserve">, </w:t>
      </w:r>
      <w:hyperlink r:id="rId2" w:history="1">
        <w:r w:rsidR="001104F4" w:rsidRPr="00D0499C">
          <w:rPr>
            <w:rStyle w:val="Hyperlink"/>
            <w:rFonts w:cstheme="minorHAnsi"/>
            <w:sz w:val="18"/>
            <w:szCs w:val="18"/>
          </w:rPr>
          <w:t>https://www.aihw.gov.au/reports/palliative-care-services/palliative-care-services-in-australia/contents/summary</w:t>
        </w:r>
      </w:hyperlink>
      <w:r w:rsidR="001104F4" w:rsidRPr="00D0499C">
        <w:rPr>
          <w:rFonts w:cstheme="minorHAnsi"/>
          <w:color w:val="333333"/>
          <w:sz w:val="18"/>
          <w:szCs w:val="18"/>
        </w:rPr>
        <w:t xml:space="preserve"> </w:t>
      </w:r>
    </w:p>
  </w:footnote>
  <w:footnote w:id="8">
    <w:p w14:paraId="223D330D" w14:textId="4634296E" w:rsidR="00313E9E" w:rsidRPr="00D0499C" w:rsidRDefault="00313E9E">
      <w:pPr>
        <w:pStyle w:val="FootnoteText"/>
        <w:rPr>
          <w:sz w:val="18"/>
          <w:szCs w:val="18"/>
          <w:highlight w:val="yellow"/>
        </w:rPr>
      </w:pPr>
      <w:r w:rsidRPr="00D0499C">
        <w:rPr>
          <w:rStyle w:val="FootnoteReference"/>
          <w:sz w:val="18"/>
          <w:szCs w:val="18"/>
        </w:rPr>
        <w:footnoteRef/>
      </w:r>
      <w:r w:rsidRPr="00D0499C">
        <w:rPr>
          <w:sz w:val="18"/>
          <w:szCs w:val="18"/>
        </w:rPr>
        <w:t xml:space="preserve"> </w:t>
      </w:r>
      <w:proofErr w:type="spellStart"/>
      <w:r w:rsidR="00D91274" w:rsidRPr="00D0499C">
        <w:rPr>
          <w:sz w:val="18"/>
          <w:szCs w:val="18"/>
        </w:rPr>
        <w:t>Rosenwax</w:t>
      </w:r>
      <w:proofErr w:type="spellEnd"/>
      <w:r w:rsidR="003B0979" w:rsidRPr="00D0499C">
        <w:rPr>
          <w:sz w:val="18"/>
          <w:szCs w:val="18"/>
        </w:rPr>
        <w:t xml:space="preserve"> l, </w:t>
      </w:r>
      <w:proofErr w:type="spellStart"/>
      <w:r w:rsidR="003B0979" w:rsidRPr="00D0499C">
        <w:rPr>
          <w:sz w:val="18"/>
          <w:szCs w:val="18"/>
        </w:rPr>
        <w:t>Spilbury</w:t>
      </w:r>
      <w:proofErr w:type="spellEnd"/>
      <w:r w:rsidR="0068264C" w:rsidRPr="00D0499C">
        <w:rPr>
          <w:sz w:val="18"/>
          <w:szCs w:val="18"/>
        </w:rPr>
        <w:t xml:space="preserve"> K, </w:t>
      </w:r>
      <w:proofErr w:type="spellStart"/>
      <w:r w:rsidR="009343EE" w:rsidRPr="00D0499C">
        <w:rPr>
          <w:sz w:val="18"/>
          <w:szCs w:val="18"/>
        </w:rPr>
        <w:t>Arendts</w:t>
      </w:r>
      <w:proofErr w:type="spellEnd"/>
      <w:r w:rsidR="009343EE" w:rsidRPr="00D0499C">
        <w:rPr>
          <w:sz w:val="18"/>
          <w:szCs w:val="18"/>
        </w:rPr>
        <w:t xml:space="preserve"> G et al. (2015). Community-based palliative care</w:t>
      </w:r>
      <w:r w:rsidR="00316357" w:rsidRPr="00D0499C">
        <w:rPr>
          <w:sz w:val="18"/>
          <w:szCs w:val="18"/>
        </w:rPr>
        <w:t xml:space="preserve"> is associated with reduced emergency department use by people with dementia in their last </w:t>
      </w:r>
      <w:r w:rsidR="00ED25F6" w:rsidRPr="00D0499C">
        <w:rPr>
          <w:sz w:val="18"/>
          <w:szCs w:val="18"/>
        </w:rPr>
        <w:t>year</w:t>
      </w:r>
      <w:r w:rsidR="00316357" w:rsidRPr="00D0499C">
        <w:rPr>
          <w:sz w:val="18"/>
          <w:szCs w:val="18"/>
        </w:rPr>
        <w:t xml:space="preserve"> of life: A retrospective cohort study. Palliative Medicine</w:t>
      </w:r>
      <w:r w:rsidR="000769B9" w:rsidRPr="00D0499C">
        <w:rPr>
          <w:sz w:val="18"/>
          <w:szCs w:val="18"/>
        </w:rPr>
        <w:t>, 29</w:t>
      </w:r>
      <w:r w:rsidR="00ED25F6" w:rsidRPr="00D0499C">
        <w:rPr>
          <w:sz w:val="18"/>
          <w:szCs w:val="18"/>
        </w:rPr>
        <w:t xml:space="preserve">(8): 727-736. </w:t>
      </w:r>
    </w:p>
  </w:footnote>
  <w:footnote w:id="9">
    <w:p w14:paraId="7A0E182D" w14:textId="53459EF8" w:rsidR="001A065F" w:rsidRPr="00D0499C" w:rsidRDefault="001A065F">
      <w:pPr>
        <w:pStyle w:val="FootnoteText"/>
        <w:rPr>
          <w:sz w:val="18"/>
          <w:szCs w:val="18"/>
        </w:rPr>
      </w:pPr>
      <w:r w:rsidRPr="00D0499C">
        <w:rPr>
          <w:rStyle w:val="FootnoteReference"/>
          <w:sz w:val="18"/>
          <w:szCs w:val="18"/>
        </w:rPr>
        <w:footnoteRef/>
      </w:r>
      <w:r w:rsidRPr="00D0499C">
        <w:rPr>
          <w:sz w:val="18"/>
          <w:szCs w:val="18"/>
        </w:rPr>
        <w:t xml:space="preserve"> </w:t>
      </w:r>
      <w:r w:rsidR="00301CAE" w:rsidRPr="00D0499C">
        <w:rPr>
          <w:sz w:val="18"/>
          <w:szCs w:val="18"/>
        </w:rPr>
        <w:t xml:space="preserve"> </w:t>
      </w:r>
      <w:r w:rsidR="00301CAE" w:rsidRPr="00D0499C">
        <w:rPr>
          <w:rFonts w:cstheme="minorHAnsi"/>
          <w:sz w:val="18"/>
          <w:szCs w:val="18"/>
        </w:rPr>
        <w:t xml:space="preserve">Palliative Care Australia (PCA), </w:t>
      </w:r>
      <w:hyperlink r:id="rId3" w:history="1">
        <w:r w:rsidR="00301CAE" w:rsidRPr="00D0499C">
          <w:rPr>
            <w:rStyle w:val="Hyperlink"/>
            <w:rFonts w:cstheme="minorHAnsi"/>
            <w:sz w:val="18"/>
            <w:szCs w:val="18"/>
          </w:rPr>
          <w:t>The Economic Benefits of Palliative Care and End-of-Life Care in Residential Aged Care [Internet].</w:t>
        </w:r>
      </w:hyperlink>
      <w:r w:rsidR="00301CAE" w:rsidRPr="00D0499C">
        <w:rPr>
          <w:rFonts w:cstheme="minorHAnsi"/>
          <w:sz w:val="18"/>
          <w:szCs w:val="18"/>
        </w:rPr>
        <w:t xml:space="preserve"> Canberra: PCA; 2017.</w:t>
      </w:r>
    </w:p>
  </w:footnote>
  <w:footnote w:id="10">
    <w:p w14:paraId="26014F73" w14:textId="3A755BAC" w:rsidR="00E05B93" w:rsidRPr="00D0499C" w:rsidRDefault="00E05B93">
      <w:pPr>
        <w:pStyle w:val="FootnoteText"/>
        <w:rPr>
          <w:sz w:val="18"/>
          <w:szCs w:val="18"/>
        </w:rPr>
      </w:pPr>
      <w:r w:rsidRPr="00D0499C">
        <w:rPr>
          <w:rStyle w:val="FootnoteReference"/>
          <w:sz w:val="18"/>
          <w:szCs w:val="18"/>
        </w:rPr>
        <w:footnoteRef/>
      </w:r>
      <w:r w:rsidRPr="00D0499C">
        <w:rPr>
          <w:sz w:val="18"/>
          <w:szCs w:val="18"/>
        </w:rPr>
        <w:t xml:space="preserve"> Commonwealth of Australia, 2019, ‘Royal Commission 28.6.19R1’, Royal Commission into Aged Care Quality and Safety, Online Transcript, 28 June 2019, P-2827, viewed 18 October 2019. </w:t>
      </w:r>
      <w:r w:rsidRPr="00D0499C">
        <w:rPr>
          <w:color w:val="0070C0"/>
          <w:sz w:val="18"/>
          <w:szCs w:val="18"/>
        </w:rPr>
        <w:t>https://agedcare.royalcommission.gov.au/hearings/Documents/transcripts-2019/transcript-28-june-2019.pd</w:t>
      </w:r>
      <w:r w:rsidRPr="00D0499C">
        <w:rPr>
          <w:sz w:val="18"/>
          <w:szCs w:val="18"/>
        </w:rPr>
        <w:t>f</w:t>
      </w:r>
    </w:p>
  </w:footnote>
  <w:footnote w:id="11">
    <w:p w14:paraId="6CA3316E" w14:textId="77777777" w:rsidR="00E05B93" w:rsidRPr="00D0499C" w:rsidRDefault="00E05B93">
      <w:pPr>
        <w:pStyle w:val="FootnoteText"/>
        <w:rPr>
          <w:sz w:val="18"/>
          <w:szCs w:val="18"/>
        </w:rPr>
      </w:pPr>
      <w:r w:rsidRPr="00D0499C">
        <w:rPr>
          <w:rStyle w:val="FootnoteReference"/>
          <w:sz w:val="18"/>
          <w:szCs w:val="18"/>
        </w:rPr>
        <w:footnoteRef/>
      </w:r>
      <w:r w:rsidRPr="00D0499C">
        <w:rPr>
          <w:sz w:val="18"/>
          <w:szCs w:val="18"/>
        </w:rPr>
        <w:t xml:space="preserve"> Commonwealth of Australia, Budget 2018-19, Portfolio Budget Statements 2018-19, Budget Related Paper No.1.9, Health </w:t>
      </w:r>
      <w:proofErr w:type="spellStart"/>
      <w:r w:rsidRPr="00D0499C">
        <w:rPr>
          <w:sz w:val="18"/>
          <w:szCs w:val="18"/>
        </w:rPr>
        <w:t>Portfiolio</w:t>
      </w:r>
      <w:proofErr w:type="spellEnd"/>
      <w:r w:rsidRPr="00D0499C">
        <w:rPr>
          <w:sz w:val="18"/>
          <w:szCs w:val="18"/>
        </w:rPr>
        <w:t>. p.26, p.77</w:t>
      </w:r>
    </w:p>
  </w:footnote>
  <w:footnote w:id="12">
    <w:p w14:paraId="3AEDB9DE" w14:textId="77777777" w:rsidR="00E05B93" w:rsidRPr="00D0499C" w:rsidRDefault="00E05B93" w:rsidP="0075789E">
      <w:pPr>
        <w:pStyle w:val="FootnoteText"/>
        <w:rPr>
          <w:sz w:val="18"/>
          <w:szCs w:val="18"/>
        </w:rPr>
      </w:pPr>
      <w:r w:rsidRPr="00D0499C">
        <w:rPr>
          <w:rStyle w:val="FootnoteReference"/>
          <w:sz w:val="18"/>
          <w:szCs w:val="18"/>
        </w:rPr>
        <w:footnoteRef/>
      </w:r>
      <w:r w:rsidRPr="00D0499C">
        <w:rPr>
          <w:sz w:val="18"/>
          <w:szCs w:val="18"/>
        </w:rPr>
        <w:t xml:space="preserve"> Meera Agar et al (2016) </w:t>
      </w:r>
      <w:r w:rsidRPr="00D0499C">
        <w:rPr>
          <w:i/>
          <w:sz w:val="18"/>
          <w:szCs w:val="18"/>
        </w:rPr>
        <w:t>Evaluation of Lavender Suite: A designated specialist palliative care suite within a residential aged care facility</w:t>
      </w:r>
      <w:r w:rsidRPr="00D0499C">
        <w:rPr>
          <w:sz w:val="18"/>
          <w:szCs w:val="18"/>
        </w:rPr>
        <w:t xml:space="preserve"> 8.</w:t>
      </w:r>
    </w:p>
  </w:footnote>
  <w:footnote w:id="13">
    <w:p w14:paraId="4D004B3F" w14:textId="77777777" w:rsidR="00E05B93" w:rsidRPr="00D0499C" w:rsidRDefault="00E05B93" w:rsidP="0075789E">
      <w:pPr>
        <w:pStyle w:val="FootnoteText"/>
        <w:rPr>
          <w:sz w:val="18"/>
          <w:szCs w:val="18"/>
        </w:rPr>
      </w:pPr>
      <w:r w:rsidRPr="00D0499C">
        <w:rPr>
          <w:rStyle w:val="FootnoteReference"/>
          <w:sz w:val="18"/>
          <w:szCs w:val="18"/>
        </w:rPr>
        <w:footnoteRef/>
      </w:r>
      <w:r w:rsidRPr="00D0499C">
        <w:rPr>
          <w:sz w:val="18"/>
          <w:szCs w:val="18"/>
        </w:rPr>
        <w:t xml:space="preserve"> Willoughby Case Study, Testimony of DI, Transcript from Day 18, Monday 13 May 2019. </w:t>
      </w:r>
    </w:p>
  </w:footnote>
  <w:footnote w:id="14">
    <w:p w14:paraId="1F53824F" w14:textId="77777777" w:rsidR="00E05B93" w:rsidRPr="00D0499C" w:rsidRDefault="00E05B93" w:rsidP="0075789E">
      <w:pPr>
        <w:pStyle w:val="FootnoteText"/>
        <w:rPr>
          <w:sz w:val="18"/>
          <w:szCs w:val="18"/>
        </w:rPr>
      </w:pPr>
      <w:r w:rsidRPr="00D0499C">
        <w:rPr>
          <w:rStyle w:val="FootnoteReference"/>
          <w:sz w:val="18"/>
          <w:szCs w:val="18"/>
        </w:rPr>
        <w:footnoteRef/>
      </w:r>
      <w:r w:rsidRPr="00D0499C">
        <w:rPr>
          <w:sz w:val="18"/>
          <w:szCs w:val="18"/>
        </w:rPr>
        <w:t xml:space="preserve"> Meera Agar et al (2016) </w:t>
      </w:r>
      <w:r w:rsidRPr="00D0499C">
        <w:rPr>
          <w:i/>
          <w:sz w:val="18"/>
          <w:szCs w:val="18"/>
        </w:rPr>
        <w:t>Evaluation of Lavender Suite: A designated specialist palliative care suite within a residential aged care facility</w:t>
      </w:r>
      <w:r w:rsidRPr="00D0499C">
        <w:rPr>
          <w:sz w:val="18"/>
          <w:szCs w:val="18"/>
        </w:rPr>
        <w:t xml:space="preserve"> 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809"/>
    <w:multiLevelType w:val="hybridMultilevel"/>
    <w:tmpl w:val="C26C6008"/>
    <w:lvl w:ilvl="0" w:tplc="D346D8A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9E280B"/>
    <w:multiLevelType w:val="hybridMultilevel"/>
    <w:tmpl w:val="B64AA39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73412C9"/>
    <w:multiLevelType w:val="hybridMultilevel"/>
    <w:tmpl w:val="2B68A70E"/>
    <w:lvl w:ilvl="0" w:tplc="EAB6FA54">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2B7179"/>
    <w:multiLevelType w:val="hybridMultilevel"/>
    <w:tmpl w:val="EA82446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5FF7E02"/>
    <w:multiLevelType w:val="hybridMultilevel"/>
    <w:tmpl w:val="B2E0E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86173"/>
    <w:multiLevelType w:val="hybridMultilevel"/>
    <w:tmpl w:val="03866C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5D034D"/>
    <w:multiLevelType w:val="hybridMultilevel"/>
    <w:tmpl w:val="08E6D7A4"/>
    <w:lvl w:ilvl="0" w:tplc="3ADEBFF4">
      <w:start w:val="1"/>
      <w:numFmt w:val="decimal"/>
      <w:lvlText w:val="%1."/>
      <w:lvlJc w:val="left"/>
      <w:pPr>
        <w:ind w:left="720" w:hanging="360"/>
      </w:pPr>
      <w:rPr>
        <w:rFonts w:ascii="Segoe UI" w:eastAsia="MS Mincho" w:hAnsi="Segoe UI" w:cs="Segoe U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367A4"/>
    <w:multiLevelType w:val="hybridMultilevel"/>
    <w:tmpl w:val="E8D60F82"/>
    <w:lvl w:ilvl="0" w:tplc="89BC8B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04D2D"/>
    <w:multiLevelType w:val="hybridMultilevel"/>
    <w:tmpl w:val="EC8690D8"/>
    <w:lvl w:ilvl="0" w:tplc="A65A3E1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3513A1"/>
    <w:multiLevelType w:val="hybridMultilevel"/>
    <w:tmpl w:val="60EEEA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C03AC"/>
    <w:multiLevelType w:val="hybridMultilevel"/>
    <w:tmpl w:val="1E3AF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E0FB9"/>
    <w:multiLevelType w:val="hybridMultilevel"/>
    <w:tmpl w:val="7F3EFF90"/>
    <w:lvl w:ilvl="0" w:tplc="FF7CF8BA">
      <w:start w:val="1"/>
      <w:numFmt w:val="bullet"/>
      <w:lvlText w:val="-"/>
      <w:lvlJc w:val="left"/>
      <w:pPr>
        <w:ind w:left="720" w:hanging="360"/>
      </w:pPr>
      <w:rPr>
        <w:rFonts w:ascii="Segoe UI" w:eastAsia="MS Mincho"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B90D16"/>
    <w:multiLevelType w:val="hybridMultilevel"/>
    <w:tmpl w:val="FD068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2C7A2A"/>
    <w:multiLevelType w:val="hybridMultilevel"/>
    <w:tmpl w:val="5FDCEAEE"/>
    <w:lvl w:ilvl="0" w:tplc="763080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B91D27"/>
    <w:multiLevelType w:val="hybridMultilevel"/>
    <w:tmpl w:val="DF5ECAD2"/>
    <w:lvl w:ilvl="0" w:tplc="A51A7FC2">
      <w:start w:val="1"/>
      <w:numFmt w:val="decimal"/>
      <w:lvlText w:val="%1."/>
      <w:lvlJc w:val="left"/>
      <w:pPr>
        <w:ind w:left="720" w:hanging="360"/>
      </w:pPr>
      <w:rPr>
        <w:rFonts w:asciiTheme="minorHAnsi" w:eastAsiaTheme="minorHAnsi" w:hAnsiTheme="minorHAnsi" w:cstheme="minorHAnsi"/>
      </w:rPr>
    </w:lvl>
    <w:lvl w:ilvl="1" w:tplc="B9322C4E">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2414B4"/>
    <w:multiLevelType w:val="hybridMultilevel"/>
    <w:tmpl w:val="D924ED1A"/>
    <w:lvl w:ilvl="0" w:tplc="413A9986">
      <w:start w:val="5"/>
      <w:numFmt w:val="bullet"/>
      <w:lvlText w:val="-"/>
      <w:lvlJc w:val="left"/>
      <w:pPr>
        <w:ind w:left="720" w:hanging="360"/>
      </w:pPr>
      <w:rPr>
        <w:rFonts w:ascii="Calibri" w:eastAsiaTheme="minorHAnsi" w:hAnsi="Calibri" w:cs="Calibri"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F131FF"/>
    <w:multiLevelType w:val="hybridMultilevel"/>
    <w:tmpl w:val="771C0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9E083F"/>
    <w:multiLevelType w:val="hybridMultilevel"/>
    <w:tmpl w:val="F61AD2CA"/>
    <w:lvl w:ilvl="0" w:tplc="25D00206">
      <w:start w:val="1"/>
      <w:numFmt w:val="decimal"/>
      <w:lvlText w:val="%1."/>
      <w:lvlJc w:val="left"/>
      <w:pPr>
        <w:ind w:left="735" w:hanging="375"/>
      </w:pPr>
      <w:rPr>
        <w:rFonts w:ascii="Segoe UI" w:hAnsi="Segoe UI" w:hint="default"/>
        <w:b/>
        <w:color w:val="5E2788"/>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5C5DD2"/>
    <w:multiLevelType w:val="hybridMultilevel"/>
    <w:tmpl w:val="FF6215BE"/>
    <w:lvl w:ilvl="0" w:tplc="77A8DDD4">
      <w:start w:val="1"/>
      <w:numFmt w:val="bullet"/>
      <w:pStyle w:val="ColorfulList-Accent11"/>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12664"/>
    <w:multiLevelType w:val="hybridMultilevel"/>
    <w:tmpl w:val="82767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1B0C5A"/>
    <w:multiLevelType w:val="hybridMultilevel"/>
    <w:tmpl w:val="223E06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3FE05D7"/>
    <w:multiLevelType w:val="hybridMultilevel"/>
    <w:tmpl w:val="822EBF0C"/>
    <w:lvl w:ilvl="0" w:tplc="FF7CF8BA">
      <w:start w:val="1"/>
      <w:numFmt w:val="bullet"/>
      <w:lvlText w:val="-"/>
      <w:lvlJc w:val="left"/>
      <w:pPr>
        <w:ind w:left="720" w:hanging="360"/>
      </w:pPr>
      <w:rPr>
        <w:rFonts w:ascii="Segoe UI" w:eastAsia="MS Mincho"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C3943"/>
    <w:multiLevelType w:val="hybridMultilevel"/>
    <w:tmpl w:val="C2F84A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DB3822"/>
    <w:multiLevelType w:val="hybridMultilevel"/>
    <w:tmpl w:val="7EB68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7F5261"/>
    <w:multiLevelType w:val="hybridMultilevel"/>
    <w:tmpl w:val="1DEEB1D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3155C"/>
    <w:multiLevelType w:val="hybridMultilevel"/>
    <w:tmpl w:val="0812F708"/>
    <w:lvl w:ilvl="0" w:tplc="A97A49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43218B"/>
    <w:multiLevelType w:val="hybridMultilevel"/>
    <w:tmpl w:val="0F4C24B4"/>
    <w:lvl w:ilvl="0" w:tplc="89FABE4C">
      <w:start w:val="1"/>
      <w:numFmt w:val="bullet"/>
      <w:lvlText w:val="o"/>
      <w:lvlJc w:val="left"/>
      <w:pPr>
        <w:ind w:left="720" w:hanging="360"/>
      </w:pPr>
      <w:rPr>
        <w:rFonts w:ascii="Courier New" w:hAnsi="Courier New" w:hint="default"/>
        <w:color w:val="7567A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03D1"/>
    <w:multiLevelType w:val="hybridMultilevel"/>
    <w:tmpl w:val="F61AD2CA"/>
    <w:lvl w:ilvl="0" w:tplc="25D00206">
      <w:start w:val="1"/>
      <w:numFmt w:val="decimal"/>
      <w:lvlText w:val="%1."/>
      <w:lvlJc w:val="left"/>
      <w:pPr>
        <w:ind w:left="735" w:hanging="375"/>
      </w:pPr>
      <w:rPr>
        <w:rFonts w:ascii="Segoe UI" w:hAnsi="Segoe UI" w:hint="default"/>
        <w:b/>
        <w:color w:val="5E2788"/>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36028F"/>
    <w:multiLevelType w:val="multilevel"/>
    <w:tmpl w:val="0F4C24B4"/>
    <w:lvl w:ilvl="0">
      <w:start w:val="1"/>
      <w:numFmt w:val="bullet"/>
      <w:lvlText w:val="o"/>
      <w:lvlJc w:val="left"/>
      <w:pPr>
        <w:ind w:left="720" w:hanging="360"/>
      </w:pPr>
      <w:rPr>
        <w:rFonts w:ascii="Courier New" w:hAnsi="Courier New" w:hint="default"/>
        <w:color w:val="7567A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19"/>
  </w:num>
  <w:num w:numId="6">
    <w:abstractNumId w:val="20"/>
  </w:num>
  <w:num w:numId="7">
    <w:abstractNumId w:val="1"/>
  </w:num>
  <w:num w:numId="8">
    <w:abstractNumId w:val="28"/>
  </w:num>
  <w:num w:numId="9">
    <w:abstractNumId w:val="18"/>
  </w:num>
  <w:num w:numId="10">
    <w:abstractNumId w:val="10"/>
  </w:num>
  <w:num w:numId="11">
    <w:abstractNumId w:val="4"/>
  </w:num>
  <w:num w:numId="12">
    <w:abstractNumId w:val="14"/>
  </w:num>
  <w:num w:numId="13">
    <w:abstractNumId w:val="7"/>
  </w:num>
  <w:num w:numId="14">
    <w:abstractNumId w:val="24"/>
  </w:num>
  <w:num w:numId="15">
    <w:abstractNumId w:val="0"/>
  </w:num>
  <w:num w:numId="16">
    <w:abstractNumId w:val="8"/>
  </w:num>
  <w:num w:numId="17">
    <w:abstractNumId w:val="22"/>
  </w:num>
  <w:num w:numId="18">
    <w:abstractNumId w:val="2"/>
  </w:num>
  <w:num w:numId="19">
    <w:abstractNumId w:val="23"/>
  </w:num>
  <w:num w:numId="20">
    <w:abstractNumId w:val="15"/>
  </w:num>
  <w:num w:numId="21">
    <w:abstractNumId w:val="25"/>
  </w:num>
  <w:num w:numId="22">
    <w:abstractNumId w:val="13"/>
  </w:num>
  <w:num w:numId="23">
    <w:abstractNumId w:val="6"/>
  </w:num>
  <w:num w:numId="24">
    <w:abstractNumId w:val="5"/>
  </w:num>
  <w:num w:numId="25">
    <w:abstractNumId w:val="12"/>
  </w:num>
  <w:num w:numId="26">
    <w:abstractNumId w:val="11"/>
  </w:num>
  <w:num w:numId="27">
    <w:abstractNumId w:val="17"/>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3B"/>
    <w:rsid w:val="00002580"/>
    <w:rsid w:val="00003947"/>
    <w:rsid w:val="000050C1"/>
    <w:rsid w:val="000127EB"/>
    <w:rsid w:val="00013C5E"/>
    <w:rsid w:val="0002005A"/>
    <w:rsid w:val="000239D7"/>
    <w:rsid w:val="00025AC6"/>
    <w:rsid w:val="00037BB3"/>
    <w:rsid w:val="00040CE0"/>
    <w:rsid w:val="000571CC"/>
    <w:rsid w:val="00061A3B"/>
    <w:rsid w:val="00063A39"/>
    <w:rsid w:val="000769B9"/>
    <w:rsid w:val="000779B9"/>
    <w:rsid w:val="00082716"/>
    <w:rsid w:val="00082BE1"/>
    <w:rsid w:val="0008520B"/>
    <w:rsid w:val="000900AF"/>
    <w:rsid w:val="000957F4"/>
    <w:rsid w:val="000A1992"/>
    <w:rsid w:val="000A485E"/>
    <w:rsid w:val="000A6474"/>
    <w:rsid w:val="000B7DDE"/>
    <w:rsid w:val="000D4AD7"/>
    <w:rsid w:val="000E7E86"/>
    <w:rsid w:val="000F219D"/>
    <w:rsid w:val="000F2721"/>
    <w:rsid w:val="001024C8"/>
    <w:rsid w:val="00102FBF"/>
    <w:rsid w:val="00106826"/>
    <w:rsid w:val="001104F4"/>
    <w:rsid w:val="00115E3C"/>
    <w:rsid w:val="00117B14"/>
    <w:rsid w:val="0012128E"/>
    <w:rsid w:val="001227C1"/>
    <w:rsid w:val="00123B33"/>
    <w:rsid w:val="0012567E"/>
    <w:rsid w:val="001269FC"/>
    <w:rsid w:val="001324FD"/>
    <w:rsid w:val="00134166"/>
    <w:rsid w:val="001349A0"/>
    <w:rsid w:val="00135B62"/>
    <w:rsid w:val="00137096"/>
    <w:rsid w:val="00142341"/>
    <w:rsid w:val="00145526"/>
    <w:rsid w:val="001471E9"/>
    <w:rsid w:val="001520CB"/>
    <w:rsid w:val="00152D1F"/>
    <w:rsid w:val="001558FC"/>
    <w:rsid w:val="001561AA"/>
    <w:rsid w:val="00160460"/>
    <w:rsid w:val="00160697"/>
    <w:rsid w:val="00164828"/>
    <w:rsid w:val="00171B09"/>
    <w:rsid w:val="00175537"/>
    <w:rsid w:val="00180B2A"/>
    <w:rsid w:val="0018678B"/>
    <w:rsid w:val="0018688D"/>
    <w:rsid w:val="001870BA"/>
    <w:rsid w:val="00187E5E"/>
    <w:rsid w:val="001923DE"/>
    <w:rsid w:val="00192675"/>
    <w:rsid w:val="00192A6C"/>
    <w:rsid w:val="001A065F"/>
    <w:rsid w:val="001A37CF"/>
    <w:rsid w:val="001A6AD4"/>
    <w:rsid w:val="001B5C20"/>
    <w:rsid w:val="001B7134"/>
    <w:rsid w:val="001C50C4"/>
    <w:rsid w:val="001C585F"/>
    <w:rsid w:val="001D0BA3"/>
    <w:rsid w:val="001D2EA2"/>
    <w:rsid w:val="001D2F7C"/>
    <w:rsid w:val="001D455E"/>
    <w:rsid w:val="001E17BD"/>
    <w:rsid w:val="001E74E4"/>
    <w:rsid w:val="001F5B52"/>
    <w:rsid w:val="001F6201"/>
    <w:rsid w:val="0022042E"/>
    <w:rsid w:val="00224038"/>
    <w:rsid w:val="00224C03"/>
    <w:rsid w:val="00231902"/>
    <w:rsid w:val="002347CE"/>
    <w:rsid w:val="00235CB5"/>
    <w:rsid w:val="002416F3"/>
    <w:rsid w:val="00243621"/>
    <w:rsid w:val="00245C8E"/>
    <w:rsid w:val="00246837"/>
    <w:rsid w:val="0025181C"/>
    <w:rsid w:val="00252709"/>
    <w:rsid w:val="00253BD7"/>
    <w:rsid w:val="00266947"/>
    <w:rsid w:val="002732B1"/>
    <w:rsid w:val="002734D3"/>
    <w:rsid w:val="00276676"/>
    <w:rsid w:val="002823B6"/>
    <w:rsid w:val="0028521F"/>
    <w:rsid w:val="002A036A"/>
    <w:rsid w:val="002B21B6"/>
    <w:rsid w:val="002B2547"/>
    <w:rsid w:val="002B3428"/>
    <w:rsid w:val="002C40DA"/>
    <w:rsid w:val="002C6976"/>
    <w:rsid w:val="002D31BB"/>
    <w:rsid w:val="002E27FD"/>
    <w:rsid w:val="002E471C"/>
    <w:rsid w:val="002F4317"/>
    <w:rsid w:val="002F4E95"/>
    <w:rsid w:val="002F6CC7"/>
    <w:rsid w:val="002F7235"/>
    <w:rsid w:val="003000CF"/>
    <w:rsid w:val="003014AA"/>
    <w:rsid w:val="00301CAE"/>
    <w:rsid w:val="00302EC8"/>
    <w:rsid w:val="00306D9C"/>
    <w:rsid w:val="00310855"/>
    <w:rsid w:val="00313E9E"/>
    <w:rsid w:val="00316357"/>
    <w:rsid w:val="00321794"/>
    <w:rsid w:val="00325C4E"/>
    <w:rsid w:val="00326151"/>
    <w:rsid w:val="00326E92"/>
    <w:rsid w:val="0033508D"/>
    <w:rsid w:val="00335F1D"/>
    <w:rsid w:val="0033674B"/>
    <w:rsid w:val="00342B0B"/>
    <w:rsid w:val="00365AE1"/>
    <w:rsid w:val="00367C2D"/>
    <w:rsid w:val="00371DB0"/>
    <w:rsid w:val="003723CE"/>
    <w:rsid w:val="00372D95"/>
    <w:rsid w:val="003738A3"/>
    <w:rsid w:val="00375A95"/>
    <w:rsid w:val="00391FF9"/>
    <w:rsid w:val="00394781"/>
    <w:rsid w:val="003948F2"/>
    <w:rsid w:val="003A2DB0"/>
    <w:rsid w:val="003A63C7"/>
    <w:rsid w:val="003A6C4A"/>
    <w:rsid w:val="003B0979"/>
    <w:rsid w:val="003B51DE"/>
    <w:rsid w:val="003C18AF"/>
    <w:rsid w:val="003C4F54"/>
    <w:rsid w:val="003C6304"/>
    <w:rsid w:val="003C6E52"/>
    <w:rsid w:val="003D2010"/>
    <w:rsid w:val="003E0166"/>
    <w:rsid w:val="003E0236"/>
    <w:rsid w:val="003E190B"/>
    <w:rsid w:val="003F3A0F"/>
    <w:rsid w:val="003F5626"/>
    <w:rsid w:val="003F5D2A"/>
    <w:rsid w:val="004025F1"/>
    <w:rsid w:val="00402E6E"/>
    <w:rsid w:val="0040579B"/>
    <w:rsid w:val="00420D2B"/>
    <w:rsid w:val="004223C4"/>
    <w:rsid w:val="00422CBA"/>
    <w:rsid w:val="0042679B"/>
    <w:rsid w:val="00432599"/>
    <w:rsid w:val="004325B2"/>
    <w:rsid w:val="00440B7E"/>
    <w:rsid w:val="00440D31"/>
    <w:rsid w:val="004462A3"/>
    <w:rsid w:val="00450A66"/>
    <w:rsid w:val="00470F6D"/>
    <w:rsid w:val="0047257B"/>
    <w:rsid w:val="00472A28"/>
    <w:rsid w:val="00473B13"/>
    <w:rsid w:val="004760C6"/>
    <w:rsid w:val="00482577"/>
    <w:rsid w:val="00482FEE"/>
    <w:rsid w:val="00487049"/>
    <w:rsid w:val="0048746B"/>
    <w:rsid w:val="004904B9"/>
    <w:rsid w:val="00491C19"/>
    <w:rsid w:val="00493609"/>
    <w:rsid w:val="004A19BB"/>
    <w:rsid w:val="004A1F61"/>
    <w:rsid w:val="004A4509"/>
    <w:rsid w:val="004A6226"/>
    <w:rsid w:val="004B114F"/>
    <w:rsid w:val="004B1400"/>
    <w:rsid w:val="004B37B9"/>
    <w:rsid w:val="004B6333"/>
    <w:rsid w:val="004C069A"/>
    <w:rsid w:val="004C0990"/>
    <w:rsid w:val="004D411D"/>
    <w:rsid w:val="004F0921"/>
    <w:rsid w:val="004F2E22"/>
    <w:rsid w:val="004F58D2"/>
    <w:rsid w:val="00503ACF"/>
    <w:rsid w:val="00503E3F"/>
    <w:rsid w:val="00504E5E"/>
    <w:rsid w:val="0050773A"/>
    <w:rsid w:val="00510CD9"/>
    <w:rsid w:val="0051234C"/>
    <w:rsid w:val="005150CB"/>
    <w:rsid w:val="00515FE0"/>
    <w:rsid w:val="00516EB4"/>
    <w:rsid w:val="00525BF3"/>
    <w:rsid w:val="005272CB"/>
    <w:rsid w:val="005317EC"/>
    <w:rsid w:val="00533C92"/>
    <w:rsid w:val="00536B13"/>
    <w:rsid w:val="00540BA0"/>
    <w:rsid w:val="00540D42"/>
    <w:rsid w:val="0054410F"/>
    <w:rsid w:val="005450A3"/>
    <w:rsid w:val="005463EF"/>
    <w:rsid w:val="00546890"/>
    <w:rsid w:val="00560912"/>
    <w:rsid w:val="00561634"/>
    <w:rsid w:val="005664F7"/>
    <w:rsid w:val="00567856"/>
    <w:rsid w:val="0057009A"/>
    <w:rsid w:val="0057284D"/>
    <w:rsid w:val="00572D51"/>
    <w:rsid w:val="005731AF"/>
    <w:rsid w:val="00581805"/>
    <w:rsid w:val="0058368D"/>
    <w:rsid w:val="005936FA"/>
    <w:rsid w:val="00594213"/>
    <w:rsid w:val="0059552B"/>
    <w:rsid w:val="005A0A72"/>
    <w:rsid w:val="005A178C"/>
    <w:rsid w:val="005B1514"/>
    <w:rsid w:val="005C06B0"/>
    <w:rsid w:val="005D10F7"/>
    <w:rsid w:val="005D171E"/>
    <w:rsid w:val="005D1A18"/>
    <w:rsid w:val="005D1BB5"/>
    <w:rsid w:val="005F4581"/>
    <w:rsid w:val="005F4899"/>
    <w:rsid w:val="005F6F5E"/>
    <w:rsid w:val="005F7813"/>
    <w:rsid w:val="00612F54"/>
    <w:rsid w:val="00613F49"/>
    <w:rsid w:val="006152D6"/>
    <w:rsid w:val="00615A17"/>
    <w:rsid w:val="00620421"/>
    <w:rsid w:val="0062636A"/>
    <w:rsid w:val="00626D4E"/>
    <w:rsid w:val="00635A9C"/>
    <w:rsid w:val="00652C12"/>
    <w:rsid w:val="00655AFC"/>
    <w:rsid w:val="0065687D"/>
    <w:rsid w:val="0066214C"/>
    <w:rsid w:val="00664BE9"/>
    <w:rsid w:val="00667F6C"/>
    <w:rsid w:val="00672309"/>
    <w:rsid w:val="00674C08"/>
    <w:rsid w:val="00675975"/>
    <w:rsid w:val="00681AF9"/>
    <w:rsid w:val="0068264C"/>
    <w:rsid w:val="006922C3"/>
    <w:rsid w:val="00694B14"/>
    <w:rsid w:val="00697035"/>
    <w:rsid w:val="006A27BF"/>
    <w:rsid w:val="006A3751"/>
    <w:rsid w:val="006B2937"/>
    <w:rsid w:val="006C39BF"/>
    <w:rsid w:val="006C4EBF"/>
    <w:rsid w:val="006C5838"/>
    <w:rsid w:val="006C6F8B"/>
    <w:rsid w:val="006E13D2"/>
    <w:rsid w:val="006E1FD3"/>
    <w:rsid w:val="006E33B3"/>
    <w:rsid w:val="006F2386"/>
    <w:rsid w:val="006F3684"/>
    <w:rsid w:val="006F4525"/>
    <w:rsid w:val="00701501"/>
    <w:rsid w:val="00702955"/>
    <w:rsid w:val="0070369E"/>
    <w:rsid w:val="00711A56"/>
    <w:rsid w:val="00716A5E"/>
    <w:rsid w:val="007215E5"/>
    <w:rsid w:val="007301CC"/>
    <w:rsid w:val="0074684B"/>
    <w:rsid w:val="00746D47"/>
    <w:rsid w:val="00755720"/>
    <w:rsid w:val="0075789E"/>
    <w:rsid w:val="007624C7"/>
    <w:rsid w:val="00766561"/>
    <w:rsid w:val="00766B3B"/>
    <w:rsid w:val="007672D6"/>
    <w:rsid w:val="007728AC"/>
    <w:rsid w:val="00772A2D"/>
    <w:rsid w:val="00783BA5"/>
    <w:rsid w:val="00794E61"/>
    <w:rsid w:val="00797DBD"/>
    <w:rsid w:val="00797FBA"/>
    <w:rsid w:val="007B1C16"/>
    <w:rsid w:val="007B2D83"/>
    <w:rsid w:val="007B3000"/>
    <w:rsid w:val="007B3C82"/>
    <w:rsid w:val="007B59A2"/>
    <w:rsid w:val="007C31A3"/>
    <w:rsid w:val="007C7514"/>
    <w:rsid w:val="007C7652"/>
    <w:rsid w:val="007D04D5"/>
    <w:rsid w:val="007D2AA1"/>
    <w:rsid w:val="007D4902"/>
    <w:rsid w:val="007D6D4B"/>
    <w:rsid w:val="007E11F2"/>
    <w:rsid w:val="007F07E5"/>
    <w:rsid w:val="00800429"/>
    <w:rsid w:val="00806532"/>
    <w:rsid w:val="00807710"/>
    <w:rsid w:val="00814EBC"/>
    <w:rsid w:val="00833988"/>
    <w:rsid w:val="00840C2E"/>
    <w:rsid w:val="0084634D"/>
    <w:rsid w:val="008477B2"/>
    <w:rsid w:val="00852F66"/>
    <w:rsid w:val="00857EAC"/>
    <w:rsid w:val="00860783"/>
    <w:rsid w:val="00861397"/>
    <w:rsid w:val="0086163F"/>
    <w:rsid w:val="00864BD4"/>
    <w:rsid w:val="00877F43"/>
    <w:rsid w:val="008809ED"/>
    <w:rsid w:val="00892CE3"/>
    <w:rsid w:val="00894110"/>
    <w:rsid w:val="00896783"/>
    <w:rsid w:val="008A3CBD"/>
    <w:rsid w:val="008B2119"/>
    <w:rsid w:val="008C6F19"/>
    <w:rsid w:val="008D1F80"/>
    <w:rsid w:val="008E0302"/>
    <w:rsid w:val="008E4E3E"/>
    <w:rsid w:val="008F1603"/>
    <w:rsid w:val="008F73AE"/>
    <w:rsid w:val="009019AB"/>
    <w:rsid w:val="009024BC"/>
    <w:rsid w:val="0090283B"/>
    <w:rsid w:val="00906FB4"/>
    <w:rsid w:val="00911653"/>
    <w:rsid w:val="009246CD"/>
    <w:rsid w:val="009343EE"/>
    <w:rsid w:val="0093739F"/>
    <w:rsid w:val="00941BF2"/>
    <w:rsid w:val="00942EC8"/>
    <w:rsid w:val="009454E9"/>
    <w:rsid w:val="0095115E"/>
    <w:rsid w:val="0096090E"/>
    <w:rsid w:val="0096171D"/>
    <w:rsid w:val="00961FCD"/>
    <w:rsid w:val="009620E1"/>
    <w:rsid w:val="00962FCE"/>
    <w:rsid w:val="0098678B"/>
    <w:rsid w:val="009915B8"/>
    <w:rsid w:val="009946D5"/>
    <w:rsid w:val="00995A9C"/>
    <w:rsid w:val="009A2457"/>
    <w:rsid w:val="009B0470"/>
    <w:rsid w:val="009B32E7"/>
    <w:rsid w:val="009B3AD9"/>
    <w:rsid w:val="009B547C"/>
    <w:rsid w:val="009B68CC"/>
    <w:rsid w:val="009B6EAF"/>
    <w:rsid w:val="009B7055"/>
    <w:rsid w:val="009C3DEA"/>
    <w:rsid w:val="009C5B16"/>
    <w:rsid w:val="009E2A3D"/>
    <w:rsid w:val="009E42FD"/>
    <w:rsid w:val="009E4DB3"/>
    <w:rsid w:val="009E5D3B"/>
    <w:rsid w:val="009F01FF"/>
    <w:rsid w:val="009F3F4E"/>
    <w:rsid w:val="00A0105B"/>
    <w:rsid w:val="00A10793"/>
    <w:rsid w:val="00A12E30"/>
    <w:rsid w:val="00A206A8"/>
    <w:rsid w:val="00A34924"/>
    <w:rsid w:val="00A46D95"/>
    <w:rsid w:val="00A47D69"/>
    <w:rsid w:val="00A53193"/>
    <w:rsid w:val="00A557B6"/>
    <w:rsid w:val="00A5705B"/>
    <w:rsid w:val="00A64A81"/>
    <w:rsid w:val="00A7583D"/>
    <w:rsid w:val="00A80E4A"/>
    <w:rsid w:val="00A830B8"/>
    <w:rsid w:val="00A86FBC"/>
    <w:rsid w:val="00A96814"/>
    <w:rsid w:val="00AA19F2"/>
    <w:rsid w:val="00AA54D4"/>
    <w:rsid w:val="00AA71F3"/>
    <w:rsid w:val="00AB06A2"/>
    <w:rsid w:val="00AB58B3"/>
    <w:rsid w:val="00AC3F36"/>
    <w:rsid w:val="00AC7BAA"/>
    <w:rsid w:val="00AD1E59"/>
    <w:rsid w:val="00AD38A6"/>
    <w:rsid w:val="00AD3CB8"/>
    <w:rsid w:val="00AE20A7"/>
    <w:rsid w:val="00AF21A3"/>
    <w:rsid w:val="00B00C5B"/>
    <w:rsid w:val="00B063AB"/>
    <w:rsid w:val="00B12B7E"/>
    <w:rsid w:val="00B154E9"/>
    <w:rsid w:val="00B16E24"/>
    <w:rsid w:val="00B2434E"/>
    <w:rsid w:val="00B36EE9"/>
    <w:rsid w:val="00B40ABB"/>
    <w:rsid w:val="00B4307D"/>
    <w:rsid w:val="00B604D6"/>
    <w:rsid w:val="00B63F40"/>
    <w:rsid w:val="00B64BCE"/>
    <w:rsid w:val="00B65C03"/>
    <w:rsid w:val="00B668B7"/>
    <w:rsid w:val="00B7536B"/>
    <w:rsid w:val="00B82671"/>
    <w:rsid w:val="00B83409"/>
    <w:rsid w:val="00B956AA"/>
    <w:rsid w:val="00B976E3"/>
    <w:rsid w:val="00B97747"/>
    <w:rsid w:val="00BA5A85"/>
    <w:rsid w:val="00BB0BA2"/>
    <w:rsid w:val="00BC27B8"/>
    <w:rsid w:val="00BC783A"/>
    <w:rsid w:val="00BD35BD"/>
    <w:rsid w:val="00BD6D0F"/>
    <w:rsid w:val="00BD7C87"/>
    <w:rsid w:val="00BE04DB"/>
    <w:rsid w:val="00BE65FD"/>
    <w:rsid w:val="00BF5A30"/>
    <w:rsid w:val="00C0046E"/>
    <w:rsid w:val="00C00E13"/>
    <w:rsid w:val="00C0269A"/>
    <w:rsid w:val="00C04ACE"/>
    <w:rsid w:val="00C07CB2"/>
    <w:rsid w:val="00C23268"/>
    <w:rsid w:val="00C30700"/>
    <w:rsid w:val="00C31D62"/>
    <w:rsid w:val="00C41085"/>
    <w:rsid w:val="00C431C2"/>
    <w:rsid w:val="00C4353D"/>
    <w:rsid w:val="00C4629B"/>
    <w:rsid w:val="00C4745A"/>
    <w:rsid w:val="00C512A0"/>
    <w:rsid w:val="00C51732"/>
    <w:rsid w:val="00C54BFA"/>
    <w:rsid w:val="00C55EE8"/>
    <w:rsid w:val="00C611FE"/>
    <w:rsid w:val="00C64BD7"/>
    <w:rsid w:val="00C673F7"/>
    <w:rsid w:val="00C67B58"/>
    <w:rsid w:val="00C73B0E"/>
    <w:rsid w:val="00C756E8"/>
    <w:rsid w:val="00C8586D"/>
    <w:rsid w:val="00C9357F"/>
    <w:rsid w:val="00C96304"/>
    <w:rsid w:val="00CA0080"/>
    <w:rsid w:val="00CB4807"/>
    <w:rsid w:val="00CB51C1"/>
    <w:rsid w:val="00CC0AB0"/>
    <w:rsid w:val="00CC7237"/>
    <w:rsid w:val="00CC7B66"/>
    <w:rsid w:val="00CD262E"/>
    <w:rsid w:val="00CD4768"/>
    <w:rsid w:val="00CD569A"/>
    <w:rsid w:val="00CE02F3"/>
    <w:rsid w:val="00CE26EA"/>
    <w:rsid w:val="00CE4B63"/>
    <w:rsid w:val="00CF642E"/>
    <w:rsid w:val="00D020F0"/>
    <w:rsid w:val="00D0499C"/>
    <w:rsid w:val="00D16329"/>
    <w:rsid w:val="00D22CD6"/>
    <w:rsid w:val="00D27DBC"/>
    <w:rsid w:val="00D332C0"/>
    <w:rsid w:val="00D41E15"/>
    <w:rsid w:val="00D435B8"/>
    <w:rsid w:val="00D44DF2"/>
    <w:rsid w:val="00D52479"/>
    <w:rsid w:val="00D55E4D"/>
    <w:rsid w:val="00D5717E"/>
    <w:rsid w:val="00D57182"/>
    <w:rsid w:val="00D646B6"/>
    <w:rsid w:val="00D65665"/>
    <w:rsid w:val="00D7157A"/>
    <w:rsid w:val="00D73EBA"/>
    <w:rsid w:val="00D753F2"/>
    <w:rsid w:val="00D81408"/>
    <w:rsid w:val="00D8235B"/>
    <w:rsid w:val="00D8401F"/>
    <w:rsid w:val="00D91274"/>
    <w:rsid w:val="00D91713"/>
    <w:rsid w:val="00D92F63"/>
    <w:rsid w:val="00DA4A06"/>
    <w:rsid w:val="00DA66AB"/>
    <w:rsid w:val="00DB51FF"/>
    <w:rsid w:val="00DB59A0"/>
    <w:rsid w:val="00DC1582"/>
    <w:rsid w:val="00DC2EA1"/>
    <w:rsid w:val="00DC71A3"/>
    <w:rsid w:val="00DD30F5"/>
    <w:rsid w:val="00DD6C78"/>
    <w:rsid w:val="00DD7F28"/>
    <w:rsid w:val="00DE5B66"/>
    <w:rsid w:val="00DF0F78"/>
    <w:rsid w:val="00DF18B9"/>
    <w:rsid w:val="00DF75D7"/>
    <w:rsid w:val="00E0270A"/>
    <w:rsid w:val="00E0468C"/>
    <w:rsid w:val="00E05B93"/>
    <w:rsid w:val="00E05D1A"/>
    <w:rsid w:val="00E139B3"/>
    <w:rsid w:val="00E14824"/>
    <w:rsid w:val="00E1720A"/>
    <w:rsid w:val="00E17CAB"/>
    <w:rsid w:val="00E2002F"/>
    <w:rsid w:val="00E2026F"/>
    <w:rsid w:val="00E262C0"/>
    <w:rsid w:val="00E30319"/>
    <w:rsid w:val="00E30E2C"/>
    <w:rsid w:val="00E324C8"/>
    <w:rsid w:val="00E43403"/>
    <w:rsid w:val="00E459C8"/>
    <w:rsid w:val="00E4747E"/>
    <w:rsid w:val="00E66E66"/>
    <w:rsid w:val="00E67113"/>
    <w:rsid w:val="00E72B45"/>
    <w:rsid w:val="00E7559F"/>
    <w:rsid w:val="00E77259"/>
    <w:rsid w:val="00E84AF6"/>
    <w:rsid w:val="00E8731C"/>
    <w:rsid w:val="00EA513A"/>
    <w:rsid w:val="00EA5B04"/>
    <w:rsid w:val="00EA5D65"/>
    <w:rsid w:val="00EB32E2"/>
    <w:rsid w:val="00EB68E7"/>
    <w:rsid w:val="00EC2086"/>
    <w:rsid w:val="00EC2989"/>
    <w:rsid w:val="00EC4505"/>
    <w:rsid w:val="00EC6BCD"/>
    <w:rsid w:val="00ED25F6"/>
    <w:rsid w:val="00EF12F3"/>
    <w:rsid w:val="00EF423E"/>
    <w:rsid w:val="00EF524D"/>
    <w:rsid w:val="00F061DC"/>
    <w:rsid w:val="00F20DA3"/>
    <w:rsid w:val="00F2352E"/>
    <w:rsid w:val="00F23C4F"/>
    <w:rsid w:val="00F34AC0"/>
    <w:rsid w:val="00F3568F"/>
    <w:rsid w:val="00F363B0"/>
    <w:rsid w:val="00F37DB2"/>
    <w:rsid w:val="00F4425B"/>
    <w:rsid w:val="00F4617C"/>
    <w:rsid w:val="00F462BC"/>
    <w:rsid w:val="00F4786D"/>
    <w:rsid w:val="00F50DE7"/>
    <w:rsid w:val="00F51E65"/>
    <w:rsid w:val="00F63FD7"/>
    <w:rsid w:val="00F75A51"/>
    <w:rsid w:val="00F8398A"/>
    <w:rsid w:val="00F944B0"/>
    <w:rsid w:val="00FA1A96"/>
    <w:rsid w:val="00FA2D03"/>
    <w:rsid w:val="00FA39A8"/>
    <w:rsid w:val="00FA7FA9"/>
    <w:rsid w:val="00FB3099"/>
    <w:rsid w:val="00FB5893"/>
    <w:rsid w:val="00FC5703"/>
    <w:rsid w:val="00FD03CB"/>
    <w:rsid w:val="00FD6FFF"/>
    <w:rsid w:val="00FE4DF2"/>
    <w:rsid w:val="00FE51DA"/>
    <w:rsid w:val="00FE61C2"/>
    <w:rsid w:val="00FF01A1"/>
    <w:rsid w:val="00FF2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503C27"/>
  <w15:docId w15:val="{6EEA64F7-99C0-446B-B204-6135390C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CA Normal text"/>
    <w:qFormat/>
    <w:rsid w:val="00E8731C"/>
    <w:pPr>
      <w:spacing w:after="200" w:line="276" w:lineRule="auto"/>
    </w:pPr>
    <w:rPr>
      <w:rFonts w:ascii="Arial" w:hAnsi="Arial" w:cs="Arial"/>
      <w:lang w:val="en-AU" w:eastAsia="en-AU"/>
    </w:rPr>
  </w:style>
  <w:style w:type="paragraph" w:styleId="Heading1">
    <w:name w:val="heading 1"/>
    <w:aliases w:val="HCA Heading"/>
    <w:basedOn w:val="Heading3"/>
    <w:next w:val="Normal"/>
    <w:link w:val="Heading1Char"/>
    <w:uiPriority w:val="9"/>
    <w:qFormat/>
    <w:rsid w:val="00E8731C"/>
    <w:pPr>
      <w:pBdr>
        <w:bottom w:val="single" w:sz="4" w:space="1" w:color="7567A4"/>
      </w:pBdr>
      <w:jc w:val="left"/>
      <w:outlineLvl w:val="0"/>
    </w:pPr>
    <w:rPr>
      <w:color w:val="7567A4"/>
      <w:sz w:val="28"/>
      <w:szCs w:val="28"/>
    </w:rPr>
  </w:style>
  <w:style w:type="paragraph" w:styleId="Heading2">
    <w:name w:val="heading 2"/>
    <w:basedOn w:val="Normal"/>
    <w:next w:val="Normal"/>
    <w:link w:val="Heading2Char"/>
    <w:uiPriority w:val="9"/>
    <w:qFormat/>
    <w:rsid w:val="00E8731C"/>
    <w:pPr>
      <w:spacing w:before="100" w:beforeAutospacing="1" w:after="100" w:afterAutospacing="1"/>
      <w:jc w:val="both"/>
      <w:outlineLvl w:val="1"/>
    </w:pPr>
    <w:rPr>
      <w:rFonts w:cs="Times New Roman"/>
      <w:color w:val="7567A4"/>
      <w:sz w:val="24"/>
      <w:szCs w:val="24"/>
    </w:rPr>
  </w:style>
  <w:style w:type="paragraph" w:styleId="Heading3">
    <w:name w:val="heading 3"/>
    <w:aliases w:val="HAC Document Title"/>
    <w:basedOn w:val="Heading2"/>
    <w:next w:val="Normal"/>
    <w:link w:val="Heading3Char"/>
    <w:uiPriority w:val="9"/>
    <w:qFormat/>
    <w:rsid w:val="00E8731C"/>
    <w:pPr>
      <w:spacing w:line="240" w:lineRule="auto"/>
      <w:jc w:val="center"/>
      <w:outlineLvl w:val="2"/>
    </w:pPr>
    <w:rPr>
      <w:color w:val="auto"/>
      <w:sz w:val="72"/>
      <w:szCs w:val="72"/>
    </w:rPr>
  </w:style>
  <w:style w:type="paragraph" w:styleId="Heading4">
    <w:name w:val="heading 4"/>
    <w:aliases w:val="HCA Document Subtitle"/>
    <w:basedOn w:val="Heading3"/>
    <w:next w:val="Normal"/>
    <w:link w:val="Heading4Char"/>
    <w:uiPriority w:val="9"/>
    <w:qFormat/>
    <w:rsid w:val="0042679B"/>
    <w:pPr>
      <w:outlineLvl w:val="3"/>
    </w:pPr>
    <w:rPr>
      <w:rFonts w:ascii="Helvetica Neue Light" w:hAnsi="Helvetica Neue Light"/>
      <w:sz w:val="36"/>
      <w:szCs w:val="36"/>
    </w:rPr>
  </w:style>
  <w:style w:type="paragraph" w:styleId="Heading5">
    <w:name w:val="heading 5"/>
    <w:aliases w:val="Second Level Subheading"/>
    <w:basedOn w:val="Heading2"/>
    <w:next w:val="Normal"/>
    <w:link w:val="Heading5Char"/>
    <w:uiPriority w:val="9"/>
    <w:qFormat/>
    <w:rsid w:val="00E8731C"/>
    <w:pPr>
      <w:spacing w:after="0" w:afterAutospacing="0"/>
      <w:outlineLvl w:val="4"/>
    </w:pPr>
    <w:rPr>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6B6"/>
  </w:style>
  <w:style w:type="paragraph" w:styleId="Footer">
    <w:name w:val="footer"/>
    <w:basedOn w:val="Normal"/>
    <w:link w:val="FooterChar"/>
    <w:uiPriority w:val="99"/>
    <w:unhideWhenUsed/>
    <w:rsid w:val="003F5D2A"/>
    <w:pPr>
      <w:tabs>
        <w:tab w:val="center" w:pos="4513"/>
        <w:tab w:val="right" w:pos="9026"/>
      </w:tabs>
      <w:spacing w:before="120" w:after="0" w:line="240" w:lineRule="auto"/>
    </w:pPr>
    <w:rPr>
      <w:rFonts w:ascii="Helvetica Neue Light" w:hAnsi="Helvetica Neue Light" w:cs="Times New Roman"/>
      <w:sz w:val="12"/>
      <w:szCs w:val="12"/>
    </w:rPr>
  </w:style>
  <w:style w:type="character" w:customStyle="1" w:styleId="FooterChar">
    <w:name w:val="Footer Char"/>
    <w:link w:val="Footer"/>
    <w:uiPriority w:val="99"/>
    <w:rsid w:val="003F5D2A"/>
    <w:rPr>
      <w:rFonts w:ascii="Helvetica Neue Light" w:hAnsi="Helvetica Neue Light" w:cs="Calibri"/>
      <w:sz w:val="12"/>
      <w:szCs w:val="12"/>
    </w:rPr>
  </w:style>
  <w:style w:type="paragraph" w:styleId="BalloonText">
    <w:name w:val="Balloon Text"/>
    <w:basedOn w:val="Normal"/>
    <w:link w:val="BalloonTextChar"/>
    <w:uiPriority w:val="99"/>
    <w:semiHidden/>
    <w:unhideWhenUsed/>
    <w:rsid w:val="00D646B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646B6"/>
    <w:rPr>
      <w:rFonts w:ascii="Tahoma" w:hAnsi="Tahoma" w:cs="Tahoma"/>
      <w:sz w:val="16"/>
      <w:szCs w:val="16"/>
    </w:rPr>
  </w:style>
  <w:style w:type="paragraph" w:customStyle="1" w:styleId="F9E977197262459AB16AE09F8A4F0155">
    <w:name w:val="F9E977197262459AB16AE09F8A4F0155"/>
    <w:rsid w:val="00D646B6"/>
    <w:pPr>
      <w:spacing w:after="200" w:line="276" w:lineRule="auto"/>
    </w:pPr>
    <w:rPr>
      <w:sz w:val="22"/>
      <w:szCs w:val="22"/>
    </w:rPr>
  </w:style>
  <w:style w:type="character" w:customStyle="1" w:styleId="Heading1Char">
    <w:name w:val="Heading 1 Char"/>
    <w:aliases w:val="HCA Heading Char"/>
    <w:link w:val="Heading1"/>
    <w:uiPriority w:val="9"/>
    <w:rsid w:val="00E8731C"/>
    <w:rPr>
      <w:rFonts w:ascii="Arial" w:hAnsi="Arial" w:cs="Arial"/>
      <w:color w:val="7567A4"/>
      <w:sz w:val="28"/>
      <w:szCs w:val="28"/>
    </w:rPr>
  </w:style>
  <w:style w:type="character" w:customStyle="1" w:styleId="Heading2Char">
    <w:name w:val="Heading 2 Char"/>
    <w:link w:val="Heading2"/>
    <w:uiPriority w:val="9"/>
    <w:rsid w:val="00E8731C"/>
    <w:rPr>
      <w:rFonts w:ascii="Arial" w:hAnsi="Arial" w:cs="Arial"/>
      <w:color w:val="7567A4"/>
      <w:sz w:val="24"/>
      <w:szCs w:val="24"/>
    </w:rPr>
  </w:style>
  <w:style w:type="character" w:customStyle="1" w:styleId="Heading3Char">
    <w:name w:val="Heading 3 Char"/>
    <w:aliases w:val="HAC Document Title Char"/>
    <w:link w:val="Heading3"/>
    <w:uiPriority w:val="9"/>
    <w:rsid w:val="00E8731C"/>
    <w:rPr>
      <w:rFonts w:ascii="Arial" w:hAnsi="Arial" w:cs="Arial"/>
      <w:sz w:val="72"/>
      <w:szCs w:val="72"/>
    </w:rPr>
  </w:style>
  <w:style w:type="paragraph" w:styleId="TOC1">
    <w:name w:val="toc 1"/>
    <w:basedOn w:val="Normal"/>
    <w:next w:val="Normal"/>
    <w:autoRedefine/>
    <w:uiPriority w:val="39"/>
    <w:unhideWhenUsed/>
    <w:rsid w:val="00252709"/>
    <w:pPr>
      <w:tabs>
        <w:tab w:val="right" w:leader="dot" w:pos="9639"/>
      </w:tabs>
    </w:pPr>
    <w:rPr>
      <w:noProof/>
    </w:rPr>
  </w:style>
  <w:style w:type="paragraph" w:styleId="TOC2">
    <w:name w:val="toc 2"/>
    <w:basedOn w:val="TOC1"/>
    <w:next w:val="Normal"/>
    <w:autoRedefine/>
    <w:uiPriority w:val="39"/>
    <w:unhideWhenUsed/>
    <w:rsid w:val="00252709"/>
    <w:pPr>
      <w:ind w:left="720"/>
    </w:pPr>
    <w:rPr>
      <w:color w:val="7F7F7F"/>
    </w:rPr>
  </w:style>
  <w:style w:type="paragraph" w:styleId="TOC3">
    <w:name w:val="toc 3"/>
    <w:basedOn w:val="Normal"/>
    <w:next w:val="Normal"/>
    <w:autoRedefine/>
    <w:uiPriority w:val="39"/>
    <w:unhideWhenUsed/>
    <w:rsid w:val="00CB51C1"/>
    <w:pPr>
      <w:ind w:left="440"/>
    </w:pPr>
  </w:style>
  <w:style w:type="paragraph" w:styleId="TOC4">
    <w:name w:val="toc 4"/>
    <w:basedOn w:val="Normal"/>
    <w:next w:val="Normal"/>
    <w:autoRedefine/>
    <w:uiPriority w:val="39"/>
    <w:unhideWhenUsed/>
    <w:rsid w:val="00CB51C1"/>
    <w:pPr>
      <w:ind w:left="660"/>
    </w:pPr>
  </w:style>
  <w:style w:type="paragraph" w:styleId="TOC5">
    <w:name w:val="toc 5"/>
    <w:basedOn w:val="Normal"/>
    <w:next w:val="Normal"/>
    <w:autoRedefine/>
    <w:uiPriority w:val="39"/>
    <w:unhideWhenUsed/>
    <w:rsid w:val="00CB51C1"/>
    <w:pPr>
      <w:ind w:left="880"/>
    </w:pPr>
  </w:style>
  <w:style w:type="paragraph" w:styleId="TOC6">
    <w:name w:val="toc 6"/>
    <w:basedOn w:val="Normal"/>
    <w:next w:val="Normal"/>
    <w:autoRedefine/>
    <w:uiPriority w:val="39"/>
    <w:unhideWhenUsed/>
    <w:rsid w:val="00CB51C1"/>
    <w:pPr>
      <w:ind w:left="1100"/>
    </w:pPr>
  </w:style>
  <w:style w:type="paragraph" w:styleId="TOC7">
    <w:name w:val="toc 7"/>
    <w:basedOn w:val="Normal"/>
    <w:next w:val="Normal"/>
    <w:autoRedefine/>
    <w:uiPriority w:val="39"/>
    <w:unhideWhenUsed/>
    <w:rsid w:val="00CB51C1"/>
    <w:pPr>
      <w:ind w:left="1320"/>
    </w:pPr>
  </w:style>
  <w:style w:type="paragraph" w:styleId="TOC8">
    <w:name w:val="toc 8"/>
    <w:basedOn w:val="Normal"/>
    <w:next w:val="Normal"/>
    <w:autoRedefine/>
    <w:uiPriority w:val="39"/>
    <w:unhideWhenUsed/>
    <w:rsid w:val="00CB51C1"/>
    <w:pPr>
      <w:ind w:left="1540"/>
    </w:pPr>
  </w:style>
  <w:style w:type="paragraph" w:styleId="TOC9">
    <w:name w:val="toc 9"/>
    <w:basedOn w:val="Normal"/>
    <w:next w:val="Normal"/>
    <w:autoRedefine/>
    <w:uiPriority w:val="39"/>
    <w:unhideWhenUsed/>
    <w:rsid w:val="00CB51C1"/>
    <w:pPr>
      <w:ind w:left="1760"/>
    </w:pPr>
  </w:style>
  <w:style w:type="paragraph" w:customStyle="1" w:styleId="ColorfulList-Accent11">
    <w:name w:val="Colorful List - Accent 11"/>
    <w:aliases w:val="HCA Heading Bullet Points"/>
    <w:basedOn w:val="Normal"/>
    <w:link w:val="ColorfulList-Accent1Char"/>
    <w:uiPriority w:val="34"/>
    <w:qFormat/>
    <w:rsid w:val="007B1C16"/>
    <w:pPr>
      <w:numPr>
        <w:numId w:val="9"/>
      </w:numPr>
      <w:spacing w:before="240" w:after="120" w:line="260" w:lineRule="exact"/>
      <w:ind w:left="425" w:hanging="357"/>
    </w:pPr>
    <w:rPr>
      <w:rFonts w:ascii="Helvetica Neue Light" w:hAnsi="Helvetica Neue Light" w:cs="Times New Roman"/>
    </w:rPr>
  </w:style>
  <w:style w:type="character" w:customStyle="1" w:styleId="Heading4Char">
    <w:name w:val="Heading 4 Char"/>
    <w:aliases w:val="HCA Document Subtitle Char"/>
    <w:link w:val="Heading4"/>
    <w:uiPriority w:val="9"/>
    <w:rsid w:val="0042679B"/>
    <w:rPr>
      <w:rFonts w:ascii="Helvetica Neue Light" w:hAnsi="Helvetica Neue Light" w:cs="Arial"/>
      <w:sz w:val="36"/>
      <w:szCs w:val="36"/>
    </w:rPr>
  </w:style>
  <w:style w:type="character" w:customStyle="1" w:styleId="Heading5Char">
    <w:name w:val="Heading 5 Char"/>
    <w:aliases w:val="Second Level Subheading Char"/>
    <w:link w:val="Heading5"/>
    <w:uiPriority w:val="9"/>
    <w:rsid w:val="00E8731C"/>
    <w:rPr>
      <w:rFonts w:ascii="Arial" w:hAnsi="Arial" w:cs="Arial"/>
      <w:i/>
      <w:color w:val="7F7F7F"/>
      <w:sz w:val="24"/>
      <w:szCs w:val="24"/>
    </w:rPr>
  </w:style>
  <w:style w:type="paragraph" w:customStyle="1" w:styleId="HCAQuote">
    <w:name w:val="HCA Quote"/>
    <w:basedOn w:val="Normal"/>
    <w:qFormat/>
    <w:rsid w:val="00E8731C"/>
    <w:pPr>
      <w:tabs>
        <w:tab w:val="left" w:pos="4680"/>
      </w:tabs>
      <w:spacing w:after="0"/>
      <w:jc w:val="right"/>
    </w:pPr>
    <w:rPr>
      <w:sz w:val="24"/>
      <w:szCs w:val="24"/>
    </w:rPr>
  </w:style>
  <w:style w:type="paragraph" w:customStyle="1" w:styleId="Speechmaker">
    <w:name w:val="Speech maker"/>
    <w:basedOn w:val="ColorfulList-Accent11"/>
    <w:qFormat/>
    <w:rsid w:val="009B68CC"/>
    <w:pPr>
      <w:numPr>
        <w:numId w:val="0"/>
      </w:numPr>
      <w:spacing w:before="0"/>
      <w:ind w:left="425"/>
      <w:jc w:val="right"/>
    </w:pPr>
    <w:rPr>
      <w:i/>
      <w:sz w:val="16"/>
      <w:szCs w:val="16"/>
    </w:rPr>
  </w:style>
  <w:style w:type="paragraph" w:customStyle="1" w:styleId="HCASubheadingBullet">
    <w:name w:val="HCA Subheading Bullet"/>
    <w:basedOn w:val="ColorfulList-Accent11"/>
    <w:link w:val="HCASubheadingBulletChar"/>
    <w:qFormat/>
    <w:rsid w:val="009019AB"/>
    <w:pPr>
      <w:ind w:firstLine="1"/>
    </w:pPr>
  </w:style>
  <w:style w:type="character" w:customStyle="1" w:styleId="ColorfulList-Accent1Char">
    <w:name w:val="Colorful List - Accent 1 Char"/>
    <w:aliases w:val="HCA Heading Bullet Points Char,List Paragraph Char,Bullet Point Char,Bullet point Char,Bulletr List Paragraph Char,Content descriptions Char,FooterText Char,L Char,List Bullet 1 Char,List Paragraph1 Char"/>
    <w:link w:val="ColorfulList-Accent11"/>
    <w:uiPriority w:val="99"/>
    <w:rsid w:val="009019AB"/>
    <w:rPr>
      <w:rFonts w:ascii="Helvetica Neue Light" w:hAnsi="Helvetica Neue Light" w:cs="Arial"/>
      <w:sz w:val="20"/>
      <w:szCs w:val="20"/>
    </w:rPr>
  </w:style>
  <w:style w:type="character" w:customStyle="1" w:styleId="HCASubheadingBulletChar">
    <w:name w:val="HCA Subheading Bullet Char"/>
    <w:link w:val="HCASubheadingBullet"/>
    <w:rsid w:val="009019AB"/>
    <w:rPr>
      <w:rFonts w:ascii="Helvetica Neue Light" w:hAnsi="Helvetica Neue Light" w:cs="Arial"/>
      <w:sz w:val="20"/>
      <w:szCs w:val="20"/>
    </w:rPr>
  </w:style>
  <w:style w:type="paragraph" w:customStyle="1" w:styleId="p1">
    <w:name w:val="p1"/>
    <w:basedOn w:val="Normal"/>
    <w:rsid w:val="00995A9C"/>
    <w:rPr>
      <w:rFonts w:ascii="Segoe UI" w:hAnsi="Segoe UI" w:cs="Segoe UI"/>
      <w:color w:val="0D2DE6"/>
      <w:sz w:val="90"/>
      <w:szCs w:val="90"/>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uiPriority w:val="34"/>
    <w:qFormat/>
    <w:rsid w:val="00FD6FFF"/>
    <w:pPr>
      <w:spacing w:before="240" w:after="120" w:line="260" w:lineRule="exact"/>
      <w:ind w:left="425" w:hanging="357"/>
    </w:pPr>
  </w:style>
  <w:style w:type="character" w:styleId="CommentReference">
    <w:name w:val="annotation reference"/>
    <w:basedOn w:val="DefaultParagraphFont"/>
    <w:uiPriority w:val="99"/>
    <w:semiHidden/>
    <w:unhideWhenUsed/>
    <w:rsid w:val="009A2457"/>
    <w:rPr>
      <w:sz w:val="16"/>
      <w:szCs w:val="16"/>
    </w:rPr>
  </w:style>
  <w:style w:type="paragraph" w:styleId="CommentText">
    <w:name w:val="annotation text"/>
    <w:basedOn w:val="Normal"/>
    <w:link w:val="CommentTextChar"/>
    <w:uiPriority w:val="99"/>
    <w:semiHidden/>
    <w:unhideWhenUsed/>
    <w:rsid w:val="009A2457"/>
    <w:pPr>
      <w:spacing w:line="240" w:lineRule="auto"/>
    </w:pPr>
  </w:style>
  <w:style w:type="character" w:customStyle="1" w:styleId="CommentTextChar">
    <w:name w:val="Comment Text Char"/>
    <w:basedOn w:val="DefaultParagraphFont"/>
    <w:link w:val="CommentText"/>
    <w:uiPriority w:val="99"/>
    <w:semiHidden/>
    <w:rsid w:val="009A2457"/>
    <w:rPr>
      <w:rFonts w:ascii="Arial" w:hAnsi="Arial" w:cs="Arial"/>
      <w:lang w:val="en-AU" w:eastAsia="en-AU"/>
    </w:rPr>
  </w:style>
  <w:style w:type="paragraph" w:styleId="CommentSubject">
    <w:name w:val="annotation subject"/>
    <w:basedOn w:val="CommentText"/>
    <w:next w:val="CommentText"/>
    <w:link w:val="CommentSubjectChar"/>
    <w:uiPriority w:val="99"/>
    <w:semiHidden/>
    <w:unhideWhenUsed/>
    <w:rsid w:val="009A2457"/>
    <w:rPr>
      <w:b/>
      <w:bCs/>
    </w:rPr>
  </w:style>
  <w:style w:type="character" w:customStyle="1" w:styleId="CommentSubjectChar">
    <w:name w:val="Comment Subject Char"/>
    <w:basedOn w:val="CommentTextChar"/>
    <w:link w:val="CommentSubject"/>
    <w:uiPriority w:val="99"/>
    <w:semiHidden/>
    <w:rsid w:val="009A2457"/>
    <w:rPr>
      <w:rFonts w:ascii="Arial" w:hAnsi="Arial" w:cs="Arial"/>
      <w:b/>
      <w:bCs/>
      <w:lang w:val="en-AU" w:eastAsia="en-AU"/>
    </w:rPr>
  </w:style>
  <w:style w:type="paragraph" w:styleId="FootnoteText">
    <w:name w:val="footnote text"/>
    <w:basedOn w:val="Normal"/>
    <w:link w:val="FootnoteTextChar"/>
    <w:uiPriority w:val="99"/>
    <w:unhideWhenUsed/>
    <w:rsid w:val="009454E9"/>
    <w:pPr>
      <w:spacing w:after="0" w:line="240" w:lineRule="auto"/>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9454E9"/>
    <w:rPr>
      <w:rFonts w:asciiTheme="minorHAnsi" w:eastAsiaTheme="minorHAnsi" w:hAnsiTheme="minorHAnsi" w:cstheme="minorBidi"/>
      <w:lang w:val="en-AU" w:eastAsia="en-US"/>
    </w:rPr>
  </w:style>
  <w:style w:type="character" w:styleId="FootnoteReference">
    <w:name w:val="footnote reference"/>
    <w:basedOn w:val="DefaultParagraphFont"/>
    <w:uiPriority w:val="99"/>
    <w:semiHidden/>
    <w:unhideWhenUsed/>
    <w:rsid w:val="009454E9"/>
    <w:rPr>
      <w:vertAlign w:val="superscript"/>
    </w:rPr>
  </w:style>
  <w:style w:type="character" w:styleId="Hyperlink">
    <w:name w:val="Hyperlink"/>
    <w:basedOn w:val="DefaultParagraphFont"/>
    <w:uiPriority w:val="99"/>
    <w:unhideWhenUsed/>
    <w:rsid w:val="009454E9"/>
    <w:rPr>
      <w:color w:val="0563C1" w:themeColor="hyperlink"/>
      <w:u w:val="single"/>
    </w:rPr>
  </w:style>
  <w:style w:type="paragraph" w:customStyle="1" w:styleId="paragraph">
    <w:name w:val="paragraph"/>
    <w:basedOn w:val="Normal"/>
    <w:rsid w:val="00D73EBA"/>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D73EBA"/>
  </w:style>
  <w:style w:type="character" w:customStyle="1" w:styleId="normaltextrun1">
    <w:name w:val="normaltextrun1"/>
    <w:basedOn w:val="DefaultParagraphFont"/>
    <w:rsid w:val="00D73EBA"/>
  </w:style>
  <w:style w:type="character" w:customStyle="1" w:styleId="eop">
    <w:name w:val="eop"/>
    <w:basedOn w:val="DefaultParagraphFont"/>
    <w:rsid w:val="00D73EBA"/>
  </w:style>
  <w:style w:type="paragraph" w:customStyle="1" w:styleId="Default">
    <w:name w:val="Default"/>
    <w:rsid w:val="00515FE0"/>
    <w:pPr>
      <w:autoSpaceDE w:val="0"/>
      <w:autoSpaceDN w:val="0"/>
      <w:adjustRightInd w:val="0"/>
    </w:pPr>
    <w:rPr>
      <w:rFonts w:ascii="Arial" w:eastAsiaTheme="minorHAnsi" w:hAnsi="Arial" w:cs="Arial"/>
      <w:color w:val="000000"/>
      <w:sz w:val="24"/>
      <w:szCs w:val="24"/>
      <w:lang w:val="en-AU" w:eastAsia="en-US"/>
    </w:rPr>
  </w:style>
  <w:style w:type="paragraph" w:styleId="Title">
    <w:name w:val="Title"/>
    <w:basedOn w:val="Normal"/>
    <w:next w:val="Normal"/>
    <w:link w:val="TitleChar"/>
    <w:uiPriority w:val="10"/>
    <w:qFormat/>
    <w:rsid w:val="0075789E"/>
    <w:pPr>
      <w:spacing w:after="0" w:line="240" w:lineRule="auto"/>
      <w:contextualSpacing/>
    </w:pPr>
    <w:rPr>
      <w:rFonts w:asciiTheme="majorHAnsi" w:eastAsiaTheme="majorEastAsia" w:hAnsiTheme="majorHAnsi" w:cstheme="majorBidi"/>
      <w:color w:val="7030A0"/>
      <w:spacing w:val="-10"/>
      <w:kern w:val="28"/>
      <w:sz w:val="56"/>
      <w:szCs w:val="56"/>
      <w:lang w:eastAsia="en-US"/>
    </w:rPr>
  </w:style>
  <w:style w:type="character" w:customStyle="1" w:styleId="TitleChar">
    <w:name w:val="Title Char"/>
    <w:basedOn w:val="DefaultParagraphFont"/>
    <w:link w:val="Title"/>
    <w:uiPriority w:val="10"/>
    <w:rsid w:val="0075789E"/>
    <w:rPr>
      <w:rFonts w:asciiTheme="majorHAnsi" w:eastAsiaTheme="majorEastAsia" w:hAnsiTheme="majorHAnsi" w:cstheme="majorBidi"/>
      <w:color w:val="7030A0"/>
      <w:spacing w:val="-10"/>
      <w:kern w:val="28"/>
      <w:sz w:val="56"/>
      <w:szCs w:val="56"/>
      <w:lang w:val="en-AU" w:eastAsia="en-US"/>
    </w:rPr>
  </w:style>
  <w:style w:type="paragraph" w:styleId="Subtitle">
    <w:name w:val="Subtitle"/>
    <w:basedOn w:val="Normal"/>
    <w:next w:val="Normal"/>
    <w:link w:val="SubtitleChar"/>
    <w:uiPriority w:val="11"/>
    <w:qFormat/>
    <w:rsid w:val="0075789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75789E"/>
    <w:rPr>
      <w:rFonts w:asciiTheme="minorHAnsi" w:eastAsiaTheme="minorEastAsia" w:hAnsiTheme="minorHAnsi" w:cstheme="minorBidi"/>
      <w:color w:val="5A5A5A" w:themeColor="text1" w:themeTint="A5"/>
      <w:spacing w:val="15"/>
      <w:sz w:val="22"/>
      <w:szCs w:val="22"/>
      <w:lang w:val="en-AU" w:eastAsia="en-US"/>
    </w:rPr>
  </w:style>
  <w:style w:type="character" w:styleId="SubtleEmphasis">
    <w:name w:val="Subtle Emphasis"/>
    <w:basedOn w:val="DefaultParagraphFont"/>
    <w:uiPriority w:val="19"/>
    <w:qFormat/>
    <w:rsid w:val="00AC3F36"/>
    <w:rPr>
      <w:i/>
      <w:iCs/>
      <w:color w:val="404040" w:themeColor="text1" w:themeTint="BF"/>
    </w:rPr>
  </w:style>
  <w:style w:type="paragraph" w:styleId="EndnoteText">
    <w:name w:val="endnote text"/>
    <w:basedOn w:val="Normal"/>
    <w:link w:val="EndnoteTextChar"/>
    <w:uiPriority w:val="99"/>
    <w:semiHidden/>
    <w:unhideWhenUsed/>
    <w:rsid w:val="0084634D"/>
    <w:pPr>
      <w:spacing w:after="0" w:line="240" w:lineRule="auto"/>
    </w:pPr>
  </w:style>
  <w:style w:type="character" w:customStyle="1" w:styleId="EndnoteTextChar">
    <w:name w:val="Endnote Text Char"/>
    <w:basedOn w:val="DefaultParagraphFont"/>
    <w:link w:val="EndnoteText"/>
    <w:uiPriority w:val="99"/>
    <w:semiHidden/>
    <w:rsid w:val="0084634D"/>
    <w:rPr>
      <w:rFonts w:ascii="Arial" w:hAnsi="Arial" w:cs="Arial"/>
      <w:lang w:val="en-AU" w:eastAsia="en-AU"/>
    </w:rPr>
  </w:style>
  <w:style w:type="character" w:styleId="EndnoteReference">
    <w:name w:val="endnote reference"/>
    <w:basedOn w:val="DefaultParagraphFont"/>
    <w:uiPriority w:val="99"/>
    <w:semiHidden/>
    <w:unhideWhenUsed/>
    <w:rsid w:val="0084634D"/>
    <w:rPr>
      <w:vertAlign w:val="superscript"/>
    </w:rPr>
  </w:style>
  <w:style w:type="character" w:customStyle="1" w:styleId="UnresolvedMention1">
    <w:name w:val="Unresolved Mention1"/>
    <w:basedOn w:val="DefaultParagraphFont"/>
    <w:uiPriority w:val="99"/>
    <w:semiHidden/>
    <w:unhideWhenUsed/>
    <w:rsid w:val="00472A28"/>
    <w:rPr>
      <w:color w:val="605E5C"/>
      <w:shd w:val="clear" w:color="auto" w:fill="E1DFDD"/>
    </w:rPr>
  </w:style>
  <w:style w:type="paragraph" w:styleId="BodyText">
    <w:name w:val="Body Text"/>
    <w:basedOn w:val="Normal"/>
    <w:link w:val="BodyTextChar"/>
    <w:uiPriority w:val="1"/>
    <w:qFormat/>
    <w:rsid w:val="007C7652"/>
    <w:pPr>
      <w:widowControl w:val="0"/>
      <w:autoSpaceDE w:val="0"/>
      <w:autoSpaceDN w:val="0"/>
      <w:spacing w:after="0" w:line="240" w:lineRule="auto"/>
    </w:pPr>
    <w:rPr>
      <w:rFonts w:ascii="Segoe UI" w:eastAsia="Segoe UI" w:hAnsi="Segoe UI" w:cs="Segoe UI"/>
      <w:sz w:val="22"/>
      <w:szCs w:val="22"/>
      <w:lang w:bidi="en-AU"/>
    </w:rPr>
  </w:style>
  <w:style w:type="character" w:customStyle="1" w:styleId="BodyTextChar">
    <w:name w:val="Body Text Char"/>
    <w:basedOn w:val="DefaultParagraphFont"/>
    <w:link w:val="BodyText"/>
    <w:uiPriority w:val="1"/>
    <w:rsid w:val="007C7652"/>
    <w:rPr>
      <w:rFonts w:ascii="Segoe UI" w:eastAsia="Segoe UI" w:hAnsi="Segoe UI" w:cs="Segoe UI"/>
      <w:sz w:val="22"/>
      <w:szCs w:val="22"/>
      <w:lang w:val="en-AU" w:eastAsia="en-AU" w:bidi="en-AU"/>
    </w:rPr>
  </w:style>
  <w:style w:type="paragraph" w:styleId="Revision">
    <w:name w:val="Revision"/>
    <w:hidden/>
    <w:uiPriority w:val="71"/>
    <w:semiHidden/>
    <w:rsid w:val="002F4E95"/>
    <w:rPr>
      <w:rFonts w:ascii="Arial" w:hAnsi="Arial" w:cs="Arial"/>
      <w:lang w:val="en-AU" w:eastAsia="en-AU"/>
    </w:rPr>
  </w:style>
  <w:style w:type="character" w:styleId="FollowedHyperlink">
    <w:name w:val="FollowedHyperlink"/>
    <w:basedOn w:val="DefaultParagraphFont"/>
    <w:uiPriority w:val="99"/>
    <w:semiHidden/>
    <w:unhideWhenUsed/>
    <w:rsid w:val="00961FCD"/>
    <w:rPr>
      <w:color w:val="954F72" w:themeColor="followedHyperlink"/>
      <w:u w:val="single"/>
    </w:rPr>
  </w:style>
  <w:style w:type="character" w:styleId="UnresolvedMention">
    <w:name w:val="Unresolved Mention"/>
    <w:basedOn w:val="DefaultParagraphFont"/>
    <w:uiPriority w:val="99"/>
    <w:semiHidden/>
    <w:unhideWhenUsed/>
    <w:rsid w:val="0011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551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alliativecare.org.au/wp-content/uploads/dlm_uploads/2017/07/PCA019_Economic-Research-Sheet_4a_RACFs.pdf" TargetMode="External"/><Relationship Id="rId2" Type="http://schemas.openxmlformats.org/officeDocument/2006/relationships/hyperlink" Target="https://www.aihw.gov.au/reports/palliative-care-services/palliative-care-services-in-australia/contents/summary" TargetMode="External"/><Relationship Id="rId1" Type="http://schemas.openxmlformats.org/officeDocument/2006/relationships/hyperlink" Target="https://www.mja.com.au/journal/2015/202/1/what-can-we-do-help-australians-die-way-they-want" TargetMode="External"/></Relationships>
</file>

<file path=word/theme/theme1.xml><?xml version="1.0" encoding="utf-8"?>
<a:theme xmlns:a="http://schemas.openxmlformats.org/drawingml/2006/main" name="Office Theme">
  <a:themeElements>
    <a:clrScheme name="HC Champion Life">
      <a:dk1>
        <a:sysClr val="windowText" lastClr="000000"/>
      </a:dk1>
      <a:lt1>
        <a:sysClr val="window" lastClr="FFFFFF"/>
      </a:lt1>
      <a:dk2>
        <a:srgbClr val="44546A"/>
      </a:dk2>
      <a:lt2>
        <a:srgbClr val="E7E6E6"/>
      </a:lt2>
      <a:accent1>
        <a:srgbClr val="470A68"/>
      </a:accent1>
      <a:accent2>
        <a:srgbClr val="702082"/>
      </a:accent2>
      <a:accent3>
        <a:srgbClr val="FF7200"/>
      </a:accent3>
      <a:accent4>
        <a:srgbClr val="C5299B"/>
      </a:accent4>
      <a:accent5>
        <a:srgbClr val="D6D1CF"/>
      </a:accent5>
      <a:accent6>
        <a:srgbClr val="BA0C2F"/>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2020FG-108-8456</_dlc_DocId>
    <_dlc_DocIdUrl xmlns="0f563589-9cf9-4143-b1eb-fb0534803d38">
      <Url>http://tweb/sites/fg/bpd/_layouts/15/DocIdRedir.aspx?ID=2020FG-108-8456</Url>
      <Description>2020FG-108-8456</Description>
    </_dlc_DocIdUrl>
    <RoutingTargetPath xmlns="http://schemas.microsoft.com/sharepoint/v3"/>
    <RoutingTargetFolder xmlns="http://schemas.microsoft.com/sharepoint/v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98220290-BA46-4C08-88A2-F715E494604A}"/>
</file>

<file path=customXml/itemProps2.xml><?xml version="1.0" encoding="utf-8"?>
<ds:datastoreItem xmlns:ds="http://schemas.openxmlformats.org/officeDocument/2006/customXml" ds:itemID="{5B1DC02D-B068-41CD-AFFA-14644762A87A}">
  <ds:schemaRefs>
    <ds:schemaRef ds:uri="http://schemas.microsoft.com/sharepoint/v3/contenttype/forms"/>
  </ds:schemaRefs>
</ds:datastoreItem>
</file>

<file path=customXml/itemProps3.xml><?xml version="1.0" encoding="utf-8"?>
<ds:datastoreItem xmlns:ds="http://schemas.openxmlformats.org/officeDocument/2006/customXml" ds:itemID="{DC223F9E-6AF8-4D11-B508-07AD0CCDE0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4CBBD-F5D9-4CA3-86E2-32F27521C314}">
  <ds:schemaRefs>
    <ds:schemaRef ds:uri="http://schemas.openxmlformats.org/officeDocument/2006/bibliography"/>
  </ds:schemaRefs>
</ds:datastoreItem>
</file>

<file path=customXml/itemProps5.xml><?xml version="1.0" encoding="utf-8"?>
<ds:datastoreItem xmlns:ds="http://schemas.openxmlformats.org/officeDocument/2006/customXml" ds:itemID="{F1C7FB48-4712-4D6B-8B7C-DD0E49E5FAA8}"/>
</file>

<file path=customXml/itemProps6.xml><?xml version="1.0" encoding="utf-8"?>
<ds:datastoreItem xmlns:ds="http://schemas.openxmlformats.org/officeDocument/2006/customXml" ds:itemID="{FED6A499-BC1F-47CE-A92D-535B7AF506B5}"/>
</file>

<file path=customXml/itemProps7.xml><?xml version="1.0" encoding="utf-8"?>
<ds:datastoreItem xmlns:ds="http://schemas.openxmlformats.org/officeDocument/2006/customXml" ds:itemID="{09574BB7-2644-4AB6-BBA6-DB0B086BFA25}"/>
</file>

<file path=docProps/app.xml><?xml version="1.0" encoding="utf-8"?>
<Properties xmlns="http://schemas.openxmlformats.org/officeDocument/2006/extended-properties" xmlns:vt="http://schemas.openxmlformats.org/officeDocument/2006/docPropsVTypes">
  <Template>Normal</Template>
  <TotalTime>51</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Pre-Budget Submission Cottage Respite Proposal</vt:lpstr>
    </vt:vector>
  </TitlesOfParts>
  <Company>HammondCare</Company>
  <LinksUpToDate>false</LinksUpToDate>
  <CharactersWithSpaces>7069</CharactersWithSpaces>
  <SharedDoc>false</SharedDoc>
  <HLinks>
    <vt:vector size="78" baseType="variant">
      <vt:variant>
        <vt:i4>6881304</vt:i4>
      </vt:variant>
      <vt:variant>
        <vt:i4>39</vt:i4>
      </vt:variant>
      <vt:variant>
        <vt:i4>0</vt:i4>
      </vt:variant>
      <vt:variant>
        <vt:i4>5</vt:i4>
      </vt:variant>
      <vt:variant>
        <vt:lpwstr>https://agedcare.health.gov.au/sites/default/files/documents/10_2019/chsp-manual-effective-as-of-1-july-2019.pdf</vt:lpwstr>
      </vt:variant>
      <vt:variant>
        <vt:lpwstr/>
      </vt:variant>
      <vt:variant>
        <vt:i4>6553639</vt:i4>
      </vt:variant>
      <vt:variant>
        <vt:i4>36</vt:i4>
      </vt:variant>
      <vt:variant>
        <vt:i4>0</vt:i4>
      </vt:variant>
      <vt:variant>
        <vt:i4>5</vt:i4>
      </vt:variant>
      <vt:variant>
        <vt:lpwstr>https://agedcare.royalcommission.gov.au/publications/Documents/consultation-paper-1.pdf</vt:lpwstr>
      </vt:variant>
      <vt:variant>
        <vt:lpwstr/>
      </vt:variant>
      <vt:variant>
        <vt:i4>6488115</vt:i4>
      </vt:variant>
      <vt:variant>
        <vt:i4>33</vt:i4>
      </vt:variant>
      <vt:variant>
        <vt:i4>0</vt:i4>
      </vt:variant>
      <vt:variant>
        <vt:i4>5</vt:i4>
      </vt:variant>
      <vt:variant>
        <vt:lpwstr>https://www.myagedcare.gov.au/help-at-home/commonwealth-home-support-programme</vt:lpwstr>
      </vt:variant>
      <vt:variant>
        <vt:lpwstr/>
      </vt:variant>
      <vt:variant>
        <vt:i4>458827</vt:i4>
      </vt:variant>
      <vt:variant>
        <vt:i4>30</vt:i4>
      </vt:variant>
      <vt:variant>
        <vt:i4>0</vt:i4>
      </vt:variant>
      <vt:variant>
        <vt:i4>5</vt:i4>
      </vt:variant>
      <vt:variant>
        <vt:lpwstr>https://www.gen-agedcaredata.gov.au/Resources/Access-data/2019/September/Aged-care-data-snapshot%E2%80%942019</vt:lpwstr>
      </vt:variant>
      <vt:variant>
        <vt:lpwstr/>
      </vt:variant>
      <vt:variant>
        <vt:i4>7471212</vt:i4>
      </vt:variant>
      <vt:variant>
        <vt:i4>27</vt:i4>
      </vt:variant>
      <vt:variant>
        <vt:i4>0</vt:i4>
      </vt:variant>
      <vt:variant>
        <vt:i4>5</vt:i4>
      </vt:variant>
      <vt:variant>
        <vt:lpwstr>https://agedcare.health.gov.au/acfas-report-on-respite-for-aged-care-recipients</vt:lpwstr>
      </vt:variant>
      <vt:variant>
        <vt:lpwstr/>
      </vt:variant>
      <vt:variant>
        <vt:i4>7471212</vt:i4>
      </vt:variant>
      <vt:variant>
        <vt:i4>24</vt:i4>
      </vt:variant>
      <vt:variant>
        <vt:i4>0</vt:i4>
      </vt:variant>
      <vt:variant>
        <vt:i4>5</vt:i4>
      </vt:variant>
      <vt:variant>
        <vt:lpwstr>https://agedcare.health.gov.au/acfas-report-on-respite-for-aged-care-recipients</vt:lpwstr>
      </vt:variant>
      <vt:variant>
        <vt:lpwstr/>
      </vt:variant>
      <vt:variant>
        <vt:i4>7471212</vt:i4>
      </vt:variant>
      <vt:variant>
        <vt:i4>18</vt:i4>
      </vt:variant>
      <vt:variant>
        <vt:i4>0</vt:i4>
      </vt:variant>
      <vt:variant>
        <vt:i4>5</vt:i4>
      </vt:variant>
      <vt:variant>
        <vt:lpwstr>https://agedcare.health.gov.au/acfas-report-on-respite-for-aged-care-recipients</vt:lpwstr>
      </vt:variant>
      <vt:variant>
        <vt:lpwstr/>
      </vt:variant>
      <vt:variant>
        <vt:i4>7471212</vt:i4>
      </vt:variant>
      <vt:variant>
        <vt:i4>15</vt:i4>
      </vt:variant>
      <vt:variant>
        <vt:i4>0</vt:i4>
      </vt:variant>
      <vt:variant>
        <vt:i4>5</vt:i4>
      </vt:variant>
      <vt:variant>
        <vt:lpwstr>https://agedcare.health.gov.au/acfas-report-on-respite-for-aged-care-recipients</vt:lpwstr>
      </vt:variant>
      <vt:variant>
        <vt:lpwstr/>
      </vt:variant>
      <vt:variant>
        <vt:i4>7602214</vt:i4>
      </vt:variant>
      <vt:variant>
        <vt:i4>12</vt:i4>
      </vt:variant>
      <vt:variant>
        <vt:i4>0</vt:i4>
      </vt:variant>
      <vt:variant>
        <vt:i4>5</vt:i4>
      </vt:variant>
      <vt:variant>
        <vt:lpwstr>http://palliativecare.org.au/wp-content/uploads/dlm_uploads/2017/07/PCA019_Economic-Research-Sheet_4a_RACFs.pdf</vt:lpwstr>
      </vt:variant>
      <vt:variant>
        <vt:lpwstr/>
      </vt:variant>
      <vt:variant>
        <vt:i4>2293864</vt:i4>
      </vt:variant>
      <vt:variant>
        <vt:i4>9</vt:i4>
      </vt:variant>
      <vt:variant>
        <vt:i4>0</vt:i4>
      </vt:variant>
      <vt:variant>
        <vt:i4>5</vt:i4>
      </vt:variant>
      <vt:variant>
        <vt:lpwstr>https://www.aihw.gov.au/reports/palliative-care-services/palliative-care-services-in-australia/contents/summary</vt:lpwstr>
      </vt:variant>
      <vt:variant>
        <vt:lpwstr/>
      </vt:variant>
      <vt:variant>
        <vt:i4>7602214</vt:i4>
      </vt:variant>
      <vt:variant>
        <vt:i4>6</vt:i4>
      </vt:variant>
      <vt:variant>
        <vt:i4>0</vt:i4>
      </vt:variant>
      <vt:variant>
        <vt:i4>5</vt:i4>
      </vt:variant>
      <vt:variant>
        <vt:lpwstr>http://palliativecare.org.au/wp-content/uploads/dlm_uploads/2017/07/PCA019_Economic-Research-Sheet_4a_RACFs.pdf</vt:lpwstr>
      </vt:variant>
      <vt:variant>
        <vt:lpwstr/>
      </vt:variant>
      <vt:variant>
        <vt:i4>2293864</vt:i4>
      </vt:variant>
      <vt:variant>
        <vt:i4>3</vt:i4>
      </vt:variant>
      <vt:variant>
        <vt:i4>0</vt:i4>
      </vt:variant>
      <vt:variant>
        <vt:i4>5</vt:i4>
      </vt:variant>
      <vt:variant>
        <vt:lpwstr>https://www.aihw.gov.au/reports/palliative-care-services/palliative-care-services-in-australia/contents/summary</vt:lpwstr>
      </vt:variant>
      <vt:variant>
        <vt:lpwstr/>
      </vt:variant>
      <vt:variant>
        <vt:i4>262174</vt:i4>
      </vt:variant>
      <vt:variant>
        <vt:i4>0</vt:i4>
      </vt:variant>
      <vt:variant>
        <vt:i4>0</vt:i4>
      </vt:variant>
      <vt:variant>
        <vt:i4>5</vt:i4>
      </vt:variant>
      <vt:variant>
        <vt:lpwstr>https://www.aihw.gov.au/reports/older-people/older-australia-at-a-glance/contents/health-functioning/causes-of-death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Pre-Budget Submission Cottage Respite Proposal</dc:title>
  <dc:subject/>
  <dc:creator>Cate Giovanelli</dc:creator>
  <cp:keywords/>
  <cp:lastModifiedBy>Eliza Hui</cp:lastModifiedBy>
  <cp:revision>31</cp:revision>
  <cp:lastPrinted>2019-12-19T03:58:00Z</cp:lastPrinted>
  <dcterms:created xsi:type="dcterms:W3CDTF">2019-12-18T22:50:00Z</dcterms:created>
  <dcterms:modified xsi:type="dcterms:W3CDTF">2020-01-27T22:54:00Z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97780157-0586-4284-9983-806153581435</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{97780157-0586-4284-9983-806153581435}</vt:lpwstr>
  </property>
  <property fmtid="{D5CDD505-2E9C-101B-9397-08002B2CF9AE}" pid="9" name="RecordPoint_ActiveItemWebId">
    <vt:lpwstr>{2af1fd9f-9360-4de3-abf2-ccd65f89a90c}</vt:lpwstr>
  </property>
  <property fmtid="{D5CDD505-2E9C-101B-9397-08002B2CF9AE}" pid="10" name="RecordPoint_RecordNumberSubmitted">
    <vt:lpwstr>R0002213706</vt:lpwstr>
  </property>
  <property fmtid="{D5CDD505-2E9C-101B-9397-08002B2CF9AE}" pid="11" name="RecordPoint_SubmissionCompleted">
    <vt:lpwstr>2020-02-04T18:05:26.6826748+11:00</vt:lpwstr>
  </property>
</Properties>
</file>