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harts/style1.xml" ContentType="application/vnd.ms-office.chartstyle+xml"/>
  <Override PartName="/word/charts/chart1.xml" ContentType="application/vnd.openxmlformats-officedocument.drawingml.chart+xml"/>
  <Override PartName="/word/charts/colors1.xml" ContentType="application/vnd.ms-office.chartcolorstyl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8FB54" w14:textId="77777777" w:rsidR="00C73983" w:rsidRPr="008A4A1D" w:rsidRDefault="00195072" w:rsidP="002B106A">
      <w:r w:rsidRPr="008A4A1D">
        <w:rPr>
          <w:noProof/>
          <w:lang w:eastAsia="en-AU"/>
        </w:rPr>
        <mc:AlternateContent>
          <mc:Choice Requires="wps">
            <w:drawing>
              <wp:anchor distT="0" distB="0" distL="114300" distR="114300" simplePos="0" relativeHeight="251676672" behindDoc="0" locked="0" layoutInCell="1" allowOverlap="1" wp14:anchorId="71D899FA" wp14:editId="1D97F4DF">
                <wp:simplePos x="0" y="0"/>
                <wp:positionH relativeFrom="margin">
                  <wp:posOffset>-844550</wp:posOffset>
                </wp:positionH>
                <wp:positionV relativeFrom="paragraph">
                  <wp:posOffset>1610614</wp:posOffset>
                </wp:positionV>
                <wp:extent cx="5964555" cy="1249680"/>
                <wp:effectExtent l="0" t="0" r="0" b="7620"/>
                <wp:wrapNone/>
                <wp:docPr id="4" name="Text Box 4"/>
                <wp:cNvGraphicFramePr/>
                <a:graphic xmlns:a="http://schemas.openxmlformats.org/drawingml/2006/main">
                  <a:graphicData uri="http://schemas.microsoft.com/office/word/2010/wordprocessingShape">
                    <wps:wsp>
                      <wps:cNvSpPr txBox="1"/>
                      <wps:spPr>
                        <a:xfrm>
                          <a:off x="0" y="0"/>
                          <a:ext cx="5964555" cy="1249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7A1D05" w14:textId="74E1C06A" w:rsidR="00293BFA" w:rsidRPr="00EE4A96" w:rsidRDefault="00293BFA" w:rsidP="00195072">
                            <w:pPr>
                              <w:pStyle w:val="Title"/>
                              <w:rPr>
                                <w:sz w:val="72"/>
                                <w:szCs w:val="72"/>
                              </w:rPr>
                            </w:pPr>
                            <w:r w:rsidRPr="00EE4A96">
                              <w:rPr>
                                <w:rFonts w:cstheme="minorHAnsi"/>
                                <w:sz w:val="72"/>
                                <w:szCs w:val="72"/>
                              </w:rPr>
                              <w:t>Federal Budget Submission 2019</w:t>
                            </w:r>
                            <w:r>
                              <w:rPr>
                                <w:rFonts w:cstheme="minorHAnsi"/>
                                <w:sz w:val="72"/>
                                <w:szCs w:val="72"/>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D899FA" id="_x0000_t202" coordsize="21600,21600" o:spt="202" path="m,l,21600r21600,l21600,xe">
                <v:stroke joinstyle="miter"/>
                <v:path gradientshapeok="t" o:connecttype="rect"/>
              </v:shapetype>
              <v:shape id="Text Box 4" o:spid="_x0000_s1026" type="#_x0000_t202" style="position:absolute;margin-left:-66.5pt;margin-top:126.8pt;width:469.65pt;height:98.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" filled="f" stroked="f" strokeweight=".5pt">
                <v:textbox>
                  <w:txbxContent>
                    <w:p w14:paraId="557A1D05" w14:textId="74E1C06A" w:rsidR="00293BFA" w:rsidRPr="00EE4A96" w:rsidRDefault="00293BFA" w:rsidP="00195072">
                      <w:pPr>
                        <w:pStyle w:val="Title"/>
                        <w:rPr>
                          <w:sz w:val="72"/>
                          <w:szCs w:val="72"/>
                        </w:rPr>
                      </w:pPr>
                      <w:r w:rsidRPr="00EE4A96">
                        <w:rPr>
                          <w:rFonts w:cstheme="minorHAnsi"/>
                          <w:sz w:val="72"/>
                          <w:szCs w:val="72"/>
                        </w:rPr>
                        <w:t>Federal Budget Submission 2019</w:t>
                      </w:r>
                      <w:r>
                        <w:rPr>
                          <w:rFonts w:cstheme="minorHAnsi"/>
                          <w:sz w:val="72"/>
                          <w:szCs w:val="72"/>
                        </w:rPr>
                        <w:t>-20</w:t>
                      </w:r>
                    </w:p>
                  </w:txbxContent>
                </v:textbox>
                <w10:wrap anchorx="margin"/>
              </v:shape>
            </w:pict>
          </mc:Fallback>
        </mc:AlternateContent>
      </w:r>
      <w:r w:rsidR="008921CA" w:rsidRPr="008A4A1D">
        <w:rPr>
          <w:noProof/>
          <w:lang w:eastAsia="en-AU"/>
        </w:rPr>
        <mc:AlternateContent>
          <mc:Choice Requires="wps">
            <w:drawing>
              <wp:anchor distT="0" distB="0" distL="114300" distR="114300" simplePos="0" relativeHeight="251672576" behindDoc="0" locked="0" layoutInCell="1" allowOverlap="1" wp14:anchorId="6999DBF6" wp14:editId="4E985B1C">
                <wp:simplePos x="0" y="0"/>
                <wp:positionH relativeFrom="column">
                  <wp:posOffset>-1080135</wp:posOffset>
                </wp:positionH>
                <wp:positionV relativeFrom="paragraph">
                  <wp:posOffset>3006900</wp:posOffset>
                </wp:positionV>
                <wp:extent cx="7560310" cy="5783855"/>
                <wp:effectExtent l="0" t="0" r="2540" b="7620"/>
                <wp:wrapNone/>
                <wp:docPr id="10" name="Rectangle 10"/>
                <wp:cNvGraphicFramePr/>
                <a:graphic xmlns:a="http://schemas.openxmlformats.org/drawingml/2006/main">
                  <a:graphicData uri="http://schemas.microsoft.com/office/word/2010/wordprocessingShape">
                    <wps:wsp>
                      <wps:cNvSpPr/>
                      <wps:spPr>
                        <a:xfrm>
                          <a:off x="0" y="0"/>
                          <a:ext cx="7560310" cy="5783855"/>
                        </a:xfrm>
                        <a:prstGeom prst="rect">
                          <a:avLst/>
                        </a:prstGeom>
                        <a:solidFill>
                          <a:srgbClr val="23378B">
                            <a:alpha val="7490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F80B0" id="Rectangle 10" o:spid="_x0000_s1026" style="position:absolute;margin-left:-85.05pt;margin-top:236.75pt;width:595.3pt;height:45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" fillcolor="#23378b" stroked="f" strokeweight="2pt">
                <v:fill opacity="49087f"/>
              </v:rect>
            </w:pict>
          </mc:Fallback>
        </mc:AlternateContent>
      </w:r>
      <w:r w:rsidR="008921CA" w:rsidRPr="008A4A1D">
        <w:rPr>
          <w:noProof/>
          <w:lang w:eastAsia="en-AU"/>
        </w:rPr>
        <mc:AlternateContent>
          <mc:Choice Requires="wps">
            <w:drawing>
              <wp:anchor distT="0" distB="0" distL="114300" distR="114300" simplePos="0" relativeHeight="251675648" behindDoc="0" locked="0" layoutInCell="1" allowOverlap="1" wp14:anchorId="45EC2CD8" wp14:editId="108134FC">
                <wp:simplePos x="0" y="0"/>
                <wp:positionH relativeFrom="column">
                  <wp:posOffset>-775335</wp:posOffset>
                </wp:positionH>
                <wp:positionV relativeFrom="paragraph">
                  <wp:posOffset>3186974</wp:posOffset>
                </wp:positionV>
                <wp:extent cx="6923314" cy="4909185"/>
                <wp:effectExtent l="0" t="0" r="0" b="5715"/>
                <wp:wrapNone/>
                <wp:docPr id="5" name="Text Box 5"/>
                <wp:cNvGraphicFramePr/>
                <a:graphic xmlns:a="http://schemas.openxmlformats.org/drawingml/2006/main">
                  <a:graphicData uri="http://schemas.microsoft.com/office/word/2010/wordprocessingShape">
                    <wps:wsp>
                      <wps:cNvSpPr txBox="1"/>
                      <wps:spPr>
                        <a:xfrm>
                          <a:off x="0" y="0"/>
                          <a:ext cx="6923314" cy="49091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0B04BB" w14:textId="72C3B113" w:rsidR="00293BFA" w:rsidRDefault="00293BFA" w:rsidP="00742D72">
                            <w:pPr>
                              <w:pStyle w:val="DocumentDetails"/>
                            </w:pPr>
                            <w:r>
                              <w:t>19 December 2019</w:t>
                            </w:r>
                          </w:p>
                          <w:p w14:paraId="73C152F2" w14:textId="77777777" w:rsidR="00293BFA" w:rsidRDefault="00293BFA" w:rsidP="00742D72">
                            <w:pPr>
                              <w:pStyle w:val="DocumentDetails"/>
                            </w:pPr>
                            <w:r>
                              <w:t xml:space="preserve"> </w:t>
                            </w:r>
                          </w:p>
                          <w:p w14:paraId="5A980606" w14:textId="77777777" w:rsidR="00293BFA" w:rsidRDefault="00293BFA" w:rsidP="00742D72">
                            <w:pPr>
                              <w:pStyle w:val="DocumentDetails"/>
                            </w:pPr>
                          </w:p>
                          <w:p w14:paraId="152BF49E" w14:textId="77777777" w:rsidR="00293BFA" w:rsidRDefault="00293BFA" w:rsidP="00742D72">
                            <w:pPr>
                              <w:pStyle w:val="DocumentDetails"/>
                            </w:pPr>
                          </w:p>
                          <w:p w14:paraId="5253FC1B" w14:textId="77777777" w:rsidR="00293BFA" w:rsidRDefault="00293BFA" w:rsidP="00742D72">
                            <w:pPr>
                              <w:pStyle w:val="DocumentDetails"/>
                            </w:pPr>
                          </w:p>
                          <w:p w14:paraId="185FAC41" w14:textId="77777777" w:rsidR="00293BFA" w:rsidRDefault="00293BFA" w:rsidP="00742D72">
                            <w:pPr>
                              <w:pStyle w:val="DocumentDetails"/>
                            </w:pPr>
                          </w:p>
                          <w:p w14:paraId="295FFB67" w14:textId="77777777" w:rsidR="00293BFA" w:rsidRDefault="00293BFA" w:rsidP="00742D72">
                            <w:pPr>
                              <w:pStyle w:val="DocumentDetails"/>
                            </w:pPr>
                          </w:p>
                          <w:p w14:paraId="623C6453" w14:textId="77777777" w:rsidR="00293BFA" w:rsidRPr="008921CA" w:rsidRDefault="00293BFA" w:rsidP="008921CA">
                            <w:pPr>
                              <w:jc w:val="right"/>
                              <w:rPr>
                                <w:b/>
                                <w:color w:val="FFFFFF" w:themeColor="background1"/>
                                <w:szCs w:val="20"/>
                              </w:rPr>
                            </w:pPr>
                            <w:r w:rsidRPr="008921CA">
                              <w:rPr>
                                <w:b/>
                                <w:bCs/>
                                <w:color w:val="FFFFFF" w:themeColor="background1"/>
                                <w:szCs w:val="20"/>
                              </w:rPr>
                              <w:t>Australian Private Hospitals Association</w:t>
                            </w:r>
                            <w:r w:rsidRPr="008921CA">
                              <w:rPr>
                                <w:b/>
                                <w:color w:val="FFFFFF" w:themeColor="background1"/>
                                <w:szCs w:val="20"/>
                              </w:rPr>
                              <w:t xml:space="preserve"> ABN 82 008 623 809</w:t>
                            </w:r>
                          </w:p>
                          <w:p w14:paraId="41E1B00D" w14:textId="77777777" w:rsidR="00293BFA" w:rsidRPr="00742D72" w:rsidRDefault="00293BFA" w:rsidP="00742D72">
                            <w:pPr>
                              <w:pStyle w:val="DocumentDetails"/>
                            </w:pPr>
                          </w:p>
                          <w:p w14:paraId="0A2BABC8" w14:textId="77777777" w:rsidR="00293BFA" w:rsidRDefault="00293B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C2CD8" id="Text Box 5" o:spid="_x0000_s1027" type="#_x0000_t202" style="position:absolute;margin-left:-61.05pt;margin-top:250.95pt;width:545.15pt;height:386.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" filled="f" stroked="f" strokeweight=".5pt">
                <v:textbox>
                  <w:txbxContent>
                    <w:p w14:paraId="5A0B04BB" w14:textId="72C3B113" w:rsidR="00293BFA" w:rsidRDefault="00293BFA" w:rsidP="00742D72">
                      <w:pPr>
                        <w:pStyle w:val="DocumentDetails"/>
                      </w:pPr>
                      <w:r>
                        <w:t>19 December 2019</w:t>
                      </w:r>
                    </w:p>
                    <w:p w14:paraId="73C152F2" w14:textId="77777777" w:rsidR="00293BFA" w:rsidRDefault="00293BFA" w:rsidP="00742D72">
                      <w:pPr>
                        <w:pStyle w:val="DocumentDetails"/>
                      </w:pPr>
                      <w:r>
                        <w:t xml:space="preserve"> </w:t>
                      </w:r>
                    </w:p>
                    <w:p w14:paraId="5A980606" w14:textId="77777777" w:rsidR="00293BFA" w:rsidRDefault="00293BFA" w:rsidP="00742D72">
                      <w:pPr>
                        <w:pStyle w:val="DocumentDetails"/>
                      </w:pPr>
                    </w:p>
                    <w:p w14:paraId="152BF49E" w14:textId="77777777" w:rsidR="00293BFA" w:rsidRDefault="00293BFA" w:rsidP="00742D72">
                      <w:pPr>
                        <w:pStyle w:val="DocumentDetails"/>
                      </w:pPr>
                    </w:p>
                    <w:p w14:paraId="5253FC1B" w14:textId="77777777" w:rsidR="00293BFA" w:rsidRDefault="00293BFA" w:rsidP="00742D72">
                      <w:pPr>
                        <w:pStyle w:val="DocumentDetails"/>
                      </w:pPr>
                    </w:p>
                    <w:p w14:paraId="185FAC41" w14:textId="77777777" w:rsidR="00293BFA" w:rsidRDefault="00293BFA" w:rsidP="00742D72">
                      <w:pPr>
                        <w:pStyle w:val="DocumentDetails"/>
                      </w:pPr>
                    </w:p>
                    <w:p w14:paraId="295FFB67" w14:textId="77777777" w:rsidR="00293BFA" w:rsidRDefault="00293BFA" w:rsidP="00742D72">
                      <w:pPr>
                        <w:pStyle w:val="DocumentDetails"/>
                      </w:pPr>
                    </w:p>
                    <w:p w14:paraId="623C6453" w14:textId="77777777" w:rsidR="00293BFA" w:rsidRPr="008921CA" w:rsidRDefault="00293BFA" w:rsidP="008921CA">
                      <w:pPr>
                        <w:jc w:val="right"/>
                        <w:rPr>
                          <w:b/>
                          <w:color w:val="FFFFFF" w:themeColor="background1"/>
                          <w:szCs w:val="20"/>
                        </w:rPr>
                      </w:pPr>
                      <w:r w:rsidRPr="008921CA">
                        <w:rPr>
                          <w:b/>
                          <w:bCs/>
                          <w:color w:val="FFFFFF" w:themeColor="background1"/>
                          <w:szCs w:val="20"/>
                        </w:rPr>
                        <w:t>Australian Private Hospitals Association</w:t>
                      </w:r>
                      <w:r w:rsidRPr="008921CA">
                        <w:rPr>
                          <w:b/>
                          <w:color w:val="FFFFFF" w:themeColor="background1"/>
                          <w:szCs w:val="20"/>
                        </w:rPr>
                        <w:t xml:space="preserve"> ABN 82 008 623 809</w:t>
                      </w:r>
                    </w:p>
                    <w:p w14:paraId="41E1B00D" w14:textId="77777777" w:rsidR="00293BFA" w:rsidRPr="00742D72" w:rsidRDefault="00293BFA" w:rsidP="00742D72">
                      <w:pPr>
                        <w:pStyle w:val="DocumentDetails"/>
                      </w:pPr>
                    </w:p>
                    <w:p w14:paraId="0A2BABC8" w14:textId="77777777" w:rsidR="00293BFA" w:rsidRDefault="00293BFA"/>
                  </w:txbxContent>
                </v:textbox>
              </v:shape>
            </w:pict>
          </mc:Fallback>
        </mc:AlternateContent>
      </w:r>
      <w:r w:rsidR="00D460CD" w:rsidRPr="008A4A1D">
        <w:rPr>
          <w:noProof/>
          <w:lang w:eastAsia="en-AU"/>
        </w:rPr>
        <mc:AlternateContent>
          <mc:Choice Requires="wps">
            <w:drawing>
              <wp:anchor distT="0" distB="0" distL="114300" distR="114300" simplePos="0" relativeHeight="251674624" behindDoc="0" locked="0" layoutInCell="1" allowOverlap="1" wp14:anchorId="47DA6B35" wp14:editId="214FAAEB">
                <wp:simplePos x="0" y="0"/>
                <wp:positionH relativeFrom="column">
                  <wp:posOffset>-1080135</wp:posOffset>
                </wp:positionH>
                <wp:positionV relativeFrom="paragraph">
                  <wp:posOffset>1401445</wp:posOffset>
                </wp:positionV>
                <wp:extent cx="6236970" cy="1595120"/>
                <wp:effectExtent l="0" t="0" r="0" b="5080"/>
                <wp:wrapNone/>
                <wp:docPr id="15" name="Rectangle 15"/>
                <wp:cNvGraphicFramePr/>
                <a:graphic xmlns:a="http://schemas.openxmlformats.org/drawingml/2006/main">
                  <a:graphicData uri="http://schemas.microsoft.com/office/word/2010/wordprocessingShape">
                    <wps:wsp>
                      <wps:cNvSpPr/>
                      <wps:spPr>
                        <a:xfrm>
                          <a:off x="0" y="0"/>
                          <a:ext cx="6236970" cy="1595120"/>
                        </a:xfrm>
                        <a:prstGeom prst="rect">
                          <a:avLst/>
                        </a:prstGeom>
                        <a:solidFill>
                          <a:srgbClr val="F39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95979" id="Rectangle 15" o:spid="_x0000_s1026" style="position:absolute;margin-left:-85.05pt;margin-top:110.35pt;width:491.1pt;height:125.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" fillcolor="#f39000" stroked="f" strokeweight="2pt"/>
            </w:pict>
          </mc:Fallback>
        </mc:AlternateContent>
      </w:r>
      <w:r w:rsidR="00C73983" w:rsidRPr="008A4A1D">
        <w:br w:type="page"/>
      </w:r>
    </w:p>
    <w:p w14:paraId="170E8B94" w14:textId="77777777" w:rsidR="00C73983" w:rsidRPr="008A4A1D" w:rsidRDefault="00C73983" w:rsidP="002B106A">
      <w:pPr>
        <w:pStyle w:val="Pageno"/>
        <w:rPr>
          <w:rFonts w:asciiTheme="minorHAnsi" w:hAnsiTheme="minorHAnsi"/>
        </w:rPr>
        <w:sectPr w:rsidR="00C73983" w:rsidRPr="008A4A1D" w:rsidSect="00C95945">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1701" w:header="709" w:footer="2387" w:gutter="0"/>
          <w:cols w:space="708"/>
          <w:docGrid w:linePitch="360"/>
        </w:sectPr>
      </w:pPr>
    </w:p>
    <w:p w14:paraId="5A3D73DC" w14:textId="77777777" w:rsidR="00BD6F09" w:rsidRDefault="00BD6F09" w:rsidP="00BD6F09">
      <w:bookmarkStart w:id="0" w:name="_Toc489978680"/>
      <w:bookmarkStart w:id="1" w:name="_Toc18420561"/>
      <w:bookmarkStart w:id="2" w:name="_Toc488855279"/>
      <w:r w:rsidRPr="00BD6F09">
        <w:rPr>
          <w:rFonts w:cs="Calibri"/>
          <w:bCs/>
          <w:color w:val="204499"/>
          <w:kern w:val="32"/>
          <w:sz w:val="52"/>
        </w:rPr>
        <w:lastRenderedPageBreak/>
        <w:t>Contents</w:t>
      </w:r>
      <w:r>
        <w:rPr>
          <w:rFonts w:cs="Calibri"/>
          <w:bCs/>
          <w:color w:val="204499"/>
          <w:kern w:val="32"/>
          <w:sz w:val="52"/>
        </w:rPr>
        <w:br/>
      </w:r>
    </w:p>
    <w:p w14:paraId="7E10F0D7" w14:textId="14B08BB2" w:rsidR="0054587D" w:rsidRDefault="0054587D">
      <w:pPr>
        <w:pStyle w:val="TOC1"/>
        <w:tabs>
          <w:tab w:val="right" w:leader="dot" w:pos="9322"/>
        </w:tabs>
        <w:rPr>
          <w:rFonts w:eastAsiaTheme="minorEastAsia" w:cstheme="minorBidi"/>
          <w:noProof/>
          <w:sz w:val="22"/>
          <w:szCs w:val="22"/>
          <w:lang w:eastAsia="en-AU"/>
        </w:rPr>
      </w:pPr>
      <w:r>
        <w:rPr>
          <w:b/>
          <w:bCs/>
        </w:rPr>
        <w:fldChar w:fldCharType="begin"/>
      </w:r>
      <w:r>
        <w:rPr>
          <w:b/>
          <w:bCs/>
        </w:rPr>
        <w:instrText xml:space="preserve"> TOC \o "1-2" \h \z \u </w:instrText>
      </w:r>
      <w:r>
        <w:rPr>
          <w:b/>
          <w:bCs/>
        </w:rPr>
        <w:fldChar w:fldCharType="separate"/>
      </w:r>
      <w:hyperlink w:anchor="_Toc27664126" w:history="1">
        <w:r w:rsidRPr="00CF0A44">
          <w:rPr>
            <w:rStyle w:val="Hyperlink"/>
            <w:noProof/>
          </w:rPr>
          <w:t>PRIVATE HEALTH – WHAT NEEDS TO BE DONE</w:t>
        </w:r>
        <w:r>
          <w:rPr>
            <w:noProof/>
            <w:webHidden/>
          </w:rPr>
          <w:tab/>
        </w:r>
        <w:r>
          <w:rPr>
            <w:noProof/>
            <w:webHidden/>
          </w:rPr>
          <w:fldChar w:fldCharType="begin"/>
        </w:r>
        <w:r>
          <w:rPr>
            <w:noProof/>
            <w:webHidden/>
          </w:rPr>
          <w:instrText xml:space="preserve"> PAGEREF _Toc27664126 \h </w:instrText>
        </w:r>
        <w:r>
          <w:rPr>
            <w:noProof/>
            <w:webHidden/>
          </w:rPr>
        </w:r>
        <w:r>
          <w:rPr>
            <w:noProof/>
            <w:webHidden/>
          </w:rPr>
          <w:fldChar w:fldCharType="separate"/>
        </w:r>
        <w:r w:rsidR="00E1783A">
          <w:rPr>
            <w:noProof/>
            <w:webHidden/>
          </w:rPr>
          <w:t>2</w:t>
        </w:r>
        <w:r>
          <w:rPr>
            <w:noProof/>
            <w:webHidden/>
          </w:rPr>
          <w:fldChar w:fldCharType="end"/>
        </w:r>
      </w:hyperlink>
    </w:p>
    <w:p w14:paraId="6AF465C2" w14:textId="7C82E460" w:rsidR="0054587D" w:rsidRDefault="0054587D">
      <w:pPr>
        <w:pStyle w:val="TOC2"/>
        <w:tabs>
          <w:tab w:val="right" w:leader="dot" w:pos="9322"/>
        </w:tabs>
        <w:rPr>
          <w:rFonts w:eastAsiaTheme="minorEastAsia" w:cstheme="minorBidi"/>
          <w:noProof/>
          <w:sz w:val="22"/>
          <w:szCs w:val="22"/>
          <w:lang w:eastAsia="en-AU"/>
        </w:rPr>
      </w:pPr>
      <w:hyperlink w:anchor="_Toc27664127" w:history="1">
        <w:r w:rsidRPr="00CF0A44">
          <w:rPr>
            <w:rStyle w:val="Hyperlink"/>
            <w:noProof/>
          </w:rPr>
          <w:t>Private health remains integral to the Australian health sector</w:t>
        </w:r>
        <w:r>
          <w:rPr>
            <w:noProof/>
            <w:webHidden/>
          </w:rPr>
          <w:tab/>
        </w:r>
        <w:r>
          <w:rPr>
            <w:noProof/>
            <w:webHidden/>
          </w:rPr>
          <w:fldChar w:fldCharType="begin"/>
        </w:r>
        <w:r>
          <w:rPr>
            <w:noProof/>
            <w:webHidden/>
          </w:rPr>
          <w:instrText xml:space="preserve"> PAGEREF _Toc27664127 \h </w:instrText>
        </w:r>
        <w:r>
          <w:rPr>
            <w:noProof/>
            <w:webHidden/>
          </w:rPr>
        </w:r>
        <w:r>
          <w:rPr>
            <w:noProof/>
            <w:webHidden/>
          </w:rPr>
          <w:fldChar w:fldCharType="separate"/>
        </w:r>
        <w:r w:rsidR="00E1783A">
          <w:rPr>
            <w:noProof/>
            <w:webHidden/>
          </w:rPr>
          <w:t>2</w:t>
        </w:r>
        <w:r>
          <w:rPr>
            <w:noProof/>
            <w:webHidden/>
          </w:rPr>
          <w:fldChar w:fldCharType="end"/>
        </w:r>
      </w:hyperlink>
    </w:p>
    <w:p w14:paraId="3CF0B4D8" w14:textId="06C7E0D7" w:rsidR="0054587D" w:rsidRDefault="0054587D">
      <w:pPr>
        <w:pStyle w:val="TOC2"/>
        <w:tabs>
          <w:tab w:val="right" w:leader="dot" w:pos="9322"/>
        </w:tabs>
        <w:rPr>
          <w:rFonts w:eastAsiaTheme="minorEastAsia" w:cstheme="minorBidi"/>
          <w:noProof/>
          <w:sz w:val="22"/>
          <w:szCs w:val="22"/>
          <w:lang w:eastAsia="en-AU"/>
        </w:rPr>
      </w:pPr>
      <w:hyperlink w:anchor="_Toc27664128" w:history="1">
        <w:r w:rsidRPr="00CF0A44">
          <w:rPr>
            <w:rStyle w:val="Hyperlink"/>
            <w:noProof/>
          </w:rPr>
          <w:t>Affordability of private health needs to be improved</w:t>
        </w:r>
        <w:r>
          <w:rPr>
            <w:noProof/>
            <w:webHidden/>
          </w:rPr>
          <w:tab/>
        </w:r>
        <w:r>
          <w:rPr>
            <w:noProof/>
            <w:webHidden/>
          </w:rPr>
          <w:fldChar w:fldCharType="begin"/>
        </w:r>
        <w:r>
          <w:rPr>
            <w:noProof/>
            <w:webHidden/>
          </w:rPr>
          <w:instrText xml:space="preserve"> PAGEREF _Toc27664128 \h </w:instrText>
        </w:r>
        <w:r>
          <w:rPr>
            <w:noProof/>
            <w:webHidden/>
          </w:rPr>
        </w:r>
        <w:r>
          <w:rPr>
            <w:noProof/>
            <w:webHidden/>
          </w:rPr>
          <w:fldChar w:fldCharType="separate"/>
        </w:r>
        <w:r w:rsidR="00E1783A">
          <w:rPr>
            <w:noProof/>
            <w:webHidden/>
          </w:rPr>
          <w:t>3</w:t>
        </w:r>
        <w:r>
          <w:rPr>
            <w:noProof/>
            <w:webHidden/>
          </w:rPr>
          <w:fldChar w:fldCharType="end"/>
        </w:r>
      </w:hyperlink>
    </w:p>
    <w:p w14:paraId="79569590" w14:textId="28AE046A" w:rsidR="0054587D" w:rsidRDefault="0054587D">
      <w:pPr>
        <w:pStyle w:val="TOC2"/>
        <w:tabs>
          <w:tab w:val="right" w:leader="dot" w:pos="9322"/>
        </w:tabs>
        <w:rPr>
          <w:rFonts w:eastAsiaTheme="minorEastAsia" w:cstheme="minorBidi"/>
          <w:noProof/>
          <w:sz w:val="22"/>
          <w:szCs w:val="22"/>
          <w:lang w:eastAsia="en-AU"/>
        </w:rPr>
      </w:pPr>
      <w:hyperlink w:anchor="_Toc27664129" w:history="1">
        <w:r w:rsidRPr="00CF0A44">
          <w:rPr>
            <w:rStyle w:val="Hyperlink"/>
            <w:noProof/>
          </w:rPr>
          <w:t>Consumers and taxpayers need to be assured of value</w:t>
        </w:r>
        <w:r>
          <w:rPr>
            <w:noProof/>
            <w:webHidden/>
          </w:rPr>
          <w:tab/>
        </w:r>
        <w:r>
          <w:rPr>
            <w:noProof/>
            <w:webHidden/>
          </w:rPr>
          <w:fldChar w:fldCharType="begin"/>
        </w:r>
        <w:r>
          <w:rPr>
            <w:noProof/>
            <w:webHidden/>
          </w:rPr>
          <w:instrText xml:space="preserve"> PAGEREF _Toc27664129 \h </w:instrText>
        </w:r>
        <w:r>
          <w:rPr>
            <w:noProof/>
            <w:webHidden/>
          </w:rPr>
        </w:r>
        <w:r>
          <w:rPr>
            <w:noProof/>
            <w:webHidden/>
          </w:rPr>
          <w:fldChar w:fldCharType="separate"/>
        </w:r>
        <w:r w:rsidR="00E1783A">
          <w:rPr>
            <w:noProof/>
            <w:webHidden/>
          </w:rPr>
          <w:t>4</w:t>
        </w:r>
        <w:r>
          <w:rPr>
            <w:noProof/>
            <w:webHidden/>
          </w:rPr>
          <w:fldChar w:fldCharType="end"/>
        </w:r>
      </w:hyperlink>
    </w:p>
    <w:p w14:paraId="09B4A004" w14:textId="1C1C0E1F" w:rsidR="0054587D" w:rsidRDefault="0054587D">
      <w:pPr>
        <w:pStyle w:val="TOC2"/>
        <w:tabs>
          <w:tab w:val="right" w:leader="dot" w:pos="9322"/>
        </w:tabs>
        <w:rPr>
          <w:rFonts w:eastAsiaTheme="minorEastAsia" w:cstheme="minorBidi"/>
          <w:noProof/>
          <w:sz w:val="22"/>
          <w:szCs w:val="22"/>
          <w:lang w:eastAsia="en-AU"/>
        </w:rPr>
      </w:pPr>
      <w:hyperlink w:anchor="_Toc27664130" w:history="1">
        <w:r w:rsidRPr="00CF0A44">
          <w:rPr>
            <w:rStyle w:val="Hyperlink"/>
            <w:noProof/>
          </w:rPr>
          <w:t>The health sector needs a workforce equipped for the future</w:t>
        </w:r>
        <w:r>
          <w:rPr>
            <w:noProof/>
            <w:webHidden/>
          </w:rPr>
          <w:tab/>
        </w:r>
        <w:r>
          <w:rPr>
            <w:noProof/>
            <w:webHidden/>
          </w:rPr>
          <w:fldChar w:fldCharType="begin"/>
        </w:r>
        <w:r>
          <w:rPr>
            <w:noProof/>
            <w:webHidden/>
          </w:rPr>
          <w:instrText xml:space="preserve"> PAGEREF _Toc27664130 \h </w:instrText>
        </w:r>
        <w:r>
          <w:rPr>
            <w:noProof/>
            <w:webHidden/>
          </w:rPr>
        </w:r>
        <w:r>
          <w:rPr>
            <w:noProof/>
            <w:webHidden/>
          </w:rPr>
          <w:fldChar w:fldCharType="separate"/>
        </w:r>
        <w:r w:rsidR="00E1783A">
          <w:rPr>
            <w:noProof/>
            <w:webHidden/>
          </w:rPr>
          <w:t>5</w:t>
        </w:r>
        <w:r>
          <w:rPr>
            <w:noProof/>
            <w:webHidden/>
          </w:rPr>
          <w:fldChar w:fldCharType="end"/>
        </w:r>
      </w:hyperlink>
    </w:p>
    <w:p w14:paraId="716B5FBD" w14:textId="3FF122AA" w:rsidR="0054587D" w:rsidRDefault="0054587D">
      <w:pPr>
        <w:pStyle w:val="TOC2"/>
        <w:tabs>
          <w:tab w:val="right" w:leader="dot" w:pos="9322"/>
        </w:tabs>
        <w:rPr>
          <w:rFonts w:eastAsiaTheme="minorEastAsia" w:cstheme="minorBidi"/>
          <w:noProof/>
          <w:sz w:val="22"/>
          <w:szCs w:val="22"/>
          <w:lang w:eastAsia="en-AU"/>
        </w:rPr>
      </w:pPr>
      <w:hyperlink w:anchor="_Toc27664131" w:history="1">
        <w:r w:rsidRPr="00CF0A44">
          <w:rPr>
            <w:rStyle w:val="Hyperlink"/>
            <w:noProof/>
          </w:rPr>
          <w:t>Key budget measures outlined in this submission</w:t>
        </w:r>
        <w:r>
          <w:rPr>
            <w:noProof/>
            <w:webHidden/>
          </w:rPr>
          <w:tab/>
        </w:r>
        <w:r>
          <w:rPr>
            <w:noProof/>
            <w:webHidden/>
          </w:rPr>
          <w:fldChar w:fldCharType="begin"/>
        </w:r>
        <w:r>
          <w:rPr>
            <w:noProof/>
            <w:webHidden/>
          </w:rPr>
          <w:instrText xml:space="preserve"> PAGEREF _Toc27664131 \h </w:instrText>
        </w:r>
        <w:r>
          <w:rPr>
            <w:noProof/>
            <w:webHidden/>
          </w:rPr>
        </w:r>
        <w:r>
          <w:rPr>
            <w:noProof/>
            <w:webHidden/>
          </w:rPr>
          <w:fldChar w:fldCharType="separate"/>
        </w:r>
        <w:r w:rsidR="00E1783A">
          <w:rPr>
            <w:noProof/>
            <w:webHidden/>
          </w:rPr>
          <w:t>6</w:t>
        </w:r>
        <w:r>
          <w:rPr>
            <w:noProof/>
            <w:webHidden/>
          </w:rPr>
          <w:fldChar w:fldCharType="end"/>
        </w:r>
      </w:hyperlink>
    </w:p>
    <w:p w14:paraId="3F44CEE5" w14:textId="42B84245" w:rsidR="0054587D" w:rsidRDefault="0054587D">
      <w:pPr>
        <w:pStyle w:val="TOC1"/>
        <w:tabs>
          <w:tab w:val="right" w:leader="dot" w:pos="9322"/>
        </w:tabs>
        <w:rPr>
          <w:rFonts w:eastAsiaTheme="minorEastAsia" w:cstheme="minorBidi"/>
          <w:noProof/>
          <w:sz w:val="22"/>
          <w:szCs w:val="22"/>
          <w:lang w:eastAsia="en-AU"/>
        </w:rPr>
      </w:pPr>
      <w:hyperlink w:anchor="_Toc27664132" w:history="1">
        <w:r w:rsidRPr="00CF0A44">
          <w:rPr>
            <w:rStyle w:val="Hyperlink"/>
            <w:noProof/>
          </w:rPr>
          <w:t>IMPROVING ACCESS TO AFFORDABLE HEALTHCARE</w:t>
        </w:r>
        <w:r>
          <w:rPr>
            <w:noProof/>
            <w:webHidden/>
          </w:rPr>
          <w:tab/>
        </w:r>
        <w:r>
          <w:rPr>
            <w:noProof/>
            <w:webHidden/>
          </w:rPr>
          <w:fldChar w:fldCharType="begin"/>
        </w:r>
        <w:r>
          <w:rPr>
            <w:noProof/>
            <w:webHidden/>
          </w:rPr>
          <w:instrText xml:space="preserve"> PAGEREF _Toc27664132 \h </w:instrText>
        </w:r>
        <w:r>
          <w:rPr>
            <w:noProof/>
            <w:webHidden/>
          </w:rPr>
        </w:r>
        <w:r>
          <w:rPr>
            <w:noProof/>
            <w:webHidden/>
          </w:rPr>
          <w:fldChar w:fldCharType="separate"/>
        </w:r>
        <w:r w:rsidR="00E1783A">
          <w:rPr>
            <w:noProof/>
            <w:webHidden/>
          </w:rPr>
          <w:t>7</w:t>
        </w:r>
        <w:r>
          <w:rPr>
            <w:noProof/>
            <w:webHidden/>
          </w:rPr>
          <w:fldChar w:fldCharType="end"/>
        </w:r>
      </w:hyperlink>
    </w:p>
    <w:p w14:paraId="4DC1FD22" w14:textId="0B8F6A10" w:rsidR="0054587D" w:rsidRDefault="0054587D">
      <w:pPr>
        <w:pStyle w:val="TOC1"/>
        <w:tabs>
          <w:tab w:val="right" w:leader="dot" w:pos="9322"/>
        </w:tabs>
        <w:rPr>
          <w:rFonts w:eastAsiaTheme="minorEastAsia" w:cstheme="minorBidi"/>
          <w:noProof/>
          <w:sz w:val="22"/>
          <w:szCs w:val="22"/>
          <w:lang w:eastAsia="en-AU"/>
        </w:rPr>
      </w:pPr>
      <w:hyperlink w:anchor="_Toc27664133" w:history="1">
        <w:r w:rsidRPr="00CF0A44">
          <w:rPr>
            <w:rStyle w:val="Hyperlink"/>
            <w:noProof/>
          </w:rPr>
          <w:t>ENSURING THAT PRIVATE HEALTH DELIVERS VALUE</w:t>
        </w:r>
        <w:r>
          <w:rPr>
            <w:noProof/>
            <w:webHidden/>
          </w:rPr>
          <w:tab/>
        </w:r>
        <w:r>
          <w:rPr>
            <w:noProof/>
            <w:webHidden/>
          </w:rPr>
          <w:fldChar w:fldCharType="begin"/>
        </w:r>
        <w:r>
          <w:rPr>
            <w:noProof/>
            <w:webHidden/>
          </w:rPr>
          <w:instrText xml:space="preserve"> PAGEREF _Toc27664133 \h </w:instrText>
        </w:r>
        <w:r>
          <w:rPr>
            <w:noProof/>
            <w:webHidden/>
          </w:rPr>
        </w:r>
        <w:r>
          <w:rPr>
            <w:noProof/>
            <w:webHidden/>
          </w:rPr>
          <w:fldChar w:fldCharType="separate"/>
        </w:r>
        <w:r w:rsidR="00E1783A">
          <w:rPr>
            <w:noProof/>
            <w:webHidden/>
          </w:rPr>
          <w:t>10</w:t>
        </w:r>
        <w:r>
          <w:rPr>
            <w:noProof/>
            <w:webHidden/>
          </w:rPr>
          <w:fldChar w:fldCharType="end"/>
        </w:r>
      </w:hyperlink>
    </w:p>
    <w:p w14:paraId="2618E84E" w14:textId="384E75BF" w:rsidR="0054587D" w:rsidRDefault="0054587D">
      <w:pPr>
        <w:pStyle w:val="TOC2"/>
        <w:tabs>
          <w:tab w:val="right" w:leader="dot" w:pos="9322"/>
        </w:tabs>
        <w:rPr>
          <w:rFonts w:eastAsiaTheme="minorEastAsia" w:cstheme="minorBidi"/>
          <w:noProof/>
          <w:sz w:val="22"/>
          <w:szCs w:val="22"/>
          <w:lang w:eastAsia="en-AU"/>
        </w:rPr>
      </w:pPr>
      <w:hyperlink w:anchor="_Toc27664134" w:history="1">
        <w:r w:rsidRPr="00CF0A44">
          <w:rPr>
            <w:rStyle w:val="Hyperlink"/>
            <w:noProof/>
          </w:rPr>
          <w:t>Appropriate claiming</w:t>
        </w:r>
        <w:r>
          <w:rPr>
            <w:noProof/>
            <w:webHidden/>
          </w:rPr>
          <w:tab/>
        </w:r>
        <w:r>
          <w:rPr>
            <w:noProof/>
            <w:webHidden/>
          </w:rPr>
          <w:fldChar w:fldCharType="begin"/>
        </w:r>
        <w:r>
          <w:rPr>
            <w:noProof/>
            <w:webHidden/>
          </w:rPr>
          <w:instrText xml:space="preserve"> PAGEREF _Toc27664134 \h </w:instrText>
        </w:r>
        <w:r>
          <w:rPr>
            <w:noProof/>
            <w:webHidden/>
          </w:rPr>
        </w:r>
        <w:r>
          <w:rPr>
            <w:noProof/>
            <w:webHidden/>
          </w:rPr>
          <w:fldChar w:fldCharType="separate"/>
        </w:r>
        <w:r w:rsidR="00E1783A">
          <w:rPr>
            <w:noProof/>
            <w:webHidden/>
          </w:rPr>
          <w:t>10</w:t>
        </w:r>
        <w:r>
          <w:rPr>
            <w:noProof/>
            <w:webHidden/>
          </w:rPr>
          <w:fldChar w:fldCharType="end"/>
        </w:r>
      </w:hyperlink>
    </w:p>
    <w:p w14:paraId="2494C1D8" w14:textId="0B2076E3" w:rsidR="0054587D" w:rsidRDefault="0054587D">
      <w:pPr>
        <w:pStyle w:val="TOC2"/>
        <w:tabs>
          <w:tab w:val="right" w:leader="dot" w:pos="9322"/>
        </w:tabs>
        <w:rPr>
          <w:rFonts w:eastAsiaTheme="minorEastAsia" w:cstheme="minorBidi"/>
          <w:noProof/>
          <w:sz w:val="22"/>
          <w:szCs w:val="22"/>
          <w:lang w:eastAsia="en-AU"/>
        </w:rPr>
      </w:pPr>
      <w:hyperlink w:anchor="_Toc27664135" w:history="1">
        <w:r w:rsidRPr="00CF0A44">
          <w:rPr>
            <w:rStyle w:val="Hyperlink"/>
            <w:noProof/>
          </w:rPr>
          <w:t>Reduction in avoidable hospital admissions</w:t>
        </w:r>
        <w:r>
          <w:rPr>
            <w:noProof/>
            <w:webHidden/>
          </w:rPr>
          <w:tab/>
        </w:r>
        <w:r>
          <w:rPr>
            <w:noProof/>
            <w:webHidden/>
          </w:rPr>
          <w:fldChar w:fldCharType="begin"/>
        </w:r>
        <w:r>
          <w:rPr>
            <w:noProof/>
            <w:webHidden/>
          </w:rPr>
          <w:instrText xml:space="preserve"> PAGEREF _Toc27664135 \h </w:instrText>
        </w:r>
        <w:r>
          <w:rPr>
            <w:noProof/>
            <w:webHidden/>
          </w:rPr>
        </w:r>
        <w:r>
          <w:rPr>
            <w:noProof/>
            <w:webHidden/>
          </w:rPr>
          <w:fldChar w:fldCharType="separate"/>
        </w:r>
        <w:r w:rsidR="00E1783A">
          <w:rPr>
            <w:noProof/>
            <w:webHidden/>
          </w:rPr>
          <w:t>13</w:t>
        </w:r>
        <w:r>
          <w:rPr>
            <w:noProof/>
            <w:webHidden/>
          </w:rPr>
          <w:fldChar w:fldCharType="end"/>
        </w:r>
      </w:hyperlink>
    </w:p>
    <w:p w14:paraId="79DD3636" w14:textId="29EDB934" w:rsidR="0054587D" w:rsidRDefault="0054587D">
      <w:pPr>
        <w:pStyle w:val="TOC2"/>
        <w:tabs>
          <w:tab w:val="right" w:leader="dot" w:pos="9322"/>
        </w:tabs>
        <w:rPr>
          <w:rFonts w:eastAsiaTheme="minorEastAsia" w:cstheme="minorBidi"/>
          <w:noProof/>
          <w:sz w:val="22"/>
          <w:szCs w:val="22"/>
          <w:lang w:eastAsia="en-AU"/>
        </w:rPr>
      </w:pPr>
      <w:hyperlink w:anchor="_Toc27664136" w:history="1">
        <w:r w:rsidRPr="00CF0A44">
          <w:rPr>
            <w:rStyle w:val="Hyperlink"/>
            <w:noProof/>
          </w:rPr>
          <w:t>Evidence-based Care</w:t>
        </w:r>
        <w:r>
          <w:rPr>
            <w:noProof/>
            <w:webHidden/>
          </w:rPr>
          <w:tab/>
        </w:r>
        <w:r>
          <w:rPr>
            <w:noProof/>
            <w:webHidden/>
          </w:rPr>
          <w:fldChar w:fldCharType="begin"/>
        </w:r>
        <w:r>
          <w:rPr>
            <w:noProof/>
            <w:webHidden/>
          </w:rPr>
          <w:instrText xml:space="preserve"> PAGEREF _Toc27664136 \h </w:instrText>
        </w:r>
        <w:r>
          <w:rPr>
            <w:noProof/>
            <w:webHidden/>
          </w:rPr>
        </w:r>
        <w:r>
          <w:rPr>
            <w:noProof/>
            <w:webHidden/>
          </w:rPr>
          <w:fldChar w:fldCharType="separate"/>
        </w:r>
        <w:r w:rsidR="00E1783A">
          <w:rPr>
            <w:noProof/>
            <w:webHidden/>
          </w:rPr>
          <w:t>17</w:t>
        </w:r>
        <w:r>
          <w:rPr>
            <w:noProof/>
            <w:webHidden/>
          </w:rPr>
          <w:fldChar w:fldCharType="end"/>
        </w:r>
      </w:hyperlink>
    </w:p>
    <w:p w14:paraId="36759F0B" w14:textId="75783566" w:rsidR="0054587D" w:rsidRDefault="0054587D">
      <w:pPr>
        <w:pStyle w:val="TOC2"/>
        <w:tabs>
          <w:tab w:val="right" w:leader="dot" w:pos="9322"/>
        </w:tabs>
        <w:rPr>
          <w:rFonts w:eastAsiaTheme="minorEastAsia" w:cstheme="minorBidi"/>
          <w:noProof/>
          <w:sz w:val="22"/>
          <w:szCs w:val="22"/>
          <w:lang w:eastAsia="en-AU"/>
        </w:rPr>
      </w:pPr>
      <w:hyperlink w:anchor="_Toc27664137" w:history="1">
        <w:r w:rsidRPr="00CF0A44">
          <w:rPr>
            <w:rStyle w:val="Hyperlink"/>
            <w:noProof/>
          </w:rPr>
          <w:t>Consumer Experience</w:t>
        </w:r>
        <w:r>
          <w:rPr>
            <w:noProof/>
            <w:webHidden/>
          </w:rPr>
          <w:tab/>
        </w:r>
        <w:r>
          <w:rPr>
            <w:noProof/>
            <w:webHidden/>
          </w:rPr>
          <w:fldChar w:fldCharType="begin"/>
        </w:r>
        <w:r>
          <w:rPr>
            <w:noProof/>
            <w:webHidden/>
          </w:rPr>
          <w:instrText xml:space="preserve"> PAGEREF _Toc27664137 \h </w:instrText>
        </w:r>
        <w:r>
          <w:rPr>
            <w:noProof/>
            <w:webHidden/>
          </w:rPr>
        </w:r>
        <w:r>
          <w:rPr>
            <w:noProof/>
            <w:webHidden/>
          </w:rPr>
          <w:fldChar w:fldCharType="separate"/>
        </w:r>
        <w:r w:rsidR="00E1783A">
          <w:rPr>
            <w:noProof/>
            <w:webHidden/>
          </w:rPr>
          <w:t>18</w:t>
        </w:r>
        <w:r>
          <w:rPr>
            <w:noProof/>
            <w:webHidden/>
          </w:rPr>
          <w:fldChar w:fldCharType="end"/>
        </w:r>
      </w:hyperlink>
    </w:p>
    <w:p w14:paraId="5963325A" w14:textId="28A5468B" w:rsidR="0054587D" w:rsidRDefault="0054587D">
      <w:pPr>
        <w:pStyle w:val="TOC2"/>
        <w:tabs>
          <w:tab w:val="right" w:leader="dot" w:pos="9322"/>
        </w:tabs>
        <w:rPr>
          <w:rFonts w:eastAsiaTheme="minorEastAsia" w:cstheme="minorBidi"/>
          <w:noProof/>
          <w:sz w:val="22"/>
          <w:szCs w:val="22"/>
          <w:lang w:eastAsia="en-AU"/>
        </w:rPr>
      </w:pPr>
      <w:hyperlink w:anchor="_Toc27664138" w:history="1">
        <w:r w:rsidRPr="00CF0A44">
          <w:rPr>
            <w:rStyle w:val="Hyperlink"/>
            <w:noProof/>
          </w:rPr>
          <w:t>Administrative Efficiency</w:t>
        </w:r>
        <w:r>
          <w:rPr>
            <w:noProof/>
            <w:webHidden/>
          </w:rPr>
          <w:tab/>
        </w:r>
        <w:r>
          <w:rPr>
            <w:noProof/>
            <w:webHidden/>
          </w:rPr>
          <w:fldChar w:fldCharType="begin"/>
        </w:r>
        <w:r>
          <w:rPr>
            <w:noProof/>
            <w:webHidden/>
          </w:rPr>
          <w:instrText xml:space="preserve"> PAGEREF _Toc27664138 \h </w:instrText>
        </w:r>
        <w:r>
          <w:rPr>
            <w:noProof/>
            <w:webHidden/>
          </w:rPr>
        </w:r>
        <w:r>
          <w:rPr>
            <w:noProof/>
            <w:webHidden/>
          </w:rPr>
          <w:fldChar w:fldCharType="separate"/>
        </w:r>
        <w:r w:rsidR="00E1783A">
          <w:rPr>
            <w:noProof/>
            <w:webHidden/>
          </w:rPr>
          <w:t>19</w:t>
        </w:r>
        <w:r>
          <w:rPr>
            <w:noProof/>
            <w:webHidden/>
          </w:rPr>
          <w:fldChar w:fldCharType="end"/>
        </w:r>
      </w:hyperlink>
    </w:p>
    <w:p w14:paraId="4D8F79DD" w14:textId="192F7F62" w:rsidR="0054587D" w:rsidRDefault="0054587D">
      <w:pPr>
        <w:pStyle w:val="TOC2"/>
        <w:tabs>
          <w:tab w:val="right" w:leader="dot" w:pos="9322"/>
        </w:tabs>
        <w:rPr>
          <w:rFonts w:eastAsiaTheme="minorEastAsia" w:cstheme="minorBidi"/>
          <w:noProof/>
          <w:sz w:val="22"/>
          <w:szCs w:val="22"/>
          <w:lang w:eastAsia="en-AU"/>
        </w:rPr>
      </w:pPr>
      <w:hyperlink w:anchor="_Toc27664139" w:history="1">
        <w:r w:rsidRPr="00CF0A44">
          <w:rPr>
            <w:rStyle w:val="Hyperlink"/>
            <w:noProof/>
          </w:rPr>
          <w:t>Accountability and Reporting</w:t>
        </w:r>
        <w:r>
          <w:rPr>
            <w:noProof/>
            <w:webHidden/>
          </w:rPr>
          <w:tab/>
        </w:r>
        <w:r>
          <w:rPr>
            <w:noProof/>
            <w:webHidden/>
          </w:rPr>
          <w:fldChar w:fldCharType="begin"/>
        </w:r>
        <w:r>
          <w:rPr>
            <w:noProof/>
            <w:webHidden/>
          </w:rPr>
          <w:instrText xml:space="preserve"> PAGEREF _Toc27664139 \h </w:instrText>
        </w:r>
        <w:r>
          <w:rPr>
            <w:noProof/>
            <w:webHidden/>
          </w:rPr>
        </w:r>
        <w:r>
          <w:rPr>
            <w:noProof/>
            <w:webHidden/>
          </w:rPr>
          <w:fldChar w:fldCharType="separate"/>
        </w:r>
        <w:r w:rsidR="00E1783A">
          <w:rPr>
            <w:noProof/>
            <w:webHidden/>
          </w:rPr>
          <w:t>22</w:t>
        </w:r>
        <w:r>
          <w:rPr>
            <w:noProof/>
            <w:webHidden/>
          </w:rPr>
          <w:fldChar w:fldCharType="end"/>
        </w:r>
      </w:hyperlink>
    </w:p>
    <w:p w14:paraId="144304F4" w14:textId="1C07A759" w:rsidR="0054587D" w:rsidRDefault="0054587D">
      <w:pPr>
        <w:pStyle w:val="TOC1"/>
        <w:tabs>
          <w:tab w:val="right" w:leader="dot" w:pos="9322"/>
        </w:tabs>
        <w:rPr>
          <w:rFonts w:eastAsiaTheme="minorEastAsia" w:cstheme="minorBidi"/>
          <w:noProof/>
          <w:sz w:val="22"/>
          <w:szCs w:val="22"/>
          <w:lang w:eastAsia="en-AU"/>
        </w:rPr>
      </w:pPr>
      <w:hyperlink w:anchor="_Toc27664140" w:history="1">
        <w:r w:rsidRPr="00CF0A44">
          <w:rPr>
            <w:rStyle w:val="Hyperlink"/>
            <w:caps/>
            <w:noProof/>
          </w:rPr>
          <w:t>Equipping the health sector for the future</w:t>
        </w:r>
        <w:r>
          <w:rPr>
            <w:noProof/>
            <w:webHidden/>
          </w:rPr>
          <w:tab/>
        </w:r>
        <w:r>
          <w:rPr>
            <w:noProof/>
            <w:webHidden/>
          </w:rPr>
          <w:fldChar w:fldCharType="begin"/>
        </w:r>
        <w:r>
          <w:rPr>
            <w:noProof/>
            <w:webHidden/>
          </w:rPr>
          <w:instrText xml:space="preserve"> PAGEREF _Toc27664140 \h </w:instrText>
        </w:r>
        <w:r>
          <w:rPr>
            <w:noProof/>
            <w:webHidden/>
          </w:rPr>
        </w:r>
        <w:r>
          <w:rPr>
            <w:noProof/>
            <w:webHidden/>
          </w:rPr>
          <w:fldChar w:fldCharType="separate"/>
        </w:r>
        <w:r w:rsidR="00E1783A">
          <w:rPr>
            <w:noProof/>
            <w:webHidden/>
          </w:rPr>
          <w:t>24</w:t>
        </w:r>
        <w:r>
          <w:rPr>
            <w:noProof/>
            <w:webHidden/>
          </w:rPr>
          <w:fldChar w:fldCharType="end"/>
        </w:r>
      </w:hyperlink>
    </w:p>
    <w:p w14:paraId="6A21CD2B" w14:textId="12191CD0" w:rsidR="0054587D" w:rsidRDefault="0054587D">
      <w:pPr>
        <w:pStyle w:val="TOC1"/>
        <w:tabs>
          <w:tab w:val="right" w:leader="dot" w:pos="9322"/>
        </w:tabs>
        <w:rPr>
          <w:rFonts w:eastAsiaTheme="minorEastAsia" w:cstheme="minorBidi"/>
          <w:noProof/>
          <w:sz w:val="22"/>
          <w:szCs w:val="22"/>
          <w:lang w:eastAsia="en-AU"/>
        </w:rPr>
      </w:pPr>
      <w:hyperlink w:anchor="_Toc27664141" w:history="1">
        <w:r w:rsidRPr="00CF0A44">
          <w:rPr>
            <w:rStyle w:val="Hyperlink"/>
            <w:noProof/>
            <w:lang w:eastAsia="en-AU"/>
          </w:rPr>
          <w:t>PRIVATE HOSPITALS IN AUSTRALIA</w:t>
        </w:r>
        <w:r>
          <w:rPr>
            <w:noProof/>
            <w:webHidden/>
          </w:rPr>
          <w:tab/>
        </w:r>
        <w:r>
          <w:rPr>
            <w:noProof/>
            <w:webHidden/>
          </w:rPr>
          <w:fldChar w:fldCharType="begin"/>
        </w:r>
        <w:r>
          <w:rPr>
            <w:noProof/>
            <w:webHidden/>
          </w:rPr>
          <w:instrText xml:space="preserve"> PAGEREF _Toc27664141 \h </w:instrText>
        </w:r>
        <w:r>
          <w:rPr>
            <w:noProof/>
            <w:webHidden/>
          </w:rPr>
        </w:r>
        <w:r>
          <w:rPr>
            <w:noProof/>
            <w:webHidden/>
          </w:rPr>
          <w:fldChar w:fldCharType="separate"/>
        </w:r>
        <w:r w:rsidR="00E1783A">
          <w:rPr>
            <w:noProof/>
            <w:webHidden/>
          </w:rPr>
          <w:t>29</w:t>
        </w:r>
        <w:r>
          <w:rPr>
            <w:noProof/>
            <w:webHidden/>
          </w:rPr>
          <w:fldChar w:fldCharType="end"/>
        </w:r>
      </w:hyperlink>
    </w:p>
    <w:p w14:paraId="2DC8E43B" w14:textId="23F0A879" w:rsidR="0054587D" w:rsidRDefault="0054587D">
      <w:pPr>
        <w:pStyle w:val="TOC2"/>
        <w:tabs>
          <w:tab w:val="right" w:leader="dot" w:pos="9322"/>
        </w:tabs>
        <w:rPr>
          <w:rFonts w:eastAsiaTheme="minorEastAsia" w:cstheme="minorBidi"/>
          <w:noProof/>
          <w:sz w:val="22"/>
          <w:szCs w:val="22"/>
          <w:lang w:eastAsia="en-AU"/>
        </w:rPr>
      </w:pPr>
      <w:hyperlink w:anchor="_Toc27664142" w:history="1">
        <w:r w:rsidRPr="00CF0A44">
          <w:rPr>
            <w:rStyle w:val="Hyperlink"/>
            <w:noProof/>
          </w:rPr>
          <w:t>The Australian Private Hospitals Association</w:t>
        </w:r>
        <w:r>
          <w:rPr>
            <w:noProof/>
            <w:webHidden/>
          </w:rPr>
          <w:tab/>
        </w:r>
        <w:r>
          <w:rPr>
            <w:noProof/>
            <w:webHidden/>
          </w:rPr>
          <w:fldChar w:fldCharType="begin"/>
        </w:r>
        <w:r>
          <w:rPr>
            <w:noProof/>
            <w:webHidden/>
          </w:rPr>
          <w:instrText xml:space="preserve"> PAGEREF _Toc27664142 \h </w:instrText>
        </w:r>
        <w:r>
          <w:rPr>
            <w:noProof/>
            <w:webHidden/>
          </w:rPr>
        </w:r>
        <w:r>
          <w:rPr>
            <w:noProof/>
            <w:webHidden/>
          </w:rPr>
          <w:fldChar w:fldCharType="separate"/>
        </w:r>
        <w:r w:rsidR="00E1783A">
          <w:rPr>
            <w:noProof/>
            <w:webHidden/>
          </w:rPr>
          <w:t>29</w:t>
        </w:r>
        <w:r>
          <w:rPr>
            <w:noProof/>
            <w:webHidden/>
          </w:rPr>
          <w:fldChar w:fldCharType="end"/>
        </w:r>
      </w:hyperlink>
    </w:p>
    <w:p w14:paraId="6A517625" w14:textId="19FA9CE6" w:rsidR="00DF18F7" w:rsidRDefault="0054587D" w:rsidP="00BD6F09">
      <w:pPr>
        <w:pStyle w:val="Heading3"/>
      </w:pPr>
      <w:r>
        <w:rPr>
          <w:rFonts w:eastAsia="Times New Roman" w:cs="Times New Roman"/>
          <w:b w:val="0"/>
          <w:bCs w:val="0"/>
        </w:rPr>
        <w:fldChar w:fldCharType="end"/>
      </w:r>
      <w:bookmarkStart w:id="3" w:name="_GoBack"/>
      <w:bookmarkEnd w:id="3"/>
    </w:p>
    <w:p w14:paraId="434894AB" w14:textId="77777777" w:rsidR="00DF18F7" w:rsidRPr="006B5969" w:rsidRDefault="00DF18F7" w:rsidP="00DF18F7">
      <w:pPr>
        <w:ind w:left="720"/>
        <w:rPr>
          <w:rFonts w:cstheme="minorHAnsi"/>
        </w:rPr>
      </w:pPr>
    </w:p>
    <w:p w14:paraId="527C4B72" w14:textId="77777777" w:rsidR="00DF18F7" w:rsidRDefault="00DF18F7" w:rsidP="00DF18F7">
      <w:pPr>
        <w:spacing w:after="160" w:line="259" w:lineRule="auto"/>
        <w:rPr>
          <w:rFonts w:cstheme="minorHAnsi"/>
          <w:b/>
        </w:rPr>
      </w:pPr>
      <w:r>
        <w:rPr>
          <w:rFonts w:cstheme="minorHAnsi"/>
          <w:b/>
        </w:rPr>
        <w:br w:type="page"/>
      </w:r>
    </w:p>
    <w:p w14:paraId="056740C4" w14:textId="77777777" w:rsidR="00DF18F7" w:rsidRDefault="00DF18F7" w:rsidP="00DF18F7">
      <w:pPr>
        <w:pStyle w:val="Heading1"/>
      </w:pPr>
      <w:bookmarkStart w:id="4" w:name="_Toc27494502"/>
      <w:bookmarkStart w:id="5" w:name="_Toc27494699"/>
      <w:bookmarkStart w:id="6" w:name="_Toc27664126"/>
      <w:r>
        <w:t>PRIVATE HEALTH – WHAT NEEDS TO BE DONE</w:t>
      </w:r>
      <w:bookmarkEnd w:id="4"/>
      <w:bookmarkEnd w:id="5"/>
      <w:bookmarkEnd w:id="6"/>
    </w:p>
    <w:p w14:paraId="652C4557" w14:textId="77777777" w:rsidR="00DF18F7" w:rsidRDefault="00DF18F7" w:rsidP="00DF18F7"/>
    <w:p w14:paraId="6E6D05E6" w14:textId="1E6B5FDF" w:rsidR="00DF18F7" w:rsidRDefault="00DF18F7" w:rsidP="00DF18F7">
      <w:pPr>
        <w:pStyle w:val="Heading2"/>
      </w:pPr>
      <w:bookmarkStart w:id="7" w:name="_Toc27494503"/>
      <w:bookmarkStart w:id="8" w:name="_Toc27494700"/>
      <w:bookmarkStart w:id="9" w:name="_Toc27664127"/>
      <w:r>
        <w:t xml:space="preserve">Private </w:t>
      </w:r>
      <w:r w:rsidR="002F229A">
        <w:t>h</w:t>
      </w:r>
      <w:r>
        <w:t>ealth remains integral to the Australia</w:t>
      </w:r>
      <w:r w:rsidR="003A7770">
        <w:t>n</w:t>
      </w:r>
      <w:r>
        <w:t xml:space="preserve"> health sector</w:t>
      </w:r>
      <w:bookmarkEnd w:id="7"/>
      <w:bookmarkEnd w:id="8"/>
      <w:bookmarkEnd w:id="9"/>
    </w:p>
    <w:p w14:paraId="3B10C059" w14:textId="77777777" w:rsidR="00A74433" w:rsidRPr="00A74433" w:rsidRDefault="00A74433" w:rsidP="00A74433"/>
    <w:p w14:paraId="72FD04FA" w14:textId="198C701C" w:rsidR="00DF18F7" w:rsidRDefault="00DF18F7" w:rsidP="00DF18F7">
      <w:pPr>
        <w:rPr>
          <w:rFonts w:cs="Calibri"/>
          <w:color w:val="000000"/>
          <w:lang w:eastAsia="en-AU"/>
        </w:rPr>
      </w:pPr>
      <w:r w:rsidRPr="00A46D7F">
        <w:rPr>
          <w:rFonts w:cs="Calibri"/>
          <w:color w:val="000000"/>
          <w:lang w:eastAsia="en-AU"/>
        </w:rPr>
        <w:t>The private hospital sector provides 34,300 licensed beds, a resource that would cost taxpayers more than $34 billion to replicate in the public sector.</w:t>
      </w:r>
    </w:p>
    <w:p w14:paraId="3BB5A096" w14:textId="77777777" w:rsidR="00A74433" w:rsidRDefault="00A74433" w:rsidP="00DF18F7">
      <w:pPr>
        <w:rPr>
          <w:rFonts w:cs="Calibri"/>
          <w:color w:val="000000"/>
          <w:lang w:eastAsia="en-AU"/>
        </w:rPr>
      </w:pPr>
    </w:p>
    <w:p w14:paraId="0B8C2CCA" w14:textId="67F0CC34" w:rsidR="00DF18F7" w:rsidRDefault="002F229A" w:rsidP="00DF18F7">
      <w:pPr>
        <w:rPr>
          <w:rFonts w:cs="Calibri"/>
          <w:color w:val="000000"/>
          <w:lang w:eastAsia="en-AU"/>
        </w:rPr>
      </w:pPr>
      <w:r>
        <w:rPr>
          <w:rFonts w:cs="Calibri"/>
          <w:color w:val="000000"/>
          <w:lang w:eastAsia="en-AU"/>
        </w:rPr>
        <w:t xml:space="preserve">During </w:t>
      </w:r>
      <w:r w:rsidR="00DF18F7">
        <w:rPr>
          <w:rFonts w:cs="Calibri"/>
          <w:color w:val="000000"/>
          <w:lang w:eastAsia="en-AU"/>
        </w:rPr>
        <w:t xml:space="preserve">the last </w:t>
      </w:r>
      <w:r w:rsidR="00DF18F7" w:rsidRPr="00A46D7F">
        <w:rPr>
          <w:rFonts w:cs="Calibri"/>
          <w:color w:val="000000"/>
          <w:lang w:eastAsia="en-AU"/>
        </w:rPr>
        <w:t>decade, private hospitals have driven efficiencies</w:t>
      </w:r>
      <w:r w:rsidR="003A7770">
        <w:rPr>
          <w:rFonts w:cs="Calibri"/>
          <w:color w:val="000000"/>
          <w:lang w:eastAsia="en-AU"/>
        </w:rPr>
        <w:t>,</w:t>
      </w:r>
      <w:r w:rsidR="00DF18F7" w:rsidRPr="00A46D7F">
        <w:rPr>
          <w:rFonts w:cs="Calibri"/>
          <w:color w:val="000000"/>
          <w:lang w:eastAsia="en-AU"/>
        </w:rPr>
        <w:t xml:space="preserve"> just at the time when the age and complexity of patients has been increasing</w:t>
      </w:r>
      <w:r w:rsidR="00DF18F7">
        <w:rPr>
          <w:rFonts w:cs="Calibri"/>
          <w:color w:val="000000"/>
          <w:lang w:eastAsia="en-AU"/>
        </w:rPr>
        <w:t>:</w:t>
      </w:r>
    </w:p>
    <w:p w14:paraId="43391C02" w14:textId="77777777" w:rsidR="00A74433" w:rsidRDefault="00A74433" w:rsidP="00DF18F7">
      <w:pPr>
        <w:rPr>
          <w:rFonts w:cs="Calibri"/>
          <w:color w:val="000000"/>
          <w:lang w:eastAsia="en-AU"/>
        </w:rPr>
      </w:pPr>
    </w:p>
    <w:p w14:paraId="3B60F663" w14:textId="5722966D" w:rsidR="00DF18F7" w:rsidRPr="004410D2" w:rsidRDefault="00DF18F7" w:rsidP="00DF18F7">
      <w:pPr>
        <w:pStyle w:val="ListParagraph"/>
        <w:numPr>
          <w:ilvl w:val="0"/>
          <w:numId w:val="16"/>
        </w:numPr>
        <w:rPr>
          <w:rFonts w:cs="Calibri"/>
          <w:color w:val="000000"/>
          <w:lang w:eastAsia="en-AU"/>
        </w:rPr>
      </w:pPr>
      <w:r w:rsidRPr="004410D2">
        <w:rPr>
          <w:rFonts w:cs="Calibri"/>
          <w:color w:val="000000"/>
          <w:lang w:eastAsia="en-AU"/>
        </w:rPr>
        <w:t xml:space="preserve">The average length of stay in the private hospital sector has decreased by </w:t>
      </w:r>
      <w:r w:rsidR="00ED39B2" w:rsidRPr="004410D2">
        <w:rPr>
          <w:rFonts w:cs="Calibri"/>
          <w:color w:val="000000"/>
          <w:lang w:eastAsia="en-AU"/>
        </w:rPr>
        <w:t>eight</w:t>
      </w:r>
      <w:r w:rsidRPr="004410D2">
        <w:rPr>
          <w:rFonts w:cs="Calibri"/>
          <w:color w:val="000000"/>
          <w:lang w:eastAsia="en-AU"/>
        </w:rPr>
        <w:t xml:space="preserve"> percent</w:t>
      </w:r>
      <w:r w:rsidRPr="004410D2">
        <w:rPr>
          <w:rStyle w:val="FootnoteReference"/>
          <w:rFonts w:cs="Calibri"/>
          <w:color w:val="000000"/>
        </w:rPr>
        <w:footnoteReference w:id="1"/>
      </w:r>
    </w:p>
    <w:p w14:paraId="11D9190C" w14:textId="55DB0771" w:rsidR="00DF18F7" w:rsidRPr="004410D2" w:rsidRDefault="00DF18F7" w:rsidP="00DF18F7">
      <w:pPr>
        <w:pStyle w:val="ListParagraph"/>
        <w:numPr>
          <w:ilvl w:val="0"/>
          <w:numId w:val="16"/>
        </w:numPr>
        <w:rPr>
          <w:rFonts w:cs="Calibri"/>
          <w:color w:val="000000"/>
          <w:lang w:eastAsia="en-AU"/>
        </w:rPr>
      </w:pPr>
      <w:r w:rsidRPr="004410D2">
        <w:rPr>
          <w:rFonts w:cs="Calibri"/>
          <w:color w:val="000000"/>
          <w:lang w:eastAsia="en-AU"/>
        </w:rPr>
        <w:t>The complexity of overnight patients in private hospitals has increased by nine percent</w:t>
      </w:r>
      <w:r w:rsidRPr="004410D2">
        <w:rPr>
          <w:rStyle w:val="FootnoteReference"/>
          <w:rFonts w:cs="Calibri"/>
          <w:color w:val="000000"/>
        </w:rPr>
        <w:footnoteReference w:id="2"/>
      </w:r>
    </w:p>
    <w:p w14:paraId="50A2961C" w14:textId="31BD132C" w:rsidR="00DF18F7" w:rsidRPr="004410D2" w:rsidRDefault="00DF18F7" w:rsidP="00DF18F7">
      <w:pPr>
        <w:pStyle w:val="ListParagraph"/>
        <w:numPr>
          <w:ilvl w:val="0"/>
          <w:numId w:val="16"/>
        </w:numPr>
        <w:rPr>
          <w:rFonts w:cs="Calibri"/>
          <w:color w:val="000000"/>
          <w:lang w:eastAsia="en-AU"/>
        </w:rPr>
      </w:pPr>
      <w:r w:rsidRPr="004410D2">
        <w:rPr>
          <w:rFonts w:cs="Calibri"/>
          <w:color w:val="000000"/>
          <w:lang w:eastAsia="en-AU"/>
        </w:rPr>
        <w:t>Total expenditure per separation has increased in real terms by less than three percent over the decade as whole and has</w:t>
      </w:r>
      <w:r w:rsidR="002F229A">
        <w:rPr>
          <w:rFonts w:cs="Calibri"/>
          <w:color w:val="000000"/>
          <w:lang w:eastAsia="en-AU"/>
        </w:rPr>
        <w:t>,</w:t>
      </w:r>
      <w:r w:rsidRPr="004410D2">
        <w:rPr>
          <w:rFonts w:cs="Calibri"/>
          <w:color w:val="000000"/>
          <w:lang w:eastAsia="en-AU"/>
        </w:rPr>
        <w:t xml:space="preserve"> in fact</w:t>
      </w:r>
      <w:r w:rsidR="002F229A">
        <w:rPr>
          <w:rFonts w:cs="Calibri"/>
          <w:color w:val="000000"/>
          <w:lang w:eastAsia="en-AU"/>
        </w:rPr>
        <w:t>,</w:t>
      </w:r>
      <w:r w:rsidRPr="004410D2">
        <w:rPr>
          <w:rFonts w:cs="Calibri"/>
          <w:color w:val="000000"/>
          <w:lang w:eastAsia="en-AU"/>
        </w:rPr>
        <w:t xml:space="preserve"> decreased in real terms in five of those years</w:t>
      </w:r>
      <w:r w:rsidRPr="004410D2">
        <w:rPr>
          <w:rStyle w:val="FootnoteReference"/>
          <w:rFonts w:cs="Calibri"/>
          <w:color w:val="000000"/>
        </w:rPr>
        <w:footnoteReference w:id="3"/>
      </w:r>
    </w:p>
    <w:p w14:paraId="08658538" w14:textId="0EE20370" w:rsidR="00DF18F7" w:rsidRPr="004410D2" w:rsidRDefault="00DF18F7" w:rsidP="00DF18F7">
      <w:pPr>
        <w:pStyle w:val="ListParagraph"/>
        <w:numPr>
          <w:ilvl w:val="0"/>
          <w:numId w:val="16"/>
        </w:numPr>
        <w:rPr>
          <w:rFonts w:cs="Calibri"/>
          <w:color w:val="000000"/>
          <w:lang w:eastAsia="en-AU"/>
        </w:rPr>
      </w:pPr>
      <w:r w:rsidRPr="004410D2">
        <w:rPr>
          <w:rFonts w:cs="Calibri"/>
          <w:color w:val="000000"/>
          <w:lang w:eastAsia="en-AU"/>
        </w:rPr>
        <w:t>In the year ending 30 September 2019, private health insurance benefits paid to private hospitals increased four percent</w:t>
      </w:r>
      <w:r w:rsidR="003A7770">
        <w:rPr>
          <w:rFonts w:cs="Calibri"/>
          <w:color w:val="000000"/>
          <w:lang w:eastAsia="en-AU"/>
        </w:rPr>
        <w:t>,</w:t>
      </w:r>
      <w:r w:rsidRPr="004410D2">
        <w:rPr>
          <w:rFonts w:cs="Calibri"/>
          <w:color w:val="000000"/>
          <w:lang w:eastAsia="en-AU"/>
        </w:rPr>
        <w:t xml:space="preserve"> but this was entirely due to increased utilisation. The benefit paid per separation actually decreased in real terms</w:t>
      </w:r>
      <w:r w:rsidRPr="004410D2">
        <w:rPr>
          <w:rStyle w:val="FootnoteReference"/>
          <w:rFonts w:cs="Calibri"/>
          <w:color w:val="000000"/>
        </w:rPr>
        <w:footnoteReference w:id="4"/>
      </w:r>
    </w:p>
    <w:p w14:paraId="1B5BE49A" w14:textId="53F97A1C" w:rsidR="00667ECF" w:rsidRPr="004410D2" w:rsidRDefault="00DF18F7" w:rsidP="00A41E70">
      <w:pPr>
        <w:pStyle w:val="ListParagraph"/>
        <w:numPr>
          <w:ilvl w:val="0"/>
          <w:numId w:val="16"/>
        </w:numPr>
        <w:rPr>
          <w:rFonts w:cs="Calibri"/>
          <w:color w:val="000000"/>
          <w:lang w:eastAsia="en-AU"/>
        </w:rPr>
      </w:pPr>
      <w:r w:rsidRPr="004410D2">
        <w:rPr>
          <w:rFonts w:cs="Calibri"/>
          <w:color w:val="000000"/>
          <w:lang w:eastAsia="en-AU"/>
        </w:rPr>
        <w:t>Expenditure growth in the public hospital system was 4.2 percent in real terms over 2014-15 to 2017-18. In the private hospital system it was only 2.6 percent</w:t>
      </w:r>
      <w:r w:rsidRPr="004410D2">
        <w:rPr>
          <w:rStyle w:val="FootnoteReference"/>
          <w:rFonts w:cs="Calibri"/>
          <w:color w:val="000000"/>
        </w:rPr>
        <w:footnoteReference w:id="5"/>
      </w:r>
      <w:r w:rsidRPr="004410D2">
        <w:rPr>
          <w:rFonts w:cs="Calibri"/>
          <w:color w:val="000000"/>
          <w:lang w:eastAsia="en-AU"/>
        </w:rPr>
        <w:t>.</w:t>
      </w:r>
      <w:r w:rsidR="00667ECF" w:rsidRPr="004410D2">
        <w:rPr>
          <w:rFonts w:cs="Calibri"/>
          <w:color w:val="000000"/>
          <w:lang w:eastAsia="en-AU"/>
        </w:rPr>
        <w:br/>
      </w:r>
    </w:p>
    <w:p w14:paraId="5406EEA5" w14:textId="3EB264C8" w:rsidR="00E4600F" w:rsidRPr="004410D2" w:rsidRDefault="00DF18F7" w:rsidP="00DF18F7">
      <w:pPr>
        <w:rPr>
          <w:rFonts w:cs="Calibri"/>
          <w:color w:val="000000"/>
          <w:lang w:eastAsia="en-AU"/>
        </w:rPr>
      </w:pPr>
      <w:r w:rsidRPr="004410D2">
        <w:rPr>
          <w:rFonts w:cs="Calibri"/>
          <w:color w:val="000000"/>
          <w:lang w:eastAsia="en-AU"/>
        </w:rPr>
        <w:t>Costs have increased but so have health outcomes for patients</w:t>
      </w:r>
      <w:r w:rsidR="002F229A">
        <w:rPr>
          <w:rFonts w:cs="Calibri"/>
          <w:color w:val="000000"/>
          <w:lang w:eastAsia="en-AU"/>
        </w:rPr>
        <w:t>,</w:t>
      </w:r>
      <w:r w:rsidRPr="004410D2">
        <w:rPr>
          <w:rFonts w:cs="Calibri"/>
          <w:color w:val="000000"/>
          <w:lang w:eastAsia="en-AU"/>
        </w:rPr>
        <w:t xml:space="preserve"> and cost increases would have been much worse if hospitals were not already driving efficiencies year</w:t>
      </w:r>
      <w:r w:rsidR="002F229A">
        <w:rPr>
          <w:rFonts w:cs="Calibri"/>
          <w:color w:val="000000"/>
          <w:lang w:eastAsia="en-AU"/>
        </w:rPr>
        <w:t>-</w:t>
      </w:r>
      <w:r w:rsidRPr="004410D2">
        <w:rPr>
          <w:rFonts w:cs="Calibri"/>
          <w:color w:val="000000"/>
          <w:lang w:eastAsia="en-AU"/>
        </w:rPr>
        <w:t>on</w:t>
      </w:r>
      <w:r w:rsidR="002F229A">
        <w:rPr>
          <w:rFonts w:cs="Calibri"/>
          <w:color w:val="000000"/>
          <w:lang w:eastAsia="en-AU"/>
        </w:rPr>
        <w:t>-</w:t>
      </w:r>
      <w:r w:rsidRPr="004410D2">
        <w:rPr>
          <w:rFonts w:cs="Calibri"/>
          <w:color w:val="000000"/>
          <w:lang w:eastAsia="en-AU"/>
        </w:rPr>
        <w:t xml:space="preserve">year. Contracts between health insurers and hospitals are renegotiated every two-to-three years giving insurers the opportunity to press for savings and increased efficiencies. Some </w:t>
      </w:r>
      <w:r w:rsidR="00992DE5" w:rsidRPr="004410D2">
        <w:rPr>
          <w:rFonts w:cs="Calibri"/>
          <w:color w:val="000000"/>
          <w:lang w:eastAsia="en-AU"/>
        </w:rPr>
        <w:t>health insurer</w:t>
      </w:r>
      <w:r w:rsidRPr="004410D2">
        <w:rPr>
          <w:rFonts w:cs="Calibri"/>
          <w:color w:val="000000"/>
          <w:lang w:eastAsia="en-AU"/>
        </w:rPr>
        <w:t>s also apply penalties incentivising private hospitals to ensure the best quality care.</w:t>
      </w:r>
    </w:p>
    <w:p w14:paraId="3D100AB8" w14:textId="77777777" w:rsidR="00A74433" w:rsidRPr="004410D2" w:rsidRDefault="00A74433" w:rsidP="00DF18F7">
      <w:pPr>
        <w:rPr>
          <w:rFonts w:cs="Calibri"/>
          <w:color w:val="000000"/>
          <w:lang w:eastAsia="en-AU"/>
        </w:rPr>
      </w:pPr>
    </w:p>
    <w:p w14:paraId="376B5888" w14:textId="6CA9B35D" w:rsidR="00DF18F7" w:rsidRDefault="00DF18F7" w:rsidP="00DF18F7">
      <w:pPr>
        <w:rPr>
          <w:rFonts w:cs="Calibri"/>
          <w:color w:val="000000"/>
          <w:lang w:eastAsia="en-AU"/>
        </w:rPr>
      </w:pPr>
      <w:r w:rsidRPr="004410D2">
        <w:rPr>
          <w:rFonts w:cs="Calibri"/>
          <w:color w:val="000000"/>
          <w:lang w:eastAsia="en-AU"/>
        </w:rPr>
        <w:t xml:space="preserve">The biggest driver of private health insurance outlays is utilisation. </w:t>
      </w:r>
      <w:r w:rsidR="00ED39B2" w:rsidRPr="004410D2">
        <w:rPr>
          <w:rFonts w:cs="Calibri"/>
          <w:color w:val="000000"/>
          <w:lang w:eastAsia="en-AU"/>
        </w:rPr>
        <w:t>Annual u</w:t>
      </w:r>
      <w:r w:rsidRPr="004410D2">
        <w:rPr>
          <w:rFonts w:cs="Calibri"/>
          <w:color w:val="000000"/>
          <w:lang w:eastAsia="en-AU"/>
        </w:rPr>
        <w:t xml:space="preserve">tilisation of hospital cover has increased from </w:t>
      </w:r>
      <w:r w:rsidR="00ED39B2" w:rsidRPr="004410D2">
        <w:rPr>
          <w:rFonts w:cs="Calibri"/>
          <w:color w:val="000000"/>
          <w:lang w:eastAsia="en-AU"/>
        </w:rPr>
        <w:t>312</w:t>
      </w:r>
      <w:r w:rsidRPr="004410D2">
        <w:rPr>
          <w:rFonts w:cs="Calibri"/>
          <w:color w:val="000000"/>
          <w:lang w:eastAsia="en-AU"/>
        </w:rPr>
        <w:t xml:space="preserve"> per 1000 people covered to </w:t>
      </w:r>
      <w:r w:rsidR="00ED39B2" w:rsidRPr="004410D2">
        <w:rPr>
          <w:rFonts w:cs="Calibri"/>
          <w:color w:val="000000"/>
          <w:lang w:eastAsia="en-AU"/>
        </w:rPr>
        <w:t>418</w:t>
      </w:r>
      <w:r w:rsidR="003A7770">
        <w:rPr>
          <w:rFonts w:cs="Calibri"/>
          <w:color w:val="000000"/>
          <w:lang w:eastAsia="en-AU"/>
        </w:rPr>
        <w:t xml:space="preserve"> </w:t>
      </w:r>
      <w:r w:rsidR="003A7770" w:rsidRPr="004410D2">
        <w:rPr>
          <w:rFonts w:cs="Calibri"/>
          <w:color w:val="000000"/>
          <w:lang w:eastAsia="en-AU"/>
        </w:rPr>
        <w:t>per 1000 people covered</w:t>
      </w:r>
      <w:r w:rsidR="00293BFA" w:rsidRPr="004410D2">
        <w:rPr>
          <w:rStyle w:val="FootnoteReference"/>
          <w:color w:val="000000"/>
          <w:lang w:eastAsia="en-AU"/>
        </w:rPr>
        <w:footnoteReference w:id="6"/>
      </w:r>
      <w:r w:rsidRPr="004410D2">
        <w:rPr>
          <w:rFonts w:cs="Calibri"/>
          <w:color w:val="000000"/>
          <w:lang w:eastAsia="en-AU"/>
        </w:rPr>
        <w:t>.</w:t>
      </w:r>
      <w:r>
        <w:rPr>
          <w:rFonts w:cs="Calibri"/>
          <w:color w:val="000000"/>
          <w:lang w:eastAsia="en-AU"/>
        </w:rPr>
        <w:t xml:space="preserve"> </w:t>
      </w:r>
      <w:r w:rsidR="0068151C">
        <w:rPr>
          <w:rFonts w:cs="Calibri"/>
          <w:color w:val="000000"/>
          <w:lang w:eastAsia="en-AU"/>
        </w:rPr>
        <w:t xml:space="preserve">In summary: </w:t>
      </w:r>
    </w:p>
    <w:p w14:paraId="7818E3E1" w14:textId="77777777" w:rsidR="0068151C" w:rsidRDefault="0068151C" w:rsidP="00DF18F7">
      <w:pPr>
        <w:rPr>
          <w:rFonts w:cs="Calibri"/>
          <w:color w:val="000000"/>
          <w:lang w:eastAsia="en-AU"/>
        </w:rPr>
      </w:pPr>
    </w:p>
    <w:p w14:paraId="2C3033C5" w14:textId="04490158" w:rsidR="00DF18F7" w:rsidRDefault="00DF18F7" w:rsidP="00DF18F7">
      <w:pPr>
        <w:pStyle w:val="ListParagraph"/>
        <w:numPr>
          <w:ilvl w:val="0"/>
          <w:numId w:val="17"/>
        </w:numPr>
        <w:rPr>
          <w:rFonts w:cs="Calibri"/>
          <w:color w:val="000000"/>
          <w:lang w:eastAsia="en-AU"/>
        </w:rPr>
      </w:pPr>
      <w:r>
        <w:rPr>
          <w:rFonts w:cs="Calibri"/>
          <w:color w:val="000000"/>
          <w:lang w:eastAsia="en-AU"/>
        </w:rPr>
        <w:t>Consumers, particularly younger people, who perceive themselves less likely to need private health insurance are dropping their cover or electing not to take cover</w:t>
      </w:r>
    </w:p>
    <w:p w14:paraId="503EE8A7" w14:textId="4C472DD6" w:rsidR="00DF18F7" w:rsidRDefault="00DF18F7" w:rsidP="00DF18F7">
      <w:pPr>
        <w:pStyle w:val="ListParagraph"/>
        <w:numPr>
          <w:ilvl w:val="0"/>
          <w:numId w:val="17"/>
        </w:numPr>
        <w:rPr>
          <w:rFonts w:cs="Calibri"/>
          <w:color w:val="000000"/>
          <w:lang w:eastAsia="en-AU"/>
        </w:rPr>
      </w:pPr>
      <w:r>
        <w:rPr>
          <w:rFonts w:cs="Calibri"/>
          <w:color w:val="000000"/>
          <w:lang w:eastAsia="en-AU"/>
        </w:rPr>
        <w:t>Consumers who retain private health insurance are using their cover</w:t>
      </w:r>
    </w:p>
    <w:p w14:paraId="52E1FAC5" w14:textId="3DE8C8A5" w:rsidR="00ED39B2" w:rsidRDefault="00ED39B2" w:rsidP="00DF18F7">
      <w:pPr>
        <w:pStyle w:val="ListParagraph"/>
        <w:numPr>
          <w:ilvl w:val="0"/>
          <w:numId w:val="17"/>
        </w:numPr>
        <w:rPr>
          <w:rFonts w:cs="Calibri"/>
          <w:color w:val="000000"/>
          <w:lang w:eastAsia="en-AU"/>
        </w:rPr>
      </w:pPr>
      <w:r>
        <w:rPr>
          <w:rFonts w:cs="Calibri"/>
          <w:color w:val="000000"/>
          <w:lang w:eastAsia="en-AU"/>
        </w:rPr>
        <w:t>The average age of the insured population is rising.</w:t>
      </w:r>
    </w:p>
    <w:p w14:paraId="18703193" w14:textId="77777777" w:rsidR="00DF18F7" w:rsidRDefault="00DF18F7" w:rsidP="00DF18F7">
      <w:pPr>
        <w:rPr>
          <w:rFonts w:cs="Calibri"/>
          <w:color w:val="000000"/>
          <w:lang w:eastAsia="en-AU"/>
        </w:rPr>
      </w:pPr>
    </w:p>
    <w:p w14:paraId="232AA541" w14:textId="1769EE1F" w:rsidR="00DF18F7" w:rsidRDefault="00DF18F7" w:rsidP="00DF18F7">
      <w:pPr>
        <w:rPr>
          <w:rFonts w:cs="Calibri"/>
          <w:color w:val="000000"/>
          <w:lang w:eastAsia="en-AU"/>
        </w:rPr>
      </w:pPr>
      <w:r w:rsidRPr="006E6E18">
        <w:rPr>
          <w:rFonts w:cs="Calibri"/>
          <w:color w:val="000000"/>
          <w:lang w:eastAsia="en-AU"/>
        </w:rPr>
        <w:t xml:space="preserve">Left unaddressed these trends will likely exacerbate to the point where a growing number of people </w:t>
      </w:r>
      <w:r w:rsidR="003A7770">
        <w:rPr>
          <w:rFonts w:cs="Calibri"/>
          <w:color w:val="000000"/>
          <w:lang w:eastAsia="en-AU"/>
        </w:rPr>
        <w:t>will be</w:t>
      </w:r>
      <w:r w:rsidRPr="006E6E18">
        <w:rPr>
          <w:rFonts w:cs="Calibri"/>
          <w:color w:val="000000"/>
          <w:lang w:eastAsia="en-AU"/>
        </w:rPr>
        <w:t xml:space="preserve"> forced to rely exclusively on the already overburdened public health system. </w:t>
      </w:r>
    </w:p>
    <w:p w14:paraId="4CEA75B5" w14:textId="38DC5187" w:rsidR="00ED39B2" w:rsidRDefault="00ED39B2" w:rsidP="00DF18F7">
      <w:pPr>
        <w:rPr>
          <w:rFonts w:cs="Calibri"/>
          <w:color w:val="000000"/>
          <w:lang w:eastAsia="en-AU"/>
        </w:rPr>
      </w:pPr>
    </w:p>
    <w:p w14:paraId="77306F26" w14:textId="7821438D" w:rsidR="00ED39B2" w:rsidRDefault="00ED39B2" w:rsidP="00DF18F7">
      <w:pPr>
        <w:rPr>
          <w:rFonts w:cs="Calibri"/>
          <w:color w:val="000000"/>
          <w:lang w:eastAsia="en-AU"/>
        </w:rPr>
      </w:pPr>
      <w:r>
        <w:rPr>
          <w:rFonts w:cs="Calibri"/>
          <w:color w:val="000000"/>
          <w:lang w:eastAsia="en-AU"/>
        </w:rPr>
        <w:t>Recent reforms introducing an age-based discount from</w:t>
      </w:r>
      <w:r w:rsidR="002F229A">
        <w:rPr>
          <w:rFonts w:cs="Calibri"/>
          <w:color w:val="000000"/>
          <w:lang w:eastAsia="en-AU"/>
        </w:rPr>
        <w:t xml:space="preserve"> </w:t>
      </w:r>
      <w:r>
        <w:rPr>
          <w:rFonts w:cs="Calibri"/>
          <w:color w:val="000000"/>
          <w:lang w:eastAsia="en-AU"/>
        </w:rPr>
        <w:t>1 April 2019 have not increased youth private health insurance participation</w:t>
      </w:r>
      <w:r>
        <w:rPr>
          <w:rStyle w:val="FootnoteReference"/>
          <w:color w:val="000000"/>
          <w:lang w:eastAsia="en-AU"/>
        </w:rPr>
        <w:footnoteReference w:id="7"/>
      </w:r>
      <w:r>
        <w:rPr>
          <w:rFonts w:cs="Calibri"/>
          <w:color w:val="000000"/>
          <w:lang w:eastAsia="en-AU"/>
        </w:rPr>
        <w:t>.</w:t>
      </w:r>
    </w:p>
    <w:p w14:paraId="787D1586" w14:textId="77777777" w:rsidR="00ED39B2" w:rsidRDefault="00ED39B2" w:rsidP="00DF18F7">
      <w:pPr>
        <w:rPr>
          <w:rFonts w:cs="Calibri"/>
          <w:color w:val="000000"/>
          <w:lang w:eastAsia="en-AU"/>
        </w:rPr>
      </w:pPr>
    </w:p>
    <w:p w14:paraId="0367EE89" w14:textId="1F6FE856" w:rsidR="002A249C" w:rsidRPr="006E6E18" w:rsidRDefault="002A249C" w:rsidP="00DF18F7">
      <w:pPr>
        <w:rPr>
          <w:rFonts w:cs="Calibri"/>
          <w:color w:val="000000"/>
          <w:lang w:eastAsia="en-AU"/>
        </w:rPr>
      </w:pPr>
      <w:r>
        <w:rPr>
          <w:noProof/>
          <w:lang w:eastAsia="en-AU"/>
        </w:rPr>
        <w:drawing>
          <wp:inline distT="0" distB="0" distL="0" distR="0" wp14:anchorId="2330DE6C" wp14:editId="485D0FE7">
            <wp:extent cx="5731510" cy="2710468"/>
            <wp:effectExtent l="0" t="0" r="2540" b="1397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7777A7A" w14:textId="52520F8D" w:rsidR="00DF18F7" w:rsidRDefault="00DF18F7" w:rsidP="00DF18F7">
      <w:pPr>
        <w:rPr>
          <w:rFonts w:cs="Calibri"/>
          <w:color w:val="000000"/>
          <w:lang w:eastAsia="en-AU"/>
        </w:rPr>
      </w:pPr>
    </w:p>
    <w:p w14:paraId="00096FA2" w14:textId="03ED1FB2" w:rsidR="00DF18F7" w:rsidRDefault="00DF18F7" w:rsidP="00DF18F7">
      <w:pPr>
        <w:rPr>
          <w:rFonts w:cs="Calibri"/>
          <w:color w:val="000000"/>
          <w:lang w:eastAsia="en-AU"/>
        </w:rPr>
      </w:pPr>
      <w:r>
        <w:rPr>
          <w:rFonts w:cs="Calibri"/>
          <w:color w:val="000000"/>
          <w:lang w:eastAsia="en-AU"/>
        </w:rPr>
        <w:t>In this context</w:t>
      </w:r>
      <w:r w:rsidR="003A7770">
        <w:rPr>
          <w:rFonts w:cs="Calibri"/>
          <w:color w:val="000000"/>
          <w:lang w:eastAsia="en-AU"/>
        </w:rPr>
        <w:t>,</w:t>
      </w:r>
      <w:r>
        <w:rPr>
          <w:rFonts w:cs="Calibri"/>
          <w:color w:val="000000"/>
          <w:lang w:eastAsia="en-AU"/>
        </w:rPr>
        <w:t xml:space="preserve"> three challenges must be met:</w:t>
      </w:r>
    </w:p>
    <w:p w14:paraId="05052F4D" w14:textId="77777777" w:rsidR="00A74433" w:rsidRDefault="00A74433" w:rsidP="00DF18F7">
      <w:pPr>
        <w:rPr>
          <w:rFonts w:cs="Calibri"/>
          <w:color w:val="000000"/>
          <w:lang w:eastAsia="en-AU"/>
        </w:rPr>
      </w:pPr>
    </w:p>
    <w:p w14:paraId="050C59C5" w14:textId="77777777" w:rsidR="00DF18F7" w:rsidRDefault="00DF18F7" w:rsidP="00DF18F7">
      <w:pPr>
        <w:pStyle w:val="ListParagraph"/>
        <w:numPr>
          <w:ilvl w:val="0"/>
          <w:numId w:val="18"/>
        </w:numPr>
        <w:rPr>
          <w:rFonts w:cs="Calibri"/>
          <w:color w:val="000000"/>
          <w:lang w:eastAsia="en-AU"/>
        </w:rPr>
      </w:pPr>
      <w:r>
        <w:rPr>
          <w:rFonts w:cs="Calibri"/>
          <w:color w:val="000000"/>
          <w:lang w:eastAsia="en-AU"/>
        </w:rPr>
        <w:t>The affordability of private health needs to be improved</w:t>
      </w:r>
    </w:p>
    <w:p w14:paraId="45DC8BB9" w14:textId="7320541D" w:rsidR="00DF18F7" w:rsidRDefault="00DF18F7" w:rsidP="00DF18F7">
      <w:pPr>
        <w:pStyle w:val="ListParagraph"/>
        <w:numPr>
          <w:ilvl w:val="0"/>
          <w:numId w:val="18"/>
        </w:numPr>
        <w:rPr>
          <w:rFonts w:cs="Calibri"/>
          <w:color w:val="000000"/>
          <w:lang w:eastAsia="en-AU"/>
        </w:rPr>
      </w:pPr>
      <w:r>
        <w:rPr>
          <w:rFonts w:cs="Calibri"/>
          <w:color w:val="000000"/>
          <w:lang w:eastAsia="en-AU"/>
        </w:rPr>
        <w:t>Consumers and taxpayers need to be assured of value</w:t>
      </w:r>
    </w:p>
    <w:p w14:paraId="38E8FF55" w14:textId="03471CC9" w:rsidR="00DF18F7" w:rsidRPr="00657889" w:rsidRDefault="00DF18F7" w:rsidP="00DF18F7">
      <w:pPr>
        <w:pStyle w:val="ListParagraph"/>
        <w:numPr>
          <w:ilvl w:val="0"/>
          <w:numId w:val="18"/>
        </w:numPr>
        <w:rPr>
          <w:rFonts w:cs="Calibri"/>
          <w:color w:val="000000"/>
          <w:lang w:eastAsia="en-AU"/>
        </w:rPr>
      </w:pPr>
      <w:r>
        <w:rPr>
          <w:rFonts w:cs="Calibri"/>
          <w:color w:val="000000"/>
          <w:lang w:eastAsia="en-AU"/>
        </w:rPr>
        <w:t>The health sector, public and private, needs a workforce equipped for the future.</w:t>
      </w:r>
      <w:r w:rsidR="00E4600F">
        <w:rPr>
          <w:rFonts w:cs="Calibri"/>
          <w:color w:val="000000"/>
          <w:lang w:eastAsia="en-AU"/>
        </w:rPr>
        <w:br/>
      </w:r>
    </w:p>
    <w:p w14:paraId="34E80E23" w14:textId="77777777" w:rsidR="00DF18F7" w:rsidRDefault="00DF18F7" w:rsidP="00DF18F7">
      <w:r>
        <w:t>This submission outlines a comprehensive range of budget measures and other policy proposals to address each of these issues.</w:t>
      </w:r>
    </w:p>
    <w:p w14:paraId="6C21AE09" w14:textId="1F9AB3C0" w:rsidR="00DF18F7" w:rsidRDefault="00DF18F7" w:rsidP="00DF18F7">
      <w:pPr>
        <w:pStyle w:val="Heading2"/>
      </w:pPr>
      <w:bookmarkStart w:id="10" w:name="_Toc27494504"/>
      <w:bookmarkStart w:id="11" w:name="_Toc27494701"/>
      <w:bookmarkStart w:id="12" w:name="_Toc27664128"/>
      <w:r>
        <w:t>Affordability of private health needs to be improved</w:t>
      </w:r>
      <w:bookmarkEnd w:id="10"/>
      <w:bookmarkEnd w:id="11"/>
      <w:bookmarkEnd w:id="12"/>
    </w:p>
    <w:p w14:paraId="0CEE804E" w14:textId="77777777" w:rsidR="00A74433" w:rsidRPr="00A74433" w:rsidRDefault="00A74433" w:rsidP="00A74433"/>
    <w:p w14:paraId="23E38431" w14:textId="6CAB5B2C" w:rsidR="00DF18F7" w:rsidRDefault="00DF18F7" w:rsidP="00DF18F7">
      <w:pPr>
        <w:rPr>
          <w:lang w:eastAsia="en-AU"/>
        </w:rPr>
      </w:pPr>
      <w:r>
        <w:rPr>
          <w:lang w:eastAsia="en-AU"/>
        </w:rPr>
        <w:t xml:space="preserve">The policy measures introduced 20 years ago to ensure affordability of private health insurance </w:t>
      </w:r>
      <w:r w:rsidR="003A7770">
        <w:rPr>
          <w:lang w:eastAsia="en-AU"/>
        </w:rPr>
        <w:t>should</w:t>
      </w:r>
      <w:r>
        <w:rPr>
          <w:lang w:eastAsia="en-AU"/>
        </w:rPr>
        <w:t xml:space="preserve"> be reviewed.</w:t>
      </w:r>
    </w:p>
    <w:p w14:paraId="08836E11" w14:textId="77777777" w:rsidR="00A74433" w:rsidRDefault="00A74433" w:rsidP="00DF18F7">
      <w:pPr>
        <w:rPr>
          <w:lang w:eastAsia="en-AU"/>
        </w:rPr>
      </w:pPr>
    </w:p>
    <w:p w14:paraId="10E68CA0" w14:textId="1ADB259A" w:rsidR="00DF18F7" w:rsidRDefault="00DF18F7" w:rsidP="00DF18F7">
      <w:pPr>
        <w:rPr>
          <w:lang w:eastAsia="en-AU"/>
        </w:rPr>
      </w:pPr>
      <w:r>
        <w:rPr>
          <w:lang w:eastAsia="en-AU"/>
        </w:rPr>
        <w:t>Households in lower and middle</w:t>
      </w:r>
      <w:r w:rsidR="002F229A">
        <w:rPr>
          <w:lang w:eastAsia="en-AU"/>
        </w:rPr>
        <w:t>-</w:t>
      </w:r>
      <w:r>
        <w:rPr>
          <w:lang w:eastAsia="en-AU"/>
        </w:rPr>
        <w:t>income brackets need immediate relief from policy settings that penalise them unfairly with each annual premium increase.</w:t>
      </w:r>
    </w:p>
    <w:p w14:paraId="3C80853A" w14:textId="77777777" w:rsidR="00A74433" w:rsidRDefault="00A74433" w:rsidP="00DF18F7">
      <w:pPr>
        <w:rPr>
          <w:lang w:eastAsia="en-AU"/>
        </w:rPr>
      </w:pPr>
    </w:p>
    <w:p w14:paraId="5ACEE4B9" w14:textId="2896A786" w:rsidR="00DF18F7" w:rsidRDefault="00DF18F7" w:rsidP="00DF18F7">
      <w:pPr>
        <w:rPr>
          <w:lang w:eastAsia="en-AU"/>
        </w:rPr>
      </w:pPr>
      <w:r>
        <w:rPr>
          <w:lang w:eastAsia="en-AU"/>
        </w:rPr>
        <w:t>Policies that were previously effective have</w:t>
      </w:r>
      <w:r w:rsidR="002F229A">
        <w:rPr>
          <w:lang w:eastAsia="en-AU"/>
        </w:rPr>
        <w:t>,</w:t>
      </w:r>
      <w:r>
        <w:rPr>
          <w:lang w:eastAsia="en-AU"/>
        </w:rPr>
        <w:t xml:space="preserve"> over</w:t>
      </w:r>
      <w:r w:rsidR="00ED39B2">
        <w:rPr>
          <w:lang w:eastAsia="en-AU"/>
        </w:rPr>
        <w:t xml:space="preserve"> </w:t>
      </w:r>
      <w:r>
        <w:rPr>
          <w:lang w:eastAsia="en-AU"/>
        </w:rPr>
        <w:t>time</w:t>
      </w:r>
      <w:r w:rsidR="002F229A">
        <w:rPr>
          <w:lang w:eastAsia="en-AU"/>
        </w:rPr>
        <w:t>,</w:t>
      </w:r>
      <w:r>
        <w:rPr>
          <w:lang w:eastAsia="en-AU"/>
        </w:rPr>
        <w:t xml:space="preserve"> been rendered ineffective either through lack of indexation or by failure to adjust in response to social trends. In some instances, policies designed to incentivise uptake of private health insurance now act to block that choice.</w:t>
      </w:r>
    </w:p>
    <w:p w14:paraId="4E297AD4" w14:textId="77777777" w:rsidR="00DF18F7" w:rsidRDefault="00DF18F7" w:rsidP="00DF18F7">
      <w:pPr>
        <w:rPr>
          <w:lang w:eastAsia="en-AU"/>
        </w:rPr>
      </w:pPr>
    </w:p>
    <w:p w14:paraId="2859E6E4" w14:textId="6D37FDAF" w:rsidR="00DF18F7" w:rsidRDefault="00DF18F7" w:rsidP="00DF18F7">
      <w:pPr>
        <w:pStyle w:val="Heading2"/>
      </w:pPr>
      <w:bookmarkStart w:id="13" w:name="_Toc27494505"/>
      <w:bookmarkStart w:id="14" w:name="_Toc27494702"/>
      <w:bookmarkStart w:id="15" w:name="_Toc27664129"/>
      <w:r>
        <w:t>Consumers and taxpayers need to be assured of value</w:t>
      </w:r>
      <w:bookmarkEnd w:id="13"/>
      <w:bookmarkEnd w:id="14"/>
      <w:bookmarkEnd w:id="15"/>
      <w:r>
        <w:t xml:space="preserve"> </w:t>
      </w:r>
    </w:p>
    <w:p w14:paraId="180C033C" w14:textId="77777777" w:rsidR="00350432" w:rsidRPr="00350432" w:rsidRDefault="00350432" w:rsidP="00350432"/>
    <w:p w14:paraId="1B14545E" w14:textId="4A37485E" w:rsidR="00DF18F7" w:rsidRDefault="00DF18F7" w:rsidP="00DF18F7">
      <w:r>
        <w:t>Government, insurers and health service providers can work together to deliver greater value for consumers and taxpayers.</w:t>
      </w:r>
    </w:p>
    <w:p w14:paraId="45E0191D" w14:textId="77777777" w:rsidR="00350432" w:rsidRDefault="00350432" w:rsidP="00DF18F7"/>
    <w:p w14:paraId="60FA2A6A" w14:textId="69DD0325" w:rsidR="00DF18F7" w:rsidRDefault="00DF18F7" w:rsidP="00DF18F7">
      <w:pPr>
        <w:pStyle w:val="ListParagraph"/>
        <w:numPr>
          <w:ilvl w:val="0"/>
          <w:numId w:val="19"/>
        </w:numPr>
      </w:pPr>
      <w:r>
        <w:t>The M</w:t>
      </w:r>
      <w:r w:rsidR="002F229A">
        <w:t>edicare Benefits Schedule (M</w:t>
      </w:r>
      <w:r>
        <w:t>BS</w:t>
      </w:r>
      <w:r w:rsidR="002F229A">
        <w:t>)</w:t>
      </w:r>
      <w:r>
        <w:t xml:space="preserve"> Review is rightly reforming the benefits schedule and associated rules to reflect contemporary medical practice</w:t>
      </w:r>
    </w:p>
    <w:p w14:paraId="783A0157" w14:textId="337232B6" w:rsidR="00DF18F7" w:rsidRDefault="00DF18F7" w:rsidP="00DF18F7">
      <w:pPr>
        <w:pStyle w:val="ListParagraph"/>
        <w:numPr>
          <w:ilvl w:val="0"/>
          <w:numId w:val="19"/>
        </w:numPr>
      </w:pPr>
      <w:r>
        <w:rPr>
          <w:rFonts w:ascii="Calibri" w:hAnsi="Calibri" w:cs="Calibri"/>
          <w:color w:val="000000"/>
          <w:lang w:eastAsia="en-AU"/>
        </w:rPr>
        <w:t>T</w:t>
      </w:r>
      <w:r w:rsidRPr="0097316E">
        <w:rPr>
          <w:rFonts w:ascii="Calibri" w:hAnsi="Calibri" w:cs="Calibri"/>
          <w:color w:val="000000"/>
          <w:lang w:eastAsia="en-AU"/>
        </w:rPr>
        <w:t>he agreement between the Federal Government and the M</w:t>
      </w:r>
      <w:r w:rsidR="002F229A">
        <w:rPr>
          <w:rFonts w:ascii="Calibri" w:hAnsi="Calibri" w:cs="Calibri"/>
          <w:color w:val="000000"/>
          <w:lang w:eastAsia="en-AU"/>
        </w:rPr>
        <w:t>edical Technology Association of Australia (M</w:t>
      </w:r>
      <w:r w:rsidRPr="0097316E">
        <w:rPr>
          <w:rFonts w:ascii="Calibri" w:hAnsi="Calibri" w:cs="Calibri"/>
          <w:color w:val="000000"/>
          <w:lang w:eastAsia="en-AU"/>
        </w:rPr>
        <w:t>TAA</w:t>
      </w:r>
      <w:r w:rsidR="002F229A">
        <w:rPr>
          <w:rFonts w:ascii="Calibri" w:hAnsi="Calibri" w:cs="Calibri"/>
          <w:color w:val="000000"/>
          <w:lang w:eastAsia="en-AU"/>
        </w:rPr>
        <w:t>)</w:t>
      </w:r>
      <w:r>
        <w:rPr>
          <w:rFonts w:ascii="Calibri" w:hAnsi="Calibri" w:cs="Calibri"/>
          <w:color w:val="000000"/>
          <w:lang w:eastAsia="en-AU"/>
        </w:rPr>
        <w:t xml:space="preserve"> outlines a program of reform that needs to be followed through to ensure</w:t>
      </w:r>
      <w:r w:rsidRPr="002035F6">
        <w:t xml:space="preserve"> technologies are made available at a realistic price and the Prostheses List reflects changes in medical technology</w:t>
      </w:r>
    </w:p>
    <w:p w14:paraId="645268D4" w14:textId="7276BFEE" w:rsidR="00DF18F7" w:rsidRDefault="00DF18F7" w:rsidP="00DF18F7">
      <w:pPr>
        <w:pStyle w:val="ListParagraph"/>
        <w:numPr>
          <w:ilvl w:val="0"/>
          <w:numId w:val="19"/>
        </w:numPr>
      </w:pPr>
      <w:r>
        <w:t>Private health insurance benefits for treatment in a public hospital should only be claimable when the consumer has exercise</w:t>
      </w:r>
      <w:r w:rsidR="0055188D">
        <w:t>d</w:t>
      </w:r>
      <w:r>
        <w:t xml:space="preserve"> a free and fully informed choice</w:t>
      </w:r>
      <w:r w:rsidR="0055188D">
        <w:t>,</w:t>
      </w:r>
      <w:r>
        <w:t xml:space="preserve"> and informed financial consent</w:t>
      </w:r>
      <w:r w:rsidR="0055188D">
        <w:t>,</w:t>
      </w:r>
      <w:r>
        <w:t xml:space="preserve"> to access treatment that would not have been provided them as a public patient (e</w:t>
      </w:r>
      <w:r w:rsidR="002F229A">
        <w:t>.</w:t>
      </w:r>
      <w:r>
        <w:t>g</w:t>
      </w:r>
      <w:r w:rsidR="002F229A">
        <w:t>.</w:t>
      </w:r>
      <w:r>
        <w:t xml:space="preserve"> treatment by a doctor of their choice, not the doctor on call or assigned to them by the hospital)</w:t>
      </w:r>
      <w:r w:rsidR="0055188D">
        <w:t>.</w:t>
      </w:r>
      <w:r w:rsidR="00E4600F">
        <w:br/>
      </w:r>
    </w:p>
    <w:p w14:paraId="51520331" w14:textId="080FF285" w:rsidR="00DF18F7" w:rsidRDefault="0055188D" w:rsidP="00DF18F7">
      <w:r w:rsidRPr="0068151C">
        <w:t>I</w:t>
      </w:r>
      <w:r w:rsidR="00DF18F7" w:rsidRPr="0068151C">
        <w:t>nitiatives that</w:t>
      </w:r>
      <w:r w:rsidR="00DF18F7">
        <w:t xml:space="preserve"> help minimise the risk of potentially avoidable admission to hospital care focusing on key areas of risk</w:t>
      </w:r>
      <w:r>
        <w:t xml:space="preserve"> should be </w:t>
      </w:r>
      <w:r w:rsidR="0068151C">
        <w:t xml:space="preserve">more strongly </w:t>
      </w:r>
      <w:r>
        <w:t>incentivised</w:t>
      </w:r>
      <w:r w:rsidR="003A7770">
        <w:t>. These include</w:t>
      </w:r>
      <w:r>
        <w:t>:</w:t>
      </w:r>
    </w:p>
    <w:p w14:paraId="25BEDF6C" w14:textId="77777777" w:rsidR="00350432" w:rsidRDefault="00350432" w:rsidP="00DF18F7"/>
    <w:p w14:paraId="52513EE6" w14:textId="3AA4477E" w:rsidR="00DF18F7" w:rsidRDefault="0055188D" w:rsidP="00DF18F7">
      <w:pPr>
        <w:pStyle w:val="ListParagraph"/>
        <w:numPr>
          <w:ilvl w:val="0"/>
          <w:numId w:val="20"/>
        </w:numPr>
      </w:pPr>
      <w:r>
        <w:t>P</w:t>
      </w:r>
      <w:r w:rsidR="00DF18F7">
        <w:t>harmacy services for consumers during a hospital admission and immediately following discharge</w:t>
      </w:r>
    </w:p>
    <w:p w14:paraId="11E6DE11" w14:textId="779AE6C3" w:rsidR="00DF18F7" w:rsidRDefault="0055188D" w:rsidP="00DF18F7">
      <w:pPr>
        <w:pStyle w:val="ListParagraph"/>
        <w:numPr>
          <w:ilvl w:val="0"/>
          <w:numId w:val="20"/>
        </w:numPr>
      </w:pPr>
      <w:r>
        <w:t>R</w:t>
      </w:r>
      <w:r w:rsidR="00DF18F7">
        <w:t xml:space="preserve">ehabilitation </w:t>
      </w:r>
      <w:r w:rsidR="0068151C">
        <w:t xml:space="preserve">including rehabilitation-in-the-home </w:t>
      </w:r>
      <w:r w:rsidR="00DF18F7">
        <w:t xml:space="preserve">services for patients referred for specialist rehabilitation care either following an acute episode of care or to address functional impairment </w:t>
      </w:r>
    </w:p>
    <w:p w14:paraId="60E1E3DA" w14:textId="034C431D" w:rsidR="00DF18F7" w:rsidRDefault="0055188D" w:rsidP="00DF18F7">
      <w:pPr>
        <w:pStyle w:val="ListParagraph"/>
        <w:numPr>
          <w:ilvl w:val="0"/>
          <w:numId w:val="20"/>
        </w:numPr>
      </w:pPr>
      <w:r>
        <w:t>P</w:t>
      </w:r>
      <w:r w:rsidR="00DF18F7">
        <w:t>rompt and appropriate access to services for people with psychiatric conditions including:</w:t>
      </w:r>
    </w:p>
    <w:p w14:paraId="54EF0C71" w14:textId="1F538254" w:rsidR="00DF18F7" w:rsidRDefault="00DF18F7" w:rsidP="00DF18F7">
      <w:pPr>
        <w:pStyle w:val="ListParagraph"/>
        <w:numPr>
          <w:ilvl w:val="1"/>
          <w:numId w:val="20"/>
        </w:numPr>
      </w:pPr>
      <w:r>
        <w:t>outreach, day</w:t>
      </w:r>
      <w:r w:rsidR="0055188D">
        <w:t xml:space="preserve"> </w:t>
      </w:r>
      <w:r>
        <w:t>programs and community</w:t>
      </w:r>
      <w:r w:rsidR="0055188D">
        <w:t>-</w:t>
      </w:r>
      <w:r>
        <w:t>based services for people discharged from private hospital admitted patient care.</w:t>
      </w:r>
    </w:p>
    <w:p w14:paraId="71BD3A9E" w14:textId="6F56B01D" w:rsidR="00DF18F7" w:rsidRDefault="00DF18F7" w:rsidP="00DF18F7">
      <w:pPr>
        <w:pStyle w:val="ListParagraph"/>
        <w:numPr>
          <w:ilvl w:val="1"/>
          <w:numId w:val="20"/>
        </w:numPr>
      </w:pPr>
      <w:r>
        <w:t>access to medical and surgical treatment to address physical co-morbidities</w:t>
      </w:r>
    </w:p>
    <w:p w14:paraId="2D72CC2F" w14:textId="5B7927DB" w:rsidR="00DF18F7" w:rsidRDefault="0055188D" w:rsidP="00A41E70">
      <w:pPr>
        <w:pStyle w:val="ListParagraph"/>
        <w:numPr>
          <w:ilvl w:val="0"/>
          <w:numId w:val="20"/>
        </w:numPr>
      </w:pPr>
      <w:r>
        <w:t>P</w:t>
      </w:r>
      <w:r w:rsidR="00DF18F7">
        <w:t>alliative care services including home-based services.</w:t>
      </w:r>
      <w:r w:rsidR="00E4600F">
        <w:br/>
      </w:r>
    </w:p>
    <w:p w14:paraId="280FEEDB" w14:textId="2A6B1473" w:rsidR="00DF18F7" w:rsidRDefault="00DF18F7" w:rsidP="00DF18F7">
      <w:r>
        <w:t xml:space="preserve">The private health sector </w:t>
      </w:r>
      <w:r w:rsidR="0055188D">
        <w:t>should be</w:t>
      </w:r>
      <w:r>
        <w:t xml:space="preserve"> more transparent for consumers through the provision of:</w:t>
      </w:r>
    </w:p>
    <w:p w14:paraId="6DBF4ED4" w14:textId="77777777" w:rsidR="00350432" w:rsidRDefault="00350432" w:rsidP="00DF18F7"/>
    <w:p w14:paraId="0B5E56F4" w14:textId="0369A046" w:rsidR="00DF18F7" w:rsidRDefault="00DF18F7" w:rsidP="00DF18F7">
      <w:pPr>
        <w:pStyle w:val="ListParagraph"/>
        <w:numPr>
          <w:ilvl w:val="0"/>
          <w:numId w:val="21"/>
        </w:numPr>
      </w:pPr>
      <w:r>
        <w:t>Information on medical out</w:t>
      </w:r>
      <w:r w:rsidR="0055188D">
        <w:t>-</w:t>
      </w:r>
      <w:r>
        <w:t>of</w:t>
      </w:r>
      <w:r w:rsidR="0055188D">
        <w:t>-</w:t>
      </w:r>
      <w:r>
        <w:t>pocket costs</w:t>
      </w:r>
    </w:p>
    <w:p w14:paraId="0A9873D0" w14:textId="03FD84D1" w:rsidR="00DF18F7" w:rsidRDefault="00DF18F7" w:rsidP="00A41E70">
      <w:pPr>
        <w:pStyle w:val="ListParagraph"/>
        <w:numPr>
          <w:ilvl w:val="0"/>
          <w:numId w:val="21"/>
        </w:numPr>
      </w:pPr>
      <w:r>
        <w:t>The availability of independent information and advice for consumers</w:t>
      </w:r>
      <w:r w:rsidR="00E4600F">
        <w:t>.</w:t>
      </w:r>
      <w:r w:rsidR="00E4600F">
        <w:br/>
      </w:r>
    </w:p>
    <w:p w14:paraId="292A59E0" w14:textId="06A69BC2" w:rsidR="00DF18F7" w:rsidRDefault="0055188D" w:rsidP="00DF18F7">
      <w:r w:rsidRPr="007B0350">
        <w:t>G</w:t>
      </w:r>
      <w:r w:rsidR="00DF18F7" w:rsidRPr="007B0350">
        <w:t>overnment</w:t>
      </w:r>
      <w:r w:rsidR="007B0350">
        <w:t xml:space="preserve"> </w:t>
      </w:r>
      <w:r w:rsidR="00DF18F7">
        <w:t>enabled systems on which the sector relies in order to deliver value to consumers</w:t>
      </w:r>
      <w:r>
        <w:t xml:space="preserve"> requires further investment</w:t>
      </w:r>
      <w:r w:rsidR="00DF18F7">
        <w:t>:</w:t>
      </w:r>
    </w:p>
    <w:p w14:paraId="73737865" w14:textId="77777777" w:rsidR="00350432" w:rsidRDefault="00350432" w:rsidP="00DF18F7"/>
    <w:p w14:paraId="58C6AC22" w14:textId="4C50DF52" w:rsidR="00DF18F7" w:rsidRDefault="00DF18F7" w:rsidP="00DF18F7">
      <w:pPr>
        <w:pStyle w:val="ListParagraph"/>
        <w:numPr>
          <w:ilvl w:val="0"/>
          <w:numId w:val="22"/>
        </w:numPr>
      </w:pPr>
      <w:r>
        <w:t>The ECLISPE system supported by the Department of Human Services</w:t>
      </w:r>
    </w:p>
    <w:p w14:paraId="58C6724F" w14:textId="38D3A0A3" w:rsidR="00DF18F7" w:rsidRDefault="00DF18F7" w:rsidP="00DF18F7">
      <w:pPr>
        <w:pStyle w:val="ListParagraph"/>
        <w:numPr>
          <w:ilvl w:val="0"/>
          <w:numId w:val="22"/>
        </w:numPr>
      </w:pPr>
      <w:r>
        <w:t>My</w:t>
      </w:r>
      <w:r w:rsidR="003A7770">
        <w:t xml:space="preserve"> </w:t>
      </w:r>
      <w:r>
        <w:t>Health Record.</w:t>
      </w:r>
    </w:p>
    <w:p w14:paraId="501C385C" w14:textId="77777777" w:rsidR="00DF18F7" w:rsidRDefault="00DF18F7" w:rsidP="00DF18F7"/>
    <w:p w14:paraId="0BD18910" w14:textId="77777777" w:rsidR="00E4600F" w:rsidRDefault="00E4600F">
      <w:pPr>
        <w:spacing w:after="200" w:line="276" w:lineRule="auto"/>
        <w:rPr>
          <w:rFonts w:eastAsiaTheme="majorEastAsia" w:cstheme="majorBidi"/>
          <w:b/>
          <w:bCs/>
          <w:sz w:val="28"/>
          <w:szCs w:val="26"/>
        </w:rPr>
      </w:pPr>
      <w:r>
        <w:br w:type="page"/>
      </w:r>
    </w:p>
    <w:p w14:paraId="65AAFE55" w14:textId="4202388D" w:rsidR="00DF18F7" w:rsidRDefault="00DF18F7" w:rsidP="00DF18F7">
      <w:pPr>
        <w:pStyle w:val="Heading2"/>
      </w:pPr>
      <w:bookmarkStart w:id="16" w:name="_Toc27494506"/>
      <w:bookmarkStart w:id="17" w:name="_Toc27494703"/>
      <w:bookmarkStart w:id="18" w:name="_Toc27664130"/>
      <w:r w:rsidRPr="0099360E">
        <w:t>The health</w:t>
      </w:r>
      <w:r>
        <w:t xml:space="preserve"> </w:t>
      </w:r>
      <w:r w:rsidRPr="0099360E">
        <w:t>sector needs a workforce equipped for the future</w:t>
      </w:r>
      <w:bookmarkEnd w:id="16"/>
      <w:bookmarkEnd w:id="17"/>
      <w:bookmarkEnd w:id="18"/>
    </w:p>
    <w:p w14:paraId="6A4053A9" w14:textId="77777777" w:rsidR="00350432" w:rsidRPr="00350432" w:rsidRDefault="00350432" w:rsidP="00350432"/>
    <w:p w14:paraId="53D840FF" w14:textId="435ED3F3" w:rsidR="00DF18F7" w:rsidRDefault="00DF18F7" w:rsidP="00DF18F7">
      <w:pPr>
        <w:rPr>
          <w:rFonts w:ascii="Calibri" w:hAnsi="Calibri" w:cs="Calibri"/>
          <w:color w:val="000000"/>
          <w:lang w:eastAsia="en-AU"/>
        </w:rPr>
      </w:pPr>
      <w:r w:rsidRPr="008567F6">
        <w:rPr>
          <w:rFonts w:ascii="Calibri" w:hAnsi="Calibri" w:cs="Calibri"/>
          <w:color w:val="000000"/>
          <w:lang w:eastAsia="en-AU"/>
        </w:rPr>
        <w:t>University and vocational education and training enrolments</w:t>
      </w:r>
      <w:r w:rsidR="002D69D2">
        <w:rPr>
          <w:rFonts w:ascii="Calibri" w:hAnsi="Calibri" w:cs="Calibri"/>
          <w:color w:val="000000"/>
          <w:lang w:eastAsia="en-AU"/>
        </w:rPr>
        <w:t xml:space="preserve"> for medical, nursing and allied health professions are at an all-time high.</w:t>
      </w:r>
      <w:r w:rsidRPr="008567F6">
        <w:rPr>
          <w:rFonts w:ascii="Calibri" w:hAnsi="Calibri" w:cs="Calibri"/>
          <w:color w:val="000000"/>
          <w:lang w:eastAsia="en-AU"/>
        </w:rPr>
        <w:t xml:space="preserve"> However, these graduates will be unable to enter their intended professions without adequate access to clinical placements.</w:t>
      </w:r>
    </w:p>
    <w:p w14:paraId="48915C0A" w14:textId="77777777" w:rsidR="00350432" w:rsidRDefault="00350432" w:rsidP="00DF18F7">
      <w:pPr>
        <w:rPr>
          <w:rFonts w:ascii="Calibri" w:hAnsi="Calibri" w:cs="Calibri"/>
          <w:color w:val="000000"/>
          <w:lang w:eastAsia="en-AU"/>
        </w:rPr>
      </w:pPr>
    </w:p>
    <w:p w14:paraId="4DABA344" w14:textId="24A78452" w:rsidR="00DF18F7" w:rsidRDefault="00DF18F7" w:rsidP="00DF18F7">
      <w:pPr>
        <w:rPr>
          <w:rFonts w:ascii="Calibri" w:hAnsi="Calibri" w:cs="Calibri"/>
          <w:color w:val="000000"/>
          <w:lang w:eastAsia="en-AU"/>
        </w:rPr>
      </w:pPr>
      <w:r>
        <w:rPr>
          <w:rFonts w:ascii="Calibri" w:hAnsi="Calibri" w:cs="Calibri"/>
          <w:color w:val="000000"/>
          <w:lang w:eastAsia="en-AU"/>
        </w:rPr>
        <w:t>T</w:t>
      </w:r>
      <w:r w:rsidRPr="00E763BA">
        <w:rPr>
          <w:rFonts w:ascii="Calibri" w:hAnsi="Calibri" w:cs="Calibri"/>
          <w:color w:val="000000"/>
          <w:lang w:eastAsia="en-AU"/>
        </w:rPr>
        <w:t xml:space="preserve">he </w:t>
      </w:r>
      <w:r>
        <w:rPr>
          <w:rFonts w:ascii="Calibri" w:hAnsi="Calibri" w:cs="Calibri"/>
          <w:color w:val="000000"/>
          <w:lang w:eastAsia="en-AU"/>
        </w:rPr>
        <w:t xml:space="preserve">recently completed </w:t>
      </w:r>
      <w:r w:rsidRPr="00E763BA">
        <w:rPr>
          <w:rFonts w:ascii="Calibri" w:hAnsi="Calibri" w:cs="Calibri"/>
          <w:color w:val="000000"/>
          <w:lang w:eastAsia="en-AU"/>
        </w:rPr>
        <w:t>independent review of nursing education conducted by Emeritus Professor Steven Schwartz AM</w:t>
      </w:r>
      <w:r>
        <w:rPr>
          <w:rFonts w:ascii="Calibri" w:hAnsi="Calibri" w:cs="Calibri"/>
          <w:color w:val="000000"/>
          <w:lang w:eastAsia="en-AU"/>
        </w:rPr>
        <w:t xml:space="preserve"> for the Federal Government has strongly recommended a greater emphasis and more funding</w:t>
      </w:r>
      <w:r w:rsidR="002D69D2">
        <w:rPr>
          <w:rFonts w:ascii="Calibri" w:hAnsi="Calibri" w:cs="Calibri"/>
          <w:color w:val="000000"/>
          <w:lang w:eastAsia="en-AU"/>
        </w:rPr>
        <w:t>,</w:t>
      </w:r>
      <w:r>
        <w:rPr>
          <w:rFonts w:ascii="Calibri" w:hAnsi="Calibri" w:cs="Calibri"/>
          <w:color w:val="000000"/>
          <w:lang w:eastAsia="en-AU"/>
        </w:rPr>
        <w:t xml:space="preserve"> for clinical placements in nursing education</w:t>
      </w:r>
      <w:r>
        <w:rPr>
          <w:rStyle w:val="FootnoteReference"/>
          <w:rFonts w:ascii="Calibri" w:hAnsi="Calibri" w:cs="Calibri"/>
          <w:color w:val="000000"/>
        </w:rPr>
        <w:footnoteReference w:id="8"/>
      </w:r>
      <w:r>
        <w:rPr>
          <w:rFonts w:ascii="Calibri" w:hAnsi="Calibri" w:cs="Calibri"/>
          <w:color w:val="000000"/>
          <w:lang w:eastAsia="en-AU"/>
        </w:rPr>
        <w:t>.</w:t>
      </w:r>
    </w:p>
    <w:p w14:paraId="1456457A" w14:textId="77777777" w:rsidR="00350432" w:rsidRDefault="00350432" w:rsidP="00DF18F7">
      <w:pPr>
        <w:rPr>
          <w:rFonts w:ascii="Calibri" w:hAnsi="Calibri" w:cs="Calibri"/>
          <w:color w:val="000000"/>
          <w:lang w:eastAsia="en-AU"/>
        </w:rPr>
      </w:pPr>
    </w:p>
    <w:p w14:paraId="30666887" w14:textId="7DAE2C79" w:rsidR="00DF18F7" w:rsidRDefault="00DF18F7" w:rsidP="00DF18F7">
      <w:pPr>
        <w:rPr>
          <w:rFonts w:ascii="Calibri" w:hAnsi="Calibri" w:cs="Calibri"/>
          <w:color w:val="000000"/>
          <w:lang w:eastAsia="en-AU"/>
        </w:rPr>
      </w:pPr>
      <w:r>
        <w:rPr>
          <w:rFonts w:ascii="Calibri" w:hAnsi="Calibri" w:cs="Calibri"/>
          <w:color w:val="000000"/>
          <w:lang w:eastAsia="en-AU"/>
        </w:rPr>
        <w:t xml:space="preserve">Skilled migration remains a crucial mechanism of last resort in meeting urgent skill shortages. </w:t>
      </w:r>
      <w:r w:rsidR="002D69D2" w:rsidRPr="009275F7">
        <w:rPr>
          <w:rFonts w:ascii="Calibri" w:hAnsi="Calibri" w:cs="Calibri"/>
          <w:color w:val="000000"/>
          <w:lang w:eastAsia="en-AU"/>
        </w:rPr>
        <w:t>Reforming s</w:t>
      </w:r>
      <w:r w:rsidRPr="009275F7">
        <w:rPr>
          <w:rFonts w:ascii="Calibri" w:hAnsi="Calibri" w:cs="Calibri"/>
          <w:color w:val="000000"/>
          <w:lang w:eastAsia="en-AU"/>
        </w:rPr>
        <w:t>killed</w:t>
      </w:r>
      <w:r w:rsidRPr="008567F6">
        <w:rPr>
          <w:rFonts w:ascii="Calibri" w:hAnsi="Calibri" w:cs="Calibri"/>
          <w:color w:val="000000"/>
          <w:lang w:eastAsia="en-AU"/>
        </w:rPr>
        <w:t xml:space="preserve"> migration regulations </w:t>
      </w:r>
      <w:r w:rsidR="002D69D2">
        <w:rPr>
          <w:rFonts w:ascii="Calibri" w:hAnsi="Calibri" w:cs="Calibri"/>
          <w:color w:val="000000"/>
          <w:lang w:eastAsia="en-AU"/>
        </w:rPr>
        <w:t xml:space="preserve">will </w:t>
      </w:r>
      <w:r w:rsidRPr="008567F6">
        <w:rPr>
          <w:rFonts w:ascii="Calibri" w:hAnsi="Calibri" w:cs="Calibri"/>
          <w:color w:val="000000"/>
          <w:lang w:eastAsia="en-AU"/>
        </w:rPr>
        <w:t xml:space="preserve">reduce the cost and complexity involved in recruiting skilled and experienced clinicians to positions </w:t>
      </w:r>
      <w:r w:rsidR="002D69D2">
        <w:rPr>
          <w:rFonts w:ascii="Calibri" w:hAnsi="Calibri" w:cs="Calibri"/>
          <w:color w:val="000000"/>
          <w:lang w:eastAsia="en-AU"/>
        </w:rPr>
        <w:t>that</w:t>
      </w:r>
      <w:r w:rsidRPr="008567F6">
        <w:rPr>
          <w:rFonts w:ascii="Calibri" w:hAnsi="Calibri" w:cs="Calibri"/>
          <w:color w:val="000000"/>
          <w:lang w:eastAsia="en-AU"/>
        </w:rPr>
        <w:t xml:space="preserve"> Australian graduates</w:t>
      </w:r>
      <w:r w:rsidR="002D69D2">
        <w:rPr>
          <w:rFonts w:ascii="Calibri" w:hAnsi="Calibri" w:cs="Calibri"/>
          <w:color w:val="000000"/>
          <w:lang w:eastAsia="en-AU"/>
        </w:rPr>
        <w:t xml:space="preserve"> cannot fill</w:t>
      </w:r>
      <w:r w:rsidRPr="008567F6">
        <w:rPr>
          <w:rFonts w:ascii="Calibri" w:hAnsi="Calibri" w:cs="Calibri"/>
          <w:color w:val="000000"/>
          <w:lang w:eastAsia="en-AU"/>
        </w:rPr>
        <w:t>.</w:t>
      </w:r>
    </w:p>
    <w:p w14:paraId="60F3E6CD" w14:textId="77777777" w:rsidR="00350432" w:rsidRPr="008567F6" w:rsidRDefault="00350432" w:rsidP="00DF18F7">
      <w:pPr>
        <w:rPr>
          <w:rFonts w:ascii="Calibri" w:hAnsi="Calibri" w:cs="Calibri"/>
          <w:color w:val="000000"/>
          <w:lang w:eastAsia="en-AU"/>
        </w:rPr>
      </w:pPr>
    </w:p>
    <w:p w14:paraId="63C4D77C" w14:textId="104FC34D" w:rsidR="00DF18F7" w:rsidRPr="008567F6" w:rsidRDefault="00DF18F7" w:rsidP="00DF18F7">
      <w:pPr>
        <w:pStyle w:val="ListParagraph"/>
        <w:numPr>
          <w:ilvl w:val="0"/>
          <w:numId w:val="15"/>
        </w:numPr>
        <w:rPr>
          <w:rFonts w:ascii="Calibri" w:hAnsi="Calibri" w:cs="Calibri"/>
          <w:color w:val="000000"/>
          <w:lang w:eastAsia="en-AU"/>
        </w:rPr>
      </w:pPr>
      <w:r w:rsidRPr="008567F6">
        <w:rPr>
          <w:rFonts w:ascii="Calibri" w:hAnsi="Calibri" w:cs="Calibri"/>
          <w:color w:val="000000"/>
          <w:lang w:eastAsia="en-AU"/>
        </w:rPr>
        <w:t xml:space="preserve">The charges to employers need to </w:t>
      </w:r>
      <w:r w:rsidR="002D69D2">
        <w:rPr>
          <w:rFonts w:ascii="Calibri" w:hAnsi="Calibri" w:cs="Calibri"/>
          <w:color w:val="000000"/>
          <w:lang w:eastAsia="en-AU"/>
        </w:rPr>
        <w:t xml:space="preserve">be </w:t>
      </w:r>
      <w:r w:rsidRPr="008567F6">
        <w:rPr>
          <w:rFonts w:ascii="Calibri" w:hAnsi="Calibri" w:cs="Calibri"/>
          <w:color w:val="000000"/>
          <w:lang w:eastAsia="en-AU"/>
        </w:rPr>
        <w:t>reduced</w:t>
      </w:r>
    </w:p>
    <w:p w14:paraId="118BA517" w14:textId="06807E36" w:rsidR="00DF18F7" w:rsidRPr="008567F6" w:rsidRDefault="00DF18F7" w:rsidP="00DF18F7">
      <w:pPr>
        <w:pStyle w:val="ListParagraph"/>
        <w:numPr>
          <w:ilvl w:val="0"/>
          <w:numId w:val="15"/>
        </w:numPr>
        <w:rPr>
          <w:rFonts w:ascii="Calibri" w:hAnsi="Calibri" w:cs="Calibri"/>
          <w:color w:val="000000"/>
          <w:lang w:eastAsia="en-AU"/>
        </w:rPr>
      </w:pPr>
      <w:r w:rsidRPr="008567F6">
        <w:rPr>
          <w:rFonts w:ascii="Calibri" w:hAnsi="Calibri" w:cs="Calibri"/>
          <w:color w:val="000000"/>
          <w:lang w:eastAsia="en-AU"/>
        </w:rPr>
        <w:t xml:space="preserve">Pathways to permanent residency for highly skilled employees </w:t>
      </w:r>
      <w:r w:rsidR="00293BFA">
        <w:rPr>
          <w:rFonts w:ascii="Calibri" w:hAnsi="Calibri" w:cs="Calibri"/>
          <w:color w:val="000000"/>
          <w:lang w:eastAsia="en-AU"/>
        </w:rPr>
        <w:t>should</w:t>
      </w:r>
      <w:r w:rsidRPr="008567F6">
        <w:rPr>
          <w:rFonts w:ascii="Calibri" w:hAnsi="Calibri" w:cs="Calibri"/>
          <w:color w:val="000000"/>
          <w:lang w:eastAsia="en-AU"/>
        </w:rPr>
        <w:t xml:space="preserve"> be restored</w:t>
      </w:r>
    </w:p>
    <w:p w14:paraId="35490C31" w14:textId="77777777" w:rsidR="00DF18F7" w:rsidRPr="008567F6" w:rsidRDefault="00DF18F7" w:rsidP="00DF18F7">
      <w:pPr>
        <w:pStyle w:val="ListParagraph"/>
        <w:numPr>
          <w:ilvl w:val="0"/>
          <w:numId w:val="15"/>
        </w:numPr>
        <w:rPr>
          <w:rFonts w:ascii="Calibri" w:hAnsi="Calibri" w:cs="Calibri"/>
          <w:color w:val="000000"/>
          <w:lang w:eastAsia="en-AU"/>
        </w:rPr>
      </w:pPr>
      <w:r w:rsidRPr="008567F6">
        <w:rPr>
          <w:rFonts w:ascii="Calibri" w:hAnsi="Calibri" w:cs="Calibri"/>
          <w:color w:val="000000"/>
          <w:lang w:eastAsia="en-AU"/>
        </w:rPr>
        <w:t>Government investment in training and workforce development needs to align with skill shortages.</w:t>
      </w:r>
    </w:p>
    <w:p w14:paraId="4E658D6A" w14:textId="171C6265" w:rsidR="00E4600F" w:rsidRDefault="00E4600F">
      <w:pPr>
        <w:spacing w:after="200" w:line="276" w:lineRule="auto"/>
      </w:pPr>
      <w:r>
        <w:br w:type="page"/>
      </w:r>
    </w:p>
    <w:tbl>
      <w:tblPr>
        <w:tblStyle w:val="TableGrid"/>
        <w:tblW w:w="0" w:type="auto"/>
        <w:tblLook w:val="04A0" w:firstRow="1" w:lastRow="0" w:firstColumn="1" w:lastColumn="0" w:noHBand="0" w:noVBand="1"/>
      </w:tblPr>
      <w:tblGrid>
        <w:gridCol w:w="9209"/>
      </w:tblGrid>
      <w:tr w:rsidR="00DF18F7" w14:paraId="3121F988" w14:textId="77777777" w:rsidTr="00970018">
        <w:tc>
          <w:tcPr>
            <w:tcW w:w="9209" w:type="dxa"/>
          </w:tcPr>
          <w:p w14:paraId="28EEFEA4" w14:textId="2FB07DEE" w:rsidR="00DF18F7" w:rsidRDefault="00DF18F7" w:rsidP="00A41E70">
            <w:pPr>
              <w:pStyle w:val="Heading2"/>
              <w:outlineLvl w:val="1"/>
              <w:rPr>
                <w:bCs w:val="0"/>
              </w:rPr>
            </w:pPr>
            <w:bookmarkStart w:id="19" w:name="_Toc27494507"/>
            <w:bookmarkStart w:id="20" w:name="_Toc27494704"/>
            <w:bookmarkStart w:id="21" w:name="_Toc27664131"/>
            <w:r w:rsidRPr="00A41E70">
              <w:rPr>
                <w:bCs w:val="0"/>
              </w:rPr>
              <w:t>Key budget measures outlined in this submission</w:t>
            </w:r>
            <w:bookmarkEnd w:id="19"/>
            <w:bookmarkEnd w:id="20"/>
            <w:bookmarkEnd w:id="21"/>
          </w:p>
          <w:p w14:paraId="20DBE031" w14:textId="77777777" w:rsidR="00350432" w:rsidRPr="00350432" w:rsidRDefault="00350432" w:rsidP="00350432"/>
          <w:p w14:paraId="53179072" w14:textId="293D65F2" w:rsidR="00970018" w:rsidRPr="00D94B35" w:rsidRDefault="00DF18F7" w:rsidP="00284268">
            <w:pPr>
              <w:pStyle w:val="ListParagraph"/>
              <w:numPr>
                <w:ilvl w:val="0"/>
                <w:numId w:val="29"/>
              </w:numPr>
              <w:rPr>
                <w:lang w:eastAsia="en-AU"/>
              </w:rPr>
            </w:pPr>
            <w:bookmarkStart w:id="22" w:name="_Toc27494508"/>
            <w:bookmarkStart w:id="23" w:name="_Toc27494705"/>
            <w:r w:rsidRPr="00A41E70">
              <w:rPr>
                <w:rStyle w:val="Heading3Char"/>
              </w:rPr>
              <w:t>Restore of the Private Health Insurance Rebate to 30</w:t>
            </w:r>
            <w:r w:rsidR="00A41E70" w:rsidRPr="00A41E70">
              <w:rPr>
                <w:rStyle w:val="Heading3Char"/>
              </w:rPr>
              <w:t xml:space="preserve"> percent</w:t>
            </w:r>
            <w:r w:rsidRPr="00A41E70">
              <w:rPr>
                <w:rStyle w:val="Heading3Char"/>
              </w:rPr>
              <w:t xml:space="preserve"> for households in the lowest income tier</w:t>
            </w:r>
            <w:r w:rsidR="00A41E70" w:rsidRPr="00A41E70">
              <w:rPr>
                <w:rStyle w:val="Heading3Char"/>
              </w:rPr>
              <w:t>.</w:t>
            </w:r>
            <w:bookmarkEnd w:id="22"/>
            <w:bookmarkEnd w:id="23"/>
            <w:r w:rsidR="00970018">
              <w:rPr>
                <w:rStyle w:val="Heading3Char"/>
              </w:rPr>
              <w:br/>
            </w:r>
            <w:r>
              <w:rPr>
                <w:lang w:eastAsia="en-AU"/>
              </w:rPr>
              <w:t>Restor</w:t>
            </w:r>
            <w:r w:rsidR="00992DE5">
              <w:rPr>
                <w:lang w:eastAsia="en-AU"/>
              </w:rPr>
              <w:t>ing</w:t>
            </w:r>
            <w:r w:rsidRPr="00D94B35">
              <w:rPr>
                <w:lang w:eastAsia="en-AU"/>
              </w:rPr>
              <w:t xml:space="preserve"> the rebate for households</w:t>
            </w:r>
            <w:r>
              <w:rPr>
                <w:lang w:eastAsia="en-AU"/>
              </w:rPr>
              <w:t xml:space="preserve"> in the lowest </w:t>
            </w:r>
            <w:r w:rsidRPr="009275F7">
              <w:rPr>
                <w:rStyle w:val="Heading3Char"/>
                <w:b w:val="0"/>
              </w:rPr>
              <w:t>income</w:t>
            </w:r>
            <w:r>
              <w:rPr>
                <w:lang w:eastAsia="en-AU"/>
              </w:rPr>
              <w:t xml:space="preserve"> tier to</w:t>
            </w:r>
            <w:r w:rsidRPr="00D94B35">
              <w:rPr>
                <w:lang w:eastAsia="en-AU"/>
              </w:rPr>
              <w:t xml:space="preserve"> </w:t>
            </w:r>
            <w:r>
              <w:rPr>
                <w:lang w:eastAsia="en-AU"/>
              </w:rPr>
              <w:t>2013-14 levels</w:t>
            </w:r>
            <w:r w:rsidR="002D69D2">
              <w:rPr>
                <w:lang w:eastAsia="en-AU"/>
              </w:rPr>
              <w:t>:</w:t>
            </w:r>
            <w:r>
              <w:rPr>
                <w:lang w:eastAsia="en-AU"/>
              </w:rPr>
              <w:t xml:space="preserve"> </w:t>
            </w:r>
            <w:r w:rsidRPr="00D94B35">
              <w:rPr>
                <w:lang w:eastAsia="en-AU"/>
              </w:rPr>
              <w:t>30</w:t>
            </w:r>
            <w:r w:rsidR="00A41E70">
              <w:rPr>
                <w:lang w:eastAsia="en-AU"/>
              </w:rPr>
              <w:t xml:space="preserve"> percent </w:t>
            </w:r>
            <w:r w:rsidR="002D69D2">
              <w:rPr>
                <w:lang w:eastAsia="en-AU"/>
              </w:rPr>
              <w:t xml:space="preserve">for </w:t>
            </w:r>
            <w:r w:rsidRPr="00D94B35">
              <w:rPr>
                <w:lang w:eastAsia="en-AU"/>
              </w:rPr>
              <w:t>under 65 year olds</w:t>
            </w:r>
            <w:r w:rsidR="002D69D2">
              <w:rPr>
                <w:lang w:eastAsia="en-AU"/>
              </w:rPr>
              <w:t xml:space="preserve">; </w:t>
            </w:r>
            <w:r w:rsidRPr="00D94B35">
              <w:rPr>
                <w:lang w:eastAsia="en-AU"/>
              </w:rPr>
              <w:t>35</w:t>
            </w:r>
            <w:r w:rsidR="00A41E70">
              <w:rPr>
                <w:lang w:eastAsia="en-AU"/>
              </w:rPr>
              <w:t xml:space="preserve"> percent</w:t>
            </w:r>
            <w:r w:rsidRPr="00D94B35">
              <w:rPr>
                <w:lang w:eastAsia="en-AU"/>
              </w:rPr>
              <w:t xml:space="preserve"> for 65-69 year olds and 40</w:t>
            </w:r>
            <w:r w:rsidR="00A41E70">
              <w:rPr>
                <w:lang w:eastAsia="en-AU"/>
              </w:rPr>
              <w:t xml:space="preserve"> percent </w:t>
            </w:r>
            <w:r w:rsidRPr="00D94B35">
              <w:rPr>
                <w:lang w:eastAsia="en-AU"/>
              </w:rPr>
              <w:t>for 70 year olds</w:t>
            </w:r>
            <w:r w:rsidR="002D69D2">
              <w:rPr>
                <w:lang w:eastAsia="en-AU"/>
              </w:rPr>
              <w:t>,</w:t>
            </w:r>
            <w:r w:rsidRPr="00D94B35">
              <w:rPr>
                <w:lang w:eastAsia="en-AU"/>
              </w:rPr>
              <w:t xml:space="preserve"> would effectively reduce premiums for these household</w:t>
            </w:r>
            <w:r w:rsidR="00C84F09">
              <w:rPr>
                <w:lang w:eastAsia="en-AU"/>
              </w:rPr>
              <w:t>s</w:t>
            </w:r>
            <w:r w:rsidRPr="00D94B35">
              <w:rPr>
                <w:lang w:eastAsia="en-AU"/>
              </w:rPr>
              <w:t xml:space="preserve"> by between 2.92</w:t>
            </w:r>
            <w:r w:rsidR="00A41E70">
              <w:rPr>
                <w:lang w:eastAsia="en-AU"/>
              </w:rPr>
              <w:t xml:space="preserve"> percent</w:t>
            </w:r>
            <w:r w:rsidRPr="00D94B35">
              <w:rPr>
                <w:lang w:eastAsia="en-AU"/>
              </w:rPr>
              <w:t xml:space="preserve"> and 4.57</w:t>
            </w:r>
            <w:r w:rsidR="00A41E70">
              <w:rPr>
                <w:lang w:eastAsia="en-AU"/>
              </w:rPr>
              <w:t xml:space="preserve"> percent</w:t>
            </w:r>
            <w:r w:rsidRPr="00D94B35">
              <w:rPr>
                <w:lang w:eastAsia="en-AU"/>
              </w:rPr>
              <w:t>. Cost</w:t>
            </w:r>
            <w:r>
              <w:rPr>
                <w:lang w:eastAsia="en-AU"/>
              </w:rPr>
              <w:t>:</w:t>
            </w:r>
            <w:r w:rsidRPr="00D94B35">
              <w:rPr>
                <w:lang w:eastAsia="en-AU"/>
              </w:rPr>
              <w:t xml:space="preserve"> $1</w:t>
            </w:r>
            <w:r>
              <w:rPr>
                <w:lang w:eastAsia="en-AU"/>
              </w:rPr>
              <w:t>.4</w:t>
            </w:r>
            <w:r w:rsidRPr="00D94B35">
              <w:rPr>
                <w:lang w:eastAsia="en-AU"/>
              </w:rPr>
              <w:t xml:space="preserve"> billion</w:t>
            </w:r>
            <w:r>
              <w:rPr>
                <w:lang w:eastAsia="en-AU"/>
              </w:rPr>
              <w:t xml:space="preserve"> in 2020-21</w:t>
            </w:r>
            <w:r w:rsidR="00E4600F">
              <w:rPr>
                <w:lang w:eastAsia="en-AU"/>
              </w:rPr>
              <w:t>.</w:t>
            </w:r>
            <w:r w:rsidR="00970018">
              <w:rPr>
                <w:lang w:eastAsia="en-AU"/>
              </w:rPr>
              <w:br/>
            </w:r>
          </w:p>
          <w:p w14:paraId="5717B14B" w14:textId="2888B4A1" w:rsidR="00DF18F7" w:rsidRPr="00992DE5" w:rsidRDefault="00293BFA" w:rsidP="00970018">
            <w:pPr>
              <w:pStyle w:val="ListParagraph"/>
              <w:numPr>
                <w:ilvl w:val="0"/>
                <w:numId w:val="29"/>
              </w:numPr>
              <w:ind w:left="357" w:hanging="357"/>
              <w:rPr>
                <w:rStyle w:val="Heading3Char"/>
              </w:rPr>
            </w:pPr>
            <w:bookmarkStart w:id="24" w:name="_Toc27494509"/>
            <w:bookmarkStart w:id="25" w:name="_Toc27494706"/>
            <w:r>
              <w:rPr>
                <w:rStyle w:val="Heading3Char"/>
              </w:rPr>
              <w:t>Increase the</w:t>
            </w:r>
            <w:r w:rsidR="00DF18F7" w:rsidRPr="00992DE5">
              <w:rPr>
                <w:rStyle w:val="Heading3Char"/>
              </w:rPr>
              <w:t xml:space="preserve"> Medicare Surcharge Levy</w:t>
            </w:r>
            <w:bookmarkEnd w:id="24"/>
            <w:bookmarkEnd w:id="25"/>
          </w:p>
          <w:p w14:paraId="73ACBB3B" w14:textId="08D6750C" w:rsidR="00DF18F7" w:rsidRDefault="00DF18F7" w:rsidP="00970018">
            <w:pPr>
              <w:ind w:left="360"/>
              <w:rPr>
                <w:rStyle w:val="Heading3Char"/>
                <w:b w:val="0"/>
              </w:rPr>
            </w:pPr>
            <w:bookmarkStart w:id="26" w:name="_Toc27494510"/>
            <w:bookmarkStart w:id="27" w:name="_Toc27494707"/>
            <w:r>
              <w:rPr>
                <w:rStyle w:val="Heading3Char"/>
                <w:b w:val="0"/>
              </w:rPr>
              <w:t>Doubling</w:t>
            </w:r>
            <w:r w:rsidRPr="001E2A0D">
              <w:rPr>
                <w:rStyle w:val="Heading3Char"/>
                <w:b w:val="0"/>
              </w:rPr>
              <w:t xml:space="preserve"> </w:t>
            </w:r>
            <w:r w:rsidR="00992DE5">
              <w:rPr>
                <w:rStyle w:val="Heading3Char"/>
                <w:b w:val="0"/>
              </w:rPr>
              <w:t xml:space="preserve">the </w:t>
            </w:r>
            <w:r w:rsidRPr="001E2A0D">
              <w:rPr>
                <w:rStyle w:val="Heading3Char"/>
                <w:b w:val="0"/>
              </w:rPr>
              <w:t>Medicare Surcharge Levy will provide a more realistic incentive to higher income households to invest in private health insurance.</w:t>
            </w:r>
            <w:r>
              <w:rPr>
                <w:rStyle w:val="Heading3Char"/>
                <w:b w:val="0"/>
              </w:rPr>
              <w:t xml:space="preserve"> Estimated Revenue:</w:t>
            </w:r>
            <w:bookmarkEnd w:id="26"/>
            <w:bookmarkEnd w:id="27"/>
            <w:r w:rsidR="00970018">
              <w:rPr>
                <w:rStyle w:val="Heading3Char"/>
                <w:b w:val="0"/>
              </w:rPr>
              <w:t xml:space="preserve"> up to $260 million.</w:t>
            </w:r>
          </w:p>
          <w:p w14:paraId="26550AA7" w14:textId="77777777" w:rsidR="00350432" w:rsidRDefault="00350432" w:rsidP="00970018">
            <w:pPr>
              <w:ind w:left="360"/>
              <w:rPr>
                <w:rStyle w:val="Heading3Char"/>
                <w:b w:val="0"/>
              </w:rPr>
            </w:pPr>
          </w:p>
          <w:p w14:paraId="2CCCA49E" w14:textId="77777777" w:rsidR="00970018" w:rsidRPr="00970018" w:rsidRDefault="00DF18F7" w:rsidP="00970018">
            <w:pPr>
              <w:pStyle w:val="ListParagraph"/>
              <w:numPr>
                <w:ilvl w:val="0"/>
                <w:numId w:val="29"/>
              </w:numPr>
              <w:ind w:left="357" w:hanging="357"/>
              <w:rPr>
                <w:rStyle w:val="Heading3Char"/>
                <w:rFonts w:eastAsia="Times New Roman" w:cs="Times New Roman"/>
                <w:b w:val="0"/>
                <w:bCs w:val="0"/>
                <w:lang w:eastAsia="en-AU"/>
              </w:rPr>
            </w:pPr>
            <w:bookmarkStart w:id="28" w:name="_Toc27494511"/>
            <w:bookmarkStart w:id="29" w:name="_Toc27494708"/>
            <w:r w:rsidRPr="00992DE5">
              <w:rPr>
                <w:rStyle w:val="Heading3Char"/>
              </w:rPr>
              <w:t>Curb claims to private health insurance for private patients in public hospitals within the next national hospital funding agreement.</w:t>
            </w:r>
            <w:bookmarkEnd w:id="28"/>
            <w:bookmarkEnd w:id="29"/>
          </w:p>
          <w:p w14:paraId="2168D830" w14:textId="1B0837FB" w:rsidR="00DF18F7" w:rsidRDefault="00DF18F7" w:rsidP="00970018">
            <w:pPr>
              <w:ind w:left="357"/>
              <w:rPr>
                <w:lang w:eastAsia="en-AU"/>
              </w:rPr>
            </w:pPr>
            <w:r>
              <w:rPr>
                <w:lang w:eastAsia="en-AU"/>
              </w:rPr>
              <w:t xml:space="preserve">Reduced private health insurance benefits for private patients in public hospitals </w:t>
            </w:r>
            <w:r w:rsidR="00EE4A96">
              <w:rPr>
                <w:lang w:eastAsia="en-AU"/>
              </w:rPr>
              <w:t>w</w:t>
            </w:r>
            <w:r>
              <w:rPr>
                <w:lang w:eastAsia="en-AU"/>
              </w:rPr>
              <w:t xml:space="preserve">ould reduce </w:t>
            </w:r>
            <w:r w:rsidR="00992DE5">
              <w:rPr>
                <w:lang w:eastAsia="en-AU"/>
              </w:rPr>
              <w:t xml:space="preserve">health insurer </w:t>
            </w:r>
            <w:r>
              <w:rPr>
                <w:lang w:eastAsia="en-AU"/>
              </w:rPr>
              <w:t>outlays immediately</w:t>
            </w:r>
            <w:r w:rsidR="002D69D2">
              <w:rPr>
                <w:lang w:eastAsia="en-AU"/>
              </w:rPr>
              <w:t>,</w:t>
            </w:r>
            <w:r>
              <w:rPr>
                <w:lang w:eastAsia="en-AU"/>
              </w:rPr>
              <w:t xml:space="preserve"> reducing upwards pressure on private health insurance premiums </w:t>
            </w:r>
            <w:r w:rsidR="00EE4A96">
              <w:rPr>
                <w:lang w:eastAsia="en-AU"/>
              </w:rPr>
              <w:t xml:space="preserve">by up to </w:t>
            </w:r>
            <w:r w:rsidR="002D69D2">
              <w:rPr>
                <w:lang w:eastAsia="en-AU"/>
              </w:rPr>
              <w:t>six</w:t>
            </w:r>
            <w:r w:rsidR="00992DE5">
              <w:rPr>
                <w:lang w:eastAsia="en-AU"/>
              </w:rPr>
              <w:t xml:space="preserve"> percent </w:t>
            </w:r>
            <w:r>
              <w:rPr>
                <w:lang w:eastAsia="en-AU"/>
              </w:rPr>
              <w:t>and the Private Health Insurance Rebate.</w:t>
            </w:r>
            <w:r w:rsidR="00EB5F04">
              <w:rPr>
                <w:lang w:eastAsia="en-AU"/>
              </w:rPr>
              <w:t xml:space="preserve"> </w:t>
            </w:r>
            <w:r w:rsidR="00EB5F04">
              <w:rPr>
                <w:lang w:eastAsia="en-AU"/>
              </w:rPr>
              <w:br/>
              <w:t>Saving</w:t>
            </w:r>
            <w:r w:rsidR="00EE4A96">
              <w:rPr>
                <w:lang w:eastAsia="en-AU"/>
              </w:rPr>
              <w:t>:</w:t>
            </w:r>
            <w:r w:rsidR="00EB5F04">
              <w:rPr>
                <w:lang w:eastAsia="en-AU"/>
              </w:rPr>
              <w:t xml:space="preserve"> $3</w:t>
            </w:r>
            <w:r w:rsidR="00293BFA">
              <w:rPr>
                <w:lang w:eastAsia="en-AU"/>
              </w:rPr>
              <w:t>8</w:t>
            </w:r>
            <w:r w:rsidR="00EB5F04">
              <w:rPr>
                <w:lang w:eastAsia="en-AU"/>
              </w:rPr>
              <w:t>0 million</w:t>
            </w:r>
            <w:r w:rsidR="000D3EB7">
              <w:rPr>
                <w:lang w:eastAsia="en-AU"/>
              </w:rPr>
              <w:t xml:space="preserve">. </w:t>
            </w:r>
          </w:p>
          <w:p w14:paraId="74C549E4" w14:textId="77777777" w:rsidR="00350432" w:rsidRDefault="00350432" w:rsidP="00970018">
            <w:pPr>
              <w:ind w:left="357"/>
              <w:rPr>
                <w:lang w:eastAsia="en-AU"/>
              </w:rPr>
            </w:pPr>
          </w:p>
          <w:p w14:paraId="2C871C21" w14:textId="70E22342" w:rsidR="00DF18F7" w:rsidRDefault="00DF18F7" w:rsidP="00970018">
            <w:pPr>
              <w:ind w:left="360"/>
              <w:rPr>
                <w:lang w:eastAsia="en-AU"/>
              </w:rPr>
            </w:pPr>
            <w:r>
              <w:rPr>
                <w:lang w:eastAsia="en-AU"/>
              </w:rPr>
              <w:t xml:space="preserve">This reform would also enhance the return provided to the Federal Government by the Private Health Insurance </w:t>
            </w:r>
            <w:r w:rsidR="00992DE5">
              <w:rPr>
                <w:lang w:eastAsia="en-AU"/>
              </w:rPr>
              <w:t>Rebate and allow</w:t>
            </w:r>
            <w:r>
              <w:rPr>
                <w:lang w:eastAsia="en-AU"/>
              </w:rPr>
              <w:t xml:space="preserve"> redirect</w:t>
            </w:r>
            <w:r w:rsidR="00992DE5">
              <w:rPr>
                <w:lang w:eastAsia="en-AU"/>
              </w:rPr>
              <w:t>ion</w:t>
            </w:r>
            <w:r>
              <w:rPr>
                <w:lang w:eastAsia="en-AU"/>
              </w:rPr>
              <w:t xml:space="preserve"> </w:t>
            </w:r>
            <w:r w:rsidR="002D69D2">
              <w:rPr>
                <w:lang w:eastAsia="en-AU"/>
              </w:rPr>
              <w:t xml:space="preserve">of </w:t>
            </w:r>
            <w:r>
              <w:rPr>
                <w:lang w:eastAsia="en-AU"/>
              </w:rPr>
              <w:t>public hospital resources</w:t>
            </w:r>
            <w:r w:rsidR="00992DE5">
              <w:rPr>
                <w:lang w:eastAsia="en-AU"/>
              </w:rPr>
              <w:t xml:space="preserve"> to deliver better outcomes to public patients</w:t>
            </w:r>
            <w:r>
              <w:rPr>
                <w:lang w:eastAsia="en-AU"/>
              </w:rPr>
              <w:t>.</w:t>
            </w:r>
          </w:p>
          <w:p w14:paraId="42D086FD" w14:textId="77777777" w:rsidR="00350432" w:rsidRDefault="00350432" w:rsidP="00970018">
            <w:pPr>
              <w:ind w:left="360"/>
            </w:pPr>
          </w:p>
          <w:p w14:paraId="3B52B1EB" w14:textId="13F8333C" w:rsidR="00A41E70" w:rsidRPr="00A41E70" w:rsidRDefault="00DF18F7" w:rsidP="00970018">
            <w:pPr>
              <w:pStyle w:val="ListParagraph"/>
              <w:numPr>
                <w:ilvl w:val="0"/>
                <w:numId w:val="29"/>
              </w:numPr>
              <w:rPr>
                <w:rStyle w:val="Heading3Char"/>
                <w:rFonts w:eastAsia="Times New Roman" w:cs="Times New Roman"/>
                <w:bCs w:val="0"/>
                <w:lang w:eastAsia="en-AU"/>
              </w:rPr>
            </w:pPr>
            <w:bookmarkStart w:id="30" w:name="_Toc27494512"/>
            <w:bookmarkStart w:id="31" w:name="_Toc27494709"/>
            <w:r w:rsidRPr="00A41E70">
              <w:rPr>
                <w:rStyle w:val="Heading3Char"/>
              </w:rPr>
              <w:t xml:space="preserve">Reduce avoidable hospital admissions by </w:t>
            </w:r>
            <w:r w:rsidR="00EB5F04">
              <w:rPr>
                <w:rStyle w:val="Heading3Char"/>
              </w:rPr>
              <w:t>increasing</w:t>
            </w:r>
            <w:r w:rsidRPr="00A41E70">
              <w:rPr>
                <w:rStyle w:val="Heading3Char"/>
              </w:rPr>
              <w:t xml:space="preserve"> remuneration through the P</w:t>
            </w:r>
            <w:r w:rsidR="002D69D2">
              <w:rPr>
                <w:rStyle w:val="Heading3Char"/>
              </w:rPr>
              <w:t>harmaceutical Benefits Schedule (P</w:t>
            </w:r>
            <w:r w:rsidRPr="00A41E70">
              <w:rPr>
                <w:rStyle w:val="Heading3Char"/>
              </w:rPr>
              <w:t>BS</w:t>
            </w:r>
            <w:r w:rsidR="002D69D2">
              <w:rPr>
                <w:rStyle w:val="Heading3Char"/>
              </w:rPr>
              <w:t>)</w:t>
            </w:r>
            <w:r w:rsidRPr="00A41E70">
              <w:rPr>
                <w:rStyle w:val="Heading3Char"/>
              </w:rPr>
              <w:t xml:space="preserve"> for hospital-based pharmacy recognising the essential role of pharmacists in supporting patient safety, preventing avoidable admissions and minimising wastage of high cost drugs.</w:t>
            </w:r>
            <w:bookmarkEnd w:id="30"/>
            <w:bookmarkEnd w:id="31"/>
            <w:r w:rsidRPr="00A41E70">
              <w:rPr>
                <w:rStyle w:val="Heading3Char"/>
              </w:rPr>
              <w:t xml:space="preserve"> </w:t>
            </w:r>
            <w:r w:rsidR="00EE4A96">
              <w:rPr>
                <w:rStyle w:val="Heading3Char"/>
              </w:rPr>
              <w:br/>
            </w:r>
            <w:r w:rsidR="00EE4A96" w:rsidRPr="00EE4A96">
              <w:rPr>
                <w:rStyle w:val="Heading3Char"/>
                <w:b w:val="0"/>
              </w:rPr>
              <w:t>Cost: Dependent upon outcomes of the 7</w:t>
            </w:r>
            <w:r w:rsidR="00EE4A96" w:rsidRPr="00EE4A96">
              <w:rPr>
                <w:rStyle w:val="Heading3Char"/>
                <w:b w:val="0"/>
                <w:vertAlign w:val="superscript"/>
              </w:rPr>
              <w:t>th</w:t>
            </w:r>
            <w:r w:rsidR="00EE4A96" w:rsidRPr="00EE4A96">
              <w:rPr>
                <w:rStyle w:val="Heading3Char"/>
                <w:b w:val="0"/>
              </w:rPr>
              <w:t xml:space="preserve"> Community Pharmacy Agreement</w:t>
            </w:r>
            <w:r w:rsidR="00970018">
              <w:rPr>
                <w:rStyle w:val="Heading3Char"/>
                <w:b w:val="0"/>
              </w:rPr>
              <w:t>.</w:t>
            </w:r>
            <w:r w:rsidR="00A41E70" w:rsidRPr="00A41E70">
              <w:rPr>
                <w:rStyle w:val="Heading3Char"/>
              </w:rPr>
              <w:br/>
            </w:r>
          </w:p>
          <w:p w14:paraId="43A928F9" w14:textId="24F296FD" w:rsidR="00DF18F7" w:rsidRPr="00A41E70" w:rsidRDefault="00DF18F7" w:rsidP="00A41E70">
            <w:pPr>
              <w:pStyle w:val="ListParagraph"/>
              <w:numPr>
                <w:ilvl w:val="0"/>
                <w:numId w:val="29"/>
              </w:numPr>
              <w:rPr>
                <w:rStyle w:val="Heading3Char"/>
              </w:rPr>
            </w:pPr>
            <w:bookmarkStart w:id="32" w:name="_Toc27494513"/>
            <w:bookmarkStart w:id="33" w:name="_Toc27494710"/>
            <w:r w:rsidRPr="00A41E70">
              <w:rPr>
                <w:rStyle w:val="Heading3Char"/>
              </w:rPr>
              <w:t>Reduce the administrative burden associated with implementation of the 1 April 2019 Private Health Insurance Reforms by upgrading the ECLIPSE system and updating and enforcing the ECLIPSE standards</w:t>
            </w:r>
            <w:r w:rsidR="00992DE5" w:rsidRPr="00A41E70">
              <w:rPr>
                <w:rStyle w:val="Heading3Char"/>
              </w:rPr>
              <w:t>.</w:t>
            </w:r>
            <w:bookmarkEnd w:id="32"/>
            <w:bookmarkEnd w:id="33"/>
            <w:r w:rsidR="00A41E70">
              <w:rPr>
                <w:rStyle w:val="Heading3Char"/>
              </w:rPr>
              <w:br/>
            </w:r>
          </w:p>
          <w:p w14:paraId="46453D8B" w14:textId="4B2BA1A5" w:rsidR="00DF18F7" w:rsidRPr="00A41E70" w:rsidRDefault="00DF18F7" w:rsidP="00A41E70">
            <w:pPr>
              <w:pStyle w:val="ListParagraph"/>
              <w:numPr>
                <w:ilvl w:val="0"/>
                <w:numId w:val="29"/>
              </w:numPr>
              <w:rPr>
                <w:rStyle w:val="Heading3Char"/>
              </w:rPr>
            </w:pPr>
            <w:bookmarkStart w:id="34" w:name="_Toc27494514"/>
            <w:bookmarkStart w:id="35" w:name="_Toc27494711"/>
            <w:r w:rsidRPr="00A41E70">
              <w:rPr>
                <w:rStyle w:val="Heading3Char"/>
              </w:rPr>
              <w:t>Ensure government initiatives to support e</w:t>
            </w:r>
            <w:r w:rsidR="002D69D2">
              <w:rPr>
                <w:rStyle w:val="Heading3Char"/>
              </w:rPr>
              <w:t>-</w:t>
            </w:r>
            <w:r w:rsidRPr="00A41E70">
              <w:rPr>
                <w:rStyle w:val="Heading3Char"/>
              </w:rPr>
              <w:t>health are appropriate and responsive to private hospital requirements</w:t>
            </w:r>
            <w:r w:rsidR="002D69D2">
              <w:rPr>
                <w:rStyle w:val="Heading3Char"/>
              </w:rPr>
              <w:t>,</w:t>
            </w:r>
            <w:r w:rsidRPr="00A41E70">
              <w:rPr>
                <w:rStyle w:val="Heading3Char"/>
              </w:rPr>
              <w:t xml:space="preserve"> specifically in relation to </w:t>
            </w:r>
            <w:r w:rsidR="0030218A">
              <w:rPr>
                <w:rStyle w:val="Heading3Char"/>
              </w:rPr>
              <w:t>My Health Record</w:t>
            </w:r>
            <w:r w:rsidR="00E4600F" w:rsidRPr="00A41E70">
              <w:rPr>
                <w:rStyle w:val="Heading3Char"/>
              </w:rPr>
              <w:t>.</w:t>
            </w:r>
            <w:bookmarkEnd w:id="34"/>
            <w:bookmarkEnd w:id="35"/>
            <w:r w:rsidR="00A41E70">
              <w:rPr>
                <w:rStyle w:val="Heading3Char"/>
              </w:rPr>
              <w:br/>
            </w:r>
          </w:p>
          <w:p w14:paraId="4447C7A3" w14:textId="33FA1A79" w:rsidR="00DF18F7" w:rsidRPr="00EE4A96" w:rsidRDefault="00DF18F7" w:rsidP="00EE4A96">
            <w:pPr>
              <w:pStyle w:val="ListParagraph"/>
              <w:numPr>
                <w:ilvl w:val="0"/>
                <w:numId w:val="29"/>
              </w:numPr>
              <w:rPr>
                <w:rStyle w:val="Heading3Char"/>
                <w:rFonts w:eastAsia="Times New Roman" w:cs="Times New Roman"/>
                <w:bCs w:val="0"/>
              </w:rPr>
            </w:pPr>
            <w:bookmarkStart w:id="36" w:name="_Toc27494515"/>
            <w:bookmarkStart w:id="37" w:name="_Toc27494712"/>
            <w:r w:rsidRPr="00A41E70">
              <w:rPr>
                <w:rStyle w:val="Heading3Char"/>
              </w:rPr>
              <w:t xml:space="preserve">Increase funding for clinical placements for university and </w:t>
            </w:r>
            <w:r w:rsidR="00EE4A96">
              <w:rPr>
                <w:rStyle w:val="Heading3Char"/>
              </w:rPr>
              <w:t>vocational educ</w:t>
            </w:r>
            <w:r w:rsidR="00970018">
              <w:rPr>
                <w:rStyle w:val="Heading3Char"/>
              </w:rPr>
              <w:t>a</w:t>
            </w:r>
            <w:r w:rsidR="00EE4A96">
              <w:rPr>
                <w:rStyle w:val="Heading3Char"/>
              </w:rPr>
              <w:t>tion and training</w:t>
            </w:r>
            <w:r w:rsidRPr="00A41E70">
              <w:rPr>
                <w:rStyle w:val="Heading3Char"/>
              </w:rPr>
              <w:t xml:space="preserve"> sector undergraduates</w:t>
            </w:r>
            <w:r w:rsidR="00E4600F" w:rsidRPr="00A41E70">
              <w:rPr>
                <w:rStyle w:val="Heading3Char"/>
              </w:rPr>
              <w:t>.</w:t>
            </w:r>
            <w:r w:rsidR="00992DE5" w:rsidRPr="00A41E70">
              <w:rPr>
                <w:rStyle w:val="Heading3Char"/>
              </w:rPr>
              <w:t xml:space="preserve"> </w:t>
            </w:r>
            <w:r w:rsidR="00EE4A96">
              <w:rPr>
                <w:rStyle w:val="Heading3Char"/>
              </w:rPr>
              <w:br/>
            </w:r>
            <w:r w:rsidR="00992DE5" w:rsidRPr="00EE4A96">
              <w:rPr>
                <w:rStyle w:val="Heading3Char"/>
                <w:b w:val="0"/>
              </w:rPr>
              <w:t xml:space="preserve">Cost: Dependent upon further analysis </w:t>
            </w:r>
            <w:r w:rsidR="00EE4A96" w:rsidRPr="00EE4A96">
              <w:rPr>
                <w:rStyle w:val="Heading3Char"/>
                <w:b w:val="0"/>
              </w:rPr>
              <w:t>relevant departments</w:t>
            </w:r>
            <w:r w:rsidR="00992DE5" w:rsidRPr="00EE4A96">
              <w:rPr>
                <w:rStyle w:val="Heading3Char"/>
                <w:b w:val="0"/>
              </w:rPr>
              <w:t>.</w:t>
            </w:r>
            <w:bookmarkEnd w:id="36"/>
            <w:bookmarkEnd w:id="37"/>
            <w:r w:rsidR="00A41E70" w:rsidRPr="00A41E70">
              <w:rPr>
                <w:rStyle w:val="Heading3Char"/>
              </w:rPr>
              <w:br/>
            </w:r>
          </w:p>
          <w:p w14:paraId="23BA2F27" w14:textId="77777777" w:rsidR="00A41E70" w:rsidRPr="00A41E70" w:rsidRDefault="00DF18F7" w:rsidP="00970018">
            <w:pPr>
              <w:pStyle w:val="ListParagraph"/>
              <w:numPr>
                <w:ilvl w:val="0"/>
                <w:numId w:val="29"/>
              </w:numPr>
              <w:ind w:left="357" w:hanging="357"/>
              <w:rPr>
                <w:rStyle w:val="Heading3Char"/>
              </w:rPr>
            </w:pPr>
            <w:bookmarkStart w:id="38" w:name="_Toc27494516"/>
            <w:bookmarkStart w:id="39" w:name="_Toc27494713"/>
            <w:r w:rsidRPr="00A41E70">
              <w:rPr>
                <w:rStyle w:val="Heading3Char"/>
              </w:rPr>
              <w:t>Reduce the cost and complexity of skilled migration arrangements</w:t>
            </w:r>
            <w:r w:rsidR="00E4600F" w:rsidRPr="00A41E70">
              <w:rPr>
                <w:rStyle w:val="Heading3Char"/>
              </w:rPr>
              <w:t>.</w:t>
            </w:r>
            <w:bookmarkEnd w:id="38"/>
            <w:bookmarkEnd w:id="39"/>
          </w:p>
          <w:p w14:paraId="74E931A2" w14:textId="1BDF15DE" w:rsidR="00DF18F7" w:rsidRDefault="00DF18F7" w:rsidP="00970018">
            <w:pPr>
              <w:ind w:left="360"/>
            </w:pPr>
            <w:r w:rsidRPr="00E4600F">
              <w:rPr>
                <w:lang w:eastAsia="en-AU"/>
              </w:rPr>
              <w:t>Waive the Skilled Migration Levy for the sponsorship of registered nurses and midwives. Cost: $2</w:t>
            </w:r>
            <w:r w:rsidR="002D69D2">
              <w:rPr>
                <w:lang w:eastAsia="en-AU"/>
              </w:rPr>
              <w:t xml:space="preserve"> </w:t>
            </w:r>
            <w:r w:rsidRPr="00E4600F">
              <w:rPr>
                <w:lang w:eastAsia="en-AU"/>
              </w:rPr>
              <w:t xml:space="preserve">million in foregone revenue to the Skilling Australia Levy. </w:t>
            </w:r>
          </w:p>
        </w:tc>
      </w:tr>
    </w:tbl>
    <w:p w14:paraId="7F6E9C9C" w14:textId="77777777" w:rsidR="00DF18F7" w:rsidRPr="00692E76" w:rsidRDefault="00DF18F7" w:rsidP="00DF18F7"/>
    <w:p w14:paraId="795F209A" w14:textId="16184E68" w:rsidR="00DF18F7" w:rsidRPr="008E4639" w:rsidRDefault="00DF18F7" w:rsidP="00DF18F7">
      <w:pPr>
        <w:pStyle w:val="Heading1"/>
      </w:pPr>
      <w:bookmarkStart w:id="40" w:name="_Toc27494517"/>
      <w:bookmarkStart w:id="41" w:name="_Toc27494714"/>
      <w:bookmarkStart w:id="42" w:name="_Toc27664132"/>
      <w:r>
        <w:t xml:space="preserve">IMPROVING ACCESS TO </w:t>
      </w:r>
      <w:bookmarkEnd w:id="40"/>
      <w:bookmarkEnd w:id="41"/>
      <w:r w:rsidR="001B7FD6">
        <w:t xml:space="preserve">AFFORDABLE </w:t>
      </w:r>
      <w:r w:rsidR="00134B4D">
        <w:t>HEALTHCARE</w:t>
      </w:r>
      <w:bookmarkEnd w:id="42"/>
      <w:r>
        <w:t xml:space="preserve"> </w:t>
      </w:r>
    </w:p>
    <w:p w14:paraId="36E099DD" w14:textId="77777777" w:rsidR="00DF18F7" w:rsidRPr="0097316E" w:rsidRDefault="00DF18F7" w:rsidP="00DF18F7">
      <w:pPr>
        <w:rPr>
          <w:rFonts w:cstheme="minorHAnsi"/>
          <w:b/>
          <w:caps/>
        </w:rPr>
      </w:pPr>
    </w:p>
    <w:p w14:paraId="617B79DE" w14:textId="26068C5B" w:rsidR="00DF18F7" w:rsidRPr="0097316E" w:rsidRDefault="00DF18F7" w:rsidP="00DF18F7">
      <w:pPr>
        <w:pStyle w:val="ListParagraph"/>
        <w:numPr>
          <w:ilvl w:val="0"/>
          <w:numId w:val="7"/>
        </w:numPr>
        <w:rPr>
          <w:rFonts w:cs="Calibri"/>
          <w:b/>
          <w:color w:val="000000"/>
          <w:lang w:eastAsia="en-AU"/>
        </w:rPr>
      </w:pPr>
      <w:bookmarkStart w:id="43" w:name="_Toc27494518"/>
      <w:bookmarkStart w:id="44" w:name="_Toc27494715"/>
      <w:r w:rsidRPr="00AA7F6F">
        <w:rPr>
          <w:rStyle w:val="Heading3Char"/>
        </w:rPr>
        <w:t xml:space="preserve">Restore </w:t>
      </w:r>
      <w:r w:rsidR="00284268">
        <w:rPr>
          <w:rStyle w:val="Heading3Char"/>
        </w:rPr>
        <w:t xml:space="preserve">the Private Health Insurance </w:t>
      </w:r>
      <w:r w:rsidRPr="00AA7F6F">
        <w:rPr>
          <w:rStyle w:val="Heading3Char"/>
        </w:rPr>
        <w:t>Rebate to 30</w:t>
      </w:r>
      <w:r w:rsidR="002D69D2">
        <w:rPr>
          <w:rStyle w:val="Heading3Char"/>
        </w:rPr>
        <w:t xml:space="preserve"> </w:t>
      </w:r>
      <w:r w:rsidR="00A41E70">
        <w:rPr>
          <w:rStyle w:val="Heading3Char"/>
        </w:rPr>
        <w:t>percent</w:t>
      </w:r>
      <w:r w:rsidRPr="00AA7F6F">
        <w:rPr>
          <w:rStyle w:val="Heading3Char"/>
        </w:rPr>
        <w:t xml:space="preserve"> for households in the lowest income tier</w:t>
      </w:r>
      <w:bookmarkEnd w:id="43"/>
      <w:bookmarkEnd w:id="44"/>
      <w:r>
        <w:rPr>
          <w:rFonts w:ascii="Calibri" w:hAnsi="Calibri" w:cs="Calibri"/>
          <w:b/>
          <w:color w:val="000000"/>
          <w:lang w:eastAsia="en-AU"/>
        </w:rPr>
        <w:t xml:space="preserve">. </w:t>
      </w:r>
      <w:r w:rsidR="00F862EE">
        <w:rPr>
          <w:rFonts w:ascii="Calibri" w:hAnsi="Calibri" w:cs="Calibri"/>
          <w:b/>
          <w:color w:val="000000"/>
          <w:lang w:eastAsia="en-AU"/>
        </w:rPr>
        <w:br/>
      </w:r>
    </w:p>
    <w:p w14:paraId="4D36AD19" w14:textId="77ECE8C7" w:rsidR="00DF18F7" w:rsidRDefault="00DF18F7" w:rsidP="00DF18F7">
      <w:pPr>
        <w:ind w:left="720"/>
        <w:rPr>
          <w:rFonts w:cs="Calibri"/>
          <w:color w:val="000000"/>
          <w:lang w:eastAsia="en-AU"/>
        </w:rPr>
      </w:pPr>
      <w:r w:rsidRPr="00694E2D">
        <w:rPr>
          <w:rFonts w:cs="Calibri"/>
          <w:color w:val="000000"/>
          <w:lang w:eastAsia="en-AU"/>
        </w:rPr>
        <w:t>Restoration of the 30</w:t>
      </w:r>
      <w:r w:rsidR="00A41E70">
        <w:rPr>
          <w:rFonts w:cs="Calibri"/>
          <w:color w:val="000000"/>
          <w:lang w:eastAsia="en-AU"/>
        </w:rPr>
        <w:t xml:space="preserve"> percent</w:t>
      </w:r>
      <w:r w:rsidRPr="00694E2D">
        <w:rPr>
          <w:rFonts w:cs="Calibri"/>
          <w:color w:val="000000"/>
          <w:lang w:eastAsia="en-AU"/>
        </w:rPr>
        <w:t xml:space="preserve"> rebate for the lowest income </w:t>
      </w:r>
      <w:r>
        <w:rPr>
          <w:rFonts w:cs="Calibri"/>
          <w:color w:val="000000"/>
          <w:lang w:eastAsia="en-AU"/>
        </w:rPr>
        <w:t xml:space="preserve">tier </w:t>
      </w:r>
      <w:r w:rsidRPr="00694E2D">
        <w:rPr>
          <w:rFonts w:cs="Calibri"/>
          <w:color w:val="000000"/>
          <w:lang w:eastAsia="en-AU"/>
        </w:rPr>
        <w:t>would materially improve the affordability of private health insurance for those household</w:t>
      </w:r>
      <w:r>
        <w:rPr>
          <w:rFonts w:cs="Calibri"/>
          <w:color w:val="000000"/>
          <w:lang w:eastAsia="en-AU"/>
        </w:rPr>
        <w:t xml:space="preserve">s. </w:t>
      </w:r>
      <w:r w:rsidRPr="00694E2D">
        <w:rPr>
          <w:rFonts w:cs="Calibri"/>
          <w:color w:val="000000"/>
          <w:lang w:eastAsia="en-AU"/>
        </w:rPr>
        <w:t>Currently</w:t>
      </w:r>
      <w:r w:rsidR="002D69D2">
        <w:rPr>
          <w:rFonts w:cs="Calibri"/>
          <w:color w:val="000000"/>
          <w:lang w:eastAsia="en-AU"/>
        </w:rPr>
        <w:t>,</w:t>
      </w:r>
      <w:r w:rsidRPr="00694E2D">
        <w:rPr>
          <w:rFonts w:cs="Calibri"/>
          <w:color w:val="000000"/>
          <w:lang w:eastAsia="en-AU"/>
        </w:rPr>
        <w:t xml:space="preserve"> the lowest tier experience</w:t>
      </w:r>
      <w:r>
        <w:rPr>
          <w:rFonts w:cs="Calibri"/>
          <w:color w:val="000000"/>
          <w:lang w:eastAsia="en-AU"/>
        </w:rPr>
        <w:t>s</w:t>
      </w:r>
      <w:r w:rsidRPr="00694E2D">
        <w:rPr>
          <w:rFonts w:cs="Calibri"/>
          <w:color w:val="000000"/>
          <w:lang w:eastAsia="en-AU"/>
        </w:rPr>
        <w:t xml:space="preserve"> the ‘double whammy’ of the increase of health insurance premiums and the reduction (due to C</w:t>
      </w:r>
      <w:r w:rsidR="002D69D2">
        <w:rPr>
          <w:rFonts w:cs="Calibri"/>
          <w:color w:val="000000"/>
          <w:lang w:eastAsia="en-AU"/>
        </w:rPr>
        <w:t>onsumer Price Index</w:t>
      </w:r>
      <w:r w:rsidRPr="00694E2D">
        <w:rPr>
          <w:rFonts w:cs="Calibri"/>
          <w:color w:val="000000"/>
          <w:lang w:eastAsia="en-AU"/>
        </w:rPr>
        <w:t xml:space="preserve"> adjustments) in the value of the private health insurance rebate.</w:t>
      </w:r>
    </w:p>
    <w:p w14:paraId="7EF23D20" w14:textId="77777777" w:rsidR="00350432" w:rsidRDefault="00350432" w:rsidP="00DF18F7">
      <w:pPr>
        <w:ind w:left="720"/>
        <w:rPr>
          <w:rFonts w:cs="Calibri"/>
          <w:color w:val="000000"/>
          <w:lang w:eastAsia="en-AU"/>
        </w:rPr>
      </w:pPr>
    </w:p>
    <w:p w14:paraId="3577F0AD" w14:textId="1C406BAF" w:rsidR="00DF18F7" w:rsidRDefault="00DF18F7" w:rsidP="00DF18F7">
      <w:pPr>
        <w:ind w:left="720"/>
      </w:pPr>
      <w:r w:rsidRPr="00D43E0A">
        <w:t>In 2017</w:t>
      </w:r>
      <w:r>
        <w:t>–</w:t>
      </w:r>
      <w:r w:rsidRPr="00D43E0A">
        <w:t>18 the full private health insurance rebate was restricted to single households with incomes of $90,000 or less and families with incomes of $180,000 or less (not including additional allowances for dependent children). For these lowest</w:t>
      </w:r>
      <w:r>
        <w:t>-</w:t>
      </w:r>
      <w:r w:rsidRPr="00D43E0A">
        <w:t>income households</w:t>
      </w:r>
      <w:r>
        <w:t>,</w:t>
      </w:r>
      <w:r w:rsidRPr="00D43E0A">
        <w:t xml:space="preserve"> the maximum rebate for people under the age of 65</w:t>
      </w:r>
      <w:r w:rsidR="006E2044">
        <w:t xml:space="preserve"> years</w:t>
      </w:r>
      <w:r w:rsidRPr="00D43E0A">
        <w:t xml:space="preserve"> has decreased from 30 </w:t>
      </w:r>
      <w:r>
        <w:t>percent</w:t>
      </w:r>
      <w:r w:rsidRPr="00D43E0A">
        <w:t xml:space="preserve"> in 2013</w:t>
      </w:r>
      <w:r>
        <w:t>–</w:t>
      </w:r>
      <w:r w:rsidRPr="00D43E0A">
        <w:t xml:space="preserve">14 to just </w:t>
      </w:r>
      <w:r>
        <w:t>25.059 percent</w:t>
      </w:r>
      <w:r w:rsidRPr="00D43E0A">
        <w:t xml:space="preserve"> in </w:t>
      </w:r>
      <w:r>
        <w:t>2019–20</w:t>
      </w:r>
      <w:r w:rsidRPr="00D43E0A">
        <w:t>.</w:t>
      </w:r>
    </w:p>
    <w:p w14:paraId="79C9A385" w14:textId="77777777" w:rsidR="00350432" w:rsidRPr="00D43E0A" w:rsidRDefault="00350432" w:rsidP="00DF18F7">
      <w:pPr>
        <w:ind w:left="720"/>
      </w:pPr>
    </w:p>
    <w:p w14:paraId="5558E8C0" w14:textId="45D2ED81" w:rsidR="00DF18F7" w:rsidRPr="00173029" w:rsidRDefault="00DF18F7" w:rsidP="00284268">
      <w:pPr>
        <w:ind w:left="720"/>
        <w:jc w:val="center"/>
        <w:rPr>
          <w:b/>
        </w:rPr>
      </w:pPr>
      <w:r w:rsidRPr="00173029">
        <w:rPr>
          <w:b/>
        </w:rPr>
        <w:t xml:space="preserve">Impact of </w:t>
      </w:r>
      <w:r w:rsidR="00C84F09">
        <w:rPr>
          <w:b/>
        </w:rPr>
        <w:t>p</w:t>
      </w:r>
      <w:r w:rsidRPr="00173029">
        <w:rPr>
          <w:b/>
        </w:rPr>
        <w:t xml:space="preserve">remium </w:t>
      </w:r>
      <w:r w:rsidR="00C84F09">
        <w:rPr>
          <w:b/>
        </w:rPr>
        <w:t>i</w:t>
      </w:r>
      <w:r w:rsidRPr="00173029">
        <w:rPr>
          <w:b/>
        </w:rPr>
        <w:t xml:space="preserve">ncreases and </w:t>
      </w:r>
      <w:r w:rsidR="00C84F09">
        <w:rPr>
          <w:b/>
        </w:rPr>
        <w:t>r</w:t>
      </w:r>
      <w:r w:rsidRPr="00173029">
        <w:rPr>
          <w:b/>
        </w:rPr>
        <w:t xml:space="preserve">ebate </w:t>
      </w:r>
      <w:r w:rsidR="00C84F09">
        <w:rPr>
          <w:b/>
        </w:rPr>
        <w:t>r</w:t>
      </w:r>
      <w:r w:rsidRPr="00173029">
        <w:rPr>
          <w:b/>
        </w:rPr>
        <w:t xml:space="preserve">eductions on </w:t>
      </w:r>
      <w:r w:rsidR="00C84F09">
        <w:rPr>
          <w:b/>
        </w:rPr>
        <w:t>b</w:t>
      </w:r>
      <w:r w:rsidRPr="00173029">
        <w:rPr>
          <w:b/>
        </w:rPr>
        <w:t xml:space="preserve">ase </w:t>
      </w:r>
      <w:r w:rsidR="00C84F09">
        <w:rPr>
          <w:b/>
        </w:rPr>
        <w:t>t</w:t>
      </w:r>
      <w:r w:rsidRPr="00173029">
        <w:rPr>
          <w:b/>
        </w:rPr>
        <w:t xml:space="preserve">ier </w:t>
      </w:r>
      <w:r w:rsidR="00C84F09">
        <w:rPr>
          <w:b/>
        </w:rPr>
        <w:t>h</w:t>
      </w:r>
      <w:r w:rsidRPr="00173029">
        <w:rPr>
          <w:b/>
        </w:rPr>
        <w:t>ouseholds</w:t>
      </w:r>
    </w:p>
    <w:tbl>
      <w:tblPr>
        <w:tblW w:w="841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288"/>
        <w:gridCol w:w="1191"/>
        <w:gridCol w:w="1440"/>
        <w:gridCol w:w="1767"/>
        <w:gridCol w:w="1503"/>
      </w:tblGrid>
      <w:tr w:rsidR="00DF18F7" w:rsidRPr="001C58A6" w14:paraId="4CF91638" w14:textId="77777777" w:rsidTr="00A41E70">
        <w:trPr>
          <w:trHeight w:val="315"/>
        </w:trPr>
        <w:tc>
          <w:tcPr>
            <w:tcW w:w="1227" w:type="dxa"/>
            <w:shd w:val="clear" w:color="auto" w:fill="auto"/>
          </w:tcPr>
          <w:p w14:paraId="4EE5E7AA" w14:textId="77777777" w:rsidR="00DF18F7" w:rsidRPr="000A56BB" w:rsidRDefault="00DF18F7" w:rsidP="00A41E70">
            <w:pPr>
              <w:rPr>
                <w:rFonts w:cs="Arial"/>
                <w:lang w:eastAsia="en-AU"/>
              </w:rPr>
            </w:pPr>
            <w:r>
              <w:rPr>
                <w:rFonts w:cs="Arial"/>
                <w:lang w:eastAsia="en-AU"/>
              </w:rPr>
              <w:t>Year</w:t>
            </w:r>
            <w:r>
              <w:rPr>
                <w:rFonts w:cs="Arial"/>
                <w:lang w:eastAsia="en-AU"/>
              </w:rPr>
              <w:br/>
            </w:r>
            <w:r w:rsidRPr="000A56BB">
              <w:rPr>
                <w:rFonts w:cs="Arial"/>
                <w:lang w:eastAsia="en-AU"/>
              </w:rPr>
              <w:t xml:space="preserve">1 April - </w:t>
            </w:r>
            <w:r w:rsidRPr="000A56BB">
              <w:rPr>
                <w:rFonts w:cs="Arial"/>
                <w:lang w:eastAsia="en-AU"/>
              </w:rPr>
              <w:br/>
              <w:t>30 March</w:t>
            </w:r>
          </w:p>
        </w:tc>
        <w:tc>
          <w:tcPr>
            <w:tcW w:w="1288" w:type="dxa"/>
            <w:shd w:val="clear" w:color="auto" w:fill="auto"/>
          </w:tcPr>
          <w:p w14:paraId="64F53D65" w14:textId="70918BD1" w:rsidR="00DF18F7" w:rsidRPr="000A56BB" w:rsidRDefault="00DF18F7" w:rsidP="00A41E70">
            <w:pPr>
              <w:rPr>
                <w:rFonts w:cs="Arial"/>
                <w:lang w:eastAsia="en-AU"/>
              </w:rPr>
            </w:pPr>
            <w:r w:rsidRPr="000A56BB">
              <w:rPr>
                <w:rFonts w:cs="Arial"/>
                <w:lang w:eastAsia="en-AU"/>
              </w:rPr>
              <w:t xml:space="preserve">Base </w:t>
            </w:r>
            <w:r w:rsidR="00C84F09">
              <w:rPr>
                <w:rFonts w:cs="Arial"/>
                <w:lang w:eastAsia="en-AU"/>
              </w:rPr>
              <w:t>t</w:t>
            </w:r>
            <w:r w:rsidRPr="000A56BB">
              <w:rPr>
                <w:rFonts w:cs="Arial"/>
                <w:lang w:eastAsia="en-AU"/>
              </w:rPr>
              <w:t xml:space="preserve">ier </w:t>
            </w:r>
            <w:r w:rsidR="00C84F09">
              <w:rPr>
                <w:rFonts w:cs="Arial"/>
                <w:lang w:eastAsia="en-AU"/>
              </w:rPr>
              <w:t>r</w:t>
            </w:r>
            <w:r w:rsidRPr="000A56BB">
              <w:rPr>
                <w:rFonts w:cs="Arial"/>
                <w:lang w:eastAsia="en-AU"/>
              </w:rPr>
              <w:t>ebate</w:t>
            </w:r>
          </w:p>
        </w:tc>
        <w:tc>
          <w:tcPr>
            <w:tcW w:w="1191" w:type="dxa"/>
            <w:shd w:val="clear" w:color="auto" w:fill="auto"/>
          </w:tcPr>
          <w:p w14:paraId="2F414753" w14:textId="2C1693D7" w:rsidR="00DF18F7" w:rsidRPr="003C11E3" w:rsidRDefault="00DF18F7" w:rsidP="00A41E70">
            <w:pPr>
              <w:rPr>
                <w:rFonts w:cs="Arial"/>
                <w:lang w:eastAsia="en-AU"/>
              </w:rPr>
            </w:pPr>
            <w:r w:rsidRPr="003C11E3">
              <w:rPr>
                <w:rFonts w:cs="Arial"/>
                <w:lang w:eastAsia="en-AU"/>
              </w:rPr>
              <w:t xml:space="preserve">Industry </w:t>
            </w:r>
            <w:r w:rsidR="00C84F09">
              <w:rPr>
                <w:rFonts w:cs="Arial"/>
                <w:lang w:eastAsia="en-AU"/>
              </w:rPr>
              <w:t>a</w:t>
            </w:r>
            <w:r w:rsidRPr="003C11E3">
              <w:rPr>
                <w:rFonts w:cs="Arial"/>
                <w:lang w:eastAsia="en-AU"/>
              </w:rPr>
              <w:t xml:space="preserve">verage </w:t>
            </w:r>
            <w:r w:rsidR="00C84F09">
              <w:rPr>
                <w:rFonts w:cs="Arial"/>
                <w:lang w:eastAsia="en-AU"/>
              </w:rPr>
              <w:t>i</w:t>
            </w:r>
            <w:r w:rsidRPr="003C11E3">
              <w:rPr>
                <w:rFonts w:cs="Arial"/>
                <w:lang w:eastAsia="en-AU"/>
              </w:rPr>
              <w:t>ncrease</w:t>
            </w:r>
          </w:p>
        </w:tc>
        <w:tc>
          <w:tcPr>
            <w:tcW w:w="1440" w:type="dxa"/>
            <w:shd w:val="clear" w:color="auto" w:fill="auto"/>
          </w:tcPr>
          <w:p w14:paraId="765A09C0" w14:textId="76489E73" w:rsidR="00DF18F7" w:rsidRPr="003C11E3" w:rsidRDefault="00DF18F7" w:rsidP="00A41E70">
            <w:pPr>
              <w:rPr>
                <w:rFonts w:cs="Arial"/>
                <w:lang w:eastAsia="en-AU"/>
              </w:rPr>
            </w:pPr>
            <w:r w:rsidRPr="003C11E3">
              <w:rPr>
                <w:rFonts w:cs="Arial"/>
                <w:lang w:eastAsia="en-AU"/>
              </w:rPr>
              <w:t xml:space="preserve">Premium before </w:t>
            </w:r>
            <w:r w:rsidR="00C84F09">
              <w:rPr>
                <w:rFonts w:cs="Arial"/>
                <w:lang w:eastAsia="en-AU"/>
              </w:rPr>
              <w:t>r</w:t>
            </w:r>
            <w:r w:rsidRPr="003C11E3">
              <w:rPr>
                <w:rFonts w:cs="Arial"/>
                <w:lang w:eastAsia="en-AU"/>
              </w:rPr>
              <w:t>ebate</w:t>
            </w:r>
          </w:p>
        </w:tc>
        <w:tc>
          <w:tcPr>
            <w:tcW w:w="1767" w:type="dxa"/>
            <w:shd w:val="clear" w:color="auto" w:fill="auto"/>
          </w:tcPr>
          <w:p w14:paraId="7734F957" w14:textId="2FCF0CE7" w:rsidR="00DF18F7" w:rsidRPr="003C11E3" w:rsidRDefault="00DF18F7" w:rsidP="00A41E70">
            <w:pPr>
              <w:rPr>
                <w:rFonts w:cs="Arial"/>
                <w:lang w:eastAsia="en-AU"/>
              </w:rPr>
            </w:pPr>
            <w:r w:rsidRPr="003C11E3">
              <w:rPr>
                <w:rFonts w:cs="Arial"/>
                <w:lang w:eastAsia="en-AU"/>
              </w:rPr>
              <w:t xml:space="preserve">Premium after </w:t>
            </w:r>
            <w:r w:rsidR="00C84F09">
              <w:rPr>
                <w:rFonts w:cs="Arial"/>
                <w:lang w:eastAsia="en-AU"/>
              </w:rPr>
              <w:t>r</w:t>
            </w:r>
            <w:r w:rsidRPr="003C11E3">
              <w:rPr>
                <w:rFonts w:cs="Arial"/>
                <w:lang w:eastAsia="en-AU"/>
              </w:rPr>
              <w:t>ebate</w:t>
            </w:r>
          </w:p>
        </w:tc>
        <w:tc>
          <w:tcPr>
            <w:tcW w:w="1503" w:type="dxa"/>
            <w:shd w:val="clear" w:color="auto" w:fill="auto"/>
            <w:noWrap/>
          </w:tcPr>
          <w:p w14:paraId="464E82B4" w14:textId="0C95A6DA" w:rsidR="00DF18F7" w:rsidRPr="003C11E3" w:rsidRDefault="00DF18F7" w:rsidP="00A41E70">
            <w:pPr>
              <w:rPr>
                <w:rFonts w:cs="Arial"/>
                <w:lang w:eastAsia="en-AU"/>
              </w:rPr>
            </w:pPr>
            <w:r w:rsidRPr="003C11E3">
              <w:rPr>
                <w:rFonts w:cs="Arial"/>
                <w:lang w:eastAsia="en-AU"/>
              </w:rPr>
              <w:t xml:space="preserve">Increased cost to the </w:t>
            </w:r>
            <w:r w:rsidR="00C84F09">
              <w:rPr>
                <w:rFonts w:cs="Arial"/>
                <w:lang w:eastAsia="en-AU"/>
              </w:rPr>
              <w:t>c</w:t>
            </w:r>
            <w:r w:rsidRPr="003C11E3">
              <w:rPr>
                <w:rFonts w:cs="Arial"/>
                <w:lang w:eastAsia="en-AU"/>
              </w:rPr>
              <w:t>onsumer</w:t>
            </w:r>
          </w:p>
        </w:tc>
      </w:tr>
      <w:tr w:rsidR="00DF18F7" w:rsidRPr="001C58A6" w14:paraId="454C8718" w14:textId="77777777" w:rsidTr="00A41E70">
        <w:trPr>
          <w:trHeight w:val="315"/>
        </w:trPr>
        <w:tc>
          <w:tcPr>
            <w:tcW w:w="1227" w:type="dxa"/>
            <w:shd w:val="clear" w:color="auto" w:fill="auto"/>
            <w:vAlign w:val="center"/>
            <w:hideMark/>
          </w:tcPr>
          <w:p w14:paraId="0AD65297" w14:textId="77777777" w:rsidR="00DF18F7" w:rsidRPr="000A56BB" w:rsidRDefault="00DF18F7" w:rsidP="00A41E70">
            <w:pPr>
              <w:rPr>
                <w:rFonts w:cs="Arial"/>
                <w:lang w:eastAsia="en-AU"/>
              </w:rPr>
            </w:pPr>
            <w:r w:rsidRPr="000A56BB">
              <w:rPr>
                <w:rFonts w:cs="Arial"/>
                <w:lang w:eastAsia="en-AU"/>
              </w:rPr>
              <w:t>2013–14</w:t>
            </w:r>
          </w:p>
        </w:tc>
        <w:tc>
          <w:tcPr>
            <w:tcW w:w="1288" w:type="dxa"/>
            <w:shd w:val="clear" w:color="auto" w:fill="auto"/>
            <w:vAlign w:val="center"/>
            <w:hideMark/>
          </w:tcPr>
          <w:p w14:paraId="5B2B2214" w14:textId="77777777" w:rsidR="00DF18F7" w:rsidRPr="000A56BB" w:rsidRDefault="00DF18F7" w:rsidP="00A41E70">
            <w:pPr>
              <w:jc w:val="right"/>
              <w:rPr>
                <w:rFonts w:cs="Arial"/>
                <w:lang w:eastAsia="en-AU"/>
              </w:rPr>
            </w:pPr>
            <w:r w:rsidRPr="000A56BB">
              <w:rPr>
                <w:rFonts w:cs="Arial"/>
                <w:lang w:eastAsia="en-AU"/>
              </w:rPr>
              <w:t>30.00%</w:t>
            </w:r>
          </w:p>
        </w:tc>
        <w:tc>
          <w:tcPr>
            <w:tcW w:w="1191" w:type="dxa"/>
            <w:shd w:val="clear" w:color="auto" w:fill="auto"/>
            <w:vAlign w:val="center"/>
            <w:hideMark/>
          </w:tcPr>
          <w:p w14:paraId="20C72E16" w14:textId="77777777" w:rsidR="00DF18F7" w:rsidRPr="003C11E3" w:rsidRDefault="00DF18F7" w:rsidP="00A41E70">
            <w:pPr>
              <w:jc w:val="right"/>
              <w:rPr>
                <w:rFonts w:cs="Arial"/>
                <w:lang w:eastAsia="en-AU"/>
              </w:rPr>
            </w:pPr>
            <w:r w:rsidRPr="003C11E3">
              <w:rPr>
                <w:rFonts w:cs="Arial"/>
                <w:lang w:eastAsia="en-AU"/>
              </w:rPr>
              <w:t>5.60%</w:t>
            </w:r>
          </w:p>
        </w:tc>
        <w:tc>
          <w:tcPr>
            <w:tcW w:w="1440" w:type="dxa"/>
            <w:shd w:val="clear" w:color="auto" w:fill="auto"/>
            <w:vAlign w:val="center"/>
            <w:hideMark/>
          </w:tcPr>
          <w:p w14:paraId="143FCD26" w14:textId="77777777" w:rsidR="00DF18F7" w:rsidRPr="003C11E3" w:rsidRDefault="00DF18F7" w:rsidP="00A41E70">
            <w:pPr>
              <w:jc w:val="right"/>
              <w:rPr>
                <w:rFonts w:cs="Arial"/>
                <w:lang w:eastAsia="en-AU"/>
              </w:rPr>
            </w:pPr>
            <w:r w:rsidRPr="003C11E3">
              <w:rPr>
                <w:rFonts w:cs="Arial"/>
                <w:lang w:eastAsia="en-AU"/>
              </w:rPr>
              <w:t>$3,892.90</w:t>
            </w:r>
          </w:p>
        </w:tc>
        <w:tc>
          <w:tcPr>
            <w:tcW w:w="1767" w:type="dxa"/>
            <w:shd w:val="clear" w:color="auto" w:fill="auto"/>
            <w:vAlign w:val="center"/>
            <w:hideMark/>
          </w:tcPr>
          <w:p w14:paraId="6EADE565" w14:textId="77777777" w:rsidR="00DF18F7" w:rsidRPr="005A0F11" w:rsidRDefault="00DF18F7" w:rsidP="00A41E70">
            <w:pPr>
              <w:jc w:val="right"/>
              <w:rPr>
                <w:rFonts w:cs="Arial"/>
                <w:lang w:eastAsia="en-AU"/>
              </w:rPr>
            </w:pPr>
            <w:r w:rsidRPr="005A0F11">
              <w:rPr>
                <w:rFonts w:cs="Arial"/>
                <w:lang w:eastAsia="en-AU"/>
              </w:rPr>
              <w:t>$2,725.03</w:t>
            </w:r>
          </w:p>
        </w:tc>
        <w:tc>
          <w:tcPr>
            <w:tcW w:w="1503" w:type="dxa"/>
            <w:shd w:val="clear" w:color="auto" w:fill="auto"/>
            <w:noWrap/>
            <w:vAlign w:val="bottom"/>
            <w:hideMark/>
          </w:tcPr>
          <w:p w14:paraId="2046558B" w14:textId="77777777" w:rsidR="00DF18F7" w:rsidRPr="00997869" w:rsidRDefault="00DF18F7" w:rsidP="00A41E70">
            <w:pPr>
              <w:jc w:val="right"/>
              <w:rPr>
                <w:rFonts w:cs="Arial"/>
                <w:lang w:eastAsia="en-AU"/>
              </w:rPr>
            </w:pPr>
            <w:r w:rsidRPr="00997869">
              <w:rPr>
                <w:rFonts w:cs="Arial"/>
                <w:lang w:eastAsia="en-AU"/>
              </w:rPr>
              <w:t>5.60%</w:t>
            </w:r>
          </w:p>
        </w:tc>
      </w:tr>
      <w:tr w:rsidR="00DF18F7" w:rsidRPr="001C58A6" w14:paraId="1828285B" w14:textId="77777777" w:rsidTr="00A41E70">
        <w:trPr>
          <w:trHeight w:val="315"/>
        </w:trPr>
        <w:tc>
          <w:tcPr>
            <w:tcW w:w="1227" w:type="dxa"/>
            <w:shd w:val="clear" w:color="auto" w:fill="auto"/>
            <w:vAlign w:val="center"/>
            <w:hideMark/>
          </w:tcPr>
          <w:p w14:paraId="23E77624" w14:textId="77777777" w:rsidR="00DF18F7" w:rsidRPr="000A56BB" w:rsidRDefault="00DF18F7" w:rsidP="00A41E70">
            <w:pPr>
              <w:rPr>
                <w:rFonts w:cs="Arial"/>
                <w:lang w:eastAsia="en-AU"/>
              </w:rPr>
            </w:pPr>
            <w:r w:rsidRPr="000A56BB">
              <w:rPr>
                <w:rFonts w:cs="Arial"/>
                <w:lang w:eastAsia="en-AU"/>
              </w:rPr>
              <w:t>2014–15</w:t>
            </w:r>
          </w:p>
        </w:tc>
        <w:tc>
          <w:tcPr>
            <w:tcW w:w="1288" w:type="dxa"/>
            <w:shd w:val="clear" w:color="auto" w:fill="auto"/>
            <w:vAlign w:val="center"/>
            <w:hideMark/>
          </w:tcPr>
          <w:p w14:paraId="01AC156E" w14:textId="77777777" w:rsidR="00DF18F7" w:rsidRPr="000A56BB" w:rsidRDefault="00DF18F7" w:rsidP="00A41E70">
            <w:pPr>
              <w:jc w:val="right"/>
              <w:rPr>
                <w:rFonts w:cs="Arial"/>
                <w:lang w:eastAsia="en-AU"/>
              </w:rPr>
            </w:pPr>
            <w:r w:rsidRPr="000A56BB">
              <w:rPr>
                <w:rFonts w:cs="Arial"/>
                <w:lang w:eastAsia="en-AU"/>
              </w:rPr>
              <w:t>29.04%</w:t>
            </w:r>
          </w:p>
        </w:tc>
        <w:tc>
          <w:tcPr>
            <w:tcW w:w="1191" w:type="dxa"/>
            <w:shd w:val="clear" w:color="auto" w:fill="auto"/>
            <w:vAlign w:val="center"/>
            <w:hideMark/>
          </w:tcPr>
          <w:p w14:paraId="41BEC1FA" w14:textId="77777777" w:rsidR="00DF18F7" w:rsidRPr="003C11E3" w:rsidRDefault="00DF18F7" w:rsidP="00A41E70">
            <w:pPr>
              <w:jc w:val="right"/>
              <w:rPr>
                <w:rFonts w:cs="Arial"/>
                <w:lang w:eastAsia="en-AU"/>
              </w:rPr>
            </w:pPr>
            <w:r w:rsidRPr="003C11E3">
              <w:rPr>
                <w:rFonts w:cs="Arial"/>
                <w:lang w:eastAsia="en-AU"/>
              </w:rPr>
              <w:t>6.20%</w:t>
            </w:r>
          </w:p>
        </w:tc>
        <w:tc>
          <w:tcPr>
            <w:tcW w:w="1440" w:type="dxa"/>
            <w:shd w:val="clear" w:color="auto" w:fill="auto"/>
            <w:noWrap/>
            <w:vAlign w:val="bottom"/>
            <w:hideMark/>
          </w:tcPr>
          <w:p w14:paraId="4E246352" w14:textId="77777777" w:rsidR="00DF18F7" w:rsidRPr="003C11E3" w:rsidRDefault="00DF18F7" w:rsidP="00A41E70">
            <w:pPr>
              <w:jc w:val="right"/>
              <w:rPr>
                <w:rFonts w:cs="Arial"/>
                <w:lang w:eastAsia="en-AU"/>
              </w:rPr>
            </w:pPr>
            <w:r w:rsidRPr="003C11E3">
              <w:rPr>
                <w:rFonts w:cs="Arial"/>
                <w:lang w:eastAsia="en-AU"/>
              </w:rPr>
              <w:t>$4,134.26</w:t>
            </w:r>
          </w:p>
        </w:tc>
        <w:tc>
          <w:tcPr>
            <w:tcW w:w="1767" w:type="dxa"/>
            <w:shd w:val="clear" w:color="auto" w:fill="auto"/>
            <w:vAlign w:val="center"/>
            <w:hideMark/>
          </w:tcPr>
          <w:p w14:paraId="650326EA" w14:textId="77777777" w:rsidR="00DF18F7" w:rsidRPr="005A0F11" w:rsidRDefault="00DF18F7" w:rsidP="00A41E70">
            <w:pPr>
              <w:jc w:val="right"/>
              <w:rPr>
                <w:rFonts w:cs="Arial"/>
                <w:lang w:eastAsia="en-AU"/>
              </w:rPr>
            </w:pPr>
            <w:r w:rsidRPr="005A0F11">
              <w:rPr>
                <w:rFonts w:cs="Arial"/>
                <w:lang w:eastAsia="en-AU"/>
              </w:rPr>
              <w:t>$2,933.67</w:t>
            </w:r>
          </w:p>
        </w:tc>
        <w:tc>
          <w:tcPr>
            <w:tcW w:w="1503" w:type="dxa"/>
            <w:shd w:val="clear" w:color="auto" w:fill="auto"/>
            <w:noWrap/>
            <w:vAlign w:val="bottom"/>
            <w:hideMark/>
          </w:tcPr>
          <w:p w14:paraId="44F8CEF3" w14:textId="77777777" w:rsidR="00DF18F7" w:rsidRPr="00997869" w:rsidRDefault="00DF18F7" w:rsidP="00A41E70">
            <w:pPr>
              <w:jc w:val="right"/>
              <w:rPr>
                <w:rFonts w:cs="Arial"/>
                <w:lang w:eastAsia="en-AU"/>
              </w:rPr>
            </w:pPr>
            <w:r w:rsidRPr="00997869">
              <w:rPr>
                <w:rFonts w:cs="Arial"/>
                <w:lang w:eastAsia="en-AU"/>
              </w:rPr>
              <w:t>7.66%</w:t>
            </w:r>
          </w:p>
        </w:tc>
      </w:tr>
      <w:tr w:rsidR="00DF18F7" w:rsidRPr="001C58A6" w14:paraId="47EBEB42" w14:textId="77777777" w:rsidTr="00A41E70">
        <w:trPr>
          <w:trHeight w:val="315"/>
        </w:trPr>
        <w:tc>
          <w:tcPr>
            <w:tcW w:w="1227" w:type="dxa"/>
            <w:shd w:val="clear" w:color="auto" w:fill="auto"/>
            <w:vAlign w:val="center"/>
            <w:hideMark/>
          </w:tcPr>
          <w:p w14:paraId="57A0E9FF" w14:textId="77777777" w:rsidR="00DF18F7" w:rsidRPr="000A56BB" w:rsidRDefault="00DF18F7" w:rsidP="00A41E70">
            <w:pPr>
              <w:rPr>
                <w:rFonts w:cs="Arial"/>
                <w:lang w:eastAsia="en-AU"/>
              </w:rPr>
            </w:pPr>
            <w:r w:rsidRPr="000A56BB">
              <w:rPr>
                <w:rFonts w:cs="Arial"/>
                <w:lang w:eastAsia="en-AU"/>
              </w:rPr>
              <w:t>2015–16</w:t>
            </w:r>
          </w:p>
        </w:tc>
        <w:tc>
          <w:tcPr>
            <w:tcW w:w="1288" w:type="dxa"/>
            <w:shd w:val="clear" w:color="auto" w:fill="auto"/>
            <w:vAlign w:val="center"/>
            <w:hideMark/>
          </w:tcPr>
          <w:p w14:paraId="533DCBA7" w14:textId="77777777" w:rsidR="00DF18F7" w:rsidRPr="000A56BB" w:rsidRDefault="00DF18F7" w:rsidP="00A41E70">
            <w:pPr>
              <w:jc w:val="right"/>
              <w:rPr>
                <w:rFonts w:cs="Arial"/>
                <w:lang w:eastAsia="en-AU"/>
              </w:rPr>
            </w:pPr>
            <w:r w:rsidRPr="000A56BB">
              <w:rPr>
                <w:rFonts w:cs="Arial"/>
                <w:lang w:eastAsia="en-AU"/>
              </w:rPr>
              <w:t>27.82%</w:t>
            </w:r>
          </w:p>
        </w:tc>
        <w:tc>
          <w:tcPr>
            <w:tcW w:w="1191" w:type="dxa"/>
            <w:shd w:val="clear" w:color="auto" w:fill="auto"/>
            <w:vAlign w:val="center"/>
            <w:hideMark/>
          </w:tcPr>
          <w:p w14:paraId="04BAB4B7" w14:textId="77777777" w:rsidR="00DF18F7" w:rsidRPr="003C11E3" w:rsidRDefault="00DF18F7" w:rsidP="00A41E70">
            <w:pPr>
              <w:jc w:val="right"/>
              <w:rPr>
                <w:rFonts w:cs="Arial"/>
                <w:lang w:eastAsia="en-AU"/>
              </w:rPr>
            </w:pPr>
            <w:r w:rsidRPr="003C11E3">
              <w:rPr>
                <w:rFonts w:cs="Arial"/>
                <w:lang w:eastAsia="en-AU"/>
              </w:rPr>
              <w:t>6.18%</w:t>
            </w:r>
          </w:p>
        </w:tc>
        <w:tc>
          <w:tcPr>
            <w:tcW w:w="1440" w:type="dxa"/>
            <w:shd w:val="clear" w:color="auto" w:fill="auto"/>
            <w:vAlign w:val="center"/>
            <w:hideMark/>
          </w:tcPr>
          <w:p w14:paraId="09B38B4E" w14:textId="77777777" w:rsidR="00DF18F7" w:rsidRPr="003C11E3" w:rsidRDefault="00DF18F7" w:rsidP="00A41E70">
            <w:pPr>
              <w:jc w:val="right"/>
              <w:rPr>
                <w:rFonts w:cs="Arial"/>
                <w:lang w:eastAsia="en-AU"/>
              </w:rPr>
            </w:pPr>
            <w:r w:rsidRPr="003C11E3">
              <w:rPr>
                <w:rFonts w:cs="Arial"/>
                <w:lang w:eastAsia="en-AU"/>
              </w:rPr>
              <w:t>$4,389.76</w:t>
            </w:r>
          </w:p>
        </w:tc>
        <w:tc>
          <w:tcPr>
            <w:tcW w:w="1767" w:type="dxa"/>
            <w:shd w:val="clear" w:color="auto" w:fill="auto"/>
            <w:vAlign w:val="center"/>
            <w:hideMark/>
          </w:tcPr>
          <w:p w14:paraId="47F3D300" w14:textId="77777777" w:rsidR="00DF18F7" w:rsidRPr="005A0F11" w:rsidRDefault="00DF18F7" w:rsidP="00A41E70">
            <w:pPr>
              <w:jc w:val="right"/>
              <w:rPr>
                <w:rFonts w:cs="Arial"/>
                <w:lang w:eastAsia="en-AU"/>
              </w:rPr>
            </w:pPr>
            <w:r w:rsidRPr="005A0F11">
              <w:rPr>
                <w:rFonts w:cs="Arial"/>
                <w:lang w:eastAsia="en-AU"/>
              </w:rPr>
              <w:t>$3,168.53</w:t>
            </w:r>
          </w:p>
        </w:tc>
        <w:tc>
          <w:tcPr>
            <w:tcW w:w="1503" w:type="dxa"/>
            <w:shd w:val="clear" w:color="auto" w:fill="auto"/>
            <w:noWrap/>
            <w:vAlign w:val="bottom"/>
            <w:hideMark/>
          </w:tcPr>
          <w:p w14:paraId="6FF29285" w14:textId="77777777" w:rsidR="00DF18F7" w:rsidRPr="00997869" w:rsidRDefault="00DF18F7" w:rsidP="00A41E70">
            <w:pPr>
              <w:jc w:val="right"/>
              <w:rPr>
                <w:rFonts w:cs="Arial"/>
                <w:lang w:eastAsia="en-AU"/>
              </w:rPr>
            </w:pPr>
            <w:r w:rsidRPr="00997869">
              <w:rPr>
                <w:rFonts w:cs="Arial"/>
                <w:lang w:eastAsia="en-AU"/>
              </w:rPr>
              <w:t>8.01%</w:t>
            </w:r>
          </w:p>
        </w:tc>
      </w:tr>
      <w:tr w:rsidR="00DF18F7" w:rsidRPr="001C58A6" w14:paraId="31CF8C63" w14:textId="77777777" w:rsidTr="00A41E70">
        <w:trPr>
          <w:trHeight w:val="315"/>
        </w:trPr>
        <w:tc>
          <w:tcPr>
            <w:tcW w:w="1227" w:type="dxa"/>
            <w:shd w:val="clear" w:color="auto" w:fill="auto"/>
            <w:vAlign w:val="center"/>
            <w:hideMark/>
          </w:tcPr>
          <w:p w14:paraId="40AD0F07" w14:textId="77777777" w:rsidR="00DF18F7" w:rsidRPr="000A56BB" w:rsidRDefault="00DF18F7" w:rsidP="00A41E70">
            <w:pPr>
              <w:rPr>
                <w:rFonts w:cs="Arial"/>
                <w:lang w:eastAsia="en-AU"/>
              </w:rPr>
            </w:pPr>
            <w:r w:rsidRPr="000A56BB">
              <w:rPr>
                <w:rFonts w:eastAsia="Calibri" w:cs="Arial"/>
                <w:lang w:eastAsia="en-AU"/>
              </w:rPr>
              <w:t>2016–17</w:t>
            </w:r>
          </w:p>
        </w:tc>
        <w:tc>
          <w:tcPr>
            <w:tcW w:w="1288" w:type="dxa"/>
            <w:shd w:val="clear" w:color="auto" w:fill="auto"/>
            <w:vAlign w:val="center"/>
            <w:hideMark/>
          </w:tcPr>
          <w:p w14:paraId="4A266765" w14:textId="77777777" w:rsidR="00DF18F7" w:rsidRPr="000A56BB" w:rsidRDefault="00DF18F7" w:rsidP="00A41E70">
            <w:pPr>
              <w:jc w:val="right"/>
              <w:rPr>
                <w:rFonts w:cs="Arial"/>
                <w:lang w:eastAsia="en-AU"/>
              </w:rPr>
            </w:pPr>
            <w:r w:rsidRPr="000A56BB">
              <w:rPr>
                <w:rFonts w:cs="Arial"/>
                <w:lang w:eastAsia="en-AU"/>
              </w:rPr>
              <w:t>26.791%</w:t>
            </w:r>
          </w:p>
        </w:tc>
        <w:tc>
          <w:tcPr>
            <w:tcW w:w="1191" w:type="dxa"/>
            <w:shd w:val="clear" w:color="auto" w:fill="auto"/>
            <w:vAlign w:val="center"/>
            <w:hideMark/>
          </w:tcPr>
          <w:p w14:paraId="3E595E17" w14:textId="77777777" w:rsidR="00DF18F7" w:rsidRPr="003C11E3" w:rsidRDefault="00DF18F7" w:rsidP="00A41E70">
            <w:pPr>
              <w:jc w:val="right"/>
              <w:rPr>
                <w:rFonts w:cs="Arial"/>
                <w:lang w:eastAsia="en-AU"/>
              </w:rPr>
            </w:pPr>
            <w:r w:rsidRPr="003C11E3">
              <w:rPr>
                <w:rFonts w:cs="Arial"/>
                <w:lang w:eastAsia="en-AU"/>
              </w:rPr>
              <w:t>5.59%</w:t>
            </w:r>
          </w:p>
        </w:tc>
        <w:tc>
          <w:tcPr>
            <w:tcW w:w="1440" w:type="dxa"/>
            <w:shd w:val="clear" w:color="auto" w:fill="auto"/>
            <w:vAlign w:val="center"/>
            <w:hideMark/>
          </w:tcPr>
          <w:p w14:paraId="057B6E61" w14:textId="77777777" w:rsidR="00DF18F7" w:rsidRPr="003C11E3" w:rsidRDefault="00DF18F7" w:rsidP="00A41E70">
            <w:pPr>
              <w:jc w:val="right"/>
              <w:rPr>
                <w:rFonts w:cs="Arial"/>
                <w:lang w:eastAsia="en-AU"/>
              </w:rPr>
            </w:pPr>
            <w:r w:rsidRPr="003C11E3">
              <w:rPr>
                <w:rFonts w:cs="Arial"/>
                <w:lang w:eastAsia="en-AU"/>
              </w:rPr>
              <w:t>$4,635.14</w:t>
            </w:r>
          </w:p>
        </w:tc>
        <w:tc>
          <w:tcPr>
            <w:tcW w:w="1767" w:type="dxa"/>
            <w:shd w:val="clear" w:color="auto" w:fill="auto"/>
            <w:vAlign w:val="center"/>
            <w:hideMark/>
          </w:tcPr>
          <w:p w14:paraId="6B46206E" w14:textId="77777777" w:rsidR="00DF18F7" w:rsidRPr="005A0F11" w:rsidRDefault="00DF18F7" w:rsidP="00A41E70">
            <w:pPr>
              <w:jc w:val="right"/>
              <w:rPr>
                <w:rFonts w:cs="Arial"/>
                <w:lang w:eastAsia="en-AU"/>
              </w:rPr>
            </w:pPr>
            <w:r w:rsidRPr="005A0F11">
              <w:rPr>
                <w:rFonts w:cs="Arial"/>
                <w:lang w:eastAsia="en-AU"/>
              </w:rPr>
              <w:t>$3,393.34</w:t>
            </w:r>
          </w:p>
        </w:tc>
        <w:tc>
          <w:tcPr>
            <w:tcW w:w="1503" w:type="dxa"/>
            <w:shd w:val="clear" w:color="auto" w:fill="auto"/>
            <w:noWrap/>
            <w:vAlign w:val="bottom"/>
            <w:hideMark/>
          </w:tcPr>
          <w:p w14:paraId="7C5707B4" w14:textId="77777777" w:rsidR="00DF18F7" w:rsidRPr="00997869" w:rsidRDefault="00DF18F7" w:rsidP="00A41E70">
            <w:pPr>
              <w:jc w:val="right"/>
              <w:rPr>
                <w:rFonts w:cs="Arial"/>
                <w:lang w:eastAsia="en-AU"/>
              </w:rPr>
            </w:pPr>
            <w:r w:rsidRPr="00997869">
              <w:rPr>
                <w:rFonts w:cs="Arial"/>
                <w:lang w:eastAsia="en-AU"/>
              </w:rPr>
              <w:t>7.10%</w:t>
            </w:r>
          </w:p>
        </w:tc>
      </w:tr>
      <w:tr w:rsidR="00DF18F7" w:rsidRPr="001C58A6" w14:paraId="0BD82449" w14:textId="77777777" w:rsidTr="00A41E70">
        <w:trPr>
          <w:trHeight w:val="315"/>
        </w:trPr>
        <w:tc>
          <w:tcPr>
            <w:tcW w:w="1227" w:type="dxa"/>
            <w:shd w:val="clear" w:color="auto" w:fill="auto"/>
            <w:vAlign w:val="center"/>
            <w:hideMark/>
          </w:tcPr>
          <w:p w14:paraId="02497F85" w14:textId="77777777" w:rsidR="00DF18F7" w:rsidRPr="000A56BB" w:rsidRDefault="00DF18F7" w:rsidP="00A41E70">
            <w:pPr>
              <w:rPr>
                <w:rFonts w:cs="Arial"/>
                <w:lang w:eastAsia="en-AU"/>
              </w:rPr>
            </w:pPr>
            <w:r w:rsidRPr="000A56BB">
              <w:rPr>
                <w:rFonts w:cs="Arial"/>
                <w:lang w:eastAsia="en-AU"/>
              </w:rPr>
              <w:t>2017–18</w:t>
            </w:r>
          </w:p>
        </w:tc>
        <w:tc>
          <w:tcPr>
            <w:tcW w:w="1288" w:type="dxa"/>
            <w:shd w:val="clear" w:color="auto" w:fill="auto"/>
            <w:vAlign w:val="center"/>
            <w:hideMark/>
          </w:tcPr>
          <w:p w14:paraId="58ADC4B7" w14:textId="77777777" w:rsidR="00DF18F7" w:rsidRPr="000A56BB" w:rsidRDefault="00DF18F7" w:rsidP="00A41E70">
            <w:pPr>
              <w:jc w:val="right"/>
              <w:rPr>
                <w:rFonts w:cs="Arial"/>
                <w:lang w:eastAsia="en-AU"/>
              </w:rPr>
            </w:pPr>
            <w:r w:rsidRPr="000A56BB">
              <w:rPr>
                <w:rFonts w:eastAsia="Calibri" w:cs="Arial"/>
                <w:lang w:eastAsia="en-AU"/>
              </w:rPr>
              <w:t>25.934</w:t>
            </w:r>
            <w:r w:rsidRPr="000A56BB">
              <w:rPr>
                <w:rFonts w:cs="Arial"/>
                <w:lang w:eastAsia="en-AU"/>
              </w:rPr>
              <w:t>%</w:t>
            </w:r>
          </w:p>
        </w:tc>
        <w:tc>
          <w:tcPr>
            <w:tcW w:w="1191" w:type="dxa"/>
            <w:shd w:val="clear" w:color="auto" w:fill="auto"/>
            <w:vAlign w:val="center"/>
            <w:hideMark/>
          </w:tcPr>
          <w:p w14:paraId="1D60918D" w14:textId="77777777" w:rsidR="00DF18F7" w:rsidRPr="003C11E3" w:rsidRDefault="00DF18F7" w:rsidP="00A41E70">
            <w:pPr>
              <w:jc w:val="right"/>
              <w:rPr>
                <w:rFonts w:cs="Arial"/>
                <w:lang w:eastAsia="en-AU"/>
              </w:rPr>
            </w:pPr>
            <w:r w:rsidRPr="003C11E3">
              <w:rPr>
                <w:rFonts w:cs="Arial"/>
                <w:lang w:eastAsia="en-AU"/>
              </w:rPr>
              <w:t>4.84%</w:t>
            </w:r>
          </w:p>
        </w:tc>
        <w:tc>
          <w:tcPr>
            <w:tcW w:w="1440" w:type="dxa"/>
            <w:shd w:val="clear" w:color="auto" w:fill="auto"/>
            <w:vAlign w:val="center"/>
            <w:hideMark/>
          </w:tcPr>
          <w:p w14:paraId="1CBC9C60" w14:textId="77777777" w:rsidR="00DF18F7" w:rsidRPr="003C11E3" w:rsidRDefault="00DF18F7" w:rsidP="00A41E70">
            <w:pPr>
              <w:jc w:val="right"/>
              <w:rPr>
                <w:rFonts w:cs="Arial"/>
                <w:lang w:eastAsia="en-AU"/>
              </w:rPr>
            </w:pPr>
            <w:r w:rsidRPr="003C11E3">
              <w:rPr>
                <w:rFonts w:cs="Arial"/>
                <w:lang w:eastAsia="en-AU"/>
              </w:rPr>
              <w:t>$4,859.49</w:t>
            </w:r>
          </w:p>
        </w:tc>
        <w:tc>
          <w:tcPr>
            <w:tcW w:w="1767" w:type="dxa"/>
            <w:shd w:val="clear" w:color="auto" w:fill="auto"/>
            <w:vAlign w:val="center"/>
            <w:hideMark/>
          </w:tcPr>
          <w:p w14:paraId="0AC7D3AA" w14:textId="77777777" w:rsidR="00DF18F7" w:rsidRPr="005A0F11" w:rsidRDefault="00DF18F7" w:rsidP="00A41E70">
            <w:pPr>
              <w:jc w:val="right"/>
              <w:rPr>
                <w:rFonts w:cs="Arial"/>
                <w:lang w:eastAsia="en-AU"/>
              </w:rPr>
            </w:pPr>
            <w:r w:rsidRPr="005A0F11">
              <w:rPr>
                <w:rFonts w:cs="Arial"/>
                <w:lang w:eastAsia="en-AU"/>
              </w:rPr>
              <w:t>$3,599.23</w:t>
            </w:r>
          </w:p>
        </w:tc>
        <w:tc>
          <w:tcPr>
            <w:tcW w:w="1503" w:type="dxa"/>
            <w:shd w:val="clear" w:color="auto" w:fill="auto"/>
            <w:noWrap/>
            <w:vAlign w:val="bottom"/>
            <w:hideMark/>
          </w:tcPr>
          <w:p w14:paraId="2F0FCA7F" w14:textId="77777777" w:rsidR="00DF18F7" w:rsidRPr="00997869" w:rsidRDefault="00DF18F7" w:rsidP="00A41E70">
            <w:pPr>
              <w:jc w:val="right"/>
              <w:rPr>
                <w:rFonts w:cs="Arial"/>
                <w:lang w:eastAsia="en-AU"/>
              </w:rPr>
            </w:pPr>
            <w:r w:rsidRPr="00997869">
              <w:rPr>
                <w:rFonts w:cs="Arial"/>
                <w:lang w:eastAsia="en-AU"/>
              </w:rPr>
              <w:t>6.07%</w:t>
            </w:r>
          </w:p>
        </w:tc>
      </w:tr>
      <w:tr w:rsidR="00DF18F7" w:rsidRPr="001C58A6" w14:paraId="1D02DB2E" w14:textId="77777777" w:rsidTr="00A41E70">
        <w:trPr>
          <w:trHeight w:val="315"/>
        </w:trPr>
        <w:tc>
          <w:tcPr>
            <w:tcW w:w="1227" w:type="dxa"/>
            <w:shd w:val="clear" w:color="auto" w:fill="auto"/>
            <w:vAlign w:val="center"/>
            <w:hideMark/>
          </w:tcPr>
          <w:p w14:paraId="7DF4B632" w14:textId="77777777" w:rsidR="00DF18F7" w:rsidRPr="000A56BB" w:rsidRDefault="00DF18F7" w:rsidP="00A41E70">
            <w:pPr>
              <w:rPr>
                <w:rFonts w:cs="Arial"/>
                <w:lang w:eastAsia="en-AU"/>
              </w:rPr>
            </w:pPr>
            <w:r w:rsidRPr="000A56BB">
              <w:rPr>
                <w:rFonts w:cs="Arial"/>
                <w:lang w:eastAsia="en-AU"/>
              </w:rPr>
              <w:t>2018–19</w:t>
            </w:r>
          </w:p>
        </w:tc>
        <w:tc>
          <w:tcPr>
            <w:tcW w:w="1288" w:type="dxa"/>
            <w:shd w:val="clear" w:color="auto" w:fill="auto"/>
            <w:vAlign w:val="center"/>
            <w:hideMark/>
          </w:tcPr>
          <w:p w14:paraId="2FFE866A" w14:textId="77777777" w:rsidR="00DF18F7" w:rsidRPr="000A56BB" w:rsidRDefault="00DF18F7" w:rsidP="00A41E70">
            <w:pPr>
              <w:jc w:val="right"/>
              <w:rPr>
                <w:rFonts w:cs="Arial"/>
                <w:lang w:eastAsia="en-AU"/>
              </w:rPr>
            </w:pPr>
            <w:r w:rsidRPr="000A56BB">
              <w:rPr>
                <w:rFonts w:eastAsia="Calibri" w:cs="Arial"/>
                <w:lang w:eastAsia="en-AU"/>
              </w:rPr>
              <w:t>25.415</w:t>
            </w:r>
            <w:r w:rsidRPr="000A56BB">
              <w:rPr>
                <w:rFonts w:cs="Arial"/>
                <w:lang w:eastAsia="en-AU"/>
              </w:rPr>
              <w:t>%</w:t>
            </w:r>
          </w:p>
        </w:tc>
        <w:tc>
          <w:tcPr>
            <w:tcW w:w="1191" w:type="dxa"/>
            <w:shd w:val="clear" w:color="auto" w:fill="auto"/>
            <w:vAlign w:val="center"/>
            <w:hideMark/>
          </w:tcPr>
          <w:p w14:paraId="527759DD" w14:textId="77777777" w:rsidR="00DF18F7" w:rsidRPr="003C11E3" w:rsidRDefault="00DF18F7" w:rsidP="00A41E70">
            <w:pPr>
              <w:jc w:val="right"/>
              <w:rPr>
                <w:rFonts w:cs="Arial"/>
                <w:lang w:eastAsia="en-AU"/>
              </w:rPr>
            </w:pPr>
            <w:r w:rsidRPr="003C11E3">
              <w:rPr>
                <w:rFonts w:cs="Arial"/>
                <w:lang w:eastAsia="en-AU"/>
              </w:rPr>
              <w:t>3.95%</w:t>
            </w:r>
          </w:p>
        </w:tc>
        <w:tc>
          <w:tcPr>
            <w:tcW w:w="1440" w:type="dxa"/>
            <w:shd w:val="clear" w:color="auto" w:fill="auto"/>
            <w:vAlign w:val="center"/>
            <w:hideMark/>
          </w:tcPr>
          <w:p w14:paraId="47BF4675" w14:textId="77777777" w:rsidR="00DF18F7" w:rsidRPr="005A0F11" w:rsidRDefault="00DF18F7" w:rsidP="00A41E70">
            <w:pPr>
              <w:jc w:val="right"/>
              <w:rPr>
                <w:rFonts w:cs="Arial"/>
                <w:lang w:eastAsia="en-AU"/>
              </w:rPr>
            </w:pPr>
            <w:r w:rsidRPr="005A0F11">
              <w:rPr>
                <w:rFonts w:cs="Arial"/>
                <w:lang w:eastAsia="en-AU"/>
              </w:rPr>
              <w:t>$5,051.44</w:t>
            </w:r>
          </w:p>
        </w:tc>
        <w:tc>
          <w:tcPr>
            <w:tcW w:w="1767" w:type="dxa"/>
            <w:shd w:val="clear" w:color="auto" w:fill="auto"/>
            <w:vAlign w:val="center"/>
            <w:hideMark/>
          </w:tcPr>
          <w:p w14:paraId="0FFEC1CF" w14:textId="77777777" w:rsidR="00DF18F7" w:rsidRPr="00997869" w:rsidRDefault="00DF18F7" w:rsidP="00A41E70">
            <w:pPr>
              <w:jc w:val="right"/>
              <w:rPr>
                <w:rFonts w:cs="Arial"/>
                <w:lang w:eastAsia="en-AU"/>
              </w:rPr>
            </w:pPr>
            <w:r w:rsidRPr="00997869">
              <w:rPr>
                <w:rFonts w:cs="Arial"/>
                <w:lang w:eastAsia="en-AU"/>
              </w:rPr>
              <w:t>$3,767.62</w:t>
            </w:r>
          </w:p>
        </w:tc>
        <w:tc>
          <w:tcPr>
            <w:tcW w:w="1503" w:type="dxa"/>
            <w:shd w:val="clear" w:color="auto" w:fill="auto"/>
            <w:noWrap/>
            <w:vAlign w:val="bottom"/>
            <w:hideMark/>
          </w:tcPr>
          <w:p w14:paraId="3B5DEABB" w14:textId="77777777" w:rsidR="00DF18F7" w:rsidRPr="00AA0F39" w:rsidRDefault="00DF18F7" w:rsidP="00A41E70">
            <w:pPr>
              <w:jc w:val="right"/>
              <w:rPr>
                <w:rFonts w:cs="Arial"/>
                <w:lang w:eastAsia="en-AU"/>
              </w:rPr>
            </w:pPr>
            <w:r w:rsidRPr="00997869">
              <w:rPr>
                <w:rFonts w:cs="Arial"/>
                <w:lang w:eastAsia="en-AU"/>
              </w:rPr>
              <w:t>4.68%</w:t>
            </w:r>
          </w:p>
        </w:tc>
      </w:tr>
      <w:tr w:rsidR="00DF18F7" w:rsidRPr="00F93EB5" w14:paraId="6A755B6A" w14:textId="77777777" w:rsidTr="00A41E70">
        <w:trPr>
          <w:trHeight w:val="315"/>
        </w:trPr>
        <w:tc>
          <w:tcPr>
            <w:tcW w:w="1227" w:type="dxa"/>
            <w:shd w:val="clear" w:color="auto" w:fill="auto"/>
            <w:vAlign w:val="center"/>
          </w:tcPr>
          <w:p w14:paraId="119F45FC" w14:textId="77777777" w:rsidR="00DF18F7" w:rsidRPr="000A56BB" w:rsidRDefault="00DF18F7" w:rsidP="00A41E70">
            <w:pPr>
              <w:rPr>
                <w:rFonts w:cs="Arial"/>
                <w:lang w:eastAsia="en-AU"/>
              </w:rPr>
            </w:pPr>
            <w:r w:rsidRPr="000A56BB">
              <w:rPr>
                <w:rFonts w:cs="Arial"/>
                <w:lang w:eastAsia="en-AU"/>
              </w:rPr>
              <w:t>2019–20</w:t>
            </w:r>
          </w:p>
        </w:tc>
        <w:tc>
          <w:tcPr>
            <w:tcW w:w="1288" w:type="dxa"/>
            <w:shd w:val="clear" w:color="auto" w:fill="auto"/>
            <w:vAlign w:val="center"/>
          </w:tcPr>
          <w:p w14:paraId="264C98F5" w14:textId="77777777" w:rsidR="00DF18F7" w:rsidRPr="000A56BB" w:rsidRDefault="00DF18F7" w:rsidP="00A41E70">
            <w:pPr>
              <w:jc w:val="right"/>
              <w:rPr>
                <w:rFonts w:cs="Arial"/>
                <w:lang w:eastAsia="en-AU"/>
              </w:rPr>
            </w:pPr>
            <w:r w:rsidRPr="000A56BB">
              <w:rPr>
                <w:rFonts w:cs="Arial"/>
                <w:lang w:eastAsia="en-AU"/>
              </w:rPr>
              <w:t>25.059%</w:t>
            </w:r>
          </w:p>
        </w:tc>
        <w:tc>
          <w:tcPr>
            <w:tcW w:w="1191" w:type="dxa"/>
            <w:shd w:val="clear" w:color="auto" w:fill="auto"/>
            <w:vAlign w:val="center"/>
          </w:tcPr>
          <w:p w14:paraId="6394C29F" w14:textId="77777777" w:rsidR="00DF18F7" w:rsidRPr="003C11E3" w:rsidRDefault="00DF18F7" w:rsidP="00A41E70">
            <w:pPr>
              <w:jc w:val="right"/>
              <w:rPr>
                <w:rFonts w:cs="Arial"/>
                <w:lang w:eastAsia="en-AU"/>
              </w:rPr>
            </w:pPr>
            <w:r w:rsidRPr="003C11E3">
              <w:rPr>
                <w:rFonts w:cs="Arial"/>
                <w:lang w:eastAsia="en-AU"/>
              </w:rPr>
              <w:t>3.25%</w:t>
            </w:r>
          </w:p>
        </w:tc>
        <w:tc>
          <w:tcPr>
            <w:tcW w:w="1440" w:type="dxa"/>
            <w:shd w:val="clear" w:color="auto" w:fill="auto"/>
            <w:vAlign w:val="center"/>
          </w:tcPr>
          <w:p w14:paraId="5CFB42E0" w14:textId="77777777" w:rsidR="00DF18F7" w:rsidRPr="005A0F11" w:rsidRDefault="00DF18F7" w:rsidP="00A41E70">
            <w:pPr>
              <w:jc w:val="right"/>
              <w:rPr>
                <w:rFonts w:cs="Arial"/>
                <w:lang w:eastAsia="en-AU"/>
              </w:rPr>
            </w:pPr>
            <w:r w:rsidRPr="003C11E3">
              <w:rPr>
                <w:rFonts w:cs="Arial"/>
                <w:lang w:eastAsia="en-AU"/>
              </w:rPr>
              <w:t>$5,215.61</w:t>
            </w:r>
          </w:p>
        </w:tc>
        <w:tc>
          <w:tcPr>
            <w:tcW w:w="1767" w:type="dxa"/>
            <w:shd w:val="clear" w:color="auto" w:fill="auto"/>
            <w:vAlign w:val="center"/>
          </w:tcPr>
          <w:p w14:paraId="2E41618B" w14:textId="77777777" w:rsidR="00DF18F7" w:rsidRPr="00997869" w:rsidRDefault="00DF18F7" w:rsidP="00A41E70">
            <w:pPr>
              <w:jc w:val="right"/>
              <w:rPr>
                <w:rFonts w:cs="Arial"/>
                <w:lang w:eastAsia="en-AU"/>
              </w:rPr>
            </w:pPr>
            <w:r w:rsidRPr="00997869">
              <w:rPr>
                <w:rFonts w:cs="Arial"/>
                <w:lang w:eastAsia="en-AU"/>
              </w:rPr>
              <w:t>$3,908.63</w:t>
            </w:r>
          </w:p>
        </w:tc>
        <w:tc>
          <w:tcPr>
            <w:tcW w:w="1503" w:type="dxa"/>
            <w:shd w:val="clear" w:color="auto" w:fill="auto"/>
            <w:noWrap/>
            <w:vAlign w:val="center"/>
          </w:tcPr>
          <w:p w14:paraId="1D47E6FE" w14:textId="77777777" w:rsidR="00DF18F7" w:rsidRPr="00AA0F39" w:rsidRDefault="00DF18F7" w:rsidP="00A41E70">
            <w:pPr>
              <w:jc w:val="right"/>
              <w:rPr>
                <w:rFonts w:cs="Arial"/>
                <w:lang w:eastAsia="en-AU"/>
              </w:rPr>
            </w:pPr>
            <w:r w:rsidRPr="00997869">
              <w:rPr>
                <w:rFonts w:cs="Arial"/>
                <w:lang w:eastAsia="en-AU"/>
              </w:rPr>
              <w:t>3.74%</w:t>
            </w:r>
          </w:p>
        </w:tc>
      </w:tr>
      <w:tr w:rsidR="00DF18F7" w:rsidRPr="00F93EB5" w14:paraId="3CB0453D" w14:textId="77777777" w:rsidTr="00A41E70">
        <w:trPr>
          <w:trHeight w:val="315"/>
        </w:trPr>
        <w:tc>
          <w:tcPr>
            <w:tcW w:w="1227" w:type="dxa"/>
            <w:shd w:val="clear" w:color="auto" w:fill="auto"/>
            <w:vAlign w:val="center"/>
          </w:tcPr>
          <w:p w14:paraId="3340D3BD" w14:textId="77777777" w:rsidR="00DF18F7" w:rsidRPr="000A56BB" w:rsidRDefault="00DF18F7" w:rsidP="00A41E70">
            <w:pPr>
              <w:rPr>
                <w:rFonts w:cs="Arial"/>
                <w:lang w:eastAsia="en-AU"/>
              </w:rPr>
            </w:pPr>
            <w:r>
              <w:rPr>
                <w:rFonts w:cs="Arial"/>
                <w:lang w:eastAsia="en-AU"/>
              </w:rPr>
              <w:t>2020-21</w:t>
            </w:r>
          </w:p>
        </w:tc>
        <w:tc>
          <w:tcPr>
            <w:tcW w:w="1288" w:type="dxa"/>
            <w:shd w:val="clear" w:color="auto" w:fill="auto"/>
            <w:vAlign w:val="center"/>
          </w:tcPr>
          <w:p w14:paraId="5907D885" w14:textId="77777777" w:rsidR="00DF18F7" w:rsidRPr="000A56BB" w:rsidRDefault="00DF18F7" w:rsidP="00A41E70">
            <w:pPr>
              <w:jc w:val="right"/>
              <w:rPr>
                <w:rFonts w:cs="Arial"/>
                <w:lang w:eastAsia="en-AU"/>
              </w:rPr>
            </w:pPr>
            <w:r>
              <w:rPr>
                <w:rFonts w:cs="Arial"/>
                <w:lang w:eastAsia="en-AU"/>
              </w:rPr>
              <w:t>TBA</w:t>
            </w:r>
          </w:p>
        </w:tc>
        <w:tc>
          <w:tcPr>
            <w:tcW w:w="1191" w:type="dxa"/>
            <w:shd w:val="clear" w:color="auto" w:fill="auto"/>
            <w:vAlign w:val="center"/>
          </w:tcPr>
          <w:p w14:paraId="1D0A3E82" w14:textId="77777777" w:rsidR="00DF18F7" w:rsidRPr="003C11E3" w:rsidRDefault="00DF18F7" w:rsidP="00A41E70">
            <w:pPr>
              <w:jc w:val="right"/>
              <w:rPr>
                <w:rFonts w:cs="Arial"/>
                <w:lang w:eastAsia="en-AU"/>
              </w:rPr>
            </w:pPr>
            <w:r>
              <w:rPr>
                <w:rFonts w:cs="Arial"/>
                <w:lang w:eastAsia="en-AU"/>
              </w:rPr>
              <w:t>2.92%</w:t>
            </w:r>
          </w:p>
        </w:tc>
        <w:tc>
          <w:tcPr>
            <w:tcW w:w="1440" w:type="dxa"/>
            <w:shd w:val="clear" w:color="auto" w:fill="auto"/>
            <w:vAlign w:val="center"/>
          </w:tcPr>
          <w:p w14:paraId="2D0CD30D" w14:textId="77777777" w:rsidR="00DF18F7" w:rsidRPr="003C11E3" w:rsidRDefault="00DF18F7" w:rsidP="00A41E70">
            <w:pPr>
              <w:jc w:val="right"/>
              <w:rPr>
                <w:rFonts w:cs="Arial"/>
                <w:lang w:eastAsia="en-AU"/>
              </w:rPr>
            </w:pPr>
          </w:p>
        </w:tc>
        <w:tc>
          <w:tcPr>
            <w:tcW w:w="1767" w:type="dxa"/>
            <w:shd w:val="clear" w:color="auto" w:fill="auto"/>
            <w:vAlign w:val="center"/>
          </w:tcPr>
          <w:p w14:paraId="60095AAF" w14:textId="77777777" w:rsidR="00DF18F7" w:rsidRPr="00997869" w:rsidRDefault="00DF18F7" w:rsidP="00A41E70">
            <w:pPr>
              <w:jc w:val="right"/>
              <w:rPr>
                <w:rFonts w:cs="Arial"/>
                <w:lang w:eastAsia="en-AU"/>
              </w:rPr>
            </w:pPr>
          </w:p>
        </w:tc>
        <w:tc>
          <w:tcPr>
            <w:tcW w:w="1503" w:type="dxa"/>
            <w:shd w:val="clear" w:color="auto" w:fill="auto"/>
            <w:noWrap/>
            <w:vAlign w:val="center"/>
          </w:tcPr>
          <w:p w14:paraId="61E8D7EB" w14:textId="77777777" w:rsidR="00DF18F7" w:rsidRPr="00997869" w:rsidRDefault="00DF18F7" w:rsidP="00A41E70">
            <w:pPr>
              <w:jc w:val="right"/>
              <w:rPr>
                <w:rFonts w:cs="Arial"/>
                <w:lang w:eastAsia="en-AU"/>
              </w:rPr>
            </w:pPr>
          </w:p>
        </w:tc>
      </w:tr>
    </w:tbl>
    <w:p w14:paraId="515CFA18" w14:textId="4444E7CD" w:rsidR="00DF18F7" w:rsidRDefault="00DF18F7" w:rsidP="00DF18F7">
      <w:pPr>
        <w:ind w:left="720"/>
        <w:rPr>
          <w:sz w:val="16"/>
          <w:szCs w:val="16"/>
        </w:rPr>
      </w:pPr>
      <w:r w:rsidRPr="00173029">
        <w:rPr>
          <w:sz w:val="16"/>
          <w:szCs w:val="16"/>
        </w:rPr>
        <w:t xml:space="preserve">Source: APHA analysis using private health insurance rebates and income tiers as published by the Australian Taxation Office and the Department of Health. </w:t>
      </w:r>
    </w:p>
    <w:p w14:paraId="227D8089" w14:textId="77777777" w:rsidR="00350432" w:rsidRPr="00173029" w:rsidRDefault="00350432" w:rsidP="00DF18F7">
      <w:pPr>
        <w:ind w:left="720"/>
        <w:rPr>
          <w:sz w:val="16"/>
          <w:szCs w:val="16"/>
        </w:rPr>
      </w:pPr>
    </w:p>
    <w:p w14:paraId="6E3AEC60" w14:textId="34A4698D" w:rsidR="00DF18F7" w:rsidRDefault="00DF18F7" w:rsidP="00DF18F7">
      <w:pPr>
        <w:ind w:left="720"/>
      </w:pPr>
      <w:r>
        <w:t xml:space="preserve">This table shows that since 2014–15, the lowest income earners have experienced increased insurance costs that are significantly higher than the average premium increase, due to the ongoing erosion in the value of the rebate. </w:t>
      </w:r>
    </w:p>
    <w:p w14:paraId="22720983" w14:textId="77777777" w:rsidR="00350432" w:rsidRDefault="00350432" w:rsidP="00DF18F7">
      <w:pPr>
        <w:ind w:left="720"/>
      </w:pPr>
    </w:p>
    <w:p w14:paraId="658B1E2D" w14:textId="71D6794C" w:rsidR="00DF18F7" w:rsidRDefault="00EB5F04" w:rsidP="00DF18F7">
      <w:pPr>
        <w:ind w:left="720"/>
      </w:pPr>
      <w:r>
        <w:t>Seventy-five percent of private health insurance policy holders are in the base tier</w:t>
      </w:r>
      <w:r w:rsidR="006E2044">
        <w:t xml:space="preserve"> households</w:t>
      </w:r>
      <w:r>
        <w:t xml:space="preserve">. </w:t>
      </w:r>
      <w:r w:rsidR="006E2044">
        <w:t>T</w:t>
      </w:r>
      <w:r>
        <w:t>his tier has the greatest influence on private health insurance participation; shaping the trends that determine the sustainability of private health insurance.</w:t>
      </w:r>
      <w:r w:rsidR="002A249C">
        <w:t xml:space="preserve"> Yet current policy settings mean</w:t>
      </w:r>
      <w:r w:rsidR="006E2044">
        <w:t xml:space="preserve"> </w:t>
      </w:r>
      <w:r w:rsidR="002A249C">
        <w:t>these households are the most affected by upwards pressure on health insurance premiums</w:t>
      </w:r>
      <w:r w:rsidR="006E2044">
        <w:t>,</w:t>
      </w:r>
      <w:r w:rsidR="002A249C">
        <w:t xml:space="preserve"> even </w:t>
      </w:r>
      <w:r w:rsidR="009275F7">
        <w:t xml:space="preserve">though </w:t>
      </w:r>
      <w:r w:rsidR="002A249C">
        <w:t>they are the least able to absorb them</w:t>
      </w:r>
      <w:r w:rsidR="000D3EB7">
        <w:t xml:space="preserve">. </w:t>
      </w:r>
    </w:p>
    <w:p w14:paraId="7FD750B7" w14:textId="77777777" w:rsidR="00350432" w:rsidRDefault="00350432" w:rsidP="00DF18F7">
      <w:pPr>
        <w:ind w:left="720"/>
      </w:pPr>
    </w:p>
    <w:p w14:paraId="18935829" w14:textId="77777777" w:rsidR="00350432" w:rsidRDefault="00350432">
      <w:pPr>
        <w:spacing w:after="200" w:line="276" w:lineRule="auto"/>
      </w:pPr>
      <w:r>
        <w:br w:type="page"/>
      </w:r>
    </w:p>
    <w:p w14:paraId="565B1E72" w14:textId="1D72F7E9" w:rsidR="00DF18F7" w:rsidRDefault="00DF18F7" w:rsidP="00DF18F7">
      <w:pPr>
        <w:ind w:left="720"/>
      </w:pPr>
      <w:r>
        <w:t xml:space="preserve">This inequity could be </w:t>
      </w:r>
      <w:r w:rsidR="00C84F09">
        <w:t>ad</w:t>
      </w:r>
      <w:r>
        <w:t xml:space="preserve">dressed by one of two options: </w:t>
      </w:r>
    </w:p>
    <w:p w14:paraId="2089B62C" w14:textId="77777777" w:rsidR="00350432" w:rsidRDefault="00350432" w:rsidP="00DF18F7">
      <w:pPr>
        <w:ind w:left="720"/>
      </w:pPr>
    </w:p>
    <w:p w14:paraId="5F681F03" w14:textId="1E323045" w:rsidR="00DF18F7" w:rsidRPr="009275F7" w:rsidRDefault="00DF18F7" w:rsidP="009275F7">
      <w:pPr>
        <w:pStyle w:val="ListParagraph"/>
        <w:numPr>
          <w:ilvl w:val="0"/>
          <w:numId w:val="45"/>
        </w:numPr>
        <w:rPr>
          <w:rFonts w:cs="Calibri"/>
          <w:color w:val="000000"/>
          <w:lang w:eastAsia="en-AU"/>
        </w:rPr>
      </w:pPr>
      <w:r w:rsidRPr="009275F7">
        <w:rPr>
          <w:rFonts w:cs="Calibri"/>
          <w:color w:val="000000"/>
          <w:lang w:eastAsia="en-AU"/>
        </w:rPr>
        <w:t>Retaining the Private Health Insurance Rebate at the current effective level (i</w:t>
      </w:r>
      <w:r w:rsidR="006E2044">
        <w:rPr>
          <w:rFonts w:cs="Calibri"/>
          <w:color w:val="000000"/>
          <w:lang w:eastAsia="en-AU"/>
        </w:rPr>
        <w:t>.</w:t>
      </w:r>
      <w:r w:rsidRPr="009275F7">
        <w:rPr>
          <w:rFonts w:cs="Calibri"/>
          <w:color w:val="000000"/>
          <w:lang w:eastAsia="en-AU"/>
        </w:rPr>
        <w:t>e</w:t>
      </w:r>
      <w:r w:rsidR="006E2044">
        <w:rPr>
          <w:rFonts w:cs="Calibri"/>
          <w:color w:val="000000"/>
          <w:lang w:eastAsia="en-AU"/>
        </w:rPr>
        <w:t>.</w:t>
      </w:r>
      <w:r w:rsidRPr="009275F7">
        <w:rPr>
          <w:rFonts w:cs="Calibri"/>
          <w:color w:val="000000"/>
          <w:lang w:eastAsia="en-AU"/>
        </w:rPr>
        <w:t xml:space="preserve"> 25.059</w:t>
      </w:r>
      <w:r w:rsidR="00A41E70" w:rsidRPr="009275F7">
        <w:rPr>
          <w:rFonts w:cs="Calibri"/>
          <w:color w:val="000000"/>
          <w:lang w:eastAsia="en-AU"/>
        </w:rPr>
        <w:t xml:space="preserve"> percent</w:t>
      </w:r>
      <w:r w:rsidRPr="009275F7">
        <w:rPr>
          <w:rFonts w:cs="Calibri"/>
          <w:color w:val="000000"/>
          <w:lang w:eastAsia="en-AU"/>
        </w:rPr>
        <w:t xml:space="preserve"> for people aged under 65</w:t>
      </w:r>
      <w:r w:rsidR="006E2044">
        <w:rPr>
          <w:rFonts w:cs="Calibri"/>
          <w:color w:val="000000"/>
          <w:lang w:eastAsia="en-AU"/>
        </w:rPr>
        <w:t xml:space="preserve"> years</w:t>
      </w:r>
      <w:r w:rsidRPr="009275F7">
        <w:rPr>
          <w:rFonts w:cs="Calibri"/>
          <w:color w:val="000000"/>
          <w:lang w:eastAsia="en-AU"/>
        </w:rPr>
        <w:t>) for household</w:t>
      </w:r>
      <w:r w:rsidR="00284268" w:rsidRPr="009275F7">
        <w:rPr>
          <w:rFonts w:cs="Calibri"/>
          <w:color w:val="000000"/>
          <w:lang w:eastAsia="en-AU"/>
        </w:rPr>
        <w:t>s</w:t>
      </w:r>
      <w:r w:rsidRPr="009275F7">
        <w:rPr>
          <w:rFonts w:cs="Calibri"/>
          <w:color w:val="000000"/>
          <w:lang w:eastAsia="en-AU"/>
        </w:rPr>
        <w:t xml:space="preserve"> on the lowest income tier (under $90,000 for singles and under $180,000 for couples)</w:t>
      </w:r>
      <w:r w:rsidR="006E2044">
        <w:rPr>
          <w:rFonts w:cs="Calibri"/>
          <w:color w:val="000000"/>
          <w:lang w:eastAsia="en-AU"/>
        </w:rPr>
        <w:t>. This</w:t>
      </w:r>
      <w:r w:rsidRPr="009275F7">
        <w:rPr>
          <w:rFonts w:cs="Calibri"/>
          <w:color w:val="000000"/>
          <w:lang w:eastAsia="en-AU"/>
        </w:rPr>
        <w:t xml:space="preserve"> would protect these households from the ‘double w</w:t>
      </w:r>
      <w:r w:rsidR="00284268" w:rsidRPr="009275F7">
        <w:rPr>
          <w:rFonts w:cs="Calibri"/>
          <w:color w:val="000000"/>
          <w:lang w:eastAsia="en-AU"/>
        </w:rPr>
        <w:t>h</w:t>
      </w:r>
      <w:r w:rsidRPr="009275F7">
        <w:rPr>
          <w:rFonts w:cs="Calibri"/>
          <w:color w:val="000000"/>
          <w:lang w:eastAsia="en-AU"/>
        </w:rPr>
        <w:t>ammy’ of an effective average increase of 2.92</w:t>
      </w:r>
      <w:r w:rsidR="00A41E70" w:rsidRPr="009275F7">
        <w:rPr>
          <w:rFonts w:cs="Calibri"/>
          <w:color w:val="000000"/>
          <w:lang w:eastAsia="en-AU"/>
        </w:rPr>
        <w:t xml:space="preserve"> percent</w:t>
      </w:r>
      <w:r w:rsidRPr="009275F7">
        <w:rPr>
          <w:rFonts w:cs="Calibri"/>
          <w:color w:val="000000"/>
          <w:lang w:eastAsia="en-AU"/>
        </w:rPr>
        <w:t xml:space="preserve"> and a decrease in the value of the </w:t>
      </w:r>
      <w:r w:rsidR="006E2044">
        <w:rPr>
          <w:rFonts w:cs="Calibri"/>
          <w:color w:val="000000"/>
          <w:lang w:eastAsia="en-AU"/>
        </w:rPr>
        <w:t>r</w:t>
      </w:r>
      <w:r w:rsidRPr="009275F7">
        <w:rPr>
          <w:rFonts w:cs="Calibri"/>
          <w:color w:val="000000"/>
          <w:lang w:eastAsia="en-AU"/>
        </w:rPr>
        <w:t>ebate. Cost</w:t>
      </w:r>
      <w:r w:rsidR="00970018" w:rsidRPr="009275F7">
        <w:rPr>
          <w:rFonts w:cs="Calibri"/>
          <w:color w:val="000000"/>
          <w:lang w:eastAsia="en-AU"/>
        </w:rPr>
        <w:t>:</w:t>
      </w:r>
      <w:r w:rsidRPr="009275F7">
        <w:rPr>
          <w:rFonts w:cs="Calibri"/>
          <w:color w:val="000000"/>
          <w:lang w:eastAsia="en-AU"/>
        </w:rPr>
        <w:t xml:space="preserve"> $100 million in 2020-21</w:t>
      </w:r>
      <w:r w:rsidR="00F862EE" w:rsidRPr="009275F7">
        <w:rPr>
          <w:rFonts w:cs="Calibri"/>
          <w:color w:val="000000"/>
          <w:lang w:eastAsia="en-AU"/>
        </w:rPr>
        <w:t>.</w:t>
      </w:r>
      <w:r w:rsidR="00F862EE" w:rsidRPr="009275F7">
        <w:rPr>
          <w:rFonts w:cs="Calibri"/>
          <w:color w:val="000000"/>
          <w:lang w:eastAsia="en-AU"/>
        </w:rPr>
        <w:br/>
      </w:r>
    </w:p>
    <w:p w14:paraId="4880FACE" w14:textId="594BD96F" w:rsidR="00DF18F7" w:rsidRPr="009275F7" w:rsidRDefault="00DF18F7" w:rsidP="009275F7">
      <w:pPr>
        <w:pStyle w:val="ListParagraph"/>
        <w:numPr>
          <w:ilvl w:val="0"/>
          <w:numId w:val="45"/>
        </w:numPr>
        <w:rPr>
          <w:rFonts w:cs="Calibri"/>
          <w:b/>
          <w:color w:val="000000"/>
          <w:lang w:eastAsia="en-AU"/>
        </w:rPr>
      </w:pPr>
      <w:r w:rsidRPr="009275F7">
        <w:rPr>
          <w:rFonts w:cs="Calibri"/>
          <w:color w:val="000000"/>
          <w:lang w:eastAsia="en-AU"/>
        </w:rPr>
        <w:t>Restor</w:t>
      </w:r>
      <w:r w:rsidR="00284268" w:rsidRPr="009275F7">
        <w:rPr>
          <w:rFonts w:cs="Calibri"/>
          <w:color w:val="000000"/>
          <w:lang w:eastAsia="en-AU"/>
        </w:rPr>
        <w:t xml:space="preserve">ing </w:t>
      </w:r>
      <w:r w:rsidRPr="009275F7">
        <w:rPr>
          <w:rFonts w:cs="Calibri"/>
          <w:color w:val="000000"/>
          <w:lang w:eastAsia="en-AU"/>
        </w:rPr>
        <w:t>the rebate for households in the lowest income tier to 30</w:t>
      </w:r>
      <w:r w:rsidR="00A41E70" w:rsidRPr="009275F7">
        <w:rPr>
          <w:rFonts w:cs="Calibri"/>
          <w:color w:val="000000"/>
          <w:lang w:eastAsia="en-AU"/>
        </w:rPr>
        <w:t xml:space="preserve"> percent</w:t>
      </w:r>
      <w:r w:rsidRPr="009275F7">
        <w:rPr>
          <w:rFonts w:cs="Calibri"/>
          <w:color w:val="000000"/>
          <w:lang w:eastAsia="en-AU"/>
        </w:rPr>
        <w:t xml:space="preserve"> </w:t>
      </w:r>
      <w:r w:rsidR="00284268" w:rsidRPr="009275F7">
        <w:rPr>
          <w:rFonts w:cs="Calibri"/>
          <w:color w:val="000000"/>
          <w:lang w:eastAsia="en-AU"/>
        </w:rPr>
        <w:t xml:space="preserve">for </w:t>
      </w:r>
      <w:r w:rsidRPr="009275F7">
        <w:rPr>
          <w:rFonts w:cs="Calibri"/>
          <w:color w:val="000000"/>
          <w:lang w:eastAsia="en-AU"/>
        </w:rPr>
        <w:t>under 65 year olds</w:t>
      </w:r>
      <w:r w:rsidR="006E2044">
        <w:rPr>
          <w:rFonts w:cs="Calibri"/>
          <w:color w:val="000000"/>
          <w:lang w:eastAsia="en-AU"/>
        </w:rPr>
        <w:t>;</w:t>
      </w:r>
      <w:r w:rsidRPr="009275F7">
        <w:rPr>
          <w:rFonts w:cs="Calibri"/>
          <w:color w:val="000000"/>
          <w:lang w:eastAsia="en-AU"/>
        </w:rPr>
        <w:t xml:space="preserve"> 35</w:t>
      </w:r>
      <w:r w:rsidR="00284268" w:rsidRPr="009275F7">
        <w:rPr>
          <w:rFonts w:cs="Calibri"/>
          <w:color w:val="000000"/>
          <w:lang w:eastAsia="en-AU"/>
        </w:rPr>
        <w:t xml:space="preserve"> percent</w:t>
      </w:r>
      <w:r w:rsidRPr="009275F7">
        <w:rPr>
          <w:rFonts w:cs="Calibri"/>
          <w:color w:val="000000"/>
          <w:lang w:eastAsia="en-AU"/>
        </w:rPr>
        <w:t xml:space="preserve"> for 65-69 year olds and 40</w:t>
      </w:r>
      <w:r w:rsidR="00A41E70" w:rsidRPr="009275F7">
        <w:rPr>
          <w:rFonts w:cs="Calibri"/>
          <w:color w:val="000000"/>
          <w:lang w:eastAsia="en-AU"/>
        </w:rPr>
        <w:t xml:space="preserve"> percent</w:t>
      </w:r>
      <w:r w:rsidRPr="009275F7">
        <w:rPr>
          <w:rFonts w:cs="Calibri"/>
          <w:color w:val="000000"/>
          <w:lang w:eastAsia="en-AU"/>
        </w:rPr>
        <w:t xml:space="preserve"> for 70 year olds would effectively reduce average premiums for these household</w:t>
      </w:r>
      <w:r w:rsidR="006E2044">
        <w:rPr>
          <w:rFonts w:cs="Calibri"/>
          <w:color w:val="000000"/>
          <w:lang w:eastAsia="en-AU"/>
        </w:rPr>
        <w:t>s</w:t>
      </w:r>
      <w:r w:rsidRPr="009275F7">
        <w:rPr>
          <w:rFonts w:cs="Calibri"/>
          <w:color w:val="000000"/>
          <w:lang w:eastAsia="en-AU"/>
        </w:rPr>
        <w:t xml:space="preserve"> by between 2.02</w:t>
      </w:r>
      <w:r w:rsidR="00A41E70" w:rsidRPr="009275F7">
        <w:rPr>
          <w:rFonts w:cs="Calibri"/>
          <w:color w:val="000000"/>
          <w:lang w:eastAsia="en-AU"/>
        </w:rPr>
        <w:t xml:space="preserve"> percent</w:t>
      </w:r>
      <w:r w:rsidRPr="009275F7">
        <w:rPr>
          <w:rFonts w:cs="Calibri"/>
          <w:color w:val="000000"/>
          <w:lang w:eastAsia="en-AU"/>
        </w:rPr>
        <w:t xml:space="preserve"> and 3.67</w:t>
      </w:r>
      <w:r w:rsidR="00A41E70" w:rsidRPr="009275F7">
        <w:rPr>
          <w:rFonts w:cs="Calibri"/>
          <w:color w:val="000000"/>
          <w:lang w:eastAsia="en-AU"/>
        </w:rPr>
        <w:t xml:space="preserve"> percent</w:t>
      </w:r>
      <w:r w:rsidRPr="009275F7">
        <w:rPr>
          <w:rFonts w:cs="Calibri"/>
          <w:color w:val="000000"/>
          <w:lang w:eastAsia="en-AU"/>
        </w:rPr>
        <w:t>. Cost</w:t>
      </w:r>
      <w:r w:rsidR="00970018" w:rsidRPr="009275F7">
        <w:rPr>
          <w:rFonts w:cs="Calibri"/>
          <w:color w:val="000000"/>
          <w:lang w:eastAsia="en-AU"/>
        </w:rPr>
        <w:t>:</w:t>
      </w:r>
      <w:r w:rsidRPr="009275F7">
        <w:rPr>
          <w:rFonts w:cs="Calibri"/>
          <w:color w:val="000000"/>
          <w:lang w:eastAsia="en-AU"/>
        </w:rPr>
        <w:t xml:space="preserve"> $1.4 billion in 2020-21</w:t>
      </w:r>
      <w:r w:rsidR="00F862EE" w:rsidRPr="009275F7">
        <w:rPr>
          <w:rFonts w:cs="Calibri"/>
          <w:color w:val="000000"/>
          <w:lang w:eastAsia="en-AU"/>
        </w:rPr>
        <w:t>.</w:t>
      </w:r>
      <w:r w:rsidR="00F862EE" w:rsidRPr="009275F7">
        <w:rPr>
          <w:rFonts w:cs="Calibri"/>
          <w:color w:val="000000"/>
          <w:lang w:eastAsia="en-AU"/>
        </w:rPr>
        <w:br/>
      </w:r>
    </w:p>
    <w:p w14:paraId="3E80C417" w14:textId="16A9A3CE" w:rsidR="00F862EE" w:rsidRDefault="00DF18F7" w:rsidP="00A41E70">
      <w:pPr>
        <w:pStyle w:val="ListParagraph"/>
        <w:numPr>
          <w:ilvl w:val="0"/>
          <w:numId w:val="7"/>
        </w:numPr>
      </w:pPr>
      <w:bookmarkStart w:id="45" w:name="_Toc26865944"/>
      <w:bookmarkStart w:id="46" w:name="_Toc26865945"/>
      <w:bookmarkStart w:id="47" w:name="_Toc26865946"/>
      <w:bookmarkStart w:id="48" w:name="_Toc26865947"/>
      <w:bookmarkStart w:id="49" w:name="_Toc26865948"/>
      <w:bookmarkStart w:id="50" w:name="_Toc26865949"/>
      <w:bookmarkStart w:id="51" w:name="_Toc26865950"/>
      <w:bookmarkStart w:id="52" w:name="_Toc26865951"/>
      <w:bookmarkStart w:id="53" w:name="_Toc27127525"/>
      <w:bookmarkStart w:id="54" w:name="_Toc27494519"/>
      <w:bookmarkStart w:id="55" w:name="_Toc27494716"/>
      <w:bookmarkEnd w:id="45"/>
      <w:bookmarkEnd w:id="46"/>
      <w:bookmarkEnd w:id="47"/>
      <w:bookmarkEnd w:id="48"/>
      <w:bookmarkEnd w:id="49"/>
      <w:bookmarkEnd w:id="50"/>
      <w:bookmarkEnd w:id="51"/>
      <w:bookmarkEnd w:id="52"/>
      <w:r w:rsidRPr="003B2444">
        <w:rPr>
          <w:rStyle w:val="Heading3Char"/>
        </w:rPr>
        <w:t>Reform to the Lifetime Health Cover Loading</w:t>
      </w:r>
      <w:bookmarkEnd w:id="53"/>
      <w:bookmarkEnd w:id="54"/>
      <w:bookmarkEnd w:id="55"/>
      <w:r w:rsidR="00F862EE">
        <w:rPr>
          <w:rStyle w:val="Heading3Char"/>
        </w:rPr>
        <w:br/>
      </w:r>
    </w:p>
    <w:p w14:paraId="6003B7F6" w14:textId="5785ACD4" w:rsidR="00DF18F7" w:rsidRDefault="00DF18F7" w:rsidP="00DF18F7">
      <w:pPr>
        <w:ind w:left="720"/>
      </w:pPr>
      <w:r w:rsidRPr="003B2444">
        <w:t>The Lifetime Health Cover (LHC) loading is applied to premiums paid by people who h</w:t>
      </w:r>
      <w:r>
        <w:t>a</w:t>
      </w:r>
      <w:r w:rsidRPr="003B2444">
        <w:t>ve not taken out and maintained private patient hospital cover from the year they turn</w:t>
      </w:r>
      <w:r w:rsidR="00C84F09">
        <w:t>ed</w:t>
      </w:r>
      <w:r w:rsidRPr="003B2444">
        <w:t xml:space="preserve"> 31</w:t>
      </w:r>
      <w:r w:rsidR="006E2044">
        <w:t xml:space="preserve"> years old</w:t>
      </w:r>
      <w:r>
        <w:t xml:space="preserve">. </w:t>
      </w:r>
      <w:r w:rsidR="006E2044">
        <w:t>W</w:t>
      </w:r>
      <w:r w:rsidRPr="003B2444">
        <w:t xml:space="preserve">hen </w:t>
      </w:r>
      <w:r w:rsidR="006E2044">
        <w:t xml:space="preserve">it was </w:t>
      </w:r>
      <w:r w:rsidRPr="003B2444">
        <w:t>introduced</w:t>
      </w:r>
      <w:r>
        <w:t xml:space="preserve"> in 2000</w:t>
      </w:r>
      <w:r w:rsidRPr="003B2444">
        <w:t>, th</w:t>
      </w:r>
      <w:r w:rsidR="006E2044">
        <w:t>e</w:t>
      </w:r>
      <w:r w:rsidRPr="003B2444">
        <w:t xml:space="preserve"> policy was effective in persuading a significant percentage of the population to take out private health insurance</w:t>
      </w:r>
      <w:r>
        <w:t xml:space="preserve"> at an age when they might otherwise have deferred this decision</w:t>
      </w:r>
      <w:r w:rsidR="006E2044">
        <w:t>. However</w:t>
      </w:r>
      <w:r>
        <w:t xml:space="preserve">, the policy now acts as a deterrent to the growing number of people who </w:t>
      </w:r>
      <w:r w:rsidR="00284268">
        <w:t>have</w:t>
      </w:r>
      <w:r>
        <w:t xml:space="preserve"> not take</w:t>
      </w:r>
      <w:r w:rsidR="00284268">
        <w:t>n</w:t>
      </w:r>
      <w:r>
        <w:t xml:space="preserve"> out health insurance </w:t>
      </w:r>
      <w:r w:rsidR="00284268">
        <w:t>by the</w:t>
      </w:r>
      <w:r>
        <w:t xml:space="preserve"> age</w:t>
      </w:r>
      <w:r w:rsidR="00284268">
        <w:t xml:space="preserve"> of</w:t>
      </w:r>
      <w:r>
        <w:t xml:space="preserve"> 31.</w:t>
      </w:r>
    </w:p>
    <w:p w14:paraId="77591932" w14:textId="77777777" w:rsidR="00350432" w:rsidRDefault="00350432" w:rsidP="00DF18F7">
      <w:pPr>
        <w:ind w:left="720"/>
      </w:pPr>
    </w:p>
    <w:p w14:paraId="07EC4613" w14:textId="7F3F6D04" w:rsidR="00DF18F7" w:rsidRDefault="00DF18F7" w:rsidP="00DF18F7">
      <w:pPr>
        <w:ind w:left="720"/>
      </w:pPr>
      <w:r>
        <w:t>At the end of the March 2019 quarter, there were 933,275 people with a certified age of entry of more than 30 and subject to a L</w:t>
      </w:r>
      <w:r w:rsidR="00C84F09">
        <w:t>H</w:t>
      </w:r>
      <w:r>
        <w:t>C loading; a net decrease in people paying a penalty over the preceding 12 months of 63,770.</w:t>
      </w:r>
      <w:r>
        <w:rPr>
          <w:rStyle w:val="FootnoteReference"/>
        </w:rPr>
        <w:footnoteReference w:id="9"/>
      </w:r>
    </w:p>
    <w:p w14:paraId="5B5F368D" w14:textId="77777777" w:rsidR="00350432" w:rsidRDefault="00350432" w:rsidP="00DF18F7">
      <w:pPr>
        <w:ind w:left="720"/>
      </w:pPr>
    </w:p>
    <w:p w14:paraId="226C3962" w14:textId="3583F15F" w:rsidR="00DF18F7" w:rsidRDefault="00DF18F7" w:rsidP="00DF18F7">
      <w:pPr>
        <w:ind w:left="720"/>
      </w:pPr>
      <w:r>
        <w:t>Reform of this policy is a complex task because of the need to recognise that many people are liable for this loading or have been liable for it in the past. Failure to do so however</w:t>
      </w:r>
      <w:r w:rsidR="006E2044">
        <w:t>,</w:t>
      </w:r>
      <w:r>
        <w:t xml:space="preserve"> may result in a blowout in the number of uninsured people in higher age groups and an unsustainable burden on the public health sector. </w:t>
      </w:r>
    </w:p>
    <w:p w14:paraId="0DFA9812" w14:textId="77777777" w:rsidR="00350432" w:rsidRDefault="00350432" w:rsidP="00DF18F7">
      <w:pPr>
        <w:ind w:left="720"/>
      </w:pPr>
    </w:p>
    <w:p w14:paraId="649539F4" w14:textId="61842240" w:rsidR="00F862EE" w:rsidRDefault="00F862EE" w:rsidP="00DF18F7">
      <w:pPr>
        <w:ind w:left="720"/>
      </w:pPr>
      <w:r>
        <w:t>Potential reform options for consideration include:</w:t>
      </w:r>
    </w:p>
    <w:p w14:paraId="2522D8BA" w14:textId="7D8326E5" w:rsidR="00F862EE" w:rsidRDefault="00F862EE" w:rsidP="00F862EE">
      <w:pPr>
        <w:pStyle w:val="ListParagraph"/>
        <w:numPr>
          <w:ilvl w:val="0"/>
          <w:numId w:val="7"/>
        </w:numPr>
        <w:ind w:left="1080"/>
      </w:pPr>
      <w:r>
        <w:t>Adjusting the LHC entry age</w:t>
      </w:r>
    </w:p>
    <w:p w14:paraId="2B78216B" w14:textId="1D7F70EF" w:rsidR="00F862EE" w:rsidRDefault="00F862EE" w:rsidP="00F862EE">
      <w:pPr>
        <w:pStyle w:val="ListParagraph"/>
        <w:numPr>
          <w:ilvl w:val="0"/>
          <w:numId w:val="7"/>
        </w:numPr>
        <w:ind w:left="1080"/>
      </w:pPr>
      <w:r>
        <w:t>Adjusting the LHC penalty level</w:t>
      </w:r>
    </w:p>
    <w:p w14:paraId="3D1C477B" w14:textId="7981751F" w:rsidR="00F862EE" w:rsidRPr="003B2444" w:rsidRDefault="00F862EE" w:rsidP="00F862EE">
      <w:pPr>
        <w:pStyle w:val="ListParagraph"/>
        <w:numPr>
          <w:ilvl w:val="0"/>
          <w:numId w:val="7"/>
        </w:numPr>
        <w:ind w:left="1080"/>
      </w:pPr>
      <w:r>
        <w:t>Conducting an amnest</w:t>
      </w:r>
      <w:r w:rsidR="002A249C">
        <w:t>y</w:t>
      </w:r>
      <w:r>
        <w:t xml:space="preserve"> for 12 months to allow people over the age of 31 to take out private health insurance without incurring a LHC penalty.</w:t>
      </w:r>
    </w:p>
    <w:p w14:paraId="69FF9F52" w14:textId="177A2DA1" w:rsidR="00F862EE" w:rsidRDefault="00F862EE">
      <w:pPr>
        <w:spacing w:after="200" w:line="276" w:lineRule="auto"/>
        <w:rPr>
          <w:rStyle w:val="Heading3Char"/>
        </w:rPr>
      </w:pPr>
      <w:bookmarkStart w:id="56" w:name="_Toc27127526"/>
    </w:p>
    <w:p w14:paraId="2424C79C" w14:textId="26BB2FA4" w:rsidR="00DF18F7" w:rsidRDefault="00DF18F7" w:rsidP="00A41E70">
      <w:pPr>
        <w:pStyle w:val="ListParagraph"/>
        <w:numPr>
          <w:ilvl w:val="0"/>
          <w:numId w:val="7"/>
        </w:numPr>
        <w:rPr>
          <w:rStyle w:val="Heading3Char"/>
        </w:rPr>
      </w:pPr>
      <w:bookmarkStart w:id="57" w:name="_Toc27494520"/>
      <w:bookmarkStart w:id="58" w:name="_Toc27494717"/>
      <w:r>
        <w:rPr>
          <w:rStyle w:val="Heading3Char"/>
        </w:rPr>
        <w:t>Reform</w:t>
      </w:r>
      <w:r w:rsidRPr="003B2444">
        <w:rPr>
          <w:rStyle w:val="Heading3Char"/>
        </w:rPr>
        <w:t xml:space="preserve"> to the Medicare Levy</w:t>
      </w:r>
      <w:bookmarkEnd w:id="56"/>
      <w:bookmarkEnd w:id="57"/>
      <w:bookmarkEnd w:id="58"/>
      <w:r w:rsidR="00FB391A">
        <w:rPr>
          <w:rStyle w:val="Heading3Char"/>
        </w:rPr>
        <w:t xml:space="preserve"> </w:t>
      </w:r>
      <w:r w:rsidR="00FB391A" w:rsidRPr="003B2444">
        <w:rPr>
          <w:rStyle w:val="Heading3Char"/>
        </w:rPr>
        <w:t>Surcharge</w:t>
      </w:r>
      <w:r w:rsidR="00F862EE">
        <w:rPr>
          <w:rStyle w:val="Heading3Char"/>
        </w:rPr>
        <w:br/>
      </w:r>
    </w:p>
    <w:p w14:paraId="320A73D4" w14:textId="51804747" w:rsidR="00DF18F7" w:rsidRDefault="00DF18F7" w:rsidP="00DF18F7">
      <w:pPr>
        <w:ind w:left="720"/>
      </w:pPr>
      <w:r w:rsidRPr="003B2444">
        <w:t xml:space="preserve">The Medicare levy surcharge (MLS) is </w:t>
      </w:r>
      <w:r w:rsidR="002E56D0">
        <w:t>applied to</w:t>
      </w:r>
      <w:r w:rsidRPr="003B2444">
        <w:t xml:space="preserve"> Australian taxpayers who do not have an appropriate level of private patient hospital cover and earn above a certain income.</w:t>
      </w:r>
    </w:p>
    <w:p w14:paraId="18D5137F" w14:textId="77777777" w:rsidR="00350432" w:rsidRDefault="00350432" w:rsidP="00DF18F7">
      <w:pPr>
        <w:ind w:left="720"/>
      </w:pPr>
    </w:p>
    <w:p w14:paraId="677C7988" w14:textId="051DFA58" w:rsidR="00DF18F7" w:rsidRDefault="00284268" w:rsidP="00DF18F7">
      <w:pPr>
        <w:ind w:left="720"/>
      </w:pPr>
      <w:r>
        <w:t xml:space="preserve">The </w:t>
      </w:r>
      <w:r w:rsidR="00DF18F7" w:rsidRPr="003B2444">
        <w:t>MLS is designed to encourage individuals to take out private patient hospital cover, and to use the private hospital system to reduce demand on the public Medicare system.</w:t>
      </w:r>
      <w:r w:rsidR="00DF18F7">
        <w:t xml:space="preserve"> </w:t>
      </w:r>
      <w:r w:rsidR="00DF18F7" w:rsidRPr="003B2444">
        <w:t>The MLS rate of</w:t>
      </w:r>
      <w:r w:rsidR="002E56D0">
        <w:t xml:space="preserve"> one</w:t>
      </w:r>
      <w:r w:rsidR="00A41E70">
        <w:t xml:space="preserve"> percent</w:t>
      </w:r>
      <w:r w:rsidR="00DF18F7" w:rsidRPr="003B2444">
        <w:t>, 1.25</w:t>
      </w:r>
      <w:r w:rsidR="00A41E70">
        <w:t xml:space="preserve"> percent</w:t>
      </w:r>
      <w:r w:rsidR="00DF18F7" w:rsidRPr="003B2444">
        <w:t xml:space="preserve"> or 1.5</w:t>
      </w:r>
      <w:r w:rsidR="00A41E70">
        <w:t xml:space="preserve"> percent</w:t>
      </w:r>
      <w:r w:rsidR="00DF18F7" w:rsidRPr="003B2444">
        <w:t xml:space="preserve"> is levied on taxable income, total reportable fringe benefits and any amount on which family trust distribution tax has been paid.</w:t>
      </w:r>
    </w:p>
    <w:p w14:paraId="25116238" w14:textId="77777777" w:rsidR="00350432" w:rsidRDefault="00350432" w:rsidP="00DF18F7">
      <w:pPr>
        <w:ind w:left="720"/>
      </w:pPr>
    </w:p>
    <w:p w14:paraId="543C7890" w14:textId="2345D307" w:rsidR="00DF18F7" w:rsidRDefault="00DF18F7" w:rsidP="00DF18F7">
      <w:pPr>
        <w:ind w:left="720"/>
      </w:pPr>
      <w:r>
        <w:t xml:space="preserve">In 2016-17, this surcharge levy was paid by 196,807 people. The average levy paid was $1,308 and the median was $1,027. This is less than the annual premium for </w:t>
      </w:r>
      <w:r w:rsidR="00284268">
        <w:t xml:space="preserve">a bronze </w:t>
      </w:r>
      <w:r>
        <w:t>level of cover</w:t>
      </w:r>
      <w:r w:rsidR="002A249C">
        <w:t xml:space="preserve"> for a single person</w:t>
      </w:r>
      <w:r w:rsidR="00284268">
        <w:t>, the minimum level of cover required to provide access to a private hospital</w:t>
      </w:r>
      <w:r>
        <w:t xml:space="preserve">. </w:t>
      </w:r>
    </w:p>
    <w:p w14:paraId="16880CA9" w14:textId="77777777" w:rsidR="00350432" w:rsidRDefault="00350432" w:rsidP="00DF18F7">
      <w:pPr>
        <w:ind w:left="720"/>
      </w:pPr>
    </w:p>
    <w:p w14:paraId="65425D96" w14:textId="6CD8BF8C" w:rsidR="00DF18F7" w:rsidRDefault="00DF18F7" w:rsidP="00DF18F7">
      <w:pPr>
        <w:ind w:left="720"/>
      </w:pPr>
      <w:r>
        <w:t>If this incentive were increased to a more realistic level, those impacted would be more likely to take out private health insurance for themselves and their dependents</w:t>
      </w:r>
      <w:r w:rsidR="002A249C">
        <w:t>,</w:t>
      </w:r>
      <w:r>
        <w:t xml:space="preserve"> increasing the number of people with private health insurance by several hundred thousand.</w:t>
      </w:r>
    </w:p>
    <w:p w14:paraId="00ED064C" w14:textId="77777777" w:rsidR="00350432" w:rsidRDefault="00350432" w:rsidP="00DF18F7">
      <w:pPr>
        <w:ind w:left="720"/>
      </w:pPr>
    </w:p>
    <w:p w14:paraId="19366B87" w14:textId="3E2D3822" w:rsidR="00DF18F7" w:rsidRDefault="00DF18F7" w:rsidP="00DF18F7">
      <w:pPr>
        <w:ind w:left="720"/>
      </w:pPr>
      <w:r>
        <w:t>A</w:t>
      </w:r>
      <w:r w:rsidR="002E56D0">
        <w:t>ustralian Private Hospitals Association (A</w:t>
      </w:r>
      <w:r>
        <w:t>PHA</w:t>
      </w:r>
      <w:r w:rsidR="002E56D0">
        <w:t>)</w:t>
      </w:r>
      <w:r>
        <w:t xml:space="preserve"> advocates that this levy should be reviewed </w:t>
      </w:r>
      <w:r w:rsidR="002E56D0">
        <w:t>and consideration given to</w:t>
      </w:r>
      <w:r>
        <w:t xml:space="preserve"> whether an increase could make the policy more effective.</w:t>
      </w:r>
    </w:p>
    <w:p w14:paraId="664F8BCB" w14:textId="77777777" w:rsidR="00350432" w:rsidRDefault="00350432" w:rsidP="00DF18F7">
      <w:pPr>
        <w:ind w:left="720"/>
      </w:pPr>
    </w:p>
    <w:p w14:paraId="65669EF8" w14:textId="0F78BDA8" w:rsidR="002A249C" w:rsidRDefault="00DF18F7" w:rsidP="00DF18F7">
      <w:pPr>
        <w:ind w:left="720"/>
      </w:pPr>
      <w:r>
        <w:t xml:space="preserve">Doubling of the levy would increase the average amount paid to $2,616, comparable to the premium for a </w:t>
      </w:r>
      <w:r w:rsidR="00C84F09">
        <w:t>b</w:t>
      </w:r>
      <w:r w:rsidR="000D3EB7">
        <w:t>ronze</w:t>
      </w:r>
      <w:r>
        <w:t xml:space="preserve"> tier hospital cover policy for a </w:t>
      </w:r>
      <w:r w:rsidR="000D3EB7">
        <w:t xml:space="preserve">couple. </w:t>
      </w:r>
      <w:r w:rsidR="00717F58">
        <w:t>This</w:t>
      </w:r>
      <w:r w:rsidR="002A249C">
        <w:t xml:space="preserve"> measure could initially generate additional revenue of $260 million</w:t>
      </w:r>
      <w:r w:rsidR="000D3EB7">
        <w:t xml:space="preserve">. </w:t>
      </w:r>
      <w:r w:rsidR="002A249C">
        <w:t xml:space="preserve">Revenue would be reduced if the reform achieved its intended effect of increasing participation in private health insurance. </w:t>
      </w:r>
    </w:p>
    <w:p w14:paraId="4564B169" w14:textId="77777777" w:rsidR="00DF18F7" w:rsidRDefault="00DF18F7" w:rsidP="00DF18F7">
      <w:pPr>
        <w:spacing w:after="160" w:line="259" w:lineRule="auto"/>
        <w:rPr>
          <w:rFonts w:cstheme="minorHAnsi"/>
          <w:b/>
        </w:rPr>
      </w:pPr>
      <w:r>
        <w:br w:type="page"/>
      </w:r>
    </w:p>
    <w:p w14:paraId="42F6D6FF" w14:textId="77777777" w:rsidR="00DF18F7" w:rsidRPr="002035F6" w:rsidRDefault="00DF18F7" w:rsidP="00DF18F7">
      <w:pPr>
        <w:pStyle w:val="Heading1"/>
      </w:pPr>
      <w:bookmarkStart w:id="59" w:name="_Toc27494521"/>
      <w:bookmarkStart w:id="60" w:name="_Toc27494718"/>
      <w:bookmarkStart w:id="61" w:name="_Toc27664133"/>
      <w:r>
        <w:t>ENSURING THAT PRIVATE HEALTH DELIVERS VALUE</w:t>
      </w:r>
      <w:bookmarkEnd w:id="59"/>
      <w:bookmarkEnd w:id="60"/>
      <w:bookmarkEnd w:id="61"/>
    </w:p>
    <w:p w14:paraId="12A2C3EA" w14:textId="77777777" w:rsidR="00DF18F7" w:rsidRDefault="00DF18F7" w:rsidP="00DF18F7">
      <w:pPr>
        <w:rPr>
          <w:rFonts w:cstheme="minorHAnsi"/>
          <w:b/>
        </w:rPr>
      </w:pPr>
    </w:p>
    <w:p w14:paraId="0942A23B" w14:textId="11F547C8" w:rsidR="00DF18F7" w:rsidRDefault="00DF18F7" w:rsidP="00DF18F7">
      <w:pPr>
        <w:pStyle w:val="Heading2"/>
      </w:pPr>
      <w:bookmarkStart w:id="62" w:name="_Toc27494522"/>
      <w:bookmarkStart w:id="63" w:name="_Toc27494719"/>
      <w:bookmarkStart w:id="64" w:name="_Toc27664134"/>
      <w:r w:rsidRPr="002035F6">
        <w:t xml:space="preserve">Appropriate </w:t>
      </w:r>
      <w:r w:rsidR="002E56D0">
        <w:t>c</w:t>
      </w:r>
      <w:r w:rsidRPr="002035F6">
        <w:t>laiming</w:t>
      </w:r>
      <w:bookmarkEnd w:id="62"/>
      <w:bookmarkEnd w:id="63"/>
      <w:bookmarkEnd w:id="64"/>
    </w:p>
    <w:p w14:paraId="07D17EC5" w14:textId="77777777" w:rsidR="00350432" w:rsidRPr="00350432" w:rsidRDefault="00350432" w:rsidP="00350432"/>
    <w:p w14:paraId="2DFB5746" w14:textId="6B54F800" w:rsidR="00DF18F7" w:rsidRPr="00F862EE" w:rsidRDefault="00DF18F7" w:rsidP="00A41E70">
      <w:pPr>
        <w:pStyle w:val="Heading3"/>
        <w:keepNext w:val="0"/>
        <w:keepLines w:val="0"/>
        <w:numPr>
          <w:ilvl w:val="0"/>
          <w:numId w:val="6"/>
        </w:numPr>
        <w:spacing w:before="0"/>
        <w:contextualSpacing/>
        <w:rPr>
          <w:rFonts w:ascii="Calibri" w:hAnsi="Calibri" w:cs="Calibri"/>
          <w:color w:val="000000"/>
          <w:lang w:eastAsia="en-AU"/>
        </w:rPr>
      </w:pPr>
      <w:bookmarkStart w:id="65" w:name="_Toc27494523"/>
      <w:bookmarkStart w:id="66" w:name="_Toc27494720"/>
      <w:r w:rsidRPr="0097316E">
        <w:t>Curb claims to private health insurance for private patients in public hospitals within the next national hospital funding agreement.</w:t>
      </w:r>
      <w:bookmarkEnd w:id="65"/>
      <w:bookmarkEnd w:id="66"/>
      <w:r w:rsidR="00F862EE">
        <w:br/>
      </w:r>
    </w:p>
    <w:p w14:paraId="7C11EDB2" w14:textId="44069E90" w:rsidR="00F862EE" w:rsidRDefault="00DF18F7" w:rsidP="00DF18F7">
      <w:pPr>
        <w:ind w:left="720"/>
        <w:rPr>
          <w:rFonts w:ascii="Calibri" w:hAnsi="Calibri" w:cs="Calibri"/>
          <w:color w:val="000000"/>
          <w:lang w:eastAsia="en-AU"/>
        </w:rPr>
      </w:pPr>
      <w:r w:rsidRPr="00A57798">
        <w:rPr>
          <w:rFonts w:ascii="Calibri" w:hAnsi="Calibri" w:cs="Calibri"/>
          <w:color w:val="000000"/>
          <w:lang w:eastAsia="en-AU"/>
        </w:rPr>
        <w:t xml:space="preserve">APHA sees scope for major relief of upwards pressure on </w:t>
      </w:r>
      <w:r>
        <w:rPr>
          <w:rFonts w:ascii="Calibri" w:hAnsi="Calibri" w:cs="Calibri"/>
          <w:color w:val="000000"/>
          <w:lang w:eastAsia="en-AU"/>
        </w:rPr>
        <w:t xml:space="preserve">private health insurance </w:t>
      </w:r>
      <w:r w:rsidRPr="00A57798">
        <w:rPr>
          <w:rFonts w:ascii="Calibri" w:hAnsi="Calibri" w:cs="Calibri"/>
          <w:color w:val="000000"/>
          <w:lang w:eastAsia="en-AU"/>
        </w:rPr>
        <w:t>benefit outlays through curbing claims for private patients in public hospitals.</w:t>
      </w:r>
    </w:p>
    <w:p w14:paraId="4AE86885" w14:textId="77777777" w:rsidR="00350432" w:rsidRDefault="00350432" w:rsidP="00DF18F7">
      <w:pPr>
        <w:ind w:left="720"/>
        <w:rPr>
          <w:rFonts w:ascii="Calibri" w:hAnsi="Calibri" w:cs="Calibri"/>
          <w:color w:val="000000"/>
          <w:lang w:eastAsia="en-AU"/>
        </w:rPr>
      </w:pPr>
    </w:p>
    <w:p w14:paraId="2E7D9E24" w14:textId="2A77867E" w:rsidR="00DF18F7" w:rsidRDefault="00DF18F7" w:rsidP="00DF18F7">
      <w:pPr>
        <w:ind w:left="720"/>
        <w:rPr>
          <w:rFonts w:ascii="Calibri" w:hAnsi="Calibri" w:cs="Calibri"/>
          <w:color w:val="000000"/>
          <w:lang w:eastAsia="en-AU"/>
        </w:rPr>
      </w:pPr>
      <w:r w:rsidRPr="00A57798">
        <w:rPr>
          <w:rFonts w:ascii="Calibri" w:hAnsi="Calibri" w:cs="Calibri"/>
          <w:color w:val="000000"/>
          <w:lang w:eastAsia="en-AU"/>
        </w:rPr>
        <w:t xml:space="preserve">Stopping public hospitals from ‘harvesting’ private patient revenue could save </w:t>
      </w:r>
      <w:r w:rsidR="00992DE5">
        <w:rPr>
          <w:rFonts w:ascii="Calibri" w:hAnsi="Calibri" w:cs="Calibri"/>
          <w:color w:val="000000"/>
          <w:lang w:eastAsia="en-AU"/>
        </w:rPr>
        <w:t>health insurer</w:t>
      </w:r>
      <w:r w:rsidRPr="00A57798">
        <w:rPr>
          <w:rFonts w:ascii="Calibri" w:hAnsi="Calibri" w:cs="Calibri"/>
          <w:color w:val="000000"/>
          <w:lang w:eastAsia="en-AU"/>
        </w:rPr>
        <w:t xml:space="preserve">s $1.5 billion each year that would result in a six percent reduction </w:t>
      </w:r>
      <w:r w:rsidR="009275F7">
        <w:rPr>
          <w:rFonts w:ascii="Calibri" w:hAnsi="Calibri" w:cs="Calibri"/>
          <w:color w:val="000000"/>
          <w:lang w:eastAsia="en-AU"/>
        </w:rPr>
        <w:t xml:space="preserve">in </w:t>
      </w:r>
      <w:r w:rsidRPr="00A57798">
        <w:rPr>
          <w:rFonts w:ascii="Calibri" w:hAnsi="Calibri" w:cs="Calibri"/>
          <w:color w:val="000000"/>
          <w:lang w:eastAsia="en-AU"/>
        </w:rPr>
        <w:t>premiums</w:t>
      </w:r>
      <w:r>
        <w:rPr>
          <w:rStyle w:val="FootnoteReference"/>
          <w:rFonts w:ascii="Calibri" w:hAnsi="Calibri" w:cs="Calibri"/>
          <w:color w:val="000000"/>
        </w:rPr>
        <w:footnoteReference w:id="10"/>
      </w:r>
      <w:r w:rsidRPr="00A57798">
        <w:rPr>
          <w:rFonts w:ascii="Calibri" w:hAnsi="Calibri" w:cs="Calibri"/>
          <w:color w:val="000000"/>
          <w:lang w:eastAsia="en-AU"/>
        </w:rPr>
        <w:t>.</w:t>
      </w:r>
    </w:p>
    <w:p w14:paraId="444FA252" w14:textId="77777777" w:rsidR="00350432" w:rsidRDefault="00350432" w:rsidP="00DF18F7">
      <w:pPr>
        <w:ind w:left="720"/>
        <w:rPr>
          <w:rFonts w:ascii="Calibri" w:hAnsi="Calibri" w:cs="Calibri"/>
          <w:color w:val="000000"/>
          <w:lang w:eastAsia="en-AU"/>
        </w:rPr>
      </w:pPr>
    </w:p>
    <w:p w14:paraId="41A59296" w14:textId="33F5C317" w:rsidR="00DF18F7" w:rsidRDefault="00DF18F7" w:rsidP="00DF18F7">
      <w:pPr>
        <w:ind w:left="720"/>
        <w:rPr>
          <w:rFonts w:ascii="Calibri" w:hAnsi="Calibri" w:cs="Calibri"/>
          <w:color w:val="000000"/>
          <w:lang w:eastAsia="en-AU"/>
        </w:rPr>
      </w:pPr>
      <w:r w:rsidRPr="00D67D8E">
        <w:rPr>
          <w:rFonts w:ascii="Calibri" w:hAnsi="Calibri" w:cs="Calibri"/>
          <w:color w:val="000000"/>
          <w:lang w:eastAsia="en-AU"/>
        </w:rPr>
        <w:t>Ten percent of the total inflation-adjusted increase in private health insurance benefits outlaid for hospital care</w:t>
      </w:r>
      <w:r w:rsidR="009275F7">
        <w:rPr>
          <w:rFonts w:ascii="Calibri" w:hAnsi="Calibri" w:cs="Calibri"/>
          <w:color w:val="000000"/>
          <w:lang w:eastAsia="en-AU"/>
        </w:rPr>
        <w:t xml:space="preserve"> over the decade to 2017-18</w:t>
      </w:r>
      <w:r w:rsidRPr="00D67D8E">
        <w:rPr>
          <w:rFonts w:ascii="Calibri" w:hAnsi="Calibri" w:cs="Calibri"/>
          <w:color w:val="000000"/>
          <w:lang w:eastAsia="en-AU"/>
        </w:rPr>
        <w:t xml:space="preserve"> is due to public hospitals chasing private health insurance </w:t>
      </w:r>
      <w:r w:rsidR="00970018">
        <w:rPr>
          <w:rFonts w:ascii="Calibri" w:hAnsi="Calibri" w:cs="Calibri"/>
          <w:color w:val="000000"/>
          <w:lang w:eastAsia="en-AU"/>
        </w:rPr>
        <w:t>revenue</w:t>
      </w:r>
      <w:r w:rsidRPr="00D67D8E">
        <w:rPr>
          <w:rFonts w:ascii="Calibri" w:hAnsi="Calibri" w:cs="Calibri"/>
          <w:color w:val="000000"/>
          <w:lang w:eastAsia="en-AU"/>
        </w:rPr>
        <w:t>. During the decade, growth in private patients in public hospitals averaged 6.3 percent per annum, a rate of growth</w:t>
      </w:r>
      <w:r w:rsidR="002E56D0">
        <w:rPr>
          <w:rFonts w:ascii="Calibri" w:hAnsi="Calibri" w:cs="Calibri"/>
          <w:color w:val="000000"/>
          <w:lang w:eastAsia="en-AU"/>
        </w:rPr>
        <w:t xml:space="preserve"> that</w:t>
      </w:r>
      <w:r w:rsidRPr="00D67D8E">
        <w:rPr>
          <w:rFonts w:ascii="Calibri" w:hAnsi="Calibri" w:cs="Calibri"/>
          <w:color w:val="000000"/>
          <w:lang w:eastAsia="en-AU"/>
        </w:rPr>
        <w:t xml:space="preserve"> exceeded the growth in number people covered by private health insurance and a rate </w:t>
      </w:r>
      <w:r w:rsidR="002E56D0">
        <w:rPr>
          <w:rFonts w:ascii="Calibri" w:hAnsi="Calibri" w:cs="Calibri"/>
          <w:color w:val="000000"/>
          <w:lang w:eastAsia="en-AU"/>
        </w:rPr>
        <w:t>that</w:t>
      </w:r>
      <w:r w:rsidRPr="00D67D8E">
        <w:rPr>
          <w:rFonts w:ascii="Calibri" w:hAnsi="Calibri" w:cs="Calibri"/>
          <w:color w:val="000000"/>
          <w:lang w:eastAsia="en-AU"/>
        </w:rPr>
        <w:t xml:space="preserve"> is only explicable by the aggressive and deliberate policies adopted by State governments</w:t>
      </w:r>
      <w:r>
        <w:rPr>
          <w:rStyle w:val="FootnoteReference"/>
          <w:rFonts w:ascii="Calibri" w:hAnsi="Calibri" w:cs="Calibri"/>
          <w:color w:val="000000"/>
        </w:rPr>
        <w:footnoteReference w:id="11"/>
      </w:r>
      <w:r w:rsidRPr="00D67D8E">
        <w:rPr>
          <w:rFonts w:ascii="Calibri" w:hAnsi="Calibri" w:cs="Calibri"/>
          <w:color w:val="000000"/>
          <w:lang w:eastAsia="en-AU"/>
        </w:rPr>
        <w:t xml:space="preserve">. </w:t>
      </w:r>
    </w:p>
    <w:p w14:paraId="5576DE79" w14:textId="77777777" w:rsidR="00350432" w:rsidRPr="00D67D8E" w:rsidRDefault="00350432" w:rsidP="00DF18F7">
      <w:pPr>
        <w:ind w:left="720"/>
        <w:rPr>
          <w:rFonts w:ascii="Calibri" w:hAnsi="Calibri" w:cs="Calibri"/>
          <w:color w:val="000000"/>
          <w:lang w:eastAsia="en-AU"/>
        </w:rPr>
      </w:pPr>
    </w:p>
    <w:p w14:paraId="61B814E2" w14:textId="77320452" w:rsidR="00F862EE" w:rsidRDefault="002E56D0" w:rsidP="00DF18F7">
      <w:pPr>
        <w:ind w:left="720"/>
        <w:rPr>
          <w:rFonts w:ascii="Calibri" w:hAnsi="Calibri" w:cs="Calibri"/>
          <w:color w:val="000000"/>
          <w:lang w:eastAsia="en-AU"/>
        </w:rPr>
      </w:pPr>
      <w:r>
        <w:rPr>
          <w:rFonts w:ascii="Calibri" w:hAnsi="Calibri" w:cs="Calibri"/>
          <w:color w:val="000000"/>
          <w:lang w:eastAsia="en-AU"/>
        </w:rPr>
        <w:t>During</w:t>
      </w:r>
      <w:r w:rsidRPr="00D67D8E">
        <w:rPr>
          <w:rFonts w:ascii="Calibri" w:hAnsi="Calibri" w:cs="Calibri"/>
          <w:color w:val="000000"/>
          <w:lang w:eastAsia="en-AU"/>
        </w:rPr>
        <w:t xml:space="preserve"> </w:t>
      </w:r>
      <w:r w:rsidR="00DF18F7" w:rsidRPr="00D67D8E">
        <w:rPr>
          <w:rFonts w:ascii="Calibri" w:hAnsi="Calibri" w:cs="Calibri"/>
          <w:color w:val="000000"/>
          <w:lang w:eastAsia="en-AU"/>
        </w:rPr>
        <w:t>the same period the increase in private patients in private hospitals and day surgeries averaged just 3.6 percent</w:t>
      </w:r>
      <w:r w:rsidR="00DF18F7">
        <w:rPr>
          <w:rStyle w:val="FootnoteReference"/>
          <w:rFonts w:ascii="Calibri" w:hAnsi="Calibri" w:cs="Calibri"/>
          <w:color w:val="000000"/>
        </w:rPr>
        <w:footnoteReference w:id="12"/>
      </w:r>
      <w:r w:rsidR="00DF18F7" w:rsidRPr="00D67D8E">
        <w:rPr>
          <w:rFonts w:ascii="Calibri" w:hAnsi="Calibri" w:cs="Calibri"/>
          <w:color w:val="000000"/>
          <w:lang w:eastAsia="en-AU"/>
        </w:rPr>
        <w:t>. State governments have set revenue targets for public hospitals and allocated resources to the collection of private health insurance revenue even when the clinical care provided to the patient is identical to that which they would have received as a public patient.</w:t>
      </w:r>
    </w:p>
    <w:p w14:paraId="4751B3ED" w14:textId="77777777" w:rsidR="00350432" w:rsidRDefault="00350432" w:rsidP="00DF18F7">
      <w:pPr>
        <w:ind w:left="720"/>
        <w:rPr>
          <w:rFonts w:ascii="Calibri" w:hAnsi="Calibri" w:cs="Calibri"/>
          <w:color w:val="000000"/>
          <w:lang w:eastAsia="en-AU"/>
        </w:rPr>
      </w:pPr>
    </w:p>
    <w:p w14:paraId="6817583E" w14:textId="3E605731" w:rsidR="00DF18F7" w:rsidRDefault="00DF18F7" w:rsidP="00DF18F7">
      <w:pPr>
        <w:ind w:left="720"/>
        <w:rPr>
          <w:rFonts w:ascii="Calibri" w:hAnsi="Calibri" w:cs="Calibri"/>
          <w:color w:val="000000"/>
          <w:lang w:eastAsia="en-AU"/>
        </w:rPr>
      </w:pPr>
      <w:r w:rsidRPr="00D67D8E">
        <w:rPr>
          <w:rFonts w:ascii="Calibri" w:hAnsi="Calibri" w:cs="Calibri"/>
          <w:color w:val="000000"/>
          <w:lang w:eastAsia="en-AU"/>
        </w:rPr>
        <w:t xml:space="preserve">This is a waste of private health insurance benefits – waste </w:t>
      </w:r>
      <w:r w:rsidR="002E56D0">
        <w:rPr>
          <w:rFonts w:ascii="Calibri" w:hAnsi="Calibri" w:cs="Calibri"/>
          <w:color w:val="000000"/>
          <w:lang w:eastAsia="en-AU"/>
        </w:rPr>
        <w:t>that</w:t>
      </w:r>
      <w:r w:rsidRPr="00D67D8E">
        <w:rPr>
          <w:rFonts w:ascii="Calibri" w:hAnsi="Calibri" w:cs="Calibri"/>
          <w:color w:val="000000"/>
          <w:lang w:eastAsia="en-AU"/>
        </w:rPr>
        <w:t xml:space="preserve"> has </w:t>
      </w:r>
      <w:r w:rsidR="002E56D0">
        <w:rPr>
          <w:rFonts w:ascii="Calibri" w:hAnsi="Calibri" w:cs="Calibri"/>
          <w:color w:val="000000"/>
          <w:lang w:eastAsia="en-AU"/>
        </w:rPr>
        <w:t xml:space="preserve">not </w:t>
      </w:r>
      <w:r w:rsidRPr="00D67D8E">
        <w:rPr>
          <w:rFonts w:ascii="Calibri" w:hAnsi="Calibri" w:cs="Calibri"/>
          <w:color w:val="000000"/>
          <w:lang w:eastAsia="en-AU"/>
        </w:rPr>
        <w:t xml:space="preserve">delivered </w:t>
      </w:r>
      <w:r w:rsidR="002E56D0">
        <w:rPr>
          <w:rFonts w:ascii="Calibri" w:hAnsi="Calibri" w:cs="Calibri"/>
          <w:color w:val="000000"/>
          <w:lang w:eastAsia="en-AU"/>
        </w:rPr>
        <w:t xml:space="preserve">any </w:t>
      </w:r>
      <w:r w:rsidRPr="00D67D8E">
        <w:rPr>
          <w:rFonts w:ascii="Calibri" w:hAnsi="Calibri" w:cs="Calibri"/>
          <w:color w:val="000000"/>
          <w:lang w:eastAsia="en-AU"/>
        </w:rPr>
        <w:t>benefits to patients.</w:t>
      </w:r>
    </w:p>
    <w:p w14:paraId="2DA64DFD" w14:textId="77777777" w:rsidR="00350432" w:rsidRDefault="00350432" w:rsidP="00DF18F7">
      <w:pPr>
        <w:ind w:left="720"/>
        <w:rPr>
          <w:rFonts w:ascii="Calibri" w:hAnsi="Calibri" w:cs="Calibri"/>
          <w:color w:val="000000"/>
          <w:lang w:eastAsia="en-AU"/>
        </w:rPr>
      </w:pPr>
    </w:p>
    <w:p w14:paraId="55F140C4" w14:textId="67F90756" w:rsidR="00970018" w:rsidRDefault="00977201" w:rsidP="00DF18F7">
      <w:pPr>
        <w:ind w:left="720"/>
        <w:rPr>
          <w:rFonts w:ascii="Calibri" w:hAnsi="Calibri" w:cs="Calibri"/>
          <w:color w:val="000000"/>
          <w:lang w:eastAsia="en-AU"/>
        </w:rPr>
      </w:pPr>
      <w:r>
        <w:rPr>
          <w:rFonts w:ascii="Calibri" w:hAnsi="Calibri" w:cs="Calibri"/>
          <w:color w:val="000000"/>
          <w:lang w:eastAsia="en-AU"/>
        </w:rPr>
        <w:t xml:space="preserve">States also use this practice in order to cost shift to the Commonwealth by claiming Medicare rebates for the medical services provided to patients. </w:t>
      </w:r>
    </w:p>
    <w:p w14:paraId="579B6D3F" w14:textId="77777777" w:rsidR="00350432" w:rsidRDefault="00350432" w:rsidP="00DF18F7">
      <w:pPr>
        <w:ind w:left="720"/>
        <w:rPr>
          <w:rFonts w:ascii="Calibri" w:hAnsi="Calibri" w:cs="Calibri"/>
          <w:color w:val="000000"/>
          <w:lang w:eastAsia="en-AU"/>
        </w:rPr>
      </w:pPr>
    </w:p>
    <w:p w14:paraId="62A134CA" w14:textId="4104B104" w:rsidR="00DF18F7" w:rsidRPr="00A57798" w:rsidRDefault="00DF18F7" w:rsidP="00DF18F7">
      <w:pPr>
        <w:ind w:left="720"/>
        <w:rPr>
          <w:rFonts w:ascii="Calibri" w:hAnsi="Calibri" w:cs="Calibri"/>
          <w:color w:val="000000"/>
          <w:lang w:eastAsia="en-AU"/>
        </w:rPr>
      </w:pPr>
      <w:r>
        <w:rPr>
          <w:rFonts w:ascii="Calibri" w:hAnsi="Calibri" w:cs="Calibri"/>
          <w:color w:val="000000"/>
          <w:lang w:eastAsia="en-AU"/>
        </w:rPr>
        <w:t xml:space="preserve">This practice is also a waste of government resources, diverting </w:t>
      </w:r>
      <w:r w:rsidR="002E56D0">
        <w:rPr>
          <w:rFonts w:ascii="Calibri" w:hAnsi="Calibri" w:cs="Calibri"/>
          <w:color w:val="000000"/>
          <w:lang w:eastAsia="en-AU"/>
        </w:rPr>
        <w:t xml:space="preserve">them </w:t>
      </w:r>
      <w:r>
        <w:rPr>
          <w:rFonts w:ascii="Calibri" w:hAnsi="Calibri" w:cs="Calibri"/>
          <w:color w:val="000000"/>
          <w:lang w:eastAsia="en-AU"/>
        </w:rPr>
        <w:t>away from patient care to revenue generation. The Victorian Auditor-General this year found that public hospitals did not know the cost of this activity and could not accurately measure the net financial result</w:t>
      </w:r>
      <w:r>
        <w:rPr>
          <w:rStyle w:val="FootnoteReference"/>
          <w:rFonts w:ascii="Calibri" w:hAnsi="Calibri" w:cs="Calibri"/>
          <w:color w:val="000000"/>
        </w:rPr>
        <w:footnoteReference w:id="13"/>
      </w:r>
      <w:r>
        <w:rPr>
          <w:rFonts w:ascii="Calibri" w:hAnsi="Calibri" w:cs="Calibri"/>
          <w:color w:val="000000"/>
          <w:lang w:eastAsia="en-AU"/>
        </w:rPr>
        <w:t xml:space="preserve">. </w:t>
      </w:r>
      <w:r>
        <w:rPr>
          <w:rFonts w:ascii="Helvetica" w:hAnsi="Helvetica" w:cs="Helvetica"/>
          <w:color w:val="222222"/>
        </w:rPr>
        <w:br/>
      </w:r>
    </w:p>
    <w:p w14:paraId="5D73034C" w14:textId="4B731737" w:rsidR="00DF18F7" w:rsidRDefault="00DF18F7" w:rsidP="00DF18F7">
      <w:pPr>
        <w:ind w:left="720"/>
        <w:rPr>
          <w:rFonts w:ascii="Calibri" w:hAnsi="Calibri" w:cs="Calibri"/>
          <w:color w:val="000000"/>
          <w:lang w:eastAsia="en-AU"/>
        </w:rPr>
      </w:pPr>
      <w:r>
        <w:rPr>
          <w:rFonts w:ascii="Calibri" w:hAnsi="Calibri" w:cs="Calibri"/>
          <w:color w:val="000000"/>
          <w:lang w:eastAsia="en-AU"/>
        </w:rPr>
        <w:t xml:space="preserve">Curbing of wasteful private health insurance benefits for public hospital services will require a comprehensive policy framework. </w:t>
      </w:r>
      <w:r w:rsidRPr="00A57798">
        <w:rPr>
          <w:rFonts w:ascii="Calibri" w:hAnsi="Calibri" w:cs="Calibri"/>
          <w:color w:val="000000"/>
          <w:lang w:eastAsia="en-AU"/>
        </w:rPr>
        <w:t xml:space="preserve">APHA </w:t>
      </w:r>
      <w:r>
        <w:rPr>
          <w:rFonts w:ascii="Calibri" w:hAnsi="Calibri" w:cs="Calibri"/>
          <w:color w:val="000000"/>
          <w:lang w:eastAsia="en-AU"/>
        </w:rPr>
        <w:t>advocates</w:t>
      </w:r>
      <w:r w:rsidRPr="00A57798">
        <w:rPr>
          <w:rFonts w:ascii="Calibri" w:hAnsi="Calibri" w:cs="Calibri"/>
          <w:color w:val="000000"/>
          <w:lang w:eastAsia="en-AU"/>
        </w:rPr>
        <w:t xml:space="preserve">: </w:t>
      </w:r>
    </w:p>
    <w:p w14:paraId="194E712C" w14:textId="77777777" w:rsidR="00350432" w:rsidRPr="00A57798" w:rsidRDefault="00350432" w:rsidP="00DF18F7">
      <w:pPr>
        <w:ind w:left="720"/>
        <w:rPr>
          <w:rFonts w:ascii="Calibri" w:hAnsi="Calibri" w:cs="Calibri"/>
          <w:color w:val="000000"/>
          <w:lang w:eastAsia="en-AU"/>
        </w:rPr>
      </w:pPr>
    </w:p>
    <w:p w14:paraId="20525340" w14:textId="51374EF3" w:rsidR="00DF18F7" w:rsidRPr="00A57798" w:rsidRDefault="00DF18F7" w:rsidP="00DF18F7">
      <w:pPr>
        <w:pStyle w:val="ListParagraph"/>
        <w:numPr>
          <w:ilvl w:val="0"/>
          <w:numId w:val="10"/>
        </w:numPr>
        <w:rPr>
          <w:rFonts w:cstheme="minorHAnsi"/>
          <w:color w:val="000000"/>
          <w:lang w:eastAsia="en-AU"/>
        </w:rPr>
      </w:pPr>
      <w:r w:rsidRPr="00A57798">
        <w:rPr>
          <w:rFonts w:cstheme="minorHAnsi"/>
          <w:color w:val="000000"/>
          <w:lang w:eastAsia="en-AU"/>
        </w:rPr>
        <w:t>A removal of the rebate on ‘public hospital only’ (</w:t>
      </w:r>
      <w:r w:rsidR="00C84F09">
        <w:rPr>
          <w:rFonts w:cstheme="minorHAnsi"/>
          <w:color w:val="000000"/>
          <w:lang w:eastAsia="en-AU"/>
        </w:rPr>
        <w:t>b</w:t>
      </w:r>
      <w:r w:rsidRPr="00A57798">
        <w:rPr>
          <w:rFonts w:cstheme="minorHAnsi"/>
          <w:color w:val="000000"/>
          <w:lang w:eastAsia="en-AU"/>
        </w:rPr>
        <w:t xml:space="preserve">asic </w:t>
      </w:r>
      <w:r w:rsidR="00C84F09">
        <w:rPr>
          <w:rFonts w:cstheme="minorHAnsi"/>
          <w:color w:val="000000"/>
          <w:lang w:eastAsia="en-AU"/>
        </w:rPr>
        <w:t>t</w:t>
      </w:r>
      <w:r w:rsidRPr="00A57798">
        <w:rPr>
          <w:rFonts w:cstheme="minorHAnsi"/>
          <w:color w:val="000000"/>
          <w:lang w:eastAsia="en-AU"/>
        </w:rPr>
        <w:t>ier) policies</w:t>
      </w:r>
      <w:r w:rsidR="00977201">
        <w:rPr>
          <w:rFonts w:cstheme="minorHAnsi"/>
          <w:color w:val="000000"/>
          <w:lang w:eastAsia="en-AU"/>
        </w:rPr>
        <w:t xml:space="preserve"> as these products only provide access to public hospitals</w:t>
      </w:r>
    </w:p>
    <w:p w14:paraId="11509386" w14:textId="77777777" w:rsidR="00DF18F7" w:rsidRPr="00A57798" w:rsidRDefault="00DF18F7" w:rsidP="00DF18F7">
      <w:pPr>
        <w:pStyle w:val="ListParagraph"/>
        <w:numPr>
          <w:ilvl w:val="0"/>
          <w:numId w:val="10"/>
        </w:numPr>
        <w:rPr>
          <w:rFonts w:cstheme="minorHAnsi"/>
          <w:color w:val="000000"/>
          <w:lang w:eastAsia="en-AU"/>
        </w:rPr>
      </w:pPr>
      <w:r w:rsidRPr="00A57798">
        <w:rPr>
          <w:rFonts w:cstheme="minorHAnsi"/>
          <w:color w:val="000000"/>
          <w:lang w:eastAsia="en-AU"/>
        </w:rPr>
        <w:t>Removal of the obligation for private health insurers to pay for private patients treated in public hospitals</w:t>
      </w:r>
    </w:p>
    <w:p w14:paraId="5B3823EA" w14:textId="77777777" w:rsidR="00DF18F7" w:rsidRPr="00A57798" w:rsidRDefault="00DF18F7" w:rsidP="00DF18F7">
      <w:pPr>
        <w:pStyle w:val="ListParagraph"/>
        <w:numPr>
          <w:ilvl w:val="0"/>
          <w:numId w:val="10"/>
        </w:numPr>
        <w:rPr>
          <w:rFonts w:cstheme="minorHAnsi"/>
          <w:color w:val="000000"/>
          <w:lang w:eastAsia="en-AU"/>
        </w:rPr>
      </w:pPr>
      <w:r w:rsidRPr="00A57798">
        <w:rPr>
          <w:rFonts w:cstheme="minorHAnsi"/>
          <w:color w:val="000000"/>
          <w:lang w:eastAsia="en-AU"/>
        </w:rPr>
        <w:t xml:space="preserve">Strengthened patient election provisions </w:t>
      </w:r>
    </w:p>
    <w:p w14:paraId="67A772CE" w14:textId="7EDE82A8" w:rsidR="007E66F3" w:rsidRPr="007E66F3" w:rsidRDefault="00DF18F7" w:rsidP="00675D0A">
      <w:pPr>
        <w:pStyle w:val="ListParagraph"/>
        <w:numPr>
          <w:ilvl w:val="0"/>
          <w:numId w:val="10"/>
        </w:numPr>
      </w:pPr>
      <w:r w:rsidRPr="00675D0A">
        <w:rPr>
          <w:rFonts w:cstheme="minorHAnsi"/>
          <w:color w:val="000000"/>
          <w:lang w:eastAsia="en-AU"/>
        </w:rPr>
        <w:t>Removing financial incentives for public hospitals to admit insured patients ahead of public waiting list patients.</w:t>
      </w:r>
    </w:p>
    <w:p w14:paraId="39475733" w14:textId="77777777" w:rsidR="007E66F3" w:rsidRPr="007E66F3" w:rsidRDefault="007E66F3" w:rsidP="007E66F3">
      <w:pPr>
        <w:ind w:left="1080"/>
      </w:pPr>
    </w:p>
    <w:p w14:paraId="49580FAE" w14:textId="7420F7A5" w:rsidR="00DF18F7" w:rsidRDefault="007E66F3" w:rsidP="007E66F3">
      <w:pPr>
        <w:ind w:left="720"/>
      </w:pPr>
      <w:r>
        <w:rPr>
          <w:lang w:eastAsia="en-AU"/>
        </w:rPr>
        <w:t>The potential saving from this these reforms is $380 million per year in reduced payments of the Private Health Insurance Rebate.</w:t>
      </w:r>
      <w:r w:rsidR="00675D0A" w:rsidRPr="007E66F3">
        <w:rPr>
          <w:rFonts w:cstheme="minorHAnsi"/>
          <w:color w:val="000000"/>
          <w:lang w:eastAsia="en-AU"/>
        </w:rPr>
        <w:br/>
      </w:r>
    </w:p>
    <w:p w14:paraId="525E68F7" w14:textId="274007AB" w:rsidR="00DF18F7" w:rsidRDefault="00DF18F7" w:rsidP="00DF18F7">
      <w:pPr>
        <w:ind w:left="720"/>
        <w:rPr>
          <w:rFonts w:ascii="Calibri" w:hAnsi="Calibri" w:cs="Calibri"/>
          <w:color w:val="000000"/>
          <w:lang w:eastAsia="en-AU"/>
        </w:rPr>
      </w:pPr>
      <w:r w:rsidRPr="00A57798">
        <w:rPr>
          <w:rFonts w:ascii="Calibri" w:hAnsi="Calibri" w:cs="Calibri"/>
          <w:color w:val="000000"/>
          <w:lang w:eastAsia="en-AU"/>
        </w:rPr>
        <w:t>Key facts:</w:t>
      </w:r>
    </w:p>
    <w:p w14:paraId="5E72FC6B" w14:textId="77777777" w:rsidR="00350432" w:rsidRPr="00A57798" w:rsidRDefault="00350432" w:rsidP="00DF18F7">
      <w:pPr>
        <w:ind w:left="720"/>
        <w:rPr>
          <w:rFonts w:ascii="Calibri" w:hAnsi="Calibri" w:cs="Calibri"/>
          <w:color w:val="000000"/>
          <w:lang w:eastAsia="en-AU"/>
        </w:rPr>
      </w:pPr>
    </w:p>
    <w:p w14:paraId="0AEDB502" w14:textId="0CE6A216" w:rsidR="00DF18F7" w:rsidRPr="00A57798" w:rsidRDefault="00DF18F7" w:rsidP="00DF18F7">
      <w:pPr>
        <w:pStyle w:val="ListParagraph"/>
        <w:numPr>
          <w:ilvl w:val="0"/>
          <w:numId w:val="10"/>
        </w:numPr>
        <w:rPr>
          <w:rFonts w:cstheme="minorHAnsi"/>
          <w:color w:val="000000"/>
          <w:lang w:eastAsia="en-AU"/>
        </w:rPr>
      </w:pPr>
      <w:r w:rsidRPr="00A57798">
        <w:rPr>
          <w:rFonts w:cstheme="minorHAnsi"/>
          <w:color w:val="000000"/>
          <w:lang w:eastAsia="en-AU"/>
        </w:rPr>
        <w:t xml:space="preserve">Private patients took up </w:t>
      </w:r>
      <w:r w:rsidR="002E56D0">
        <w:rPr>
          <w:rFonts w:cstheme="minorHAnsi"/>
          <w:color w:val="000000"/>
          <w:lang w:eastAsia="en-AU"/>
        </w:rPr>
        <w:t>three</w:t>
      </w:r>
      <w:r w:rsidRPr="00A57798">
        <w:rPr>
          <w:rFonts w:cstheme="minorHAnsi"/>
          <w:color w:val="000000"/>
          <w:lang w:eastAsia="en-AU"/>
        </w:rPr>
        <w:t xml:space="preserve"> million days of care in public hospitals, an estimated 14.7 percent of all public hospital days of care in 2017–18</w:t>
      </w:r>
      <w:r w:rsidR="00E70492">
        <w:rPr>
          <w:rFonts w:cstheme="minorHAnsi"/>
          <w:color w:val="000000"/>
          <w:lang w:eastAsia="en-AU"/>
        </w:rPr>
        <w:t xml:space="preserve">, </w:t>
      </w:r>
      <w:r w:rsidRPr="00A57798">
        <w:rPr>
          <w:rFonts w:cstheme="minorHAnsi"/>
          <w:color w:val="000000"/>
          <w:lang w:eastAsia="en-AU"/>
        </w:rPr>
        <w:t>more than 1.7 times the share from a decade ago (9.6 percent in 2007–08). This equates to more than 8,000 public hospital beds.</w:t>
      </w:r>
    </w:p>
    <w:p w14:paraId="5C45C912" w14:textId="0573A415" w:rsidR="00DF18F7" w:rsidRPr="00A57798" w:rsidRDefault="00DF18F7" w:rsidP="00DF18F7">
      <w:pPr>
        <w:pStyle w:val="ListParagraph"/>
        <w:numPr>
          <w:ilvl w:val="0"/>
          <w:numId w:val="10"/>
        </w:numPr>
        <w:rPr>
          <w:rFonts w:cstheme="minorHAnsi"/>
          <w:color w:val="000000"/>
          <w:lang w:eastAsia="en-AU"/>
        </w:rPr>
      </w:pPr>
      <w:r w:rsidRPr="00A57798">
        <w:rPr>
          <w:rFonts w:cstheme="minorHAnsi"/>
          <w:color w:val="000000"/>
          <w:lang w:eastAsia="en-AU"/>
        </w:rPr>
        <w:t>In 2017–18, 905,599 Australians us</w:t>
      </w:r>
      <w:r w:rsidR="00E70492">
        <w:rPr>
          <w:rFonts w:cstheme="minorHAnsi"/>
          <w:color w:val="000000"/>
          <w:lang w:eastAsia="en-AU"/>
        </w:rPr>
        <w:t>ed</w:t>
      </w:r>
      <w:r w:rsidRPr="00A57798">
        <w:rPr>
          <w:rFonts w:cstheme="minorHAnsi"/>
          <w:color w:val="000000"/>
          <w:lang w:eastAsia="en-AU"/>
        </w:rPr>
        <w:t xml:space="preserve"> private health insurance payments in public hospitals, according to the A</w:t>
      </w:r>
      <w:r w:rsidR="00E70492">
        <w:rPr>
          <w:rFonts w:cstheme="minorHAnsi"/>
          <w:color w:val="000000"/>
          <w:lang w:eastAsia="en-AU"/>
        </w:rPr>
        <w:t>ustralian Institute of Health and Welfare (A</w:t>
      </w:r>
      <w:r w:rsidRPr="00A57798">
        <w:rPr>
          <w:rFonts w:cstheme="minorHAnsi"/>
          <w:color w:val="000000"/>
          <w:lang w:eastAsia="en-AU"/>
        </w:rPr>
        <w:t>IHW</w:t>
      </w:r>
      <w:r w:rsidR="00E70492">
        <w:rPr>
          <w:rFonts w:cstheme="minorHAnsi"/>
          <w:color w:val="000000"/>
          <w:lang w:eastAsia="en-AU"/>
        </w:rPr>
        <w:t>)</w:t>
      </w:r>
      <w:r w:rsidRPr="00A57798">
        <w:rPr>
          <w:rFonts w:cstheme="minorHAnsi"/>
          <w:color w:val="000000"/>
          <w:lang w:eastAsia="en-AU"/>
        </w:rPr>
        <w:t xml:space="preserve">. This was 13.5 percent of all public hospital admissions. </w:t>
      </w:r>
    </w:p>
    <w:p w14:paraId="7C3F8BFB" w14:textId="77777777" w:rsidR="00DF18F7" w:rsidRPr="00A57798" w:rsidRDefault="00DF18F7" w:rsidP="00DF18F7">
      <w:pPr>
        <w:pStyle w:val="ListParagraph"/>
        <w:numPr>
          <w:ilvl w:val="0"/>
          <w:numId w:val="10"/>
        </w:numPr>
        <w:rPr>
          <w:rFonts w:cstheme="minorHAnsi"/>
          <w:color w:val="000000"/>
          <w:lang w:eastAsia="en-AU"/>
        </w:rPr>
      </w:pPr>
      <w:r w:rsidRPr="00A57798">
        <w:rPr>
          <w:rFonts w:cstheme="minorHAnsi"/>
          <w:color w:val="000000"/>
          <w:lang w:eastAsia="en-AU"/>
        </w:rPr>
        <w:t xml:space="preserve">In many individual public hospitals, the proportion of patients admitted privately is far higher – up to 41 percent. </w:t>
      </w:r>
    </w:p>
    <w:p w14:paraId="2CEA1139" w14:textId="7CEFA9ED" w:rsidR="00DF18F7" w:rsidRPr="00A57798" w:rsidRDefault="00E70492" w:rsidP="00DF18F7">
      <w:pPr>
        <w:pStyle w:val="ListParagraph"/>
        <w:numPr>
          <w:ilvl w:val="0"/>
          <w:numId w:val="10"/>
        </w:numPr>
        <w:rPr>
          <w:rFonts w:cstheme="minorHAnsi"/>
          <w:color w:val="000000"/>
          <w:lang w:eastAsia="en-AU"/>
        </w:rPr>
      </w:pPr>
      <w:r>
        <w:rPr>
          <w:rFonts w:cstheme="minorHAnsi"/>
          <w:color w:val="000000"/>
          <w:lang w:eastAsia="en-AU"/>
        </w:rPr>
        <w:t xml:space="preserve">Transferring the </w:t>
      </w:r>
      <w:r w:rsidRPr="00A57798">
        <w:rPr>
          <w:rFonts w:cstheme="minorHAnsi"/>
          <w:color w:val="000000"/>
          <w:lang w:eastAsia="en-AU"/>
        </w:rPr>
        <w:t xml:space="preserve">more than 100,000 surgeries (elective and emergency) </w:t>
      </w:r>
      <w:r>
        <w:rPr>
          <w:rFonts w:cstheme="minorHAnsi"/>
          <w:color w:val="000000"/>
          <w:lang w:eastAsia="en-AU"/>
        </w:rPr>
        <w:t xml:space="preserve">currently performed </w:t>
      </w:r>
      <w:r w:rsidRPr="00A57798">
        <w:rPr>
          <w:rFonts w:cstheme="minorHAnsi"/>
          <w:color w:val="000000"/>
          <w:lang w:eastAsia="en-AU"/>
        </w:rPr>
        <w:t>on priva</w:t>
      </w:r>
      <w:r>
        <w:rPr>
          <w:rFonts w:cstheme="minorHAnsi"/>
          <w:color w:val="000000"/>
          <w:lang w:eastAsia="en-AU"/>
        </w:rPr>
        <w:t>te patients in public hospitals to private hospitals, would increase the</w:t>
      </w:r>
      <w:r w:rsidR="00DF18F7" w:rsidRPr="00A57798">
        <w:rPr>
          <w:rFonts w:cstheme="minorHAnsi"/>
          <w:color w:val="000000"/>
          <w:lang w:eastAsia="en-AU"/>
        </w:rPr>
        <w:t xml:space="preserve"> number of public patient elective surgeries by 15 percent</w:t>
      </w:r>
      <w:r w:rsidR="00977201">
        <w:rPr>
          <w:rFonts w:cstheme="minorHAnsi"/>
          <w:color w:val="000000"/>
          <w:lang w:eastAsia="en-AU"/>
        </w:rPr>
        <w:t>.</w:t>
      </w:r>
      <w:r w:rsidR="00DF18F7" w:rsidRPr="00A57798">
        <w:rPr>
          <w:rFonts w:cstheme="minorHAnsi"/>
          <w:color w:val="000000"/>
          <w:lang w:eastAsia="en-AU"/>
        </w:rPr>
        <w:t xml:space="preserve"> </w:t>
      </w:r>
    </w:p>
    <w:p w14:paraId="2AA3870F" w14:textId="0347F58A" w:rsidR="00DF18F7" w:rsidRPr="00A57798" w:rsidRDefault="00DF18F7" w:rsidP="00DF18F7">
      <w:pPr>
        <w:pStyle w:val="ListParagraph"/>
        <w:numPr>
          <w:ilvl w:val="0"/>
          <w:numId w:val="10"/>
        </w:numPr>
        <w:rPr>
          <w:rFonts w:cstheme="minorHAnsi"/>
          <w:color w:val="000000"/>
          <w:lang w:eastAsia="en-AU"/>
        </w:rPr>
      </w:pPr>
      <w:r w:rsidRPr="00A57798">
        <w:rPr>
          <w:rFonts w:cstheme="minorHAnsi"/>
          <w:color w:val="000000"/>
          <w:lang w:eastAsia="en-AU"/>
        </w:rPr>
        <w:t>About half (49 percent) of all private patient admissions in public hospitals are for emergency care, and in some states these percentages are much higher</w:t>
      </w:r>
      <w:r>
        <w:rPr>
          <w:rFonts w:cstheme="minorHAnsi"/>
          <w:color w:val="000000"/>
          <w:lang w:eastAsia="en-AU"/>
        </w:rPr>
        <w:t xml:space="preserve">. </w:t>
      </w:r>
      <w:r w:rsidRPr="00A57798">
        <w:rPr>
          <w:rFonts w:cstheme="minorHAnsi"/>
          <w:color w:val="000000"/>
          <w:lang w:eastAsia="en-AU"/>
        </w:rPr>
        <w:t>However, many of those privately insured emergency patients could have been transferred and treated in a private hospital, freeing up beds, reducing ambulance ramping and lessening pressure on public emergency departments</w:t>
      </w:r>
      <w:r>
        <w:rPr>
          <w:rFonts w:cstheme="minorHAnsi"/>
          <w:color w:val="000000"/>
          <w:lang w:eastAsia="en-AU"/>
        </w:rPr>
        <w:t>.</w:t>
      </w:r>
      <w:r w:rsidR="00634472">
        <w:rPr>
          <w:rFonts w:cstheme="minorHAnsi"/>
          <w:color w:val="000000"/>
          <w:lang w:eastAsia="en-AU"/>
        </w:rPr>
        <w:t xml:space="preserve"> P</w:t>
      </w:r>
      <w:r w:rsidRPr="00A57798">
        <w:rPr>
          <w:rFonts w:cstheme="minorHAnsi"/>
          <w:color w:val="000000"/>
          <w:lang w:eastAsia="en-AU"/>
        </w:rPr>
        <w:t xml:space="preserve">ublic hospitals do nothing </w:t>
      </w:r>
      <w:r w:rsidR="00977201">
        <w:rPr>
          <w:rFonts w:cstheme="minorHAnsi"/>
          <w:color w:val="000000"/>
          <w:lang w:eastAsia="en-AU"/>
        </w:rPr>
        <w:t xml:space="preserve">to facilitate </w:t>
      </w:r>
      <w:r w:rsidRPr="00A57798">
        <w:rPr>
          <w:rFonts w:cstheme="minorHAnsi"/>
          <w:color w:val="000000"/>
          <w:lang w:eastAsia="en-AU"/>
        </w:rPr>
        <w:t>such transfer</w:t>
      </w:r>
      <w:r w:rsidR="00977201">
        <w:rPr>
          <w:rFonts w:cstheme="minorHAnsi"/>
          <w:color w:val="000000"/>
          <w:lang w:eastAsia="en-AU"/>
        </w:rPr>
        <w:t>s</w:t>
      </w:r>
      <w:r w:rsidRPr="00A57798">
        <w:rPr>
          <w:rFonts w:cstheme="minorHAnsi"/>
          <w:color w:val="000000"/>
          <w:lang w:eastAsia="en-AU"/>
        </w:rPr>
        <w:t xml:space="preserve">. </w:t>
      </w:r>
    </w:p>
    <w:p w14:paraId="5E810BA3" w14:textId="17112EDA" w:rsidR="00DF18F7" w:rsidRDefault="00DF18F7" w:rsidP="00DF18F7">
      <w:pPr>
        <w:pStyle w:val="ListParagraph"/>
        <w:numPr>
          <w:ilvl w:val="0"/>
          <w:numId w:val="10"/>
        </w:numPr>
        <w:rPr>
          <w:rFonts w:cstheme="minorHAnsi"/>
          <w:color w:val="000000"/>
          <w:lang w:eastAsia="en-AU"/>
        </w:rPr>
      </w:pPr>
      <w:r w:rsidRPr="00A57798">
        <w:rPr>
          <w:rFonts w:cstheme="minorHAnsi"/>
          <w:color w:val="000000"/>
          <w:lang w:eastAsia="en-AU"/>
        </w:rPr>
        <w:t xml:space="preserve">Choice for private patients is limited when admitted through a public emergency department. Patients </w:t>
      </w:r>
      <w:r w:rsidR="00634472">
        <w:rPr>
          <w:rFonts w:cstheme="minorHAnsi"/>
          <w:color w:val="000000"/>
          <w:lang w:eastAsia="en-AU"/>
        </w:rPr>
        <w:t xml:space="preserve">are </w:t>
      </w:r>
      <w:r w:rsidRPr="00A57798">
        <w:rPr>
          <w:rFonts w:cstheme="minorHAnsi"/>
          <w:color w:val="000000"/>
          <w:lang w:eastAsia="en-AU"/>
        </w:rPr>
        <w:t xml:space="preserve">treated by the </w:t>
      </w:r>
      <w:r w:rsidR="00634472">
        <w:rPr>
          <w:rFonts w:cstheme="minorHAnsi"/>
          <w:color w:val="000000"/>
          <w:lang w:eastAsia="en-AU"/>
        </w:rPr>
        <w:t xml:space="preserve">available </w:t>
      </w:r>
      <w:r w:rsidRPr="00A57798">
        <w:rPr>
          <w:rFonts w:cstheme="minorHAnsi"/>
          <w:color w:val="000000"/>
          <w:lang w:eastAsia="en-AU"/>
        </w:rPr>
        <w:t>clinician</w:t>
      </w:r>
      <w:r w:rsidR="00634472">
        <w:rPr>
          <w:rFonts w:cstheme="minorHAnsi"/>
          <w:color w:val="000000"/>
          <w:lang w:eastAsia="en-AU"/>
        </w:rPr>
        <w:t>s</w:t>
      </w:r>
      <w:r w:rsidRPr="00A57798">
        <w:rPr>
          <w:rFonts w:cstheme="minorHAnsi"/>
          <w:color w:val="000000"/>
          <w:lang w:eastAsia="en-AU"/>
        </w:rPr>
        <w:t xml:space="preserve">, so there is no real choice of doctor for the privately insured. </w:t>
      </w:r>
    </w:p>
    <w:p w14:paraId="093F1161" w14:textId="05624947" w:rsidR="00D95FE4" w:rsidRDefault="00D95FE4" w:rsidP="00D95FE4">
      <w:pPr>
        <w:rPr>
          <w:rFonts w:cstheme="minorHAnsi"/>
          <w:color w:val="000000"/>
          <w:lang w:eastAsia="en-AU"/>
        </w:rPr>
      </w:pPr>
    </w:p>
    <w:p w14:paraId="17A8471B" w14:textId="545D387D" w:rsidR="00977201" w:rsidRDefault="00977201" w:rsidP="00D95FE4">
      <w:pPr>
        <w:spacing w:after="200" w:line="276" w:lineRule="auto"/>
        <w:ind w:left="720"/>
      </w:pPr>
      <w:r>
        <w:br w:type="page"/>
      </w:r>
    </w:p>
    <w:p w14:paraId="2B5C5B38" w14:textId="7A07F62C" w:rsidR="00F862EE" w:rsidRPr="00F862EE" w:rsidRDefault="00DF18F7" w:rsidP="00F862EE">
      <w:pPr>
        <w:pStyle w:val="Heading3"/>
        <w:keepNext w:val="0"/>
        <w:keepLines w:val="0"/>
        <w:numPr>
          <w:ilvl w:val="0"/>
          <w:numId w:val="6"/>
        </w:numPr>
        <w:spacing w:before="0"/>
        <w:contextualSpacing/>
        <w:rPr>
          <w:lang w:eastAsia="en-AU"/>
        </w:rPr>
      </w:pPr>
      <w:bookmarkStart w:id="67" w:name="_Toc27494524"/>
      <w:bookmarkStart w:id="68" w:name="_Toc27494721"/>
      <w:r w:rsidRPr="002035F6">
        <w:t>Implement evidence</w:t>
      </w:r>
      <w:r w:rsidR="00634472">
        <w:t>-</w:t>
      </w:r>
      <w:r w:rsidRPr="002035F6">
        <w:t>based reform of the Prostheses List to ensure technologies are made available at a realistic price and the Prostheses List reflects changes in medical technology</w:t>
      </w:r>
      <w:r>
        <w:t>.</w:t>
      </w:r>
      <w:bookmarkEnd w:id="67"/>
      <w:bookmarkEnd w:id="68"/>
      <w:r w:rsidR="00F862EE">
        <w:br/>
      </w:r>
    </w:p>
    <w:p w14:paraId="1A70E94C" w14:textId="2AFB6881" w:rsidR="00DF18F7" w:rsidRDefault="00DF18F7" w:rsidP="00DF18F7">
      <w:pPr>
        <w:ind w:left="720"/>
        <w:rPr>
          <w:rFonts w:ascii="Calibri" w:hAnsi="Calibri" w:cs="Calibri"/>
          <w:color w:val="000000"/>
          <w:lang w:eastAsia="en-AU"/>
        </w:rPr>
      </w:pPr>
      <w:r w:rsidRPr="0097316E">
        <w:rPr>
          <w:rFonts w:ascii="Calibri" w:hAnsi="Calibri" w:cs="Calibri"/>
          <w:color w:val="000000"/>
          <w:lang w:eastAsia="en-AU"/>
        </w:rPr>
        <w:t xml:space="preserve">APHA </w:t>
      </w:r>
      <w:r w:rsidR="00634472">
        <w:rPr>
          <w:rFonts w:ascii="Calibri" w:hAnsi="Calibri" w:cs="Calibri"/>
          <w:color w:val="000000"/>
          <w:lang w:eastAsia="en-AU"/>
        </w:rPr>
        <w:t>supports</w:t>
      </w:r>
      <w:r w:rsidRPr="0097316E">
        <w:rPr>
          <w:rFonts w:ascii="Calibri" w:hAnsi="Calibri" w:cs="Calibri"/>
          <w:color w:val="000000"/>
          <w:lang w:eastAsia="en-AU"/>
        </w:rPr>
        <w:t xml:space="preserve"> </w:t>
      </w:r>
      <w:r w:rsidR="00634472">
        <w:rPr>
          <w:rFonts w:ascii="Calibri" w:hAnsi="Calibri" w:cs="Calibri"/>
          <w:color w:val="000000"/>
          <w:lang w:eastAsia="en-AU"/>
        </w:rPr>
        <w:t>fully</w:t>
      </w:r>
      <w:r w:rsidRPr="0097316E">
        <w:rPr>
          <w:rFonts w:ascii="Calibri" w:hAnsi="Calibri" w:cs="Calibri"/>
          <w:color w:val="000000"/>
          <w:lang w:eastAsia="en-AU"/>
        </w:rPr>
        <w:t xml:space="preserve"> implement</w:t>
      </w:r>
      <w:r w:rsidR="00634472">
        <w:rPr>
          <w:rFonts w:ascii="Calibri" w:hAnsi="Calibri" w:cs="Calibri"/>
          <w:color w:val="000000"/>
          <w:lang w:eastAsia="en-AU"/>
        </w:rPr>
        <w:t>ing</w:t>
      </w:r>
      <w:r w:rsidRPr="0097316E">
        <w:rPr>
          <w:rFonts w:ascii="Calibri" w:hAnsi="Calibri" w:cs="Calibri"/>
          <w:color w:val="000000"/>
          <w:lang w:eastAsia="en-AU"/>
        </w:rPr>
        <w:t xml:space="preserve"> the agreement between the Federal Government and the M</w:t>
      </w:r>
      <w:r w:rsidR="00634472">
        <w:rPr>
          <w:rFonts w:ascii="Calibri" w:hAnsi="Calibri" w:cs="Calibri"/>
          <w:color w:val="000000"/>
          <w:lang w:eastAsia="en-AU"/>
        </w:rPr>
        <w:t>TAA</w:t>
      </w:r>
      <w:r w:rsidR="002D088F">
        <w:rPr>
          <w:rFonts w:ascii="Calibri" w:hAnsi="Calibri" w:cs="Calibri"/>
          <w:color w:val="000000"/>
          <w:lang w:eastAsia="en-AU"/>
        </w:rPr>
        <w:t xml:space="preserve"> </w:t>
      </w:r>
      <w:r w:rsidR="00634472">
        <w:rPr>
          <w:rFonts w:ascii="Calibri" w:hAnsi="Calibri" w:cs="Calibri"/>
          <w:color w:val="000000"/>
          <w:lang w:eastAsia="en-AU"/>
        </w:rPr>
        <w:t xml:space="preserve">signed </w:t>
      </w:r>
      <w:r w:rsidR="002D088F">
        <w:rPr>
          <w:rFonts w:ascii="Calibri" w:hAnsi="Calibri" w:cs="Calibri"/>
          <w:color w:val="000000"/>
          <w:lang w:eastAsia="en-AU"/>
        </w:rPr>
        <w:t>in 2017</w:t>
      </w:r>
      <w:r w:rsidR="003B2457">
        <w:rPr>
          <w:rFonts w:ascii="Calibri" w:hAnsi="Calibri" w:cs="Calibri"/>
          <w:color w:val="000000"/>
          <w:lang w:eastAsia="en-AU"/>
        </w:rPr>
        <w:t xml:space="preserve"> (the Agreement)</w:t>
      </w:r>
      <w:r w:rsidRPr="0097316E">
        <w:rPr>
          <w:rFonts w:ascii="Calibri" w:hAnsi="Calibri" w:cs="Calibri"/>
          <w:color w:val="000000"/>
          <w:lang w:eastAsia="en-AU"/>
        </w:rPr>
        <w:t xml:space="preserve">. </w:t>
      </w:r>
    </w:p>
    <w:p w14:paraId="5C2E2AB6" w14:textId="77777777" w:rsidR="003B2457" w:rsidRDefault="003B2457" w:rsidP="00DF18F7">
      <w:pPr>
        <w:ind w:left="720"/>
        <w:rPr>
          <w:rFonts w:ascii="Calibri" w:hAnsi="Calibri" w:cs="Calibri"/>
          <w:color w:val="000000"/>
          <w:lang w:eastAsia="en-AU"/>
        </w:rPr>
      </w:pPr>
    </w:p>
    <w:p w14:paraId="78B2C0A7" w14:textId="2A82067C" w:rsidR="00DF18F7" w:rsidRDefault="00DF18F7" w:rsidP="00DF18F7">
      <w:pPr>
        <w:ind w:left="720"/>
        <w:rPr>
          <w:rFonts w:ascii="Calibri" w:hAnsi="Calibri" w:cs="Calibri"/>
          <w:color w:val="000000"/>
          <w:lang w:eastAsia="en-AU"/>
        </w:rPr>
      </w:pPr>
      <w:r>
        <w:rPr>
          <w:rFonts w:ascii="Calibri" w:hAnsi="Calibri" w:cs="Calibri"/>
          <w:color w:val="000000"/>
          <w:lang w:eastAsia="en-AU"/>
        </w:rPr>
        <w:t>APHA is working with the Department of Health and other stakeholders on the review of the General and Miscellaneous Category of the Prostheses List</w:t>
      </w:r>
      <w:r w:rsidR="002D088F">
        <w:rPr>
          <w:rFonts w:ascii="Calibri" w:hAnsi="Calibri" w:cs="Calibri"/>
          <w:color w:val="000000"/>
          <w:lang w:eastAsia="en-AU"/>
        </w:rPr>
        <w:t xml:space="preserve"> announced in late 2019</w:t>
      </w:r>
      <w:r>
        <w:rPr>
          <w:rFonts w:ascii="Calibri" w:hAnsi="Calibri" w:cs="Calibri"/>
          <w:color w:val="000000"/>
          <w:lang w:eastAsia="en-AU"/>
        </w:rPr>
        <w:t>.</w:t>
      </w:r>
    </w:p>
    <w:p w14:paraId="593F8642" w14:textId="77777777" w:rsidR="00350432" w:rsidRDefault="00350432" w:rsidP="00DF18F7">
      <w:pPr>
        <w:ind w:left="720"/>
        <w:rPr>
          <w:rFonts w:ascii="Calibri" w:hAnsi="Calibri" w:cs="Calibri"/>
          <w:color w:val="000000"/>
          <w:lang w:eastAsia="en-AU"/>
        </w:rPr>
      </w:pPr>
    </w:p>
    <w:p w14:paraId="2BF01459" w14:textId="3273D26B" w:rsidR="00DF18F7" w:rsidRDefault="00DF18F7" w:rsidP="002A249C">
      <w:pPr>
        <w:ind w:left="720"/>
        <w:rPr>
          <w:rFonts w:ascii="Calibri" w:hAnsi="Calibri" w:cs="Calibri"/>
          <w:color w:val="000000"/>
          <w:lang w:eastAsia="en-AU"/>
        </w:rPr>
      </w:pPr>
      <w:r w:rsidRPr="00A57798">
        <w:rPr>
          <w:rFonts w:ascii="Calibri" w:hAnsi="Calibri" w:cs="Calibri"/>
          <w:color w:val="000000"/>
          <w:lang w:eastAsia="en-AU"/>
        </w:rPr>
        <w:t>APHA strenuously opposes the removal of low unit cost items from the Prostheses List, which would amount to an uncompensated cost shift to private hospitals.</w:t>
      </w:r>
    </w:p>
    <w:p w14:paraId="205C27D8" w14:textId="77777777" w:rsidR="00350432" w:rsidRDefault="00350432" w:rsidP="002A249C">
      <w:pPr>
        <w:ind w:left="720"/>
        <w:rPr>
          <w:rFonts w:ascii="Calibri" w:hAnsi="Calibri" w:cs="Calibri"/>
          <w:color w:val="000000"/>
          <w:lang w:eastAsia="en-AU"/>
        </w:rPr>
      </w:pPr>
    </w:p>
    <w:p w14:paraId="31642A1D" w14:textId="7EEDE8DA" w:rsidR="002D088F" w:rsidRDefault="003B2457" w:rsidP="002A249C">
      <w:pPr>
        <w:ind w:left="720"/>
        <w:rPr>
          <w:rFonts w:ascii="Calibri" w:hAnsi="Calibri" w:cs="Calibri"/>
          <w:color w:val="000000"/>
          <w:lang w:eastAsia="en-AU"/>
        </w:rPr>
      </w:pPr>
      <w:r>
        <w:rPr>
          <w:rFonts w:ascii="Calibri" w:hAnsi="Calibri" w:cs="Calibri"/>
          <w:color w:val="000000"/>
          <w:lang w:eastAsia="en-AU"/>
        </w:rPr>
        <w:t>When announced, t</w:t>
      </w:r>
      <w:r w:rsidR="002A249C">
        <w:rPr>
          <w:rFonts w:ascii="Calibri" w:hAnsi="Calibri" w:cs="Calibri"/>
          <w:color w:val="000000"/>
          <w:lang w:eastAsia="en-AU"/>
        </w:rPr>
        <w:t xml:space="preserve">he </w:t>
      </w:r>
      <w:r>
        <w:rPr>
          <w:rFonts w:ascii="Calibri" w:hAnsi="Calibri" w:cs="Calibri"/>
          <w:color w:val="000000"/>
          <w:lang w:eastAsia="en-AU"/>
        </w:rPr>
        <w:t>A</w:t>
      </w:r>
      <w:r w:rsidR="002A249C">
        <w:rPr>
          <w:rFonts w:ascii="Calibri" w:hAnsi="Calibri" w:cs="Calibri"/>
          <w:color w:val="000000"/>
          <w:lang w:eastAsia="en-AU"/>
        </w:rPr>
        <w:t xml:space="preserve">greement </w:t>
      </w:r>
      <w:r>
        <w:rPr>
          <w:rFonts w:ascii="Calibri" w:hAnsi="Calibri" w:cs="Calibri"/>
          <w:color w:val="000000"/>
          <w:lang w:eastAsia="en-AU"/>
        </w:rPr>
        <w:t>was</w:t>
      </w:r>
      <w:r w:rsidR="002A249C">
        <w:rPr>
          <w:rFonts w:ascii="Calibri" w:hAnsi="Calibri" w:cs="Calibri"/>
          <w:color w:val="000000"/>
          <w:lang w:eastAsia="en-AU"/>
        </w:rPr>
        <w:t xml:space="preserve"> forecast to deliver </w:t>
      </w:r>
      <w:r>
        <w:rPr>
          <w:rFonts w:ascii="Calibri" w:hAnsi="Calibri" w:cs="Calibri"/>
          <w:color w:val="000000"/>
          <w:lang w:eastAsia="en-AU"/>
        </w:rPr>
        <w:t>a reduction in projected</w:t>
      </w:r>
      <w:r w:rsidR="002A249C">
        <w:rPr>
          <w:rFonts w:ascii="Calibri" w:hAnsi="Calibri" w:cs="Calibri"/>
          <w:color w:val="000000"/>
          <w:lang w:eastAsia="en-AU"/>
        </w:rPr>
        <w:t xml:space="preserve"> private health insuranc</w:t>
      </w:r>
      <w:r w:rsidR="002D088F">
        <w:rPr>
          <w:rFonts w:ascii="Calibri" w:hAnsi="Calibri" w:cs="Calibri"/>
          <w:color w:val="000000"/>
          <w:lang w:eastAsia="en-AU"/>
        </w:rPr>
        <w:t>e</w:t>
      </w:r>
      <w:r w:rsidR="002A249C">
        <w:rPr>
          <w:rFonts w:ascii="Calibri" w:hAnsi="Calibri" w:cs="Calibri"/>
          <w:color w:val="000000"/>
          <w:lang w:eastAsia="en-AU"/>
        </w:rPr>
        <w:t xml:space="preserve"> benefit outlays</w:t>
      </w:r>
      <w:r w:rsidR="00675D0A">
        <w:rPr>
          <w:rFonts w:ascii="Calibri" w:hAnsi="Calibri" w:cs="Calibri"/>
          <w:color w:val="000000"/>
          <w:lang w:eastAsia="en-AU"/>
        </w:rPr>
        <w:t xml:space="preserve"> $1.1 billion over </w:t>
      </w:r>
      <w:r w:rsidR="00692310">
        <w:rPr>
          <w:rFonts w:ascii="Calibri" w:hAnsi="Calibri" w:cs="Calibri"/>
          <w:color w:val="000000"/>
          <w:lang w:eastAsia="en-AU"/>
        </w:rPr>
        <w:t>four</w:t>
      </w:r>
      <w:r w:rsidR="00675D0A">
        <w:rPr>
          <w:rFonts w:ascii="Calibri" w:hAnsi="Calibri" w:cs="Calibri"/>
          <w:color w:val="000000"/>
          <w:lang w:eastAsia="en-AU"/>
        </w:rPr>
        <w:t xml:space="preserve"> years</w:t>
      </w:r>
      <w:r w:rsidR="00692310">
        <w:rPr>
          <w:rStyle w:val="FootnoteReference"/>
          <w:rFonts w:ascii="Calibri" w:hAnsi="Calibri"/>
          <w:color w:val="000000"/>
          <w:lang w:eastAsia="en-AU"/>
        </w:rPr>
        <w:footnoteReference w:id="14"/>
      </w:r>
      <w:r w:rsidR="002A249C">
        <w:rPr>
          <w:rFonts w:ascii="Calibri" w:hAnsi="Calibri" w:cs="Calibri"/>
          <w:color w:val="000000"/>
          <w:lang w:eastAsia="en-AU"/>
        </w:rPr>
        <w:t>. As a consequence</w:t>
      </w:r>
      <w:r w:rsidR="00675D0A">
        <w:rPr>
          <w:rFonts w:ascii="Calibri" w:hAnsi="Calibri" w:cs="Calibri"/>
          <w:color w:val="000000"/>
          <w:lang w:eastAsia="en-AU"/>
        </w:rPr>
        <w:t xml:space="preserve"> of </w:t>
      </w:r>
      <w:r>
        <w:rPr>
          <w:rFonts w:ascii="Calibri" w:hAnsi="Calibri" w:cs="Calibri"/>
          <w:color w:val="000000"/>
          <w:lang w:eastAsia="en-AU"/>
        </w:rPr>
        <w:t>the Agreement</w:t>
      </w:r>
      <w:r w:rsidR="002D088F">
        <w:rPr>
          <w:rFonts w:ascii="Calibri" w:hAnsi="Calibri" w:cs="Calibri"/>
          <w:color w:val="000000"/>
          <w:lang w:eastAsia="en-AU"/>
        </w:rPr>
        <w:t>:</w:t>
      </w:r>
    </w:p>
    <w:p w14:paraId="2CBAAA0B" w14:textId="77777777" w:rsidR="00350432" w:rsidRDefault="00350432" w:rsidP="002A249C">
      <w:pPr>
        <w:ind w:left="720"/>
        <w:rPr>
          <w:rFonts w:ascii="Calibri" w:hAnsi="Calibri" w:cs="Calibri"/>
          <w:color w:val="000000"/>
          <w:lang w:eastAsia="en-AU"/>
        </w:rPr>
      </w:pPr>
    </w:p>
    <w:p w14:paraId="5D9714C3" w14:textId="412EE6C3" w:rsidR="002D088F" w:rsidRDefault="00634472" w:rsidP="002D088F">
      <w:pPr>
        <w:pStyle w:val="ListParagraph"/>
        <w:numPr>
          <w:ilvl w:val="0"/>
          <w:numId w:val="38"/>
        </w:numPr>
        <w:rPr>
          <w:rFonts w:ascii="Calibri" w:hAnsi="Calibri" w:cs="Calibri"/>
          <w:color w:val="000000"/>
          <w:lang w:eastAsia="en-AU"/>
        </w:rPr>
      </w:pPr>
      <w:r>
        <w:rPr>
          <w:rFonts w:ascii="Calibri" w:hAnsi="Calibri" w:cs="Calibri"/>
          <w:color w:val="000000"/>
          <w:lang w:eastAsia="en-AU"/>
        </w:rPr>
        <w:t>P</w:t>
      </w:r>
      <w:r w:rsidR="002D088F">
        <w:rPr>
          <w:rFonts w:ascii="Calibri" w:hAnsi="Calibri" w:cs="Calibri"/>
          <w:color w:val="000000"/>
          <w:lang w:eastAsia="en-AU"/>
        </w:rPr>
        <w:t>rostheses benefit outlays for the ‘premium year’, the year ending 31 March 2018</w:t>
      </w:r>
      <w:r>
        <w:rPr>
          <w:rFonts w:ascii="Calibri" w:hAnsi="Calibri" w:cs="Calibri"/>
          <w:color w:val="000000"/>
          <w:lang w:eastAsia="en-AU"/>
        </w:rPr>
        <w:t>,</w:t>
      </w:r>
      <w:r w:rsidR="002D088F">
        <w:rPr>
          <w:rFonts w:ascii="Calibri" w:hAnsi="Calibri" w:cs="Calibri"/>
          <w:color w:val="000000"/>
          <w:lang w:eastAsia="en-AU"/>
        </w:rPr>
        <w:t xml:space="preserve"> fell 0.3 percent while the number of claims increased</w:t>
      </w:r>
      <w:r w:rsidR="00977201">
        <w:rPr>
          <w:rFonts w:ascii="Calibri" w:hAnsi="Calibri" w:cs="Calibri"/>
          <w:color w:val="000000"/>
          <w:lang w:eastAsia="en-AU"/>
        </w:rPr>
        <w:t>,</w:t>
      </w:r>
      <w:r w:rsidR="002D088F">
        <w:rPr>
          <w:rFonts w:ascii="Calibri" w:hAnsi="Calibri" w:cs="Calibri"/>
          <w:color w:val="000000"/>
          <w:lang w:eastAsia="en-AU"/>
        </w:rPr>
        <w:t xml:space="preserve"> </w:t>
      </w:r>
      <w:r w:rsidR="00977201">
        <w:rPr>
          <w:rFonts w:ascii="Calibri" w:hAnsi="Calibri" w:cs="Calibri"/>
          <w:color w:val="000000"/>
          <w:lang w:eastAsia="en-AU"/>
        </w:rPr>
        <w:t xml:space="preserve">marginally above the long term average, by </w:t>
      </w:r>
      <w:r w:rsidR="002D088F">
        <w:rPr>
          <w:rFonts w:ascii="Calibri" w:hAnsi="Calibri" w:cs="Calibri"/>
          <w:color w:val="000000"/>
          <w:lang w:eastAsia="en-AU"/>
        </w:rPr>
        <w:t>9.5 percent</w:t>
      </w:r>
    </w:p>
    <w:p w14:paraId="4F11A482" w14:textId="30B85890" w:rsidR="002A249C" w:rsidRDefault="00634472" w:rsidP="002D088F">
      <w:pPr>
        <w:pStyle w:val="ListParagraph"/>
        <w:numPr>
          <w:ilvl w:val="0"/>
          <w:numId w:val="38"/>
        </w:numPr>
        <w:rPr>
          <w:rFonts w:ascii="Calibri" w:hAnsi="Calibri" w:cs="Calibri"/>
          <w:color w:val="000000"/>
          <w:lang w:eastAsia="en-AU"/>
        </w:rPr>
      </w:pPr>
      <w:r>
        <w:rPr>
          <w:rFonts w:ascii="Calibri" w:hAnsi="Calibri" w:cs="Calibri"/>
          <w:color w:val="000000"/>
          <w:lang w:eastAsia="en-AU"/>
        </w:rPr>
        <w:t>P</w:t>
      </w:r>
      <w:r w:rsidR="002D088F">
        <w:rPr>
          <w:rFonts w:ascii="Calibri" w:hAnsi="Calibri" w:cs="Calibri"/>
          <w:color w:val="000000"/>
          <w:lang w:eastAsia="en-AU"/>
        </w:rPr>
        <w:t>rostheses benefit outlays for</w:t>
      </w:r>
      <w:r w:rsidR="002D088F" w:rsidRPr="002D088F">
        <w:rPr>
          <w:rFonts w:ascii="Calibri" w:hAnsi="Calibri" w:cs="Calibri"/>
          <w:color w:val="000000"/>
          <w:lang w:eastAsia="en-AU"/>
        </w:rPr>
        <w:t xml:space="preserve"> </w:t>
      </w:r>
      <w:r w:rsidR="002A249C" w:rsidRPr="002D088F">
        <w:rPr>
          <w:rFonts w:ascii="Calibri" w:hAnsi="Calibri" w:cs="Calibri"/>
          <w:color w:val="000000"/>
          <w:lang w:eastAsia="en-AU"/>
        </w:rPr>
        <w:t>the year ending</w:t>
      </w:r>
      <w:r>
        <w:rPr>
          <w:rFonts w:ascii="Calibri" w:hAnsi="Calibri" w:cs="Calibri"/>
          <w:color w:val="000000"/>
          <w:lang w:eastAsia="en-AU"/>
        </w:rPr>
        <w:t xml:space="preserve"> </w:t>
      </w:r>
      <w:r w:rsidR="002A249C" w:rsidRPr="002D088F">
        <w:rPr>
          <w:rFonts w:ascii="Calibri" w:hAnsi="Calibri" w:cs="Calibri"/>
          <w:color w:val="000000"/>
          <w:lang w:eastAsia="en-AU"/>
        </w:rPr>
        <w:t xml:space="preserve">30 September 2019 </w:t>
      </w:r>
      <w:r w:rsidR="002D088F" w:rsidRPr="002D088F">
        <w:rPr>
          <w:rFonts w:ascii="Calibri" w:hAnsi="Calibri" w:cs="Calibri"/>
          <w:color w:val="000000"/>
          <w:lang w:eastAsia="en-AU"/>
        </w:rPr>
        <w:t>increased just 1.5</w:t>
      </w:r>
      <w:r w:rsidR="002D088F">
        <w:rPr>
          <w:rFonts w:ascii="Calibri" w:hAnsi="Calibri" w:cs="Calibri"/>
          <w:color w:val="000000"/>
          <w:lang w:eastAsia="en-AU"/>
        </w:rPr>
        <w:t xml:space="preserve"> percent</w:t>
      </w:r>
      <w:r>
        <w:rPr>
          <w:rFonts w:ascii="Calibri" w:hAnsi="Calibri" w:cs="Calibri"/>
          <w:color w:val="000000"/>
          <w:lang w:eastAsia="en-AU"/>
        </w:rPr>
        <w:t>,</w:t>
      </w:r>
      <w:r w:rsidR="002D088F" w:rsidRPr="002D088F">
        <w:rPr>
          <w:rFonts w:ascii="Calibri" w:hAnsi="Calibri" w:cs="Calibri"/>
          <w:color w:val="000000"/>
          <w:lang w:eastAsia="en-AU"/>
        </w:rPr>
        <w:t xml:space="preserve"> while prostheses claims increased 8.4</w:t>
      </w:r>
      <w:r w:rsidR="002D088F">
        <w:rPr>
          <w:rFonts w:ascii="Calibri" w:hAnsi="Calibri" w:cs="Calibri"/>
          <w:color w:val="000000"/>
          <w:lang w:eastAsia="en-AU"/>
        </w:rPr>
        <w:t xml:space="preserve"> percent</w:t>
      </w:r>
      <w:r w:rsidR="002D088F" w:rsidRPr="002D088F">
        <w:rPr>
          <w:rFonts w:ascii="Calibri" w:hAnsi="Calibri" w:cs="Calibri"/>
          <w:color w:val="000000"/>
          <w:lang w:eastAsia="en-AU"/>
        </w:rPr>
        <w:t>.</w:t>
      </w:r>
    </w:p>
    <w:p w14:paraId="1689E2BD" w14:textId="77777777" w:rsidR="00350432" w:rsidRPr="00350432" w:rsidRDefault="00350432" w:rsidP="00350432">
      <w:pPr>
        <w:ind w:left="1140"/>
        <w:rPr>
          <w:rFonts w:ascii="Calibri" w:hAnsi="Calibri" w:cs="Calibri"/>
          <w:color w:val="000000"/>
          <w:lang w:eastAsia="en-AU"/>
        </w:rPr>
      </w:pPr>
    </w:p>
    <w:p w14:paraId="344951EE" w14:textId="4C2389FE" w:rsidR="00DF18F7" w:rsidRDefault="00675D0A" w:rsidP="00675D0A">
      <w:pPr>
        <w:ind w:left="720"/>
        <w:rPr>
          <w:rFonts w:ascii="Calibri" w:hAnsi="Calibri" w:cs="Calibri"/>
          <w:b/>
          <w:color w:val="000000"/>
          <w:lang w:eastAsia="en-AU"/>
        </w:rPr>
      </w:pPr>
      <w:r>
        <w:rPr>
          <w:rFonts w:ascii="Calibri" w:hAnsi="Calibri" w:cs="Calibri"/>
          <w:color w:val="000000"/>
          <w:lang w:eastAsia="en-AU"/>
        </w:rPr>
        <w:t>These results were delivered while at the same time adding important life-saving</w:t>
      </w:r>
      <w:r w:rsidR="00634472">
        <w:rPr>
          <w:rFonts w:ascii="Calibri" w:hAnsi="Calibri" w:cs="Calibri"/>
          <w:color w:val="000000"/>
          <w:lang w:eastAsia="en-AU"/>
        </w:rPr>
        <w:t>,</w:t>
      </w:r>
      <w:r>
        <w:rPr>
          <w:rFonts w:ascii="Calibri" w:hAnsi="Calibri" w:cs="Calibri"/>
          <w:color w:val="000000"/>
          <w:lang w:eastAsia="en-AU"/>
        </w:rPr>
        <w:t xml:space="preserve"> but high cost</w:t>
      </w:r>
      <w:r w:rsidR="00634472">
        <w:rPr>
          <w:rFonts w:ascii="Calibri" w:hAnsi="Calibri" w:cs="Calibri"/>
          <w:color w:val="000000"/>
          <w:lang w:eastAsia="en-AU"/>
        </w:rPr>
        <w:t>,</w:t>
      </w:r>
      <w:r>
        <w:rPr>
          <w:rFonts w:ascii="Calibri" w:hAnsi="Calibri" w:cs="Calibri"/>
          <w:color w:val="000000"/>
          <w:lang w:eastAsia="en-AU"/>
        </w:rPr>
        <w:t xml:space="preserve"> technologies to the Prostheses List</w:t>
      </w:r>
      <w:r w:rsidR="00634472">
        <w:rPr>
          <w:rFonts w:ascii="Calibri" w:hAnsi="Calibri" w:cs="Calibri"/>
          <w:color w:val="000000"/>
          <w:lang w:eastAsia="en-AU"/>
        </w:rPr>
        <w:t>,</w:t>
      </w:r>
      <w:r>
        <w:rPr>
          <w:rFonts w:ascii="Calibri" w:hAnsi="Calibri" w:cs="Calibri"/>
          <w:color w:val="000000"/>
          <w:lang w:eastAsia="en-AU"/>
        </w:rPr>
        <w:t xml:space="preserve"> including catheters used in the treatment of atrial </w:t>
      </w:r>
      <w:r w:rsidR="00717F58">
        <w:rPr>
          <w:rFonts w:ascii="Calibri" w:hAnsi="Calibri" w:cs="Calibri"/>
          <w:color w:val="000000"/>
          <w:lang w:eastAsia="en-AU"/>
        </w:rPr>
        <w:t>fibrillation</w:t>
      </w:r>
      <w:r>
        <w:rPr>
          <w:rFonts w:ascii="Calibri" w:hAnsi="Calibri" w:cs="Calibri"/>
          <w:color w:val="000000"/>
          <w:lang w:eastAsia="en-AU"/>
        </w:rPr>
        <w:t>.</w:t>
      </w:r>
    </w:p>
    <w:p w14:paraId="2BA1657A" w14:textId="77777777" w:rsidR="009D5D58" w:rsidRDefault="009D5D58">
      <w:pPr>
        <w:spacing w:after="200" w:line="276" w:lineRule="auto"/>
        <w:rPr>
          <w:rFonts w:eastAsiaTheme="majorEastAsia" w:cstheme="majorBidi"/>
          <w:b/>
          <w:bCs/>
          <w:sz w:val="28"/>
          <w:szCs w:val="26"/>
        </w:rPr>
      </w:pPr>
      <w:r>
        <w:br w:type="page"/>
      </w:r>
    </w:p>
    <w:p w14:paraId="7BD8E8C1" w14:textId="6458B296" w:rsidR="00DF18F7" w:rsidRDefault="00DF18F7" w:rsidP="00DF18F7">
      <w:pPr>
        <w:pStyle w:val="Heading2"/>
      </w:pPr>
      <w:bookmarkStart w:id="69" w:name="_Toc27494525"/>
      <w:bookmarkStart w:id="70" w:name="_Toc27494722"/>
      <w:bookmarkStart w:id="71" w:name="_Toc27664135"/>
      <w:r w:rsidRPr="002035F6">
        <w:t>Reduction in avoidable hospital admissions</w:t>
      </w:r>
      <w:bookmarkEnd w:id="69"/>
      <w:bookmarkEnd w:id="70"/>
      <w:bookmarkEnd w:id="71"/>
      <w:r w:rsidRPr="002035F6">
        <w:t xml:space="preserve"> </w:t>
      </w:r>
    </w:p>
    <w:p w14:paraId="39C818B5" w14:textId="77777777" w:rsidR="00350432" w:rsidRPr="00350432" w:rsidRDefault="00350432" w:rsidP="00350432"/>
    <w:p w14:paraId="446962FD" w14:textId="5174A9EE" w:rsidR="00DF18F7" w:rsidRPr="009D5D58" w:rsidRDefault="00DF18F7" w:rsidP="00BD6F09">
      <w:pPr>
        <w:pStyle w:val="Heading3"/>
        <w:keepNext w:val="0"/>
        <w:keepLines w:val="0"/>
        <w:numPr>
          <w:ilvl w:val="0"/>
          <w:numId w:val="6"/>
        </w:numPr>
        <w:tabs>
          <w:tab w:val="left" w:pos="1932"/>
          <w:tab w:val="left" w:pos="4858"/>
          <w:tab w:val="left" w:pos="7874"/>
          <w:tab w:val="left" w:pos="8955"/>
          <w:tab w:val="left" w:pos="10614"/>
          <w:tab w:val="left" w:pos="10880"/>
          <w:tab w:val="left" w:pos="11146"/>
          <w:tab w:val="left" w:pos="11412"/>
          <w:tab w:val="left" w:pos="11678"/>
        </w:tabs>
        <w:spacing w:before="0"/>
        <w:contextualSpacing/>
        <w:rPr>
          <w:rFonts w:ascii="Calibri" w:hAnsi="Calibri" w:cs="Calibri"/>
          <w:color w:val="000000"/>
          <w:lang w:eastAsia="en-AU"/>
        </w:rPr>
      </w:pPr>
      <w:bookmarkStart w:id="72" w:name="_Toc27494526"/>
      <w:bookmarkStart w:id="73" w:name="_Toc27494723"/>
      <w:r w:rsidRPr="0097316E">
        <w:t>Reduce avoidable hospital admissions by introducing appropriate remuneration through the PBS for hospital-based pharmacy</w:t>
      </w:r>
      <w:r w:rsidR="00634472">
        <w:t>,</w:t>
      </w:r>
      <w:r w:rsidRPr="0097316E">
        <w:t xml:space="preserve"> recognising the essential role of pharmacists in supporting patient safety, preventing avoidable admissions and minimising high cost drugs</w:t>
      </w:r>
      <w:r w:rsidR="00634472">
        <w:t xml:space="preserve"> waste</w:t>
      </w:r>
      <w:r w:rsidRPr="0097316E">
        <w:t>.</w:t>
      </w:r>
      <w:bookmarkEnd w:id="72"/>
      <w:bookmarkEnd w:id="73"/>
      <w:r w:rsidRPr="0097316E">
        <w:t xml:space="preserve"> </w:t>
      </w:r>
      <w:r w:rsidR="009D5D58">
        <w:br/>
      </w:r>
    </w:p>
    <w:p w14:paraId="1A076180" w14:textId="701EB256" w:rsidR="00DF18F7" w:rsidRDefault="00DF18F7" w:rsidP="00DF18F7">
      <w:pPr>
        <w:ind w:left="720"/>
        <w:rPr>
          <w:rFonts w:ascii="Calibri" w:hAnsi="Calibri" w:cs="Calibri"/>
          <w:color w:val="000000"/>
          <w:lang w:eastAsia="en-AU"/>
        </w:rPr>
      </w:pPr>
      <w:r w:rsidRPr="0097316E">
        <w:rPr>
          <w:rFonts w:ascii="Calibri" w:hAnsi="Calibri" w:cs="Calibri"/>
          <w:color w:val="000000"/>
          <w:lang w:eastAsia="en-AU"/>
        </w:rPr>
        <w:t>Medicine-related problems cause 250,000 hospital admissions and 400,000 emergency department presentations in Australia each year, costing the healthcare system $1.4 billion annually. At least half of this harm is avoidable.</w:t>
      </w:r>
    </w:p>
    <w:p w14:paraId="64AC9250" w14:textId="77777777" w:rsidR="00350432" w:rsidRPr="0097316E" w:rsidRDefault="00350432" w:rsidP="00DF18F7">
      <w:pPr>
        <w:ind w:left="720"/>
        <w:rPr>
          <w:rFonts w:ascii="Calibri" w:hAnsi="Calibri" w:cs="Calibri"/>
          <w:color w:val="000000"/>
          <w:lang w:eastAsia="en-AU"/>
        </w:rPr>
      </w:pPr>
    </w:p>
    <w:p w14:paraId="71D49727" w14:textId="40250A50" w:rsidR="00DF18F7" w:rsidRDefault="00DF18F7" w:rsidP="00DF18F7">
      <w:pPr>
        <w:ind w:left="720"/>
        <w:rPr>
          <w:rFonts w:ascii="Calibri" w:hAnsi="Calibri" w:cs="Calibri"/>
          <w:color w:val="000000"/>
          <w:lang w:eastAsia="en-AU"/>
        </w:rPr>
      </w:pPr>
      <w:r w:rsidRPr="0097316E">
        <w:rPr>
          <w:rFonts w:ascii="Calibri" w:hAnsi="Calibri" w:cs="Calibri"/>
          <w:color w:val="000000"/>
          <w:lang w:eastAsia="en-AU"/>
        </w:rPr>
        <w:t>Medicine-related problems are a major cause of hospital acquired complications and unplanned readmission to hospital</w:t>
      </w:r>
      <w:r w:rsidR="00634472">
        <w:rPr>
          <w:rFonts w:ascii="Calibri" w:hAnsi="Calibri" w:cs="Calibri"/>
          <w:color w:val="000000"/>
          <w:lang w:eastAsia="en-AU"/>
        </w:rPr>
        <w:t>,</w:t>
      </w:r>
      <w:r w:rsidRPr="0097316E">
        <w:rPr>
          <w:rFonts w:ascii="Calibri" w:hAnsi="Calibri" w:cs="Calibri"/>
          <w:color w:val="000000"/>
          <w:lang w:eastAsia="en-AU"/>
        </w:rPr>
        <w:t xml:space="preserve"> thereby contributing to the cost of hospital care</w:t>
      </w:r>
      <w:r>
        <w:rPr>
          <w:rFonts w:ascii="Calibri" w:hAnsi="Calibri" w:cs="Calibri"/>
          <w:color w:val="000000"/>
          <w:lang w:eastAsia="en-AU"/>
        </w:rPr>
        <w:t xml:space="preserve"> and pressure on private health insurance</w:t>
      </w:r>
      <w:r w:rsidRPr="0097316E">
        <w:rPr>
          <w:rFonts w:ascii="Calibri" w:hAnsi="Calibri" w:cs="Calibri"/>
          <w:color w:val="000000"/>
          <w:lang w:eastAsia="en-AU"/>
        </w:rPr>
        <w:t>.</w:t>
      </w:r>
    </w:p>
    <w:p w14:paraId="3FD76200" w14:textId="77777777" w:rsidR="00350432" w:rsidRDefault="00350432" w:rsidP="00DF18F7">
      <w:pPr>
        <w:ind w:left="720"/>
        <w:rPr>
          <w:rFonts w:ascii="Calibri" w:hAnsi="Calibri" w:cs="Calibri"/>
          <w:color w:val="000000"/>
          <w:lang w:eastAsia="en-AU"/>
        </w:rPr>
      </w:pPr>
    </w:p>
    <w:p w14:paraId="3A7A290C" w14:textId="2157E4F4" w:rsidR="00DF18F7" w:rsidRDefault="00DF18F7" w:rsidP="00DF18F7">
      <w:pPr>
        <w:ind w:left="720"/>
        <w:rPr>
          <w:rFonts w:ascii="Calibri" w:hAnsi="Calibri" w:cs="Calibri"/>
          <w:color w:val="000000"/>
          <w:lang w:eastAsia="en-AU"/>
        </w:rPr>
      </w:pPr>
      <w:r>
        <w:rPr>
          <w:rFonts w:ascii="Calibri" w:hAnsi="Calibri" w:cs="Calibri"/>
          <w:color w:val="000000"/>
          <w:lang w:eastAsia="en-AU"/>
        </w:rPr>
        <w:t>Over the years</w:t>
      </w:r>
      <w:r w:rsidR="00634472">
        <w:rPr>
          <w:rFonts w:ascii="Calibri" w:hAnsi="Calibri" w:cs="Calibri"/>
          <w:color w:val="000000"/>
          <w:lang w:eastAsia="en-AU"/>
        </w:rPr>
        <w:t>,</w:t>
      </w:r>
      <w:r>
        <w:rPr>
          <w:rFonts w:ascii="Calibri" w:hAnsi="Calibri" w:cs="Calibri"/>
          <w:color w:val="000000"/>
          <w:lang w:eastAsia="en-AU"/>
        </w:rPr>
        <w:t xml:space="preserve"> price disclosure has dramatically reduced the ‘terms of trade’ available to pharmacies dispensing PBS drugs. These ‘terms of trade’ previously enabled pharmacy services to fund the clinical services provided by pharmacists in providing expert advice to clinicians and patients and intervening to prevent medication</w:t>
      </w:r>
      <w:r w:rsidR="00634472">
        <w:rPr>
          <w:rFonts w:ascii="Calibri" w:hAnsi="Calibri" w:cs="Calibri"/>
          <w:color w:val="000000"/>
          <w:lang w:eastAsia="en-AU"/>
        </w:rPr>
        <w:t>-</w:t>
      </w:r>
      <w:r>
        <w:rPr>
          <w:rFonts w:ascii="Calibri" w:hAnsi="Calibri" w:cs="Calibri"/>
          <w:color w:val="000000"/>
          <w:lang w:eastAsia="en-AU"/>
        </w:rPr>
        <w:t>related harm. These costs cannot be realistically absorbed by private hospitals or passed on to private health insurers when both sectors are already committed to containing costs to the consumer.</w:t>
      </w:r>
    </w:p>
    <w:p w14:paraId="5F13A1CF" w14:textId="77777777" w:rsidR="00350432" w:rsidRDefault="00350432" w:rsidP="00DF18F7">
      <w:pPr>
        <w:ind w:left="720"/>
        <w:rPr>
          <w:rFonts w:ascii="Calibri" w:hAnsi="Calibri" w:cs="Calibri"/>
          <w:color w:val="000000"/>
          <w:lang w:eastAsia="en-AU"/>
        </w:rPr>
      </w:pPr>
    </w:p>
    <w:p w14:paraId="5C7DA715" w14:textId="4BCCDB70" w:rsidR="009D5D58" w:rsidRDefault="009D5D58" w:rsidP="00DF18F7">
      <w:pPr>
        <w:ind w:left="720"/>
        <w:rPr>
          <w:rFonts w:ascii="Calibri" w:hAnsi="Calibri" w:cs="Calibri"/>
          <w:color w:val="000000"/>
          <w:lang w:eastAsia="en-AU"/>
        </w:rPr>
      </w:pPr>
      <w:r>
        <w:rPr>
          <w:rFonts w:ascii="Calibri" w:hAnsi="Calibri" w:cs="Calibri"/>
          <w:color w:val="000000"/>
          <w:lang w:eastAsia="en-AU"/>
        </w:rPr>
        <w:t>The sustainability of hospital-based pharmacy services was placed under further pressure when the 2019-20 Federal Budget reduced the wholesale mark</w:t>
      </w:r>
      <w:r w:rsidR="00634472">
        <w:rPr>
          <w:rFonts w:ascii="Calibri" w:hAnsi="Calibri" w:cs="Calibri"/>
          <w:color w:val="000000"/>
          <w:lang w:eastAsia="en-AU"/>
        </w:rPr>
        <w:t>-</w:t>
      </w:r>
      <w:r>
        <w:rPr>
          <w:rFonts w:ascii="Calibri" w:hAnsi="Calibri" w:cs="Calibri"/>
          <w:color w:val="000000"/>
          <w:lang w:eastAsia="en-AU"/>
        </w:rPr>
        <w:t>up payable to Section 94 pharmacies for Section 85 drugs. The impact of this chang</w:t>
      </w:r>
      <w:r w:rsidR="001C3D34">
        <w:rPr>
          <w:rFonts w:ascii="Calibri" w:hAnsi="Calibri" w:cs="Calibri"/>
          <w:color w:val="000000"/>
          <w:lang w:eastAsia="en-AU"/>
        </w:rPr>
        <w:t>e</w:t>
      </w:r>
      <w:r>
        <w:rPr>
          <w:rFonts w:ascii="Calibri" w:hAnsi="Calibri" w:cs="Calibri"/>
          <w:color w:val="000000"/>
          <w:lang w:eastAsia="en-AU"/>
        </w:rPr>
        <w:t xml:space="preserve"> varied across the private hospital sector because of the </w:t>
      </w:r>
      <w:r w:rsidR="001C3D34">
        <w:rPr>
          <w:rFonts w:ascii="Calibri" w:hAnsi="Calibri" w:cs="Calibri"/>
          <w:color w:val="000000"/>
          <w:lang w:eastAsia="en-AU"/>
        </w:rPr>
        <w:t>different</w:t>
      </w:r>
      <w:r>
        <w:rPr>
          <w:rFonts w:ascii="Calibri" w:hAnsi="Calibri" w:cs="Calibri"/>
          <w:color w:val="000000"/>
          <w:lang w:eastAsia="en-AU"/>
        </w:rPr>
        <w:t xml:space="preserve"> ways pharmacy services are structured. Many pharmacy services are provided through </w:t>
      </w:r>
      <w:r w:rsidR="00C84F09">
        <w:rPr>
          <w:rFonts w:ascii="Calibri" w:hAnsi="Calibri" w:cs="Calibri"/>
          <w:color w:val="000000"/>
          <w:lang w:eastAsia="en-AU"/>
        </w:rPr>
        <w:t>S</w:t>
      </w:r>
      <w:r>
        <w:rPr>
          <w:rFonts w:ascii="Calibri" w:hAnsi="Calibri" w:cs="Calibri"/>
          <w:color w:val="000000"/>
          <w:lang w:eastAsia="en-AU"/>
        </w:rPr>
        <w:t>ection 90 arrangements</w:t>
      </w:r>
      <w:r w:rsidR="001C3D34">
        <w:rPr>
          <w:rFonts w:ascii="Calibri" w:hAnsi="Calibri" w:cs="Calibri"/>
          <w:color w:val="000000"/>
          <w:lang w:eastAsia="en-AU"/>
        </w:rPr>
        <w:t>,</w:t>
      </w:r>
      <w:r>
        <w:rPr>
          <w:rFonts w:ascii="Calibri" w:hAnsi="Calibri" w:cs="Calibri"/>
          <w:color w:val="000000"/>
          <w:lang w:eastAsia="en-AU"/>
        </w:rPr>
        <w:t xml:space="preserve"> but some are reliant on Section 94 arrangements. The impact of this change was most severe on hospitals dispensing significant quantities of high cost Section 85 drugs under Section 94 licences. These drugs include therapies used to treat cancer patients. The unintended consequence of this change was to force highly specialised pharmacy services treating complex patients to reduce their level of professional staffing. </w:t>
      </w:r>
    </w:p>
    <w:p w14:paraId="49C894A9" w14:textId="77777777" w:rsidR="00350432" w:rsidRDefault="00350432" w:rsidP="00DF18F7">
      <w:pPr>
        <w:ind w:left="720"/>
        <w:rPr>
          <w:rFonts w:ascii="Calibri" w:hAnsi="Calibri" w:cs="Calibri"/>
          <w:color w:val="000000"/>
          <w:lang w:eastAsia="en-AU"/>
        </w:rPr>
      </w:pPr>
    </w:p>
    <w:p w14:paraId="4E118B80" w14:textId="45E50B0F" w:rsidR="00DF18F7" w:rsidRDefault="00DF18F7" w:rsidP="00DF18F7">
      <w:pPr>
        <w:ind w:left="720"/>
        <w:rPr>
          <w:rFonts w:ascii="Calibri" w:hAnsi="Calibri" w:cs="Calibri"/>
          <w:color w:val="000000"/>
          <w:lang w:eastAsia="en-AU"/>
        </w:rPr>
      </w:pPr>
      <w:r>
        <w:rPr>
          <w:rFonts w:ascii="Calibri" w:hAnsi="Calibri" w:cs="Calibri"/>
          <w:color w:val="000000"/>
          <w:lang w:eastAsia="en-AU"/>
        </w:rPr>
        <w:t>In order to place hospital</w:t>
      </w:r>
      <w:r w:rsidR="009D5D58">
        <w:rPr>
          <w:rFonts w:ascii="Calibri" w:hAnsi="Calibri" w:cs="Calibri"/>
          <w:color w:val="000000"/>
          <w:lang w:eastAsia="en-AU"/>
        </w:rPr>
        <w:t>-</w:t>
      </w:r>
      <w:r>
        <w:rPr>
          <w:rFonts w:ascii="Calibri" w:hAnsi="Calibri" w:cs="Calibri"/>
          <w:color w:val="000000"/>
          <w:lang w:eastAsia="en-AU"/>
        </w:rPr>
        <w:t>based pharmacy on a sustainable footing and to ensure patient-</w:t>
      </w:r>
      <w:proofErr w:type="spellStart"/>
      <w:r>
        <w:rPr>
          <w:rFonts w:ascii="Calibri" w:hAnsi="Calibri" w:cs="Calibri"/>
          <w:color w:val="000000"/>
          <w:lang w:eastAsia="en-AU"/>
        </w:rPr>
        <w:t>centered</w:t>
      </w:r>
      <w:proofErr w:type="spellEnd"/>
      <w:r>
        <w:rPr>
          <w:rFonts w:ascii="Calibri" w:hAnsi="Calibri" w:cs="Calibri"/>
          <w:color w:val="000000"/>
          <w:lang w:eastAsia="en-AU"/>
        </w:rPr>
        <w:t xml:space="preserve"> care</w:t>
      </w:r>
      <w:r w:rsidR="009D5D58">
        <w:rPr>
          <w:rFonts w:ascii="Calibri" w:hAnsi="Calibri" w:cs="Calibri"/>
          <w:color w:val="000000"/>
          <w:lang w:eastAsia="en-AU"/>
        </w:rPr>
        <w:t>,</w:t>
      </w:r>
      <w:r>
        <w:rPr>
          <w:rFonts w:ascii="Calibri" w:hAnsi="Calibri" w:cs="Calibri"/>
          <w:color w:val="000000"/>
          <w:lang w:eastAsia="en-AU"/>
        </w:rPr>
        <w:t xml:space="preserve"> safety and </w:t>
      </w:r>
      <w:r w:rsidR="004D7169">
        <w:rPr>
          <w:rFonts w:ascii="Calibri" w:hAnsi="Calibri" w:cs="Calibri"/>
          <w:color w:val="000000"/>
          <w:lang w:eastAsia="en-AU"/>
        </w:rPr>
        <w:t xml:space="preserve">the </w:t>
      </w:r>
      <w:r>
        <w:rPr>
          <w:rFonts w:ascii="Calibri" w:hAnsi="Calibri" w:cs="Calibri"/>
          <w:color w:val="000000"/>
          <w:lang w:eastAsia="en-AU"/>
        </w:rPr>
        <w:t>minimis</w:t>
      </w:r>
      <w:r w:rsidR="004D7169">
        <w:rPr>
          <w:rFonts w:ascii="Calibri" w:hAnsi="Calibri" w:cs="Calibri"/>
          <w:color w:val="000000"/>
          <w:lang w:eastAsia="en-AU"/>
        </w:rPr>
        <w:t>ation of</w:t>
      </w:r>
      <w:r>
        <w:rPr>
          <w:rFonts w:ascii="Calibri" w:hAnsi="Calibri" w:cs="Calibri"/>
          <w:color w:val="000000"/>
          <w:lang w:eastAsia="en-AU"/>
        </w:rPr>
        <w:t xml:space="preserve"> avoidable hospital presentations, APHA advocates: </w:t>
      </w:r>
    </w:p>
    <w:p w14:paraId="1FFC51D5" w14:textId="77777777" w:rsidR="00350432" w:rsidRDefault="00350432" w:rsidP="00DF18F7">
      <w:pPr>
        <w:ind w:left="720"/>
        <w:rPr>
          <w:rFonts w:ascii="Calibri" w:hAnsi="Calibri" w:cs="Calibri"/>
          <w:color w:val="000000"/>
          <w:lang w:eastAsia="en-AU"/>
        </w:rPr>
      </w:pPr>
    </w:p>
    <w:p w14:paraId="122184CB" w14:textId="63441A5E" w:rsidR="00DF18F7" w:rsidRDefault="00DF18F7" w:rsidP="00DF18F7">
      <w:pPr>
        <w:pStyle w:val="ListParagraph"/>
        <w:numPr>
          <w:ilvl w:val="0"/>
          <w:numId w:val="10"/>
        </w:numPr>
        <w:rPr>
          <w:rFonts w:cstheme="minorHAnsi"/>
          <w:color w:val="000000"/>
          <w:lang w:eastAsia="en-AU"/>
        </w:rPr>
      </w:pPr>
      <w:r w:rsidRPr="00B54355">
        <w:rPr>
          <w:rFonts w:cstheme="minorHAnsi"/>
          <w:color w:val="000000"/>
          <w:lang w:eastAsia="en-AU"/>
        </w:rPr>
        <w:t xml:space="preserve">Extension to private sector Section 94 pharmacies of existing administration and handling </w:t>
      </w:r>
      <w:r>
        <w:rPr>
          <w:rFonts w:cstheme="minorHAnsi"/>
          <w:color w:val="000000"/>
          <w:lang w:eastAsia="en-AU"/>
        </w:rPr>
        <w:t>charges</w:t>
      </w:r>
      <w:r w:rsidRPr="00B54355">
        <w:rPr>
          <w:rFonts w:cstheme="minorHAnsi"/>
          <w:color w:val="000000"/>
          <w:lang w:eastAsia="en-AU"/>
        </w:rPr>
        <w:t xml:space="preserve"> that apply to Section 90</w:t>
      </w:r>
    </w:p>
    <w:p w14:paraId="2AF02AAD" w14:textId="57B4D890" w:rsidR="00DF18F7" w:rsidRDefault="00DF18F7" w:rsidP="00DF18F7">
      <w:pPr>
        <w:pStyle w:val="ListParagraph"/>
        <w:numPr>
          <w:ilvl w:val="0"/>
          <w:numId w:val="10"/>
        </w:numPr>
        <w:rPr>
          <w:rFonts w:cstheme="minorHAnsi"/>
          <w:color w:val="000000"/>
          <w:lang w:eastAsia="en-AU"/>
        </w:rPr>
      </w:pPr>
      <w:r>
        <w:rPr>
          <w:rFonts w:cstheme="minorHAnsi"/>
          <w:color w:val="000000"/>
          <w:lang w:eastAsia="en-AU"/>
        </w:rPr>
        <w:t>Permission for Section 94 pharmacies to dispense to non</w:t>
      </w:r>
      <w:r w:rsidR="000D3EB7">
        <w:rPr>
          <w:rFonts w:cstheme="minorHAnsi"/>
          <w:color w:val="000000"/>
          <w:lang w:eastAsia="en-AU"/>
        </w:rPr>
        <w:t>-</w:t>
      </w:r>
      <w:r>
        <w:rPr>
          <w:rFonts w:cstheme="minorHAnsi"/>
          <w:color w:val="000000"/>
          <w:lang w:eastAsia="en-AU"/>
        </w:rPr>
        <w:t>inpatients</w:t>
      </w:r>
      <w:r w:rsidR="001C3D34">
        <w:rPr>
          <w:rFonts w:cstheme="minorHAnsi"/>
          <w:color w:val="000000"/>
          <w:lang w:eastAsia="en-AU"/>
        </w:rPr>
        <w:t>,</w:t>
      </w:r>
      <w:r>
        <w:rPr>
          <w:rFonts w:cstheme="minorHAnsi"/>
          <w:color w:val="000000"/>
          <w:lang w:eastAsia="en-AU"/>
        </w:rPr>
        <w:t xml:space="preserve"> thereby supporting continuity of care and reducing risk of readmission</w:t>
      </w:r>
    </w:p>
    <w:p w14:paraId="5AA1FAE6" w14:textId="66351AA9" w:rsidR="00DF18F7" w:rsidRDefault="00DF18F7" w:rsidP="00DF18F7">
      <w:pPr>
        <w:pStyle w:val="ListParagraph"/>
        <w:numPr>
          <w:ilvl w:val="0"/>
          <w:numId w:val="10"/>
        </w:numPr>
        <w:rPr>
          <w:rFonts w:cstheme="minorHAnsi"/>
          <w:color w:val="000000"/>
          <w:lang w:eastAsia="en-AU"/>
        </w:rPr>
      </w:pPr>
      <w:r>
        <w:rPr>
          <w:rFonts w:cstheme="minorHAnsi"/>
          <w:color w:val="000000"/>
          <w:lang w:eastAsia="en-AU"/>
        </w:rPr>
        <w:t>Access to provision of medication review</w:t>
      </w:r>
      <w:r w:rsidR="001C3D34">
        <w:rPr>
          <w:rFonts w:cstheme="minorHAnsi"/>
          <w:color w:val="000000"/>
          <w:lang w:eastAsia="en-AU"/>
        </w:rPr>
        <w:t xml:space="preserve"> funding</w:t>
      </w:r>
      <w:r>
        <w:rPr>
          <w:rFonts w:cstheme="minorHAnsi"/>
          <w:color w:val="000000"/>
          <w:lang w:eastAsia="en-AU"/>
        </w:rPr>
        <w:t xml:space="preserve"> (noting that medication review programs are likely to be reviewed)</w:t>
      </w:r>
    </w:p>
    <w:p w14:paraId="13233169" w14:textId="77777777" w:rsidR="00DF18F7" w:rsidRPr="00B54355" w:rsidRDefault="00DF18F7" w:rsidP="00DF18F7">
      <w:pPr>
        <w:pStyle w:val="ListParagraph"/>
        <w:numPr>
          <w:ilvl w:val="0"/>
          <w:numId w:val="10"/>
        </w:numPr>
        <w:rPr>
          <w:rFonts w:cstheme="minorHAnsi"/>
          <w:color w:val="000000"/>
          <w:lang w:eastAsia="en-AU"/>
        </w:rPr>
      </w:pPr>
      <w:r>
        <w:rPr>
          <w:rFonts w:cstheme="minorHAnsi"/>
          <w:color w:val="000000"/>
          <w:lang w:eastAsia="en-AU"/>
        </w:rPr>
        <w:t xml:space="preserve">Incentives to promote the uptake of </w:t>
      </w:r>
      <w:proofErr w:type="spellStart"/>
      <w:r>
        <w:rPr>
          <w:rFonts w:cstheme="minorHAnsi"/>
          <w:color w:val="000000"/>
          <w:lang w:eastAsia="en-AU"/>
        </w:rPr>
        <w:t>biosimilars</w:t>
      </w:r>
      <w:proofErr w:type="spellEnd"/>
      <w:r>
        <w:rPr>
          <w:rFonts w:cstheme="minorHAnsi"/>
          <w:color w:val="000000"/>
          <w:lang w:eastAsia="en-AU"/>
        </w:rPr>
        <w:t>.</w:t>
      </w:r>
      <w:r w:rsidRPr="00B54355">
        <w:rPr>
          <w:rFonts w:cstheme="minorHAnsi"/>
          <w:color w:val="000000"/>
          <w:lang w:eastAsia="en-AU"/>
        </w:rPr>
        <w:t xml:space="preserve"> </w:t>
      </w:r>
    </w:p>
    <w:p w14:paraId="51DF2928" w14:textId="77777777" w:rsidR="00DF18F7" w:rsidRDefault="00DF18F7" w:rsidP="00DF18F7">
      <w:pPr>
        <w:pStyle w:val="Default"/>
        <w:rPr>
          <w:sz w:val="22"/>
          <w:szCs w:val="22"/>
        </w:rPr>
      </w:pPr>
    </w:p>
    <w:p w14:paraId="0184D8B5" w14:textId="2F9A30A3" w:rsidR="00DF18F7" w:rsidRPr="0097316E" w:rsidRDefault="00DF18F7" w:rsidP="00DF18F7">
      <w:pPr>
        <w:tabs>
          <w:tab w:val="left" w:pos="1932"/>
          <w:tab w:val="left" w:pos="4858"/>
          <w:tab w:val="left" w:pos="7874"/>
          <w:tab w:val="left" w:pos="8955"/>
          <w:tab w:val="left" w:pos="10614"/>
          <w:tab w:val="left" w:pos="10880"/>
          <w:tab w:val="left" w:pos="11146"/>
          <w:tab w:val="left" w:pos="11412"/>
          <w:tab w:val="left" w:pos="11678"/>
        </w:tabs>
        <w:rPr>
          <w:rFonts w:ascii="Calibri" w:hAnsi="Calibri" w:cs="Calibri"/>
          <w:color w:val="000000"/>
          <w:lang w:eastAsia="en-AU"/>
        </w:rPr>
      </w:pPr>
    </w:p>
    <w:p w14:paraId="607A5532" w14:textId="138D3DA4" w:rsidR="00DF18F7" w:rsidRPr="002035F6" w:rsidRDefault="00DF18F7" w:rsidP="00DF18F7">
      <w:pPr>
        <w:pStyle w:val="Heading3"/>
        <w:keepNext w:val="0"/>
        <w:keepLines w:val="0"/>
        <w:numPr>
          <w:ilvl w:val="0"/>
          <w:numId w:val="6"/>
        </w:numPr>
        <w:spacing w:before="0"/>
        <w:contextualSpacing/>
      </w:pPr>
      <w:bookmarkStart w:id="74" w:name="_Toc27494527"/>
      <w:bookmarkStart w:id="75" w:name="_Toc27494724"/>
      <w:r w:rsidRPr="0097316E">
        <w:t>Reduce avoidable hospital readmissions by</w:t>
      </w:r>
      <w:r w:rsidRPr="002035F6">
        <w:t xml:space="preserve"> providing</w:t>
      </w:r>
      <w:r w:rsidRPr="0097316E">
        <w:t xml:space="preserve"> </w:t>
      </w:r>
      <w:r w:rsidR="00C80DC9">
        <w:t xml:space="preserve">insurance </w:t>
      </w:r>
      <w:r w:rsidRPr="0097316E">
        <w:t>cover for patients admitted for day procedures</w:t>
      </w:r>
      <w:r w:rsidR="001C3D34">
        <w:t>,</w:t>
      </w:r>
      <w:r w:rsidRPr="0097316E">
        <w:t xml:space="preserve"> but not stable enough for same-day discharge because of </w:t>
      </w:r>
      <w:r w:rsidR="001C3D34">
        <w:t xml:space="preserve">travel </w:t>
      </w:r>
      <w:r w:rsidRPr="0097316E">
        <w:t>distance</w:t>
      </w:r>
      <w:r w:rsidR="001C3D34">
        <w:t xml:space="preserve"> </w:t>
      </w:r>
      <w:r w:rsidRPr="0097316E">
        <w:t>or lack of home/medical support.</w:t>
      </w:r>
      <w:bookmarkEnd w:id="74"/>
      <w:bookmarkEnd w:id="75"/>
      <w:r w:rsidRPr="0097316E">
        <w:t xml:space="preserve"> </w:t>
      </w:r>
    </w:p>
    <w:p w14:paraId="71FE3C1E" w14:textId="185300C6" w:rsidR="00DF18F7" w:rsidRDefault="004D7169" w:rsidP="00DF18F7">
      <w:pPr>
        <w:ind w:left="720"/>
        <w:rPr>
          <w:rFonts w:ascii="Calibri" w:hAnsi="Calibri" w:cs="Calibri"/>
          <w:color w:val="000000"/>
          <w:lang w:eastAsia="en-AU"/>
        </w:rPr>
      </w:pPr>
      <w:r>
        <w:rPr>
          <w:rFonts w:ascii="Calibri" w:hAnsi="Calibri" w:cs="Calibri"/>
          <w:color w:val="000000"/>
          <w:lang w:eastAsia="en-AU"/>
        </w:rPr>
        <w:br/>
      </w:r>
      <w:r w:rsidR="00DF18F7">
        <w:rPr>
          <w:rFonts w:ascii="Calibri" w:hAnsi="Calibri" w:cs="Calibri"/>
          <w:color w:val="000000"/>
          <w:lang w:eastAsia="en-AU"/>
        </w:rPr>
        <w:t>I</w:t>
      </w:r>
      <w:r w:rsidR="00DF18F7" w:rsidRPr="00214FF6">
        <w:rPr>
          <w:rFonts w:ascii="Calibri" w:hAnsi="Calibri" w:cs="Calibri"/>
          <w:color w:val="000000"/>
          <w:lang w:eastAsia="en-AU"/>
        </w:rPr>
        <w:t>mprovements in technology and surgical technique</w:t>
      </w:r>
      <w:r w:rsidR="00DF18F7">
        <w:rPr>
          <w:rFonts w:ascii="Calibri" w:hAnsi="Calibri" w:cs="Calibri"/>
          <w:color w:val="000000"/>
          <w:lang w:eastAsia="en-AU"/>
        </w:rPr>
        <w:t xml:space="preserve"> have </w:t>
      </w:r>
      <w:r w:rsidR="00DF18F7" w:rsidRPr="00214FF6">
        <w:rPr>
          <w:rFonts w:ascii="Calibri" w:hAnsi="Calibri" w:cs="Calibri"/>
          <w:color w:val="000000"/>
          <w:lang w:eastAsia="en-AU"/>
        </w:rPr>
        <w:t>increase</w:t>
      </w:r>
      <w:r w:rsidR="00DF18F7">
        <w:rPr>
          <w:rFonts w:ascii="Calibri" w:hAnsi="Calibri" w:cs="Calibri"/>
          <w:color w:val="000000"/>
          <w:lang w:eastAsia="en-AU"/>
        </w:rPr>
        <w:t>d</w:t>
      </w:r>
      <w:r w:rsidR="00DF18F7" w:rsidRPr="00214FF6">
        <w:rPr>
          <w:rFonts w:ascii="Calibri" w:hAnsi="Calibri" w:cs="Calibri"/>
          <w:color w:val="000000"/>
          <w:lang w:eastAsia="en-AU"/>
        </w:rPr>
        <w:t xml:space="preserve"> the range of services provided on a day</w:t>
      </w:r>
      <w:r w:rsidR="001C3D34">
        <w:rPr>
          <w:rFonts w:ascii="Calibri" w:hAnsi="Calibri" w:cs="Calibri"/>
          <w:color w:val="000000"/>
          <w:lang w:eastAsia="en-AU"/>
        </w:rPr>
        <w:t>-</w:t>
      </w:r>
      <w:r w:rsidR="00DF18F7" w:rsidRPr="00214FF6">
        <w:rPr>
          <w:rFonts w:ascii="Calibri" w:hAnsi="Calibri" w:cs="Calibri"/>
          <w:color w:val="000000"/>
          <w:lang w:eastAsia="en-AU"/>
        </w:rPr>
        <w:t>admission basis</w:t>
      </w:r>
      <w:r w:rsidR="00DF18F7">
        <w:rPr>
          <w:rFonts w:ascii="Calibri" w:hAnsi="Calibri" w:cs="Calibri"/>
          <w:color w:val="000000"/>
          <w:lang w:eastAsia="en-AU"/>
        </w:rPr>
        <w:t>. T</w:t>
      </w:r>
      <w:r w:rsidR="00DF18F7" w:rsidRPr="00214FF6">
        <w:rPr>
          <w:rFonts w:ascii="Calibri" w:hAnsi="Calibri" w:cs="Calibri"/>
          <w:color w:val="000000"/>
          <w:lang w:eastAsia="en-AU"/>
        </w:rPr>
        <w:t>he number of</w:t>
      </w:r>
      <w:r w:rsidR="001C3D34">
        <w:rPr>
          <w:rFonts w:ascii="Calibri" w:hAnsi="Calibri" w:cs="Calibri"/>
          <w:color w:val="000000"/>
          <w:lang w:eastAsia="en-AU"/>
        </w:rPr>
        <w:t xml:space="preserve"> these</w:t>
      </w:r>
      <w:r w:rsidR="00DF18F7" w:rsidRPr="00214FF6">
        <w:rPr>
          <w:rFonts w:ascii="Calibri" w:hAnsi="Calibri" w:cs="Calibri"/>
          <w:color w:val="000000"/>
          <w:lang w:eastAsia="en-AU"/>
        </w:rPr>
        <w:t xml:space="preserve"> admissions is increasing</w:t>
      </w:r>
      <w:r w:rsidR="00DF18F7">
        <w:rPr>
          <w:rFonts w:ascii="Calibri" w:hAnsi="Calibri" w:cs="Calibri"/>
          <w:color w:val="000000"/>
          <w:lang w:eastAsia="en-AU"/>
        </w:rPr>
        <w:t xml:space="preserve">. </w:t>
      </w:r>
      <w:r w:rsidR="00DF18F7" w:rsidRPr="00214FF6">
        <w:rPr>
          <w:rFonts w:ascii="Calibri" w:hAnsi="Calibri" w:cs="Calibri"/>
          <w:color w:val="000000"/>
          <w:lang w:eastAsia="en-AU"/>
        </w:rPr>
        <w:t xml:space="preserve">This trend reduces the cost of such procedures </w:t>
      </w:r>
      <w:r w:rsidR="00DF18F7">
        <w:rPr>
          <w:rFonts w:ascii="Calibri" w:hAnsi="Calibri" w:cs="Calibri"/>
          <w:color w:val="000000"/>
          <w:lang w:eastAsia="en-AU"/>
        </w:rPr>
        <w:t>and is incentivised by the Private Health Insurance Rules</w:t>
      </w:r>
      <w:r w:rsidR="001C3D34">
        <w:rPr>
          <w:rFonts w:ascii="Calibri" w:hAnsi="Calibri" w:cs="Calibri"/>
          <w:color w:val="000000"/>
          <w:lang w:eastAsia="en-AU"/>
        </w:rPr>
        <w:t xml:space="preserve"> t</w:t>
      </w:r>
      <w:r w:rsidR="00DF18F7">
        <w:rPr>
          <w:rFonts w:ascii="Calibri" w:hAnsi="Calibri" w:cs="Calibri"/>
          <w:color w:val="000000"/>
          <w:lang w:eastAsia="en-AU"/>
        </w:rPr>
        <w:t>h</w:t>
      </w:r>
      <w:r w:rsidR="001C3D34">
        <w:rPr>
          <w:rFonts w:ascii="Calibri" w:hAnsi="Calibri" w:cs="Calibri"/>
          <w:color w:val="000000"/>
          <w:lang w:eastAsia="en-AU"/>
        </w:rPr>
        <w:t>at</w:t>
      </w:r>
      <w:r w:rsidR="00DF18F7">
        <w:rPr>
          <w:rFonts w:ascii="Calibri" w:hAnsi="Calibri" w:cs="Calibri"/>
          <w:color w:val="000000"/>
          <w:lang w:eastAsia="en-AU"/>
        </w:rPr>
        <w:t xml:space="preserve"> classify specific MBS items as day procedures or procedures that do not usually require a hospital admission.</w:t>
      </w:r>
    </w:p>
    <w:p w14:paraId="13A6B15D" w14:textId="77777777" w:rsidR="00350432" w:rsidRDefault="00350432" w:rsidP="00DF18F7">
      <w:pPr>
        <w:ind w:left="720"/>
        <w:rPr>
          <w:rFonts w:ascii="Calibri" w:hAnsi="Calibri" w:cs="Calibri"/>
          <w:color w:val="000000"/>
          <w:lang w:eastAsia="en-AU"/>
        </w:rPr>
      </w:pPr>
    </w:p>
    <w:p w14:paraId="7EF5A45C" w14:textId="02F461BD" w:rsidR="00DF18F7" w:rsidRDefault="00DF18F7" w:rsidP="00DF18F7">
      <w:pPr>
        <w:ind w:left="720"/>
        <w:rPr>
          <w:rFonts w:ascii="Calibri" w:hAnsi="Calibri" w:cs="Calibri"/>
          <w:color w:val="000000"/>
          <w:lang w:eastAsia="en-AU"/>
        </w:rPr>
      </w:pPr>
      <w:r>
        <w:rPr>
          <w:rFonts w:ascii="Calibri" w:hAnsi="Calibri" w:cs="Calibri"/>
          <w:color w:val="000000"/>
          <w:lang w:eastAsia="en-AU"/>
        </w:rPr>
        <w:t xml:space="preserve">Although the Rules </w:t>
      </w:r>
      <w:r w:rsidR="001C3D34">
        <w:rPr>
          <w:rFonts w:ascii="Calibri" w:hAnsi="Calibri" w:cs="Calibri"/>
          <w:color w:val="000000"/>
          <w:lang w:eastAsia="en-AU"/>
        </w:rPr>
        <w:t xml:space="preserve">provide </w:t>
      </w:r>
      <w:r>
        <w:rPr>
          <w:rFonts w:ascii="Calibri" w:hAnsi="Calibri" w:cs="Calibri"/>
          <w:color w:val="000000"/>
          <w:lang w:eastAsia="en-AU"/>
        </w:rPr>
        <w:t>for certification where there is a clinical reaso</w:t>
      </w:r>
      <w:r w:rsidR="001C3D34">
        <w:rPr>
          <w:rFonts w:ascii="Calibri" w:hAnsi="Calibri" w:cs="Calibri"/>
          <w:color w:val="000000"/>
          <w:lang w:eastAsia="en-AU"/>
        </w:rPr>
        <w:t>n</w:t>
      </w:r>
      <w:r>
        <w:rPr>
          <w:rFonts w:ascii="Calibri" w:hAnsi="Calibri" w:cs="Calibri"/>
          <w:color w:val="000000"/>
          <w:lang w:eastAsia="en-AU"/>
        </w:rPr>
        <w:t xml:space="preserve"> the patient needs to be admitted on an overnight basis, there is no recognition of patients who would be ready for discharge but are not well enough to travel </w:t>
      </w:r>
      <w:r w:rsidR="003B2457">
        <w:rPr>
          <w:rFonts w:ascii="Calibri" w:hAnsi="Calibri" w:cs="Calibri"/>
          <w:color w:val="000000"/>
          <w:lang w:eastAsia="en-AU"/>
        </w:rPr>
        <w:t xml:space="preserve">long distances </w:t>
      </w:r>
      <w:r>
        <w:rPr>
          <w:rFonts w:ascii="Calibri" w:hAnsi="Calibri" w:cs="Calibri"/>
          <w:color w:val="000000"/>
          <w:lang w:eastAsia="en-AU"/>
        </w:rPr>
        <w:t>or lack home/medical support.</w:t>
      </w:r>
    </w:p>
    <w:p w14:paraId="6C37626F" w14:textId="77777777" w:rsidR="00350432" w:rsidRDefault="00350432" w:rsidP="00DF18F7">
      <w:pPr>
        <w:ind w:left="720"/>
        <w:rPr>
          <w:rFonts w:ascii="Calibri" w:hAnsi="Calibri" w:cs="Calibri"/>
          <w:color w:val="000000"/>
          <w:lang w:eastAsia="en-AU"/>
        </w:rPr>
      </w:pPr>
    </w:p>
    <w:p w14:paraId="5300B0F0" w14:textId="15FA206F" w:rsidR="00DF18F7" w:rsidRDefault="00DF18F7" w:rsidP="00DF18F7">
      <w:pPr>
        <w:ind w:left="720"/>
        <w:rPr>
          <w:rFonts w:ascii="Calibri" w:hAnsi="Calibri" w:cs="Calibri"/>
          <w:color w:val="000000"/>
          <w:lang w:eastAsia="en-AU"/>
        </w:rPr>
      </w:pPr>
      <w:r>
        <w:rPr>
          <w:rFonts w:ascii="Calibri" w:hAnsi="Calibri" w:cs="Calibri"/>
          <w:color w:val="000000"/>
          <w:lang w:eastAsia="en-AU"/>
        </w:rPr>
        <w:t xml:space="preserve">Amendment of the Rules to allow for overnight admission of </w:t>
      </w:r>
      <w:r w:rsidR="001C3D34">
        <w:rPr>
          <w:rFonts w:ascii="Calibri" w:hAnsi="Calibri" w:cs="Calibri"/>
          <w:color w:val="000000"/>
          <w:lang w:eastAsia="en-AU"/>
        </w:rPr>
        <w:t>these</w:t>
      </w:r>
      <w:r>
        <w:rPr>
          <w:rFonts w:ascii="Calibri" w:hAnsi="Calibri" w:cs="Calibri"/>
          <w:color w:val="000000"/>
          <w:lang w:eastAsia="en-AU"/>
        </w:rPr>
        <w:t xml:space="preserve"> cases would reduce the risk of readmissions and improve patient safety. </w:t>
      </w:r>
    </w:p>
    <w:p w14:paraId="1C751EFC" w14:textId="77777777" w:rsidR="00350432" w:rsidRDefault="00350432" w:rsidP="00DF18F7">
      <w:pPr>
        <w:ind w:left="720"/>
        <w:rPr>
          <w:rFonts w:ascii="Calibri" w:hAnsi="Calibri" w:cs="Calibri"/>
          <w:color w:val="000000"/>
          <w:lang w:eastAsia="en-AU"/>
        </w:rPr>
      </w:pPr>
    </w:p>
    <w:p w14:paraId="463DD32B" w14:textId="0E0BD777" w:rsidR="00DF18F7" w:rsidRPr="004D7169" w:rsidRDefault="00DF18F7" w:rsidP="00BD6F09">
      <w:pPr>
        <w:pStyle w:val="Heading3"/>
        <w:keepNext w:val="0"/>
        <w:keepLines w:val="0"/>
        <w:numPr>
          <w:ilvl w:val="0"/>
          <w:numId w:val="6"/>
        </w:numPr>
        <w:spacing w:before="0"/>
        <w:contextualSpacing/>
        <w:rPr>
          <w:rFonts w:ascii="Calibri" w:hAnsi="Calibri" w:cs="Calibri"/>
          <w:color w:val="000000"/>
          <w:lang w:eastAsia="en-AU"/>
        </w:rPr>
      </w:pPr>
      <w:bookmarkStart w:id="76" w:name="_Toc27494528"/>
      <w:bookmarkStart w:id="77" w:name="_Toc27494725"/>
      <w:r w:rsidRPr="002035F6">
        <w:t>Remov</w:t>
      </w:r>
      <w:r>
        <w:t>e</w:t>
      </w:r>
      <w:r w:rsidRPr="002035F6">
        <w:t xml:space="preserve"> barriers to consumer</w:t>
      </w:r>
      <w:r w:rsidR="001C3D34">
        <w:t>-</w:t>
      </w:r>
      <w:r w:rsidRPr="002035F6">
        <w:t>centred models of care by introducing a default benefit for day /community based/home</w:t>
      </w:r>
      <w:r w:rsidR="00C84F09">
        <w:t>-</w:t>
      </w:r>
      <w:r w:rsidRPr="002035F6">
        <w:t>based programs for rehabilitation, mental health and palliative care that reduce the risk of hospital readmission.</w:t>
      </w:r>
      <w:bookmarkEnd w:id="76"/>
      <w:bookmarkEnd w:id="77"/>
      <w:r w:rsidR="004D7169">
        <w:br/>
      </w:r>
    </w:p>
    <w:p w14:paraId="0574F77A" w14:textId="5E193204" w:rsidR="00DF18F7" w:rsidRDefault="00DF18F7" w:rsidP="00DF18F7">
      <w:pPr>
        <w:ind w:left="720"/>
        <w:rPr>
          <w:rFonts w:ascii="Calibri" w:hAnsi="Calibri" w:cs="Calibri"/>
          <w:color w:val="000000"/>
          <w:lang w:eastAsia="en-AU"/>
        </w:rPr>
      </w:pPr>
      <w:r>
        <w:rPr>
          <w:rFonts w:ascii="Calibri" w:hAnsi="Calibri" w:cs="Calibri"/>
          <w:color w:val="000000"/>
          <w:lang w:eastAsia="en-AU"/>
        </w:rPr>
        <w:t>Consumer</w:t>
      </w:r>
      <w:r w:rsidR="001C3D34">
        <w:rPr>
          <w:rFonts w:ascii="Calibri" w:hAnsi="Calibri" w:cs="Calibri"/>
          <w:color w:val="000000"/>
          <w:lang w:eastAsia="en-AU"/>
        </w:rPr>
        <w:t>-</w:t>
      </w:r>
      <w:r>
        <w:rPr>
          <w:rFonts w:ascii="Calibri" w:hAnsi="Calibri" w:cs="Calibri"/>
          <w:color w:val="000000"/>
          <w:lang w:eastAsia="en-AU"/>
        </w:rPr>
        <w:t>centred care involves the delivery of care in the most appropriate setting. Existing private health insurance regulations already recognise hospital services can include services provided in the community or home</w:t>
      </w:r>
      <w:r w:rsidR="001C3D34">
        <w:rPr>
          <w:rFonts w:ascii="Calibri" w:hAnsi="Calibri" w:cs="Calibri"/>
          <w:color w:val="000000"/>
          <w:lang w:eastAsia="en-AU"/>
        </w:rPr>
        <w:t>. H</w:t>
      </w:r>
      <w:r>
        <w:rPr>
          <w:rFonts w:ascii="Calibri" w:hAnsi="Calibri" w:cs="Calibri"/>
          <w:color w:val="000000"/>
          <w:lang w:eastAsia="en-AU"/>
        </w:rPr>
        <w:t>owever</w:t>
      </w:r>
      <w:r w:rsidR="001C3D34">
        <w:rPr>
          <w:rFonts w:ascii="Calibri" w:hAnsi="Calibri" w:cs="Calibri"/>
          <w:color w:val="000000"/>
          <w:lang w:eastAsia="en-AU"/>
        </w:rPr>
        <w:t>,</w:t>
      </w:r>
      <w:r>
        <w:rPr>
          <w:rFonts w:ascii="Calibri" w:hAnsi="Calibri" w:cs="Calibri"/>
          <w:color w:val="000000"/>
          <w:lang w:eastAsia="en-AU"/>
        </w:rPr>
        <w:t xml:space="preserve"> the expansion of such services </w:t>
      </w:r>
      <w:r w:rsidR="001C3D34">
        <w:rPr>
          <w:rFonts w:ascii="Calibri" w:hAnsi="Calibri" w:cs="Calibri"/>
          <w:color w:val="000000"/>
          <w:lang w:eastAsia="en-AU"/>
        </w:rPr>
        <w:t>is</w:t>
      </w:r>
      <w:r>
        <w:rPr>
          <w:rFonts w:ascii="Calibri" w:hAnsi="Calibri" w:cs="Calibri"/>
          <w:color w:val="000000"/>
          <w:lang w:eastAsia="en-AU"/>
        </w:rPr>
        <w:t xml:space="preserve"> impeded by a lack of support from private health insurers.</w:t>
      </w:r>
    </w:p>
    <w:p w14:paraId="2F24E7D5" w14:textId="77777777" w:rsidR="00350432" w:rsidRDefault="00350432" w:rsidP="00DF18F7">
      <w:pPr>
        <w:ind w:left="720"/>
        <w:rPr>
          <w:rFonts w:ascii="Calibri" w:hAnsi="Calibri" w:cs="Calibri"/>
          <w:color w:val="000000"/>
          <w:lang w:eastAsia="en-AU"/>
        </w:rPr>
      </w:pPr>
    </w:p>
    <w:p w14:paraId="6B54DEA1" w14:textId="3152A6BA" w:rsidR="00301CC3" w:rsidRDefault="001A56C0" w:rsidP="001A56C0">
      <w:pPr>
        <w:ind w:left="720"/>
        <w:rPr>
          <w:rFonts w:ascii="Calibri" w:hAnsi="Calibri" w:cs="Calibri"/>
          <w:color w:val="000000"/>
          <w:lang w:eastAsia="en-AU"/>
        </w:rPr>
      </w:pPr>
      <w:r w:rsidRPr="001A56C0">
        <w:rPr>
          <w:rFonts w:ascii="Calibri" w:hAnsi="Calibri" w:cs="Calibri"/>
          <w:color w:val="000000"/>
          <w:lang w:eastAsia="en-AU"/>
        </w:rPr>
        <w:t xml:space="preserve">The Department of Health’s Private Hospital Data Bureau </w:t>
      </w:r>
      <w:r w:rsidR="00350432">
        <w:rPr>
          <w:rFonts w:ascii="Calibri" w:hAnsi="Calibri" w:cs="Calibri"/>
          <w:color w:val="000000"/>
          <w:lang w:eastAsia="en-AU"/>
        </w:rPr>
        <w:t xml:space="preserve">(PHDB) </w:t>
      </w:r>
      <w:r w:rsidRPr="001A56C0">
        <w:rPr>
          <w:rFonts w:ascii="Calibri" w:hAnsi="Calibri" w:cs="Calibri"/>
          <w:color w:val="000000"/>
          <w:lang w:eastAsia="en-AU"/>
        </w:rPr>
        <w:t xml:space="preserve">reports that 74,209 </w:t>
      </w:r>
      <w:r w:rsidR="00112FC2">
        <w:rPr>
          <w:rFonts w:ascii="Calibri" w:hAnsi="Calibri" w:cs="Calibri"/>
          <w:color w:val="000000"/>
          <w:lang w:eastAsia="en-AU"/>
        </w:rPr>
        <w:t>s</w:t>
      </w:r>
      <w:r w:rsidRPr="001A56C0">
        <w:rPr>
          <w:rFonts w:ascii="Calibri" w:hAnsi="Calibri" w:cs="Calibri"/>
          <w:color w:val="000000"/>
          <w:lang w:eastAsia="en-AU"/>
        </w:rPr>
        <w:t>eparations involving a charge for hospital</w:t>
      </w:r>
      <w:r w:rsidR="00112FC2">
        <w:rPr>
          <w:rFonts w:ascii="Calibri" w:hAnsi="Calibri" w:cs="Calibri"/>
          <w:color w:val="000000"/>
          <w:lang w:eastAsia="en-AU"/>
        </w:rPr>
        <w:t>-</w:t>
      </w:r>
      <w:r w:rsidRPr="001A56C0">
        <w:rPr>
          <w:rFonts w:ascii="Calibri" w:hAnsi="Calibri" w:cs="Calibri"/>
          <w:color w:val="000000"/>
          <w:lang w:eastAsia="en-AU"/>
        </w:rPr>
        <w:t>in</w:t>
      </w:r>
      <w:r w:rsidR="00112FC2">
        <w:rPr>
          <w:rFonts w:ascii="Calibri" w:hAnsi="Calibri" w:cs="Calibri"/>
          <w:color w:val="000000"/>
          <w:lang w:eastAsia="en-AU"/>
        </w:rPr>
        <w:t>-</w:t>
      </w:r>
      <w:r w:rsidRPr="001A56C0">
        <w:rPr>
          <w:rFonts w:ascii="Calibri" w:hAnsi="Calibri" w:cs="Calibri"/>
          <w:color w:val="000000"/>
          <w:lang w:eastAsia="en-AU"/>
        </w:rPr>
        <w:t>the</w:t>
      </w:r>
      <w:r w:rsidR="00112FC2">
        <w:rPr>
          <w:rFonts w:ascii="Calibri" w:hAnsi="Calibri" w:cs="Calibri"/>
          <w:color w:val="000000"/>
          <w:lang w:eastAsia="en-AU"/>
        </w:rPr>
        <w:t>-</w:t>
      </w:r>
      <w:r w:rsidRPr="001A56C0">
        <w:rPr>
          <w:rFonts w:ascii="Calibri" w:hAnsi="Calibri" w:cs="Calibri"/>
          <w:color w:val="000000"/>
          <w:lang w:eastAsia="en-AU"/>
        </w:rPr>
        <w:t>home care were delivered in 2017-18</w:t>
      </w:r>
      <w:r w:rsidR="000D3EB7">
        <w:rPr>
          <w:rFonts w:ascii="Calibri" w:hAnsi="Calibri" w:cs="Calibri"/>
          <w:color w:val="000000"/>
          <w:lang w:eastAsia="en-AU"/>
        </w:rPr>
        <w:t xml:space="preserve">. </w:t>
      </w:r>
      <w:r w:rsidRPr="001A56C0">
        <w:rPr>
          <w:rFonts w:ascii="Calibri" w:hAnsi="Calibri" w:cs="Calibri"/>
          <w:color w:val="000000"/>
          <w:lang w:eastAsia="en-AU"/>
        </w:rPr>
        <w:t>According to th</w:t>
      </w:r>
      <w:r w:rsidR="00112FC2">
        <w:rPr>
          <w:rFonts w:ascii="Calibri" w:hAnsi="Calibri" w:cs="Calibri"/>
          <w:color w:val="000000"/>
          <w:lang w:eastAsia="en-AU"/>
        </w:rPr>
        <w:t>e</w:t>
      </w:r>
      <w:r w:rsidRPr="001A56C0">
        <w:rPr>
          <w:rFonts w:ascii="Calibri" w:hAnsi="Calibri" w:cs="Calibri"/>
          <w:color w:val="000000"/>
          <w:lang w:eastAsia="en-AU"/>
        </w:rPr>
        <w:t xml:space="preserve"> same source, these separations account for 1.7</w:t>
      </w:r>
      <w:r w:rsidR="002842B6">
        <w:rPr>
          <w:rFonts w:ascii="Calibri" w:hAnsi="Calibri" w:cs="Calibri"/>
          <w:color w:val="000000"/>
          <w:lang w:eastAsia="en-AU"/>
        </w:rPr>
        <w:t xml:space="preserve"> percent</w:t>
      </w:r>
      <w:r w:rsidRPr="001A56C0">
        <w:rPr>
          <w:rFonts w:ascii="Calibri" w:hAnsi="Calibri" w:cs="Calibri"/>
          <w:color w:val="000000"/>
          <w:lang w:eastAsia="en-AU"/>
        </w:rPr>
        <w:t xml:space="preserve"> of all </w:t>
      </w:r>
      <w:r w:rsidR="00112FC2">
        <w:rPr>
          <w:rFonts w:ascii="Calibri" w:hAnsi="Calibri" w:cs="Calibri"/>
          <w:color w:val="000000"/>
          <w:lang w:eastAsia="en-AU"/>
        </w:rPr>
        <w:t>those</w:t>
      </w:r>
      <w:r w:rsidR="00112FC2" w:rsidRPr="001A56C0">
        <w:rPr>
          <w:rFonts w:ascii="Calibri" w:hAnsi="Calibri" w:cs="Calibri"/>
          <w:color w:val="000000"/>
          <w:lang w:eastAsia="en-AU"/>
        </w:rPr>
        <w:t xml:space="preserve"> </w:t>
      </w:r>
      <w:r w:rsidRPr="001A56C0">
        <w:rPr>
          <w:rFonts w:ascii="Calibri" w:hAnsi="Calibri" w:cs="Calibri"/>
          <w:color w:val="000000"/>
          <w:lang w:eastAsia="en-AU"/>
        </w:rPr>
        <w:t xml:space="preserve">delivered that year. </w:t>
      </w:r>
      <w:r w:rsidR="00301CC3" w:rsidRPr="001A56C0">
        <w:rPr>
          <w:rFonts w:ascii="Calibri" w:hAnsi="Calibri" w:cs="Calibri"/>
          <w:color w:val="000000"/>
          <w:lang w:eastAsia="en-AU"/>
        </w:rPr>
        <w:t xml:space="preserve">According to the Department of Health’s Hospital </w:t>
      </w:r>
      <w:proofErr w:type="spellStart"/>
      <w:r w:rsidR="00301CC3" w:rsidRPr="001A56C0">
        <w:rPr>
          <w:rFonts w:ascii="Calibri" w:hAnsi="Calibri" w:cs="Calibri"/>
          <w:color w:val="000000"/>
          <w:lang w:eastAsia="en-AU"/>
        </w:rPr>
        <w:t>Casemix</w:t>
      </w:r>
      <w:proofErr w:type="spellEnd"/>
      <w:r w:rsidR="00301CC3" w:rsidRPr="001A56C0">
        <w:rPr>
          <w:rFonts w:ascii="Calibri" w:hAnsi="Calibri" w:cs="Calibri"/>
          <w:color w:val="000000"/>
          <w:lang w:eastAsia="en-AU"/>
        </w:rPr>
        <w:t xml:space="preserve"> Protocol Annual Report for 2017-18, 25,565 private sector hospital</w:t>
      </w:r>
      <w:r w:rsidR="00112FC2">
        <w:rPr>
          <w:rFonts w:ascii="Calibri" w:hAnsi="Calibri" w:cs="Calibri"/>
          <w:color w:val="000000"/>
          <w:lang w:eastAsia="en-AU"/>
        </w:rPr>
        <w:t>-i</w:t>
      </w:r>
      <w:r w:rsidR="00301CC3" w:rsidRPr="001A56C0">
        <w:rPr>
          <w:rFonts w:ascii="Calibri" w:hAnsi="Calibri" w:cs="Calibri"/>
          <w:color w:val="000000"/>
          <w:lang w:eastAsia="en-AU"/>
        </w:rPr>
        <w:t>n</w:t>
      </w:r>
      <w:r w:rsidR="00112FC2">
        <w:rPr>
          <w:rFonts w:ascii="Calibri" w:hAnsi="Calibri" w:cs="Calibri"/>
          <w:color w:val="000000"/>
          <w:lang w:eastAsia="en-AU"/>
        </w:rPr>
        <w:t>-</w:t>
      </w:r>
      <w:r w:rsidR="00301CC3" w:rsidRPr="001A56C0">
        <w:rPr>
          <w:rFonts w:ascii="Calibri" w:hAnsi="Calibri" w:cs="Calibri"/>
          <w:color w:val="000000"/>
          <w:lang w:eastAsia="en-AU"/>
        </w:rPr>
        <w:t>the</w:t>
      </w:r>
      <w:r w:rsidR="00112FC2">
        <w:rPr>
          <w:rFonts w:ascii="Calibri" w:hAnsi="Calibri" w:cs="Calibri"/>
          <w:color w:val="000000"/>
          <w:lang w:eastAsia="en-AU"/>
        </w:rPr>
        <w:t>-</w:t>
      </w:r>
      <w:r w:rsidR="00301CC3" w:rsidRPr="001A56C0">
        <w:rPr>
          <w:rFonts w:ascii="Calibri" w:hAnsi="Calibri" w:cs="Calibri"/>
          <w:color w:val="000000"/>
          <w:lang w:eastAsia="en-AU"/>
        </w:rPr>
        <w:t xml:space="preserve">home separations </w:t>
      </w:r>
      <w:r w:rsidRPr="001A56C0">
        <w:rPr>
          <w:rFonts w:ascii="Calibri" w:hAnsi="Calibri" w:cs="Calibri"/>
          <w:color w:val="000000"/>
          <w:lang w:eastAsia="en-AU"/>
        </w:rPr>
        <w:t>were funded through private health insurance</w:t>
      </w:r>
      <w:r>
        <w:rPr>
          <w:rFonts w:ascii="Calibri" w:hAnsi="Calibri" w:cs="Calibri"/>
          <w:color w:val="000000"/>
          <w:lang w:eastAsia="en-AU"/>
        </w:rPr>
        <w:t>,</w:t>
      </w:r>
      <w:r w:rsidRPr="001A56C0">
        <w:rPr>
          <w:rFonts w:ascii="Calibri" w:hAnsi="Calibri" w:cs="Calibri"/>
          <w:color w:val="000000"/>
          <w:lang w:eastAsia="en-AU"/>
        </w:rPr>
        <w:t xml:space="preserve"> </w:t>
      </w:r>
      <w:r w:rsidR="00301CC3" w:rsidRPr="001A56C0">
        <w:rPr>
          <w:rFonts w:ascii="Calibri" w:hAnsi="Calibri" w:cs="Calibri"/>
          <w:color w:val="000000"/>
          <w:lang w:eastAsia="en-AU"/>
        </w:rPr>
        <w:t xml:space="preserve">just over a third of the private sector </w:t>
      </w:r>
      <w:r w:rsidR="003B2457">
        <w:rPr>
          <w:rFonts w:ascii="Calibri" w:hAnsi="Calibri" w:cs="Calibri"/>
          <w:color w:val="000000"/>
          <w:lang w:eastAsia="en-AU"/>
        </w:rPr>
        <w:t>hospital-in-the-home</w:t>
      </w:r>
      <w:r w:rsidR="003B2457" w:rsidRPr="001A56C0">
        <w:rPr>
          <w:rFonts w:ascii="Calibri" w:hAnsi="Calibri" w:cs="Calibri"/>
          <w:color w:val="000000"/>
          <w:lang w:eastAsia="en-AU"/>
        </w:rPr>
        <w:t xml:space="preserve"> </w:t>
      </w:r>
      <w:r w:rsidR="00301CC3" w:rsidRPr="001A56C0">
        <w:rPr>
          <w:rFonts w:ascii="Calibri" w:hAnsi="Calibri" w:cs="Calibri"/>
          <w:color w:val="000000"/>
          <w:lang w:eastAsia="en-AU"/>
        </w:rPr>
        <w:t>separations reported by the PHDB.</w:t>
      </w:r>
    </w:p>
    <w:p w14:paraId="411BB4A6" w14:textId="77777777" w:rsidR="00350432" w:rsidRPr="001A56C0" w:rsidRDefault="00350432" w:rsidP="001A56C0">
      <w:pPr>
        <w:ind w:left="720"/>
        <w:rPr>
          <w:rFonts w:ascii="Calibri" w:hAnsi="Calibri" w:cs="Calibri"/>
          <w:color w:val="000000"/>
          <w:lang w:eastAsia="en-AU"/>
        </w:rPr>
      </w:pPr>
    </w:p>
    <w:p w14:paraId="2966D6FB" w14:textId="5F1957F2" w:rsidR="00301CC3" w:rsidRDefault="00301CC3" w:rsidP="00301CC3">
      <w:pPr>
        <w:ind w:left="720"/>
      </w:pPr>
      <w:r>
        <w:t>Although this type of service has been increasing, it is still only a tiny proportion of the services delivered by private hospitals and the contribution of private health insurance to funding such services remains minute.</w:t>
      </w:r>
      <w:r w:rsidR="001A56C0">
        <w:t xml:space="preserve"> Hospital</w:t>
      </w:r>
      <w:r w:rsidR="00112FC2">
        <w:t>-</w:t>
      </w:r>
      <w:r w:rsidR="001A56C0">
        <w:t>in</w:t>
      </w:r>
      <w:r w:rsidR="00112FC2">
        <w:t>-</w:t>
      </w:r>
      <w:r w:rsidR="001A56C0">
        <w:t>the</w:t>
      </w:r>
      <w:r w:rsidR="00112FC2">
        <w:t>-</w:t>
      </w:r>
      <w:r w:rsidR="001A56C0">
        <w:t>home services and other outreach services have many potential benefits for patients, particularly in relation to mental health, rehabilitation and palliative care.</w:t>
      </w:r>
    </w:p>
    <w:p w14:paraId="0B537F00" w14:textId="77777777" w:rsidR="00350432" w:rsidRDefault="00350432" w:rsidP="00301CC3">
      <w:pPr>
        <w:ind w:left="720"/>
        <w:rPr>
          <w:rFonts w:ascii="Calibri" w:hAnsi="Calibri" w:cs="Calibri"/>
          <w:color w:val="000000"/>
          <w:lang w:eastAsia="en-AU"/>
        </w:rPr>
      </w:pPr>
    </w:p>
    <w:p w14:paraId="7C9D3BA7" w14:textId="25057EFB" w:rsidR="001A56C0" w:rsidRDefault="00DF18F7" w:rsidP="00DF18F7">
      <w:pPr>
        <w:ind w:left="720"/>
        <w:rPr>
          <w:rFonts w:ascii="Calibri" w:hAnsi="Calibri" w:cs="Calibri"/>
          <w:color w:val="000000"/>
          <w:lang w:eastAsia="en-AU"/>
        </w:rPr>
      </w:pPr>
      <w:r>
        <w:rPr>
          <w:rFonts w:ascii="Calibri" w:hAnsi="Calibri" w:cs="Calibri"/>
          <w:color w:val="000000"/>
          <w:lang w:eastAsia="en-AU"/>
        </w:rPr>
        <w:t xml:space="preserve">Unlike admitted hospital care, there is no provision for minimum default benefits for day programs </w:t>
      </w:r>
      <w:r w:rsidR="001A56C0">
        <w:rPr>
          <w:rFonts w:ascii="Calibri" w:hAnsi="Calibri" w:cs="Calibri"/>
          <w:color w:val="000000"/>
          <w:lang w:eastAsia="en-AU"/>
        </w:rPr>
        <w:t xml:space="preserve">or home-based services </w:t>
      </w:r>
      <w:r>
        <w:rPr>
          <w:rFonts w:ascii="Calibri" w:hAnsi="Calibri" w:cs="Calibri"/>
          <w:color w:val="000000"/>
          <w:lang w:eastAsia="en-AU"/>
        </w:rPr>
        <w:t xml:space="preserve">in mental health, rehabilitation and palliative care. Consequently, consumers can only access these programs if their insurer has contracted with the hospital to cover them. </w:t>
      </w:r>
    </w:p>
    <w:p w14:paraId="332C6D37" w14:textId="77777777" w:rsidR="00350432" w:rsidRDefault="00350432" w:rsidP="00DF18F7">
      <w:pPr>
        <w:ind w:left="720"/>
        <w:rPr>
          <w:rFonts w:ascii="Calibri" w:hAnsi="Calibri" w:cs="Calibri"/>
          <w:color w:val="000000"/>
          <w:lang w:eastAsia="en-AU"/>
        </w:rPr>
      </w:pPr>
    </w:p>
    <w:p w14:paraId="7952D3A0" w14:textId="64F9214D" w:rsidR="00DF18F7" w:rsidRDefault="00DF18F7" w:rsidP="00DF18F7">
      <w:pPr>
        <w:ind w:left="720"/>
        <w:rPr>
          <w:rFonts w:ascii="Calibri" w:hAnsi="Calibri" w:cs="Calibri"/>
          <w:color w:val="000000"/>
          <w:lang w:eastAsia="en-AU"/>
        </w:rPr>
      </w:pPr>
      <w:r>
        <w:rPr>
          <w:rFonts w:ascii="Calibri" w:hAnsi="Calibri" w:cs="Calibri"/>
          <w:color w:val="000000"/>
          <w:lang w:eastAsia="en-AU"/>
        </w:rPr>
        <w:t>Even when hospitals have put forward evidence-based proposals</w:t>
      </w:r>
      <w:r w:rsidR="001A56C0">
        <w:rPr>
          <w:rFonts w:ascii="Calibri" w:hAnsi="Calibri" w:cs="Calibri"/>
          <w:color w:val="000000"/>
          <w:lang w:eastAsia="en-AU"/>
        </w:rPr>
        <w:t xml:space="preserve"> for outreach and home-based programs </w:t>
      </w:r>
      <w:r>
        <w:rPr>
          <w:rFonts w:ascii="Calibri" w:hAnsi="Calibri" w:cs="Calibri"/>
          <w:color w:val="000000"/>
          <w:lang w:eastAsia="en-AU"/>
        </w:rPr>
        <w:t>and participated in trial</w:t>
      </w:r>
      <w:r w:rsidR="001A56C0">
        <w:rPr>
          <w:rFonts w:ascii="Calibri" w:hAnsi="Calibri" w:cs="Calibri"/>
          <w:color w:val="000000"/>
          <w:lang w:eastAsia="en-AU"/>
        </w:rPr>
        <w:t>s</w:t>
      </w:r>
      <w:r>
        <w:rPr>
          <w:rFonts w:ascii="Calibri" w:hAnsi="Calibri" w:cs="Calibri"/>
          <w:color w:val="000000"/>
          <w:lang w:eastAsia="en-AU"/>
        </w:rPr>
        <w:t>, these trials have not translated into ongoing programs because of lack of financial support</w:t>
      </w:r>
      <w:r w:rsidR="00C80DC9">
        <w:rPr>
          <w:rFonts w:ascii="Calibri" w:hAnsi="Calibri" w:cs="Calibri"/>
          <w:color w:val="000000"/>
          <w:lang w:eastAsia="en-AU"/>
        </w:rPr>
        <w:t xml:space="preserve"> from health insurers</w:t>
      </w:r>
      <w:r>
        <w:rPr>
          <w:rFonts w:ascii="Calibri" w:hAnsi="Calibri" w:cs="Calibri"/>
          <w:color w:val="000000"/>
          <w:lang w:eastAsia="en-AU"/>
        </w:rPr>
        <w:t xml:space="preserve">. </w:t>
      </w:r>
    </w:p>
    <w:p w14:paraId="3ADE9268" w14:textId="77777777" w:rsidR="00350432" w:rsidRDefault="00350432" w:rsidP="00DF18F7">
      <w:pPr>
        <w:ind w:left="720"/>
        <w:rPr>
          <w:rFonts w:ascii="Calibri" w:hAnsi="Calibri" w:cs="Calibri"/>
          <w:color w:val="000000"/>
          <w:lang w:eastAsia="en-AU"/>
        </w:rPr>
      </w:pPr>
    </w:p>
    <w:p w14:paraId="485EF1AD" w14:textId="08311C0E" w:rsidR="00DF18F7" w:rsidRDefault="00DF18F7" w:rsidP="00DF18F7">
      <w:pPr>
        <w:ind w:left="720"/>
        <w:rPr>
          <w:rFonts w:ascii="Calibri" w:hAnsi="Calibri" w:cs="Calibri"/>
          <w:color w:val="000000"/>
          <w:lang w:eastAsia="en-AU"/>
        </w:rPr>
      </w:pPr>
      <w:r>
        <w:rPr>
          <w:rFonts w:ascii="Calibri" w:hAnsi="Calibri" w:cs="Calibri"/>
          <w:color w:val="000000"/>
          <w:lang w:eastAsia="en-AU"/>
        </w:rPr>
        <w:t>Provi</w:t>
      </w:r>
      <w:r w:rsidR="00112FC2">
        <w:rPr>
          <w:rFonts w:ascii="Calibri" w:hAnsi="Calibri" w:cs="Calibri"/>
          <w:color w:val="000000"/>
          <w:lang w:eastAsia="en-AU"/>
        </w:rPr>
        <w:t>ding</w:t>
      </w:r>
      <w:r>
        <w:rPr>
          <w:rFonts w:ascii="Calibri" w:hAnsi="Calibri" w:cs="Calibri"/>
          <w:color w:val="000000"/>
          <w:lang w:eastAsia="en-AU"/>
        </w:rPr>
        <w:t xml:space="preserve"> default benefits for day programs in mental health, rehabilitation and palliative care would ensure consumers‘ care options were not restricted by their choice of insurer and</w:t>
      </w:r>
      <w:r w:rsidR="00112FC2">
        <w:rPr>
          <w:rFonts w:ascii="Calibri" w:hAnsi="Calibri" w:cs="Calibri"/>
          <w:color w:val="000000"/>
          <w:lang w:eastAsia="en-AU"/>
        </w:rPr>
        <w:t xml:space="preserve"> mean </w:t>
      </w:r>
      <w:r>
        <w:rPr>
          <w:rFonts w:ascii="Calibri" w:hAnsi="Calibri" w:cs="Calibri"/>
          <w:color w:val="000000"/>
          <w:lang w:eastAsia="en-AU"/>
        </w:rPr>
        <w:t xml:space="preserve">they </w:t>
      </w:r>
      <w:r w:rsidR="00112FC2">
        <w:rPr>
          <w:rFonts w:ascii="Calibri" w:hAnsi="Calibri" w:cs="Calibri"/>
          <w:color w:val="000000"/>
          <w:lang w:eastAsia="en-AU"/>
        </w:rPr>
        <w:t xml:space="preserve">could </w:t>
      </w:r>
      <w:r>
        <w:rPr>
          <w:rFonts w:ascii="Calibri" w:hAnsi="Calibri" w:cs="Calibri"/>
          <w:color w:val="000000"/>
          <w:lang w:eastAsia="en-AU"/>
        </w:rPr>
        <w:t>access to the most efficient and clinically appropriate care</w:t>
      </w:r>
      <w:r w:rsidR="00112FC2">
        <w:rPr>
          <w:rFonts w:ascii="Calibri" w:hAnsi="Calibri" w:cs="Calibri"/>
          <w:color w:val="000000"/>
          <w:lang w:eastAsia="en-AU"/>
        </w:rPr>
        <w:t xml:space="preserve"> </w:t>
      </w:r>
      <w:r>
        <w:rPr>
          <w:rFonts w:ascii="Calibri" w:hAnsi="Calibri" w:cs="Calibri"/>
          <w:color w:val="000000"/>
          <w:lang w:eastAsia="en-AU"/>
        </w:rPr>
        <w:t>pathway.</w:t>
      </w:r>
    </w:p>
    <w:p w14:paraId="67552FDD" w14:textId="77777777" w:rsidR="00350432" w:rsidRDefault="00350432" w:rsidP="00DF18F7">
      <w:pPr>
        <w:ind w:left="720"/>
        <w:rPr>
          <w:rFonts w:ascii="Calibri" w:hAnsi="Calibri" w:cs="Calibri"/>
          <w:color w:val="000000"/>
          <w:lang w:eastAsia="en-AU"/>
        </w:rPr>
      </w:pPr>
    </w:p>
    <w:p w14:paraId="75E23889" w14:textId="04EA434A" w:rsidR="004D7169" w:rsidRDefault="00DF18F7" w:rsidP="004D7169">
      <w:pPr>
        <w:ind w:left="720"/>
        <w:rPr>
          <w:rFonts w:ascii="Calibri" w:hAnsi="Calibri" w:cs="Calibri"/>
          <w:color w:val="000000"/>
          <w:lang w:eastAsia="en-AU"/>
        </w:rPr>
      </w:pPr>
      <w:r>
        <w:rPr>
          <w:rFonts w:ascii="Calibri" w:hAnsi="Calibri" w:cs="Calibri"/>
          <w:color w:val="000000"/>
          <w:lang w:eastAsia="en-AU"/>
        </w:rPr>
        <w:t>Provi</w:t>
      </w:r>
      <w:r w:rsidR="00112FC2">
        <w:rPr>
          <w:rFonts w:ascii="Calibri" w:hAnsi="Calibri" w:cs="Calibri"/>
          <w:color w:val="000000"/>
          <w:lang w:eastAsia="en-AU"/>
        </w:rPr>
        <w:t>ding</w:t>
      </w:r>
      <w:r>
        <w:rPr>
          <w:rFonts w:ascii="Calibri" w:hAnsi="Calibri" w:cs="Calibri"/>
          <w:color w:val="000000"/>
          <w:lang w:eastAsia="en-AU"/>
        </w:rPr>
        <w:t xml:space="preserve"> default benefits for community-based and home-based programs would enable hospitals to establish </w:t>
      </w:r>
      <w:r w:rsidR="00112FC2">
        <w:rPr>
          <w:rFonts w:ascii="Calibri" w:hAnsi="Calibri" w:cs="Calibri"/>
          <w:color w:val="000000"/>
          <w:lang w:eastAsia="en-AU"/>
        </w:rPr>
        <w:t xml:space="preserve">these </w:t>
      </w:r>
      <w:r>
        <w:rPr>
          <w:rFonts w:ascii="Calibri" w:hAnsi="Calibri" w:cs="Calibri"/>
          <w:color w:val="000000"/>
          <w:lang w:eastAsia="en-AU"/>
        </w:rPr>
        <w:t>programs on a sustainable basis</w:t>
      </w:r>
      <w:r w:rsidR="00112FC2">
        <w:rPr>
          <w:rFonts w:ascii="Calibri" w:hAnsi="Calibri" w:cs="Calibri"/>
          <w:color w:val="000000"/>
          <w:lang w:eastAsia="en-AU"/>
        </w:rPr>
        <w:t>,</w:t>
      </w:r>
      <w:r>
        <w:rPr>
          <w:rFonts w:ascii="Calibri" w:hAnsi="Calibri" w:cs="Calibri"/>
          <w:color w:val="000000"/>
          <w:lang w:eastAsia="en-AU"/>
        </w:rPr>
        <w:t xml:space="preserve"> delivering consumers the services they require and reducing the risk of avoidable hospital readmission.</w:t>
      </w:r>
    </w:p>
    <w:p w14:paraId="13D47F0D" w14:textId="77777777" w:rsidR="00350432" w:rsidRDefault="00350432" w:rsidP="004D7169">
      <w:pPr>
        <w:ind w:left="720"/>
        <w:rPr>
          <w:rFonts w:ascii="Calibri" w:hAnsi="Calibri" w:cs="Calibri"/>
          <w:color w:val="000000"/>
          <w:lang w:eastAsia="en-AU"/>
        </w:rPr>
      </w:pPr>
    </w:p>
    <w:p w14:paraId="46A5D024" w14:textId="35E5596A" w:rsidR="00DF18F7" w:rsidRPr="004D7169" w:rsidRDefault="00DF18F7" w:rsidP="00BD6F09">
      <w:pPr>
        <w:pStyle w:val="Heading3"/>
        <w:keepNext w:val="0"/>
        <w:keepLines w:val="0"/>
        <w:numPr>
          <w:ilvl w:val="0"/>
          <w:numId w:val="6"/>
        </w:numPr>
        <w:spacing w:before="0"/>
        <w:contextualSpacing/>
        <w:rPr>
          <w:rFonts w:ascii="Calibri" w:hAnsi="Calibri" w:cs="Calibri"/>
          <w:color w:val="000000"/>
          <w:lang w:eastAsia="en-AU"/>
        </w:rPr>
      </w:pPr>
      <w:bookmarkStart w:id="78" w:name="_Toc27494529"/>
      <w:bookmarkStart w:id="79" w:name="_Toc27494726"/>
      <w:r w:rsidRPr="0097316E">
        <w:t>Create a level and well regulated playing field for hospital and non-hospital providers – i</w:t>
      </w:r>
      <w:r w:rsidR="00112FC2">
        <w:t>.</w:t>
      </w:r>
      <w:r w:rsidRPr="0097316E">
        <w:t>e</w:t>
      </w:r>
      <w:r w:rsidR="00112FC2">
        <w:t>.</w:t>
      </w:r>
      <w:r w:rsidRPr="0097316E">
        <w:t xml:space="preserve"> government endorsed guidelines assuring minimum quality standards.</w:t>
      </w:r>
      <w:bookmarkEnd w:id="78"/>
      <w:bookmarkEnd w:id="79"/>
      <w:r w:rsidRPr="0097316E">
        <w:t xml:space="preserve"> </w:t>
      </w:r>
      <w:r w:rsidR="004D7169">
        <w:br/>
      </w:r>
    </w:p>
    <w:p w14:paraId="37D0A10A" w14:textId="1EAD6841" w:rsidR="00DF18F7" w:rsidRDefault="00112FC2" w:rsidP="00DF18F7">
      <w:pPr>
        <w:ind w:left="720"/>
        <w:rPr>
          <w:rFonts w:ascii="Calibri" w:hAnsi="Calibri" w:cs="Calibri"/>
          <w:color w:val="000000"/>
          <w:lang w:eastAsia="en-AU"/>
        </w:rPr>
      </w:pPr>
      <w:r>
        <w:rPr>
          <w:rFonts w:ascii="Calibri" w:hAnsi="Calibri" w:cs="Calibri"/>
          <w:color w:val="000000"/>
          <w:lang w:eastAsia="en-AU"/>
        </w:rPr>
        <w:t>P</w:t>
      </w:r>
      <w:r w:rsidR="00DF18F7" w:rsidRPr="003A0A50">
        <w:rPr>
          <w:rFonts w:ascii="Calibri" w:hAnsi="Calibri" w:cs="Calibri"/>
          <w:color w:val="000000"/>
          <w:lang w:eastAsia="en-AU"/>
        </w:rPr>
        <w:t xml:space="preserve">rivate health insurance regulations allow </w:t>
      </w:r>
      <w:r>
        <w:rPr>
          <w:rFonts w:ascii="Calibri" w:hAnsi="Calibri" w:cs="Calibri"/>
          <w:color w:val="000000"/>
          <w:lang w:eastAsia="en-AU"/>
        </w:rPr>
        <w:t xml:space="preserve">non-hospital providers to be paid </w:t>
      </w:r>
      <w:r w:rsidR="00DF18F7" w:rsidRPr="003A0A50">
        <w:rPr>
          <w:rFonts w:ascii="Calibri" w:hAnsi="Calibri" w:cs="Calibri"/>
          <w:color w:val="000000"/>
          <w:lang w:eastAsia="en-AU"/>
        </w:rPr>
        <w:t>benefits for ‘Hospital Substitute Treatment’</w:t>
      </w:r>
      <w:r w:rsidR="00DF18F7">
        <w:rPr>
          <w:rFonts w:ascii="Calibri" w:hAnsi="Calibri" w:cs="Calibri"/>
          <w:color w:val="000000"/>
          <w:lang w:eastAsia="en-AU"/>
        </w:rPr>
        <w:t xml:space="preserve">. Some insurers have advocated </w:t>
      </w:r>
      <w:r>
        <w:rPr>
          <w:rFonts w:ascii="Calibri" w:hAnsi="Calibri" w:cs="Calibri"/>
          <w:color w:val="000000"/>
          <w:lang w:eastAsia="en-AU"/>
        </w:rPr>
        <w:t>for reforms</w:t>
      </w:r>
      <w:r w:rsidR="00DF18F7">
        <w:rPr>
          <w:rFonts w:ascii="Calibri" w:hAnsi="Calibri" w:cs="Calibri"/>
          <w:color w:val="000000"/>
          <w:lang w:eastAsia="en-AU"/>
        </w:rPr>
        <w:t xml:space="preserve"> to allow growth in the provision of services by non-hospital providers. If this expansion is</w:t>
      </w:r>
      <w:r>
        <w:rPr>
          <w:rFonts w:ascii="Calibri" w:hAnsi="Calibri" w:cs="Calibri"/>
          <w:color w:val="000000"/>
          <w:lang w:eastAsia="en-AU"/>
        </w:rPr>
        <w:t xml:space="preserve"> </w:t>
      </w:r>
      <w:r w:rsidR="00DF18F7">
        <w:rPr>
          <w:rFonts w:ascii="Calibri" w:hAnsi="Calibri" w:cs="Calibri"/>
          <w:color w:val="000000"/>
          <w:lang w:eastAsia="en-AU"/>
        </w:rPr>
        <w:t>permitted, consumers need to be assured th</w:t>
      </w:r>
      <w:r>
        <w:rPr>
          <w:rFonts w:ascii="Calibri" w:hAnsi="Calibri" w:cs="Calibri"/>
          <w:color w:val="000000"/>
          <w:lang w:eastAsia="en-AU"/>
        </w:rPr>
        <w:t>ese</w:t>
      </w:r>
      <w:r w:rsidR="00DF18F7">
        <w:rPr>
          <w:rFonts w:ascii="Calibri" w:hAnsi="Calibri" w:cs="Calibri"/>
          <w:color w:val="000000"/>
          <w:lang w:eastAsia="en-AU"/>
        </w:rPr>
        <w:t xml:space="preserve"> services are provided to the same level of safety and quality </w:t>
      </w:r>
      <w:r w:rsidR="00C80DC9">
        <w:rPr>
          <w:rFonts w:ascii="Calibri" w:hAnsi="Calibri" w:cs="Calibri"/>
          <w:color w:val="000000"/>
          <w:lang w:eastAsia="en-AU"/>
        </w:rPr>
        <w:t>required of</w:t>
      </w:r>
      <w:r w:rsidR="00DF18F7">
        <w:rPr>
          <w:rFonts w:ascii="Calibri" w:hAnsi="Calibri" w:cs="Calibri"/>
          <w:color w:val="000000"/>
          <w:lang w:eastAsia="en-AU"/>
        </w:rPr>
        <w:t xml:space="preserve"> hospitals.</w:t>
      </w:r>
    </w:p>
    <w:p w14:paraId="3205ED5E" w14:textId="77777777" w:rsidR="00350432" w:rsidRDefault="00350432" w:rsidP="00DF18F7">
      <w:pPr>
        <w:ind w:left="720"/>
        <w:rPr>
          <w:rFonts w:ascii="Calibri" w:hAnsi="Calibri" w:cs="Calibri"/>
          <w:color w:val="000000"/>
          <w:lang w:eastAsia="en-AU"/>
        </w:rPr>
      </w:pPr>
    </w:p>
    <w:p w14:paraId="088A3964" w14:textId="67C40E2C" w:rsidR="00DF18F7" w:rsidRDefault="00112FC2" w:rsidP="00DF18F7">
      <w:pPr>
        <w:ind w:left="720"/>
        <w:rPr>
          <w:rFonts w:ascii="Calibri" w:hAnsi="Calibri" w:cs="Calibri"/>
          <w:color w:val="000000"/>
          <w:lang w:eastAsia="en-AU"/>
        </w:rPr>
      </w:pPr>
      <w:r>
        <w:rPr>
          <w:rFonts w:ascii="Calibri" w:hAnsi="Calibri" w:cs="Calibri"/>
          <w:color w:val="000000"/>
          <w:lang w:eastAsia="en-AU"/>
        </w:rPr>
        <w:t>H</w:t>
      </w:r>
      <w:r w:rsidR="00DF18F7">
        <w:rPr>
          <w:rFonts w:ascii="Calibri" w:hAnsi="Calibri" w:cs="Calibri"/>
          <w:color w:val="000000"/>
          <w:lang w:eastAsia="en-AU"/>
        </w:rPr>
        <w:t xml:space="preserve">ospitals </w:t>
      </w:r>
      <w:r>
        <w:rPr>
          <w:rFonts w:ascii="Calibri" w:hAnsi="Calibri" w:cs="Calibri"/>
          <w:color w:val="000000"/>
          <w:lang w:eastAsia="en-AU"/>
        </w:rPr>
        <w:t>must</w:t>
      </w:r>
      <w:r w:rsidR="00DF18F7">
        <w:rPr>
          <w:rFonts w:ascii="Calibri" w:hAnsi="Calibri" w:cs="Calibri"/>
          <w:color w:val="000000"/>
          <w:lang w:eastAsia="en-AU"/>
        </w:rPr>
        <w:t xml:space="preserve"> meet the National Safety and Quality Health Service Standards. Hospitals providing mental health and rehabilitation services are also </w:t>
      </w:r>
      <w:r w:rsidR="00461B68">
        <w:rPr>
          <w:rFonts w:ascii="Calibri" w:hAnsi="Calibri" w:cs="Calibri"/>
          <w:color w:val="000000"/>
          <w:lang w:eastAsia="en-AU"/>
        </w:rPr>
        <w:t xml:space="preserve">obliged </w:t>
      </w:r>
      <w:r w:rsidR="00DF18F7">
        <w:rPr>
          <w:rFonts w:ascii="Calibri" w:hAnsi="Calibri" w:cs="Calibri"/>
          <w:color w:val="000000"/>
          <w:lang w:eastAsia="en-AU"/>
        </w:rPr>
        <w:t>to meet the requirements of industry</w:t>
      </w:r>
      <w:r>
        <w:rPr>
          <w:rFonts w:ascii="Calibri" w:hAnsi="Calibri" w:cs="Calibri"/>
          <w:color w:val="000000"/>
          <w:lang w:eastAsia="en-AU"/>
        </w:rPr>
        <w:t>-</w:t>
      </w:r>
      <w:r w:rsidR="00DF18F7">
        <w:rPr>
          <w:rFonts w:ascii="Calibri" w:hAnsi="Calibri" w:cs="Calibri"/>
          <w:color w:val="000000"/>
          <w:lang w:eastAsia="en-AU"/>
        </w:rPr>
        <w:t xml:space="preserve">agreed guidelines. These guidelines were developed with the involvement and endorsement of the Federal Government. The Improved Models of Care Committee recognised these guidelines provided a logical starting point for a common framework applicable for both hospital and non-hospital services. </w:t>
      </w:r>
    </w:p>
    <w:p w14:paraId="31BCCC2B" w14:textId="77777777" w:rsidR="00350432" w:rsidRDefault="00350432" w:rsidP="00DF18F7">
      <w:pPr>
        <w:ind w:left="720"/>
        <w:rPr>
          <w:rFonts w:ascii="Calibri" w:hAnsi="Calibri" w:cs="Calibri"/>
          <w:color w:val="000000"/>
          <w:lang w:eastAsia="en-AU"/>
        </w:rPr>
      </w:pPr>
    </w:p>
    <w:p w14:paraId="5A4E27CC" w14:textId="255164BD" w:rsidR="00DF18F7" w:rsidRDefault="00DF18F7" w:rsidP="00DF18F7">
      <w:pPr>
        <w:ind w:left="720"/>
        <w:rPr>
          <w:rFonts w:ascii="Calibri" w:hAnsi="Calibri" w:cs="Calibri"/>
          <w:color w:val="000000"/>
          <w:lang w:eastAsia="en-AU"/>
        </w:rPr>
      </w:pPr>
      <w:r>
        <w:rPr>
          <w:rFonts w:ascii="Calibri" w:hAnsi="Calibri" w:cs="Calibri"/>
          <w:color w:val="000000"/>
          <w:lang w:eastAsia="en-AU"/>
        </w:rPr>
        <w:t xml:space="preserve">If the </w:t>
      </w:r>
      <w:r w:rsidR="00461B68">
        <w:rPr>
          <w:rFonts w:ascii="Calibri" w:hAnsi="Calibri" w:cs="Calibri"/>
          <w:color w:val="000000"/>
          <w:lang w:eastAsia="en-AU"/>
        </w:rPr>
        <w:t xml:space="preserve">Federal </w:t>
      </w:r>
      <w:r>
        <w:rPr>
          <w:rFonts w:ascii="Calibri" w:hAnsi="Calibri" w:cs="Calibri"/>
          <w:color w:val="000000"/>
          <w:lang w:eastAsia="en-AU"/>
        </w:rPr>
        <w:t>Government chose</w:t>
      </w:r>
      <w:r w:rsidR="001A56C0">
        <w:rPr>
          <w:rFonts w:ascii="Calibri" w:hAnsi="Calibri" w:cs="Calibri"/>
          <w:color w:val="000000"/>
          <w:lang w:eastAsia="en-AU"/>
        </w:rPr>
        <w:t>s</w:t>
      </w:r>
      <w:r>
        <w:rPr>
          <w:rFonts w:ascii="Calibri" w:hAnsi="Calibri" w:cs="Calibri"/>
          <w:color w:val="000000"/>
          <w:lang w:eastAsia="en-AU"/>
        </w:rPr>
        <w:t xml:space="preserve"> to encourage the expansion of services by non-hospital providers into other areas such as chemotherapy</w:t>
      </w:r>
      <w:r w:rsidR="00461B68">
        <w:rPr>
          <w:rFonts w:ascii="Calibri" w:hAnsi="Calibri" w:cs="Calibri"/>
          <w:color w:val="000000"/>
          <w:lang w:eastAsia="en-AU"/>
        </w:rPr>
        <w:t>-</w:t>
      </w:r>
      <w:r>
        <w:rPr>
          <w:rFonts w:ascii="Calibri" w:hAnsi="Calibri" w:cs="Calibri"/>
          <w:color w:val="000000"/>
          <w:lang w:eastAsia="en-AU"/>
        </w:rPr>
        <w:t>in</w:t>
      </w:r>
      <w:r w:rsidR="00461B68">
        <w:rPr>
          <w:rFonts w:ascii="Calibri" w:hAnsi="Calibri" w:cs="Calibri"/>
          <w:color w:val="000000"/>
          <w:lang w:eastAsia="en-AU"/>
        </w:rPr>
        <w:t>-</w:t>
      </w:r>
      <w:r>
        <w:rPr>
          <w:rFonts w:ascii="Calibri" w:hAnsi="Calibri" w:cs="Calibri"/>
          <w:color w:val="000000"/>
          <w:lang w:eastAsia="en-AU"/>
        </w:rPr>
        <w:t>the</w:t>
      </w:r>
      <w:r w:rsidR="00461B68">
        <w:rPr>
          <w:rFonts w:ascii="Calibri" w:hAnsi="Calibri" w:cs="Calibri"/>
          <w:color w:val="000000"/>
          <w:lang w:eastAsia="en-AU"/>
        </w:rPr>
        <w:t>-</w:t>
      </w:r>
      <w:r>
        <w:rPr>
          <w:rFonts w:ascii="Calibri" w:hAnsi="Calibri" w:cs="Calibri"/>
          <w:color w:val="000000"/>
          <w:lang w:eastAsia="en-AU"/>
        </w:rPr>
        <w:t>home, it is essential providers should also be required to meet the National Safety and Quality Health Service Standards and specific guidelines relevant to the services involved.</w:t>
      </w:r>
    </w:p>
    <w:p w14:paraId="135B7E60" w14:textId="77777777" w:rsidR="00350432" w:rsidRDefault="00350432" w:rsidP="00DF18F7">
      <w:pPr>
        <w:ind w:left="720"/>
        <w:rPr>
          <w:rFonts w:ascii="Calibri" w:hAnsi="Calibri" w:cs="Calibri"/>
          <w:color w:val="000000"/>
          <w:lang w:eastAsia="en-AU"/>
        </w:rPr>
      </w:pPr>
    </w:p>
    <w:p w14:paraId="1FCFB0A4" w14:textId="2A98623D" w:rsidR="00DF18F7" w:rsidRPr="004D7169" w:rsidRDefault="00DF18F7" w:rsidP="00BD6F09">
      <w:pPr>
        <w:pStyle w:val="Heading3"/>
        <w:keepNext w:val="0"/>
        <w:keepLines w:val="0"/>
        <w:numPr>
          <w:ilvl w:val="0"/>
          <w:numId w:val="6"/>
        </w:numPr>
        <w:spacing w:before="0"/>
        <w:contextualSpacing/>
        <w:rPr>
          <w:rFonts w:ascii="Calibri" w:hAnsi="Calibri" w:cs="Calibri"/>
          <w:color w:val="000000"/>
          <w:lang w:eastAsia="en-AU"/>
        </w:rPr>
      </w:pPr>
      <w:bookmarkStart w:id="80" w:name="_Toc27494530"/>
      <w:bookmarkStart w:id="81" w:name="_Toc27494727"/>
      <w:r w:rsidRPr="0097316E">
        <w:t>Remove barriers for people with a mental health conditions accessing acute medical/surgical care in the private sector.</w:t>
      </w:r>
      <w:bookmarkEnd w:id="80"/>
      <w:bookmarkEnd w:id="81"/>
      <w:r w:rsidR="004D7169">
        <w:br/>
      </w:r>
    </w:p>
    <w:p w14:paraId="7DB840CB" w14:textId="53FE48A9" w:rsidR="00DF18F7" w:rsidRDefault="00DF18F7" w:rsidP="00DF18F7">
      <w:pPr>
        <w:ind w:left="720"/>
        <w:rPr>
          <w:rFonts w:ascii="Calibri" w:hAnsi="Calibri" w:cs="Calibri"/>
          <w:color w:val="000000"/>
          <w:lang w:eastAsia="en-AU"/>
        </w:rPr>
      </w:pPr>
      <w:r>
        <w:rPr>
          <w:rFonts w:ascii="Calibri" w:hAnsi="Calibri" w:cs="Calibri"/>
          <w:color w:val="000000"/>
          <w:lang w:eastAsia="en-AU"/>
        </w:rPr>
        <w:t xml:space="preserve">The </w:t>
      </w:r>
      <w:r w:rsidRPr="00D02628">
        <w:rPr>
          <w:rFonts w:ascii="Calibri" w:hAnsi="Calibri" w:cs="Calibri"/>
          <w:color w:val="000000"/>
          <w:lang w:eastAsia="en-AU"/>
        </w:rPr>
        <w:t>National Mental Health Commission’s Equally Well consensus statement</w:t>
      </w:r>
      <w:r>
        <w:rPr>
          <w:rFonts w:ascii="Calibri" w:hAnsi="Calibri" w:cs="Calibri"/>
          <w:color w:val="000000"/>
          <w:lang w:eastAsia="en-AU"/>
        </w:rPr>
        <w:t xml:space="preserve"> </w:t>
      </w:r>
      <w:r w:rsidRPr="00D02628">
        <w:rPr>
          <w:rFonts w:ascii="Calibri" w:hAnsi="Calibri" w:cs="Calibri"/>
          <w:color w:val="000000"/>
          <w:lang w:eastAsia="en-AU"/>
        </w:rPr>
        <w:t>aims to reduce the life expectancy gap that exists between people living with a mental illness and the general population by championing the importance of the physical health of people living with a mental health condition</w:t>
      </w:r>
      <w:r w:rsidR="00C80DC9">
        <w:rPr>
          <w:rStyle w:val="FootnoteReference"/>
          <w:rFonts w:ascii="Calibri" w:hAnsi="Calibri"/>
          <w:color w:val="000000"/>
          <w:lang w:eastAsia="en-AU"/>
        </w:rPr>
        <w:footnoteReference w:id="15"/>
      </w:r>
      <w:r w:rsidRPr="00D02628">
        <w:rPr>
          <w:rFonts w:ascii="Calibri" w:hAnsi="Calibri" w:cs="Calibri"/>
          <w:color w:val="000000"/>
          <w:lang w:eastAsia="en-AU"/>
        </w:rPr>
        <w:t>. This aim i</w:t>
      </w:r>
      <w:r w:rsidR="00461B68">
        <w:rPr>
          <w:rFonts w:ascii="Calibri" w:hAnsi="Calibri" w:cs="Calibri"/>
          <w:color w:val="000000"/>
          <w:lang w:eastAsia="en-AU"/>
        </w:rPr>
        <w:t>s</w:t>
      </w:r>
      <w:r w:rsidRPr="00D02628">
        <w:rPr>
          <w:rFonts w:ascii="Calibri" w:hAnsi="Calibri" w:cs="Calibri"/>
          <w:color w:val="000000"/>
          <w:lang w:eastAsia="en-AU"/>
        </w:rPr>
        <w:t xml:space="preserve"> reflected in the Fifth Mental Health Agreement</w:t>
      </w:r>
      <w:r>
        <w:rPr>
          <w:rFonts w:ascii="Calibri" w:hAnsi="Calibri" w:cs="Calibri"/>
          <w:color w:val="000000"/>
          <w:lang w:eastAsia="en-AU"/>
        </w:rPr>
        <w:t>.</w:t>
      </w:r>
    </w:p>
    <w:p w14:paraId="73C6AEB0" w14:textId="77777777" w:rsidR="00350432" w:rsidRDefault="00350432" w:rsidP="00DF18F7">
      <w:pPr>
        <w:ind w:left="720"/>
        <w:rPr>
          <w:rFonts w:ascii="Calibri" w:hAnsi="Calibri" w:cs="Calibri"/>
          <w:color w:val="000000"/>
          <w:lang w:eastAsia="en-AU"/>
        </w:rPr>
      </w:pPr>
    </w:p>
    <w:p w14:paraId="41B39C78" w14:textId="1AF094AC" w:rsidR="004D7169" w:rsidRDefault="00DF18F7" w:rsidP="00DF18F7">
      <w:pPr>
        <w:ind w:left="720"/>
        <w:rPr>
          <w:rFonts w:ascii="Calibri" w:hAnsi="Calibri" w:cs="Calibri"/>
          <w:color w:val="000000"/>
          <w:lang w:eastAsia="en-AU"/>
        </w:rPr>
      </w:pPr>
      <w:r>
        <w:rPr>
          <w:rFonts w:ascii="Calibri" w:hAnsi="Calibri" w:cs="Calibri"/>
          <w:color w:val="000000"/>
          <w:lang w:eastAsia="en-AU"/>
        </w:rPr>
        <w:t>The private hospital sector plays a crucial role in providing timely access to acute psychiatric care. As such, private hospitals frequently encounter situations where people living with a psychiatric condition need access to acute medical/surgical care. However</w:t>
      </w:r>
      <w:r w:rsidR="00461B68">
        <w:rPr>
          <w:rFonts w:ascii="Calibri" w:hAnsi="Calibri" w:cs="Calibri"/>
          <w:color w:val="000000"/>
          <w:lang w:eastAsia="en-AU"/>
        </w:rPr>
        <w:t>,</w:t>
      </w:r>
      <w:r>
        <w:rPr>
          <w:rFonts w:ascii="Calibri" w:hAnsi="Calibri" w:cs="Calibri"/>
          <w:color w:val="000000"/>
          <w:lang w:eastAsia="en-AU"/>
        </w:rPr>
        <w:t xml:space="preserve"> the way in which private health insurance benefits are paid to hospitals mean</w:t>
      </w:r>
      <w:r w:rsidR="00461B68">
        <w:rPr>
          <w:rFonts w:ascii="Calibri" w:hAnsi="Calibri" w:cs="Calibri"/>
          <w:color w:val="000000"/>
          <w:lang w:eastAsia="en-AU"/>
        </w:rPr>
        <w:t>s</w:t>
      </w:r>
      <w:r>
        <w:rPr>
          <w:rFonts w:ascii="Calibri" w:hAnsi="Calibri" w:cs="Calibri"/>
          <w:color w:val="000000"/>
          <w:lang w:eastAsia="en-AU"/>
        </w:rPr>
        <w:t xml:space="preserve"> it is frequently difficult for </w:t>
      </w:r>
      <w:r w:rsidR="00461B68">
        <w:rPr>
          <w:rFonts w:ascii="Calibri" w:hAnsi="Calibri" w:cs="Calibri"/>
          <w:color w:val="000000"/>
          <w:lang w:eastAsia="en-AU"/>
        </w:rPr>
        <w:t>these</w:t>
      </w:r>
      <w:r>
        <w:rPr>
          <w:rFonts w:ascii="Calibri" w:hAnsi="Calibri" w:cs="Calibri"/>
          <w:color w:val="000000"/>
          <w:lang w:eastAsia="en-AU"/>
        </w:rPr>
        <w:t xml:space="preserve"> patients </w:t>
      </w:r>
      <w:r w:rsidRPr="007E65A5">
        <w:rPr>
          <w:rFonts w:ascii="Calibri" w:hAnsi="Calibri" w:cs="Calibri"/>
          <w:color w:val="000000"/>
          <w:lang w:eastAsia="en-AU"/>
        </w:rPr>
        <w:t xml:space="preserve">to </w:t>
      </w:r>
      <w:r w:rsidR="00461B68" w:rsidRPr="007E65A5">
        <w:rPr>
          <w:rFonts w:ascii="Calibri" w:hAnsi="Calibri" w:cs="Calibri"/>
          <w:color w:val="000000"/>
          <w:lang w:eastAsia="en-AU"/>
        </w:rPr>
        <w:t xml:space="preserve">access </w:t>
      </w:r>
      <w:r w:rsidR="007E65A5" w:rsidRPr="007E65A5">
        <w:rPr>
          <w:rFonts w:ascii="Calibri" w:hAnsi="Calibri" w:cs="Calibri"/>
          <w:color w:val="000000"/>
          <w:lang w:eastAsia="en-AU"/>
        </w:rPr>
        <w:t>medica</w:t>
      </w:r>
      <w:r w:rsidR="007E65A5">
        <w:rPr>
          <w:rFonts w:ascii="Calibri" w:hAnsi="Calibri" w:cs="Calibri"/>
          <w:color w:val="000000"/>
          <w:lang w:eastAsia="en-AU"/>
        </w:rPr>
        <w:t>l and surgical</w:t>
      </w:r>
      <w:r w:rsidR="007E65A5" w:rsidRPr="007E65A5">
        <w:rPr>
          <w:rFonts w:ascii="Calibri" w:hAnsi="Calibri" w:cs="Calibri"/>
          <w:color w:val="000000"/>
          <w:lang w:eastAsia="en-AU"/>
        </w:rPr>
        <w:t xml:space="preserve"> </w:t>
      </w:r>
      <w:r w:rsidR="00461B68" w:rsidRPr="007E65A5">
        <w:rPr>
          <w:rFonts w:ascii="Calibri" w:hAnsi="Calibri" w:cs="Calibri"/>
          <w:color w:val="000000"/>
          <w:lang w:eastAsia="en-AU"/>
        </w:rPr>
        <w:t>care</w:t>
      </w:r>
      <w:r w:rsidRPr="007E65A5">
        <w:rPr>
          <w:rFonts w:ascii="Calibri" w:hAnsi="Calibri" w:cs="Calibri"/>
          <w:color w:val="000000"/>
          <w:lang w:eastAsia="en-AU"/>
        </w:rPr>
        <w:t xml:space="preserve"> in the</w:t>
      </w:r>
      <w:r>
        <w:rPr>
          <w:rFonts w:ascii="Calibri" w:hAnsi="Calibri" w:cs="Calibri"/>
          <w:color w:val="000000"/>
          <w:lang w:eastAsia="en-AU"/>
        </w:rPr>
        <w:t xml:space="preserve"> private sector, even when they have Gold level hospital cover. </w:t>
      </w:r>
    </w:p>
    <w:p w14:paraId="657363FA" w14:textId="77777777" w:rsidR="00350432" w:rsidRDefault="00350432" w:rsidP="00DF18F7">
      <w:pPr>
        <w:ind w:left="720"/>
        <w:rPr>
          <w:rFonts w:ascii="Calibri" w:hAnsi="Calibri" w:cs="Calibri"/>
          <w:color w:val="000000"/>
          <w:lang w:eastAsia="en-AU"/>
        </w:rPr>
      </w:pPr>
    </w:p>
    <w:p w14:paraId="784D4118" w14:textId="2EE44E10" w:rsidR="00DF18F7" w:rsidRDefault="00DF18F7" w:rsidP="00DF18F7">
      <w:pPr>
        <w:ind w:left="720"/>
        <w:rPr>
          <w:rFonts w:ascii="Calibri" w:hAnsi="Calibri" w:cs="Calibri"/>
          <w:color w:val="000000"/>
          <w:lang w:eastAsia="en-AU"/>
        </w:rPr>
      </w:pPr>
      <w:r>
        <w:rPr>
          <w:rFonts w:ascii="Calibri" w:hAnsi="Calibri" w:cs="Calibri"/>
          <w:color w:val="000000"/>
          <w:lang w:eastAsia="en-AU"/>
        </w:rPr>
        <w:t>T</w:t>
      </w:r>
      <w:r w:rsidRPr="00CE6B19">
        <w:rPr>
          <w:rFonts w:ascii="Calibri" w:hAnsi="Calibri" w:cs="Calibri"/>
          <w:color w:val="000000"/>
          <w:lang w:eastAsia="en-AU"/>
        </w:rPr>
        <w:t>he</w:t>
      </w:r>
      <w:r>
        <w:rPr>
          <w:rFonts w:ascii="Calibri" w:hAnsi="Calibri" w:cs="Calibri"/>
          <w:color w:val="000000"/>
          <w:lang w:eastAsia="en-AU"/>
        </w:rPr>
        <w:t xml:space="preserve"> Federal Government’s </w:t>
      </w:r>
      <w:r w:rsidRPr="00CE6B19">
        <w:rPr>
          <w:rFonts w:ascii="Calibri" w:hAnsi="Calibri" w:cs="Calibri"/>
          <w:color w:val="000000"/>
          <w:lang w:eastAsia="en-AU"/>
        </w:rPr>
        <w:t>Private Health Insurance Rules</w:t>
      </w:r>
      <w:r>
        <w:rPr>
          <w:rFonts w:ascii="Calibri" w:hAnsi="Calibri" w:cs="Calibri"/>
          <w:color w:val="000000"/>
          <w:lang w:eastAsia="en-AU"/>
        </w:rPr>
        <w:t xml:space="preserve"> assume a patient </w:t>
      </w:r>
      <w:r w:rsidR="00461B68">
        <w:rPr>
          <w:rFonts w:ascii="Calibri" w:hAnsi="Calibri" w:cs="Calibri"/>
          <w:color w:val="000000"/>
          <w:lang w:eastAsia="en-AU"/>
        </w:rPr>
        <w:t xml:space="preserve">is </w:t>
      </w:r>
      <w:r>
        <w:rPr>
          <w:rFonts w:ascii="Calibri" w:hAnsi="Calibri" w:cs="Calibri"/>
          <w:color w:val="000000"/>
          <w:lang w:eastAsia="en-AU"/>
        </w:rPr>
        <w:t>either a psychiatric patient or not a psychiatric patient. The regulations do not admit the possibility that a patient might require both medical and psychiatric treatment. As a consequence, health insurers refuse to cover the provision of medical treatment if</w:t>
      </w:r>
      <w:r w:rsidR="00461B68">
        <w:rPr>
          <w:rFonts w:ascii="Calibri" w:hAnsi="Calibri" w:cs="Calibri"/>
          <w:color w:val="000000"/>
          <w:lang w:eastAsia="en-AU"/>
        </w:rPr>
        <w:t>,</w:t>
      </w:r>
      <w:r>
        <w:rPr>
          <w:rFonts w:ascii="Calibri" w:hAnsi="Calibri" w:cs="Calibri"/>
          <w:color w:val="000000"/>
          <w:lang w:eastAsia="en-AU"/>
        </w:rPr>
        <w:t xml:space="preserve"> in their view</w:t>
      </w:r>
      <w:r w:rsidR="00461B68">
        <w:rPr>
          <w:rFonts w:ascii="Calibri" w:hAnsi="Calibri" w:cs="Calibri"/>
          <w:color w:val="000000"/>
          <w:lang w:eastAsia="en-AU"/>
        </w:rPr>
        <w:t>,</w:t>
      </w:r>
      <w:r>
        <w:rPr>
          <w:rFonts w:ascii="Calibri" w:hAnsi="Calibri" w:cs="Calibri"/>
          <w:color w:val="000000"/>
          <w:lang w:eastAsia="en-AU"/>
        </w:rPr>
        <w:t xml:space="preserve"> the patient is a psychiatric patient.</w:t>
      </w:r>
    </w:p>
    <w:p w14:paraId="46C72EE1" w14:textId="77777777" w:rsidR="00DF18F7" w:rsidRDefault="00DF18F7" w:rsidP="00DF18F7">
      <w:pPr>
        <w:ind w:left="720"/>
        <w:rPr>
          <w:rFonts w:ascii="Calibri" w:hAnsi="Calibri" w:cs="Calibri"/>
          <w:color w:val="000000"/>
          <w:lang w:eastAsia="en-AU"/>
        </w:rPr>
      </w:pPr>
    </w:p>
    <w:p w14:paraId="625E3CA3" w14:textId="199FF72F" w:rsidR="00DF18F7" w:rsidRPr="00D02628" w:rsidRDefault="00DF18F7" w:rsidP="00DF18F7">
      <w:pPr>
        <w:ind w:left="720"/>
        <w:rPr>
          <w:rFonts w:ascii="Calibri" w:hAnsi="Calibri" w:cs="Calibri"/>
          <w:color w:val="000000"/>
          <w:lang w:eastAsia="en-AU"/>
        </w:rPr>
      </w:pPr>
      <w:r>
        <w:rPr>
          <w:rFonts w:ascii="Calibri" w:hAnsi="Calibri" w:cs="Calibri"/>
          <w:color w:val="000000"/>
          <w:lang w:eastAsia="en-AU"/>
        </w:rPr>
        <w:t>Resolution of these difficulties would improve health outcomes for people living with a mental illness. Timely access to acute medical/surgical care would also decrease the risk of subsequent hospital admissions.</w:t>
      </w:r>
    </w:p>
    <w:p w14:paraId="54491D51" w14:textId="4D603FC3" w:rsidR="00DF18F7" w:rsidRDefault="00DF18F7" w:rsidP="00DF18F7">
      <w:pPr>
        <w:ind w:left="720"/>
        <w:rPr>
          <w:rFonts w:ascii="Calibri" w:hAnsi="Calibri" w:cs="Calibri"/>
          <w:color w:val="000000"/>
          <w:lang w:eastAsia="en-AU"/>
        </w:rPr>
      </w:pPr>
      <w:r>
        <w:rPr>
          <w:rFonts w:ascii="Calibri" w:eastAsia="Calibri" w:hAnsi="Calibri" w:cs="Calibri"/>
          <w:sz w:val="22"/>
        </w:rPr>
        <w:br/>
      </w:r>
      <w:r w:rsidRPr="00CE6B19">
        <w:rPr>
          <w:rFonts w:ascii="Calibri" w:hAnsi="Calibri" w:cs="Calibri"/>
          <w:color w:val="000000"/>
          <w:lang w:eastAsia="en-AU"/>
        </w:rPr>
        <w:t>APHA advocates</w:t>
      </w:r>
      <w:r w:rsidR="00461B68">
        <w:rPr>
          <w:rFonts w:ascii="Calibri" w:hAnsi="Calibri" w:cs="Calibri"/>
          <w:color w:val="000000"/>
          <w:lang w:eastAsia="en-AU"/>
        </w:rPr>
        <w:t xml:space="preserve"> for</w:t>
      </w:r>
      <w:r w:rsidRPr="00CE6B19">
        <w:rPr>
          <w:rFonts w:ascii="Calibri" w:hAnsi="Calibri" w:cs="Calibri"/>
          <w:color w:val="000000"/>
          <w:lang w:eastAsia="en-AU"/>
        </w:rPr>
        <w:t xml:space="preserve"> the</w:t>
      </w:r>
      <w:r w:rsidR="00461B68">
        <w:rPr>
          <w:rFonts w:ascii="Calibri" w:hAnsi="Calibri" w:cs="Calibri"/>
          <w:color w:val="000000"/>
          <w:lang w:eastAsia="en-AU"/>
        </w:rPr>
        <w:t xml:space="preserve"> amendment of the</w:t>
      </w:r>
      <w:r w:rsidRPr="00CE6B19">
        <w:rPr>
          <w:rFonts w:ascii="Calibri" w:hAnsi="Calibri" w:cs="Calibri"/>
          <w:color w:val="000000"/>
          <w:lang w:eastAsia="en-AU"/>
        </w:rPr>
        <w:t xml:space="preserve"> </w:t>
      </w:r>
      <w:r w:rsidRPr="006176C4">
        <w:rPr>
          <w:rFonts w:ascii="Calibri" w:hAnsi="Calibri" w:cs="Calibri"/>
          <w:color w:val="000000"/>
          <w:lang w:eastAsia="en-AU"/>
        </w:rPr>
        <w:t>Private Health Insurance (Benefit Requirements) Rules 2011</w:t>
      </w:r>
      <w:r w:rsidRPr="00CE6B19">
        <w:rPr>
          <w:rFonts w:ascii="Calibri" w:hAnsi="Calibri" w:cs="Calibri"/>
          <w:color w:val="000000"/>
          <w:lang w:eastAsia="en-AU"/>
        </w:rPr>
        <w:t xml:space="preserve"> to recognise: </w:t>
      </w:r>
    </w:p>
    <w:p w14:paraId="13F6A00B" w14:textId="77777777" w:rsidR="00DF18F7" w:rsidRPr="00CE6B19" w:rsidRDefault="00DF18F7" w:rsidP="00DF18F7">
      <w:pPr>
        <w:ind w:left="720"/>
        <w:rPr>
          <w:rFonts w:ascii="Calibri" w:hAnsi="Calibri" w:cs="Calibri"/>
          <w:color w:val="000000"/>
          <w:lang w:eastAsia="en-AU"/>
        </w:rPr>
      </w:pPr>
    </w:p>
    <w:p w14:paraId="776683E2" w14:textId="542D1FD6" w:rsidR="00DF18F7" w:rsidRPr="00CE6B19" w:rsidRDefault="00DF18F7" w:rsidP="00DF18F7">
      <w:pPr>
        <w:pStyle w:val="ListParagraph"/>
        <w:numPr>
          <w:ilvl w:val="0"/>
          <w:numId w:val="9"/>
        </w:numPr>
        <w:rPr>
          <w:rFonts w:ascii="Calibri" w:hAnsi="Calibri" w:cs="Calibri"/>
          <w:color w:val="000000"/>
          <w:lang w:eastAsia="en-AU"/>
        </w:rPr>
      </w:pPr>
      <w:r w:rsidRPr="00CE6B19">
        <w:rPr>
          <w:rFonts w:ascii="Calibri" w:hAnsi="Calibri" w:cs="Calibri"/>
          <w:color w:val="000000"/>
          <w:lang w:eastAsia="en-AU"/>
        </w:rPr>
        <w:t>There are circumstances where a patient admitted for mental health treatment may also require cover to medical/surgical treatment</w:t>
      </w:r>
      <w:r w:rsidR="00461B68">
        <w:rPr>
          <w:rFonts w:ascii="Calibri" w:hAnsi="Calibri" w:cs="Calibri"/>
          <w:color w:val="000000"/>
          <w:lang w:eastAsia="en-AU"/>
        </w:rPr>
        <w:t>,</w:t>
      </w:r>
      <w:r w:rsidRPr="00CE6B19">
        <w:rPr>
          <w:rFonts w:ascii="Calibri" w:hAnsi="Calibri" w:cs="Calibri"/>
          <w:color w:val="000000"/>
          <w:lang w:eastAsia="en-AU"/>
        </w:rPr>
        <w:t xml:space="preserve"> including the provision of mental health treatment and medical/surgical treatment on the same day</w:t>
      </w:r>
    </w:p>
    <w:p w14:paraId="32DE76A7" w14:textId="1EC17EAF" w:rsidR="00DF18F7" w:rsidRPr="00CE6B19" w:rsidRDefault="00DF18F7" w:rsidP="00DF18F7">
      <w:pPr>
        <w:pStyle w:val="ListParagraph"/>
        <w:numPr>
          <w:ilvl w:val="0"/>
          <w:numId w:val="9"/>
        </w:numPr>
        <w:rPr>
          <w:rFonts w:ascii="Calibri" w:hAnsi="Calibri" w:cs="Calibri"/>
          <w:color w:val="000000"/>
          <w:lang w:eastAsia="en-AU"/>
        </w:rPr>
      </w:pPr>
      <w:r w:rsidRPr="00CE6B19">
        <w:rPr>
          <w:rFonts w:ascii="Calibri" w:hAnsi="Calibri" w:cs="Calibri"/>
          <w:color w:val="000000"/>
          <w:lang w:eastAsia="en-AU"/>
        </w:rPr>
        <w:t>There are circumstances where a patient may need to be transferred from a private psychiatric facility to a medical/surgical facility in order to be concurrently treated for both mental and physical conditions</w:t>
      </w:r>
    </w:p>
    <w:p w14:paraId="1B7AC0C2" w14:textId="39A514E1" w:rsidR="00DF18F7" w:rsidRPr="00CE6B19" w:rsidRDefault="00DF18F7" w:rsidP="00DF18F7">
      <w:pPr>
        <w:pStyle w:val="ListParagraph"/>
        <w:numPr>
          <w:ilvl w:val="0"/>
          <w:numId w:val="9"/>
        </w:numPr>
        <w:rPr>
          <w:rFonts w:ascii="Calibri" w:hAnsi="Calibri" w:cs="Calibri"/>
          <w:color w:val="000000"/>
          <w:lang w:eastAsia="en-AU"/>
        </w:rPr>
      </w:pPr>
      <w:r w:rsidRPr="00CE6B19">
        <w:rPr>
          <w:rFonts w:ascii="Calibri" w:hAnsi="Calibri" w:cs="Calibri"/>
          <w:color w:val="000000"/>
          <w:lang w:eastAsia="en-AU"/>
        </w:rPr>
        <w:t>There may be circumstances where a patient may need to receive medical treatment for a physical condition within a psychiatric facility</w:t>
      </w:r>
    </w:p>
    <w:p w14:paraId="4F418F05" w14:textId="5CB32329" w:rsidR="00DF18F7" w:rsidRPr="00CE6B19" w:rsidRDefault="00DF18F7" w:rsidP="00DF18F7">
      <w:pPr>
        <w:pStyle w:val="ListParagraph"/>
        <w:numPr>
          <w:ilvl w:val="0"/>
          <w:numId w:val="9"/>
        </w:numPr>
        <w:rPr>
          <w:rFonts w:ascii="Calibri" w:hAnsi="Calibri" w:cs="Calibri"/>
          <w:color w:val="000000"/>
          <w:lang w:eastAsia="en-AU"/>
        </w:rPr>
      </w:pPr>
      <w:r w:rsidRPr="00CE6B19">
        <w:rPr>
          <w:rFonts w:ascii="Calibri" w:hAnsi="Calibri" w:cs="Calibri"/>
          <w:color w:val="000000"/>
          <w:lang w:eastAsia="en-AU"/>
        </w:rPr>
        <w:t xml:space="preserve">There may be circumstances where a patient admitted to a medical/surgical facility for medical/surgical treatment may concurrently require mental </w:t>
      </w:r>
      <w:r w:rsidR="00134B4D">
        <w:rPr>
          <w:rFonts w:ascii="Calibri" w:hAnsi="Calibri" w:cs="Calibri"/>
          <w:color w:val="000000"/>
          <w:lang w:eastAsia="en-AU"/>
        </w:rPr>
        <w:t>healthcare</w:t>
      </w:r>
    </w:p>
    <w:p w14:paraId="211883AB" w14:textId="3941E940" w:rsidR="00DF18F7" w:rsidRDefault="00DF18F7" w:rsidP="00DF18F7">
      <w:pPr>
        <w:pStyle w:val="ListParagraph"/>
        <w:numPr>
          <w:ilvl w:val="0"/>
          <w:numId w:val="9"/>
        </w:numPr>
        <w:rPr>
          <w:rFonts w:ascii="Calibri" w:hAnsi="Calibri" w:cs="Calibri"/>
          <w:color w:val="000000"/>
          <w:lang w:eastAsia="en-AU"/>
        </w:rPr>
      </w:pPr>
      <w:r w:rsidRPr="00CE6B19">
        <w:rPr>
          <w:rFonts w:ascii="Calibri" w:hAnsi="Calibri" w:cs="Calibri"/>
          <w:color w:val="000000"/>
          <w:lang w:eastAsia="en-AU"/>
        </w:rPr>
        <w:t xml:space="preserve">There may be circumstances where a patient requires concurrent physical rehabilitation and mental </w:t>
      </w:r>
      <w:r w:rsidR="00134B4D">
        <w:rPr>
          <w:rFonts w:ascii="Calibri" w:hAnsi="Calibri" w:cs="Calibri"/>
          <w:color w:val="000000"/>
          <w:lang w:eastAsia="en-AU"/>
        </w:rPr>
        <w:t>healthcare</w:t>
      </w:r>
      <w:r w:rsidRPr="00CE6B19">
        <w:rPr>
          <w:rFonts w:ascii="Calibri" w:hAnsi="Calibri" w:cs="Calibri"/>
          <w:color w:val="000000"/>
          <w:lang w:eastAsia="en-AU"/>
        </w:rPr>
        <w:t>.</w:t>
      </w:r>
    </w:p>
    <w:p w14:paraId="447FEA39" w14:textId="77777777" w:rsidR="00DF18F7" w:rsidRDefault="00DF18F7" w:rsidP="00DF18F7">
      <w:pPr>
        <w:ind w:left="720"/>
        <w:rPr>
          <w:rFonts w:ascii="Calibri" w:hAnsi="Calibri" w:cs="Calibri"/>
          <w:color w:val="000000"/>
          <w:lang w:eastAsia="en-AU"/>
        </w:rPr>
      </w:pPr>
    </w:p>
    <w:p w14:paraId="7A4961E6" w14:textId="77777777" w:rsidR="00DF18F7" w:rsidRDefault="00DF18F7" w:rsidP="00DF18F7">
      <w:pPr>
        <w:spacing w:after="160" w:line="259" w:lineRule="auto"/>
        <w:rPr>
          <w:rFonts w:ascii="Calibri" w:hAnsi="Calibri" w:cs="Calibri"/>
          <w:b/>
          <w:color w:val="000000"/>
          <w:lang w:eastAsia="en-AU"/>
        </w:rPr>
      </w:pPr>
      <w:r>
        <w:br w:type="page"/>
      </w:r>
    </w:p>
    <w:p w14:paraId="6C3DA28C" w14:textId="6B2C264C" w:rsidR="00DF18F7" w:rsidRPr="002035F6" w:rsidRDefault="00DF18F7" w:rsidP="00DF18F7">
      <w:pPr>
        <w:pStyle w:val="Heading2"/>
      </w:pPr>
      <w:bookmarkStart w:id="82" w:name="_Toc27494531"/>
      <w:bookmarkStart w:id="83" w:name="_Toc27494728"/>
      <w:bookmarkStart w:id="84" w:name="_Toc27664136"/>
      <w:r w:rsidRPr="002035F6">
        <w:t>Evidence</w:t>
      </w:r>
      <w:r w:rsidR="00822E0D">
        <w:t>-b</w:t>
      </w:r>
      <w:r w:rsidRPr="002035F6">
        <w:t>ased Care</w:t>
      </w:r>
      <w:bookmarkEnd w:id="82"/>
      <w:bookmarkEnd w:id="83"/>
      <w:bookmarkEnd w:id="84"/>
    </w:p>
    <w:p w14:paraId="1391C794" w14:textId="77777777" w:rsidR="00DF18F7" w:rsidRPr="0097316E" w:rsidRDefault="00DF18F7" w:rsidP="00DF18F7">
      <w:pPr>
        <w:rPr>
          <w:rFonts w:cstheme="minorHAnsi"/>
          <w:b/>
        </w:rPr>
      </w:pPr>
    </w:p>
    <w:p w14:paraId="1B1211FD" w14:textId="0EB936AC" w:rsidR="00DF18F7" w:rsidRPr="001A56C0" w:rsidRDefault="00DF18F7" w:rsidP="001A56C0">
      <w:pPr>
        <w:pStyle w:val="Heading3"/>
        <w:keepNext w:val="0"/>
        <w:keepLines w:val="0"/>
        <w:numPr>
          <w:ilvl w:val="0"/>
          <w:numId w:val="6"/>
        </w:numPr>
        <w:spacing w:before="0"/>
        <w:contextualSpacing/>
        <w:rPr>
          <w:rFonts w:ascii="Calibri" w:hAnsi="Calibri" w:cs="Calibri"/>
          <w:color w:val="000000"/>
          <w:lang w:eastAsia="en-AU"/>
        </w:rPr>
      </w:pPr>
      <w:bookmarkStart w:id="85" w:name="_Toc27494532"/>
      <w:bookmarkStart w:id="86" w:name="_Toc27494729"/>
      <w:r w:rsidRPr="0097316E">
        <w:t xml:space="preserve">Ensure MBS Review recommendations facilitate the delivery of </w:t>
      </w:r>
      <w:r w:rsidRPr="00C16875">
        <w:t>consumer</w:t>
      </w:r>
      <w:r w:rsidR="00822E0D" w:rsidRPr="00C16875">
        <w:t>-</w:t>
      </w:r>
      <w:r w:rsidRPr="00C16875">
        <w:t>centred</w:t>
      </w:r>
      <w:r w:rsidRPr="0097316E">
        <w:t xml:space="preserve"> care and good clinical practice in private sector settings.</w:t>
      </w:r>
      <w:bookmarkEnd w:id="85"/>
      <w:bookmarkEnd w:id="86"/>
      <w:r w:rsidRPr="0097316E">
        <w:t xml:space="preserve"> </w:t>
      </w:r>
      <w:r w:rsidR="001A56C0">
        <w:br/>
      </w:r>
    </w:p>
    <w:p w14:paraId="1F48EA4F" w14:textId="51BBEEEB" w:rsidR="00DF18F7" w:rsidRDefault="00DF18F7" w:rsidP="00DF18F7">
      <w:pPr>
        <w:ind w:left="720"/>
        <w:rPr>
          <w:rFonts w:ascii="Calibri" w:hAnsi="Calibri" w:cs="Calibri"/>
          <w:color w:val="000000"/>
          <w:lang w:eastAsia="en-AU"/>
        </w:rPr>
      </w:pPr>
      <w:r w:rsidRPr="0097316E">
        <w:rPr>
          <w:rFonts w:ascii="Calibri" w:hAnsi="Calibri" w:cs="Calibri"/>
          <w:color w:val="000000"/>
          <w:lang w:eastAsia="en-AU"/>
        </w:rPr>
        <w:t xml:space="preserve">APHA has </w:t>
      </w:r>
      <w:r w:rsidR="00822E0D">
        <w:rPr>
          <w:rFonts w:ascii="Calibri" w:hAnsi="Calibri" w:cs="Calibri"/>
          <w:color w:val="000000"/>
          <w:lang w:eastAsia="en-AU"/>
        </w:rPr>
        <w:t>contributed</w:t>
      </w:r>
      <w:r w:rsidRPr="0097316E">
        <w:rPr>
          <w:rFonts w:ascii="Calibri" w:hAnsi="Calibri" w:cs="Calibri"/>
          <w:color w:val="000000"/>
          <w:lang w:eastAsia="en-AU"/>
        </w:rPr>
        <w:t xml:space="preserve"> to MBS Review consultations to ensure recommendations support the provision of appropriate evidence</w:t>
      </w:r>
      <w:r w:rsidR="00822E0D">
        <w:rPr>
          <w:rFonts w:ascii="Calibri" w:hAnsi="Calibri" w:cs="Calibri"/>
          <w:color w:val="000000"/>
          <w:lang w:eastAsia="en-AU"/>
        </w:rPr>
        <w:t>-</w:t>
      </w:r>
      <w:r w:rsidRPr="0097316E">
        <w:rPr>
          <w:rFonts w:ascii="Calibri" w:hAnsi="Calibri" w:cs="Calibri"/>
          <w:color w:val="000000"/>
          <w:lang w:eastAsia="en-AU"/>
        </w:rPr>
        <w:t>based care in the private hospital sector.</w:t>
      </w:r>
    </w:p>
    <w:p w14:paraId="2AC93F2F" w14:textId="77777777" w:rsidR="002842B6" w:rsidRDefault="002842B6" w:rsidP="00DF18F7">
      <w:pPr>
        <w:ind w:left="720"/>
        <w:rPr>
          <w:rFonts w:ascii="Calibri" w:hAnsi="Calibri" w:cs="Calibri"/>
          <w:color w:val="000000"/>
          <w:lang w:eastAsia="en-AU"/>
        </w:rPr>
      </w:pPr>
    </w:p>
    <w:p w14:paraId="4B51928B" w14:textId="207C8437" w:rsidR="00DF18F7" w:rsidRDefault="001A56C0" w:rsidP="001A56C0">
      <w:pPr>
        <w:ind w:left="720"/>
        <w:rPr>
          <w:rFonts w:ascii="Calibri" w:hAnsi="Calibri" w:cs="Calibri"/>
          <w:color w:val="000000"/>
          <w:lang w:eastAsia="en-AU"/>
        </w:rPr>
      </w:pPr>
      <w:r>
        <w:rPr>
          <w:rFonts w:ascii="Calibri" w:hAnsi="Calibri" w:cs="Calibri"/>
          <w:color w:val="000000"/>
          <w:lang w:eastAsia="en-AU"/>
        </w:rPr>
        <w:t>Thus far</w:t>
      </w:r>
      <w:r w:rsidR="00C84F09">
        <w:rPr>
          <w:rFonts w:ascii="Calibri" w:hAnsi="Calibri" w:cs="Calibri"/>
          <w:color w:val="000000"/>
          <w:lang w:eastAsia="en-AU"/>
        </w:rPr>
        <w:t>,</w:t>
      </w:r>
      <w:r w:rsidR="00822E0D">
        <w:rPr>
          <w:rFonts w:ascii="Calibri" w:hAnsi="Calibri" w:cs="Calibri"/>
          <w:color w:val="000000"/>
          <w:lang w:eastAsia="en-AU"/>
        </w:rPr>
        <w:t xml:space="preserve"> MBS Review </w:t>
      </w:r>
      <w:r>
        <w:rPr>
          <w:rFonts w:ascii="Calibri" w:hAnsi="Calibri" w:cs="Calibri"/>
          <w:color w:val="000000"/>
          <w:lang w:eastAsia="en-AU"/>
        </w:rPr>
        <w:t xml:space="preserve">reforms have led to restrictions on the frequency with which colonoscopies can be performed. Clinical committee reports for many services provided by private hospitals have yet to be considered by the Federal Government. </w:t>
      </w:r>
    </w:p>
    <w:p w14:paraId="6F5E29E6" w14:textId="77777777" w:rsidR="002842B6" w:rsidRPr="0097316E" w:rsidRDefault="002842B6" w:rsidP="001A56C0">
      <w:pPr>
        <w:ind w:left="720"/>
        <w:rPr>
          <w:rFonts w:ascii="Calibri" w:hAnsi="Calibri" w:cs="Calibri"/>
          <w:color w:val="000000"/>
          <w:lang w:eastAsia="en-AU"/>
        </w:rPr>
      </w:pPr>
    </w:p>
    <w:p w14:paraId="414CFDEA" w14:textId="52BC604A" w:rsidR="00DF18F7" w:rsidRPr="001A56C0" w:rsidRDefault="00DF18F7" w:rsidP="00EE4A96">
      <w:pPr>
        <w:pStyle w:val="Heading3"/>
        <w:keepNext w:val="0"/>
        <w:keepLines w:val="0"/>
        <w:numPr>
          <w:ilvl w:val="0"/>
          <w:numId w:val="6"/>
        </w:numPr>
        <w:spacing w:before="0"/>
        <w:contextualSpacing/>
        <w:rPr>
          <w:rFonts w:ascii="Calibri" w:hAnsi="Calibri" w:cs="Calibri"/>
          <w:color w:val="000000"/>
          <w:lang w:eastAsia="en-AU"/>
        </w:rPr>
      </w:pPr>
      <w:bookmarkStart w:id="87" w:name="_Toc27494533"/>
      <w:bookmarkStart w:id="88" w:name="_Toc27494730"/>
      <w:r w:rsidRPr="0097316E">
        <w:t xml:space="preserve">Ensure changes to </w:t>
      </w:r>
      <w:r w:rsidR="000D3EB7">
        <w:t xml:space="preserve">the </w:t>
      </w:r>
      <w:r w:rsidRPr="0097316E">
        <w:t>MBS are appropriately translated to Private Health Insurance Rules and information/education for doctors</w:t>
      </w:r>
      <w:bookmarkEnd w:id="87"/>
      <w:bookmarkEnd w:id="88"/>
      <w:r w:rsidR="00822E0D">
        <w:t>.</w:t>
      </w:r>
      <w:r w:rsidRPr="0097316E">
        <w:t xml:space="preserve"> </w:t>
      </w:r>
      <w:r w:rsidR="001A56C0">
        <w:br/>
      </w:r>
    </w:p>
    <w:p w14:paraId="41B5C1B7" w14:textId="1A338CA8" w:rsidR="00DF18F7" w:rsidRDefault="00DF18F7" w:rsidP="00DF18F7">
      <w:pPr>
        <w:ind w:left="720"/>
        <w:rPr>
          <w:rFonts w:ascii="Calibri" w:hAnsi="Calibri" w:cs="Calibri"/>
          <w:color w:val="000000"/>
          <w:lang w:eastAsia="en-AU"/>
        </w:rPr>
      </w:pPr>
      <w:r w:rsidRPr="0097316E">
        <w:rPr>
          <w:rFonts w:ascii="Calibri" w:hAnsi="Calibri" w:cs="Calibri"/>
          <w:color w:val="000000"/>
          <w:lang w:eastAsia="en-AU"/>
        </w:rPr>
        <w:t>APHA is an activ</w:t>
      </w:r>
      <w:r>
        <w:rPr>
          <w:rFonts w:ascii="Calibri" w:hAnsi="Calibri" w:cs="Calibri"/>
          <w:color w:val="000000"/>
          <w:lang w:eastAsia="en-AU"/>
        </w:rPr>
        <w:t>e</w:t>
      </w:r>
      <w:r w:rsidRPr="0097316E">
        <w:rPr>
          <w:rFonts w:ascii="Calibri" w:hAnsi="Calibri" w:cs="Calibri"/>
          <w:color w:val="000000"/>
          <w:lang w:eastAsia="en-AU"/>
        </w:rPr>
        <w:t xml:space="preserve"> participant in the implementation liaison advisory groups established to support the implementation of MBS Review recommendations</w:t>
      </w:r>
      <w:r w:rsidR="002842B6">
        <w:rPr>
          <w:rFonts w:ascii="Calibri" w:hAnsi="Calibri" w:cs="Calibri"/>
          <w:color w:val="000000"/>
          <w:lang w:eastAsia="en-AU"/>
        </w:rPr>
        <w:t>.</w:t>
      </w:r>
    </w:p>
    <w:p w14:paraId="2E529802" w14:textId="77777777" w:rsidR="002842B6" w:rsidRPr="0097316E" w:rsidRDefault="002842B6" w:rsidP="00DF18F7">
      <w:pPr>
        <w:ind w:left="720"/>
        <w:rPr>
          <w:rFonts w:ascii="Calibri" w:hAnsi="Calibri" w:cs="Calibri"/>
          <w:color w:val="000000"/>
          <w:lang w:eastAsia="en-AU"/>
        </w:rPr>
      </w:pPr>
    </w:p>
    <w:p w14:paraId="55F315D8" w14:textId="37405480" w:rsidR="00DF18F7" w:rsidRDefault="00DF18F7" w:rsidP="00DF18F7">
      <w:pPr>
        <w:ind w:left="720"/>
        <w:rPr>
          <w:rFonts w:ascii="Calibri" w:hAnsi="Calibri" w:cs="Calibri"/>
          <w:color w:val="000000"/>
          <w:lang w:eastAsia="en-AU"/>
        </w:rPr>
      </w:pPr>
      <w:r w:rsidRPr="0097316E">
        <w:rPr>
          <w:rFonts w:ascii="Calibri" w:hAnsi="Calibri" w:cs="Calibri"/>
          <w:color w:val="000000"/>
          <w:lang w:eastAsia="en-AU"/>
        </w:rPr>
        <w:t xml:space="preserve">Some health </w:t>
      </w:r>
      <w:r>
        <w:rPr>
          <w:rFonts w:ascii="Calibri" w:hAnsi="Calibri" w:cs="Calibri"/>
          <w:color w:val="000000"/>
          <w:lang w:eastAsia="en-AU"/>
        </w:rPr>
        <w:t>insurers</w:t>
      </w:r>
      <w:r w:rsidRPr="0097316E">
        <w:rPr>
          <w:rFonts w:ascii="Calibri" w:hAnsi="Calibri" w:cs="Calibri"/>
          <w:color w:val="000000"/>
          <w:lang w:eastAsia="en-AU"/>
        </w:rPr>
        <w:t xml:space="preserve"> have advocated </w:t>
      </w:r>
      <w:r w:rsidR="00822E0D">
        <w:rPr>
          <w:rFonts w:ascii="Calibri" w:hAnsi="Calibri" w:cs="Calibri"/>
          <w:color w:val="000000"/>
          <w:lang w:eastAsia="en-AU"/>
        </w:rPr>
        <w:t>for some</w:t>
      </w:r>
      <w:r w:rsidRPr="0097316E">
        <w:rPr>
          <w:rFonts w:ascii="Calibri" w:hAnsi="Calibri" w:cs="Calibri"/>
          <w:color w:val="000000"/>
          <w:lang w:eastAsia="en-AU"/>
        </w:rPr>
        <w:t xml:space="preserve"> MBS items</w:t>
      </w:r>
      <w:r>
        <w:rPr>
          <w:rFonts w:ascii="Calibri" w:hAnsi="Calibri" w:cs="Calibri"/>
          <w:color w:val="000000"/>
          <w:lang w:eastAsia="en-AU"/>
        </w:rPr>
        <w:t xml:space="preserve"> classified as overnight procedures </w:t>
      </w:r>
      <w:r w:rsidR="00822E0D">
        <w:rPr>
          <w:rFonts w:ascii="Calibri" w:hAnsi="Calibri" w:cs="Calibri"/>
          <w:color w:val="000000"/>
          <w:lang w:eastAsia="en-AU"/>
        </w:rPr>
        <w:t xml:space="preserve">to </w:t>
      </w:r>
      <w:r w:rsidRPr="0097316E">
        <w:rPr>
          <w:rFonts w:ascii="Calibri" w:hAnsi="Calibri" w:cs="Calibri"/>
          <w:color w:val="000000"/>
          <w:lang w:eastAsia="en-AU"/>
        </w:rPr>
        <w:t xml:space="preserve">be </w:t>
      </w:r>
      <w:r w:rsidR="00822E0D">
        <w:rPr>
          <w:rFonts w:ascii="Calibri" w:hAnsi="Calibri" w:cs="Calibri"/>
          <w:color w:val="000000"/>
          <w:lang w:eastAsia="en-AU"/>
        </w:rPr>
        <w:t>re-</w:t>
      </w:r>
      <w:r w:rsidRPr="0097316E">
        <w:rPr>
          <w:rFonts w:ascii="Calibri" w:hAnsi="Calibri" w:cs="Calibri"/>
          <w:color w:val="000000"/>
          <w:lang w:eastAsia="en-AU"/>
        </w:rPr>
        <w:t>classified a</w:t>
      </w:r>
      <w:r w:rsidR="000D3EB7">
        <w:rPr>
          <w:rFonts w:ascii="Calibri" w:hAnsi="Calibri" w:cs="Calibri"/>
          <w:color w:val="000000"/>
          <w:lang w:eastAsia="en-AU"/>
        </w:rPr>
        <w:t>s</w:t>
      </w:r>
      <w:r w:rsidRPr="0097316E">
        <w:rPr>
          <w:rFonts w:ascii="Calibri" w:hAnsi="Calibri" w:cs="Calibri"/>
          <w:color w:val="000000"/>
          <w:lang w:eastAsia="en-AU"/>
        </w:rPr>
        <w:t xml:space="preserve"> day procedures</w:t>
      </w:r>
      <w:r w:rsidR="00822E0D">
        <w:rPr>
          <w:rFonts w:ascii="Calibri" w:hAnsi="Calibri" w:cs="Calibri"/>
          <w:color w:val="000000"/>
          <w:lang w:eastAsia="en-AU"/>
        </w:rPr>
        <w:t>,</w:t>
      </w:r>
      <w:r w:rsidRPr="0097316E">
        <w:rPr>
          <w:rFonts w:ascii="Calibri" w:hAnsi="Calibri" w:cs="Calibri"/>
          <w:color w:val="000000"/>
          <w:lang w:eastAsia="en-AU"/>
        </w:rPr>
        <w:t xml:space="preserve"> for the purposes of the Private Health Insurance Rules</w:t>
      </w:r>
      <w:r>
        <w:rPr>
          <w:rFonts w:ascii="Calibri" w:hAnsi="Calibri" w:cs="Calibri"/>
          <w:color w:val="000000"/>
          <w:lang w:eastAsia="en-AU"/>
        </w:rPr>
        <w:t xml:space="preserve">. </w:t>
      </w:r>
      <w:r w:rsidRPr="0097316E">
        <w:rPr>
          <w:rFonts w:ascii="Calibri" w:hAnsi="Calibri" w:cs="Calibri"/>
          <w:color w:val="000000"/>
          <w:lang w:eastAsia="en-AU"/>
        </w:rPr>
        <w:t>APHA is examining each recommendation on a case</w:t>
      </w:r>
      <w:r w:rsidR="00822E0D">
        <w:rPr>
          <w:rFonts w:ascii="Calibri" w:hAnsi="Calibri" w:cs="Calibri"/>
          <w:color w:val="000000"/>
          <w:lang w:eastAsia="en-AU"/>
        </w:rPr>
        <w:t>-</w:t>
      </w:r>
      <w:r w:rsidRPr="0097316E">
        <w:rPr>
          <w:rFonts w:ascii="Calibri" w:hAnsi="Calibri" w:cs="Calibri"/>
          <w:color w:val="000000"/>
          <w:lang w:eastAsia="en-AU"/>
        </w:rPr>
        <w:t>by</w:t>
      </w:r>
      <w:r w:rsidR="00822E0D">
        <w:rPr>
          <w:rFonts w:ascii="Calibri" w:hAnsi="Calibri" w:cs="Calibri"/>
          <w:color w:val="000000"/>
          <w:lang w:eastAsia="en-AU"/>
        </w:rPr>
        <w:t>-</w:t>
      </w:r>
      <w:r w:rsidRPr="0097316E">
        <w:rPr>
          <w:rFonts w:ascii="Calibri" w:hAnsi="Calibri" w:cs="Calibri"/>
          <w:color w:val="000000"/>
          <w:lang w:eastAsia="en-AU"/>
        </w:rPr>
        <w:t>case basis to ensure recommendations are evidence</w:t>
      </w:r>
      <w:r w:rsidR="00822E0D">
        <w:rPr>
          <w:rFonts w:ascii="Calibri" w:hAnsi="Calibri" w:cs="Calibri"/>
          <w:color w:val="000000"/>
          <w:lang w:eastAsia="en-AU"/>
        </w:rPr>
        <w:t>-</w:t>
      </w:r>
      <w:r w:rsidRPr="0097316E">
        <w:rPr>
          <w:rFonts w:ascii="Calibri" w:hAnsi="Calibri" w:cs="Calibri"/>
          <w:color w:val="000000"/>
          <w:lang w:eastAsia="en-AU"/>
        </w:rPr>
        <w:t xml:space="preserve">based and </w:t>
      </w:r>
      <w:r>
        <w:rPr>
          <w:rFonts w:ascii="Calibri" w:hAnsi="Calibri" w:cs="Calibri"/>
          <w:color w:val="000000"/>
          <w:lang w:eastAsia="en-AU"/>
        </w:rPr>
        <w:t xml:space="preserve">are (or can be) </w:t>
      </w:r>
      <w:r w:rsidRPr="0097316E">
        <w:rPr>
          <w:rFonts w:ascii="Calibri" w:hAnsi="Calibri" w:cs="Calibri"/>
          <w:color w:val="000000"/>
          <w:lang w:eastAsia="en-AU"/>
        </w:rPr>
        <w:t>smoothly implemented in the private sector without the risk of unintended consequences</w:t>
      </w:r>
      <w:r>
        <w:rPr>
          <w:rFonts w:ascii="Calibri" w:hAnsi="Calibri" w:cs="Calibri"/>
          <w:color w:val="000000"/>
          <w:lang w:eastAsia="en-AU"/>
        </w:rPr>
        <w:t xml:space="preserve">. </w:t>
      </w:r>
      <w:r w:rsidRPr="0097316E">
        <w:rPr>
          <w:rFonts w:ascii="Calibri" w:hAnsi="Calibri" w:cs="Calibri"/>
          <w:color w:val="000000"/>
          <w:lang w:eastAsia="en-AU"/>
        </w:rPr>
        <w:t>Such unintended consequences would include:</w:t>
      </w:r>
      <w:r>
        <w:rPr>
          <w:rFonts w:ascii="Calibri" w:hAnsi="Calibri" w:cs="Calibri"/>
          <w:color w:val="000000"/>
          <w:lang w:eastAsia="en-AU"/>
        </w:rPr>
        <w:t xml:space="preserve"> </w:t>
      </w:r>
    </w:p>
    <w:p w14:paraId="28561916" w14:textId="77777777" w:rsidR="002842B6" w:rsidRDefault="002842B6" w:rsidP="00DF18F7">
      <w:pPr>
        <w:ind w:left="720"/>
        <w:rPr>
          <w:rFonts w:ascii="Calibri" w:hAnsi="Calibri" w:cs="Calibri"/>
          <w:color w:val="000000"/>
          <w:lang w:eastAsia="en-AU"/>
        </w:rPr>
      </w:pPr>
    </w:p>
    <w:p w14:paraId="4E5D9B6E" w14:textId="7E37C598" w:rsidR="00DF18F7" w:rsidRPr="00214FF6" w:rsidRDefault="00822E0D" w:rsidP="00DF18F7">
      <w:pPr>
        <w:pStyle w:val="ListParagraph"/>
        <w:numPr>
          <w:ilvl w:val="0"/>
          <w:numId w:val="8"/>
        </w:numPr>
        <w:rPr>
          <w:rFonts w:ascii="Calibri" w:hAnsi="Calibri" w:cs="Calibri"/>
          <w:color w:val="000000"/>
          <w:lang w:eastAsia="en-AU"/>
        </w:rPr>
      </w:pPr>
      <w:r>
        <w:rPr>
          <w:rFonts w:ascii="Calibri" w:hAnsi="Calibri" w:cs="Calibri"/>
          <w:color w:val="000000"/>
          <w:lang w:eastAsia="en-AU"/>
        </w:rPr>
        <w:t>A</w:t>
      </w:r>
      <w:r w:rsidR="00DF18F7" w:rsidRPr="00214FF6">
        <w:rPr>
          <w:rFonts w:ascii="Calibri" w:hAnsi="Calibri" w:cs="Calibri"/>
          <w:color w:val="000000"/>
          <w:lang w:eastAsia="en-AU"/>
        </w:rPr>
        <w:t>n unacceptable administrative burden if MBS items were incorrectly classified for the purposes of the Private Health Insurance Rule</w:t>
      </w:r>
      <w:r w:rsidR="002842B6">
        <w:rPr>
          <w:rFonts w:ascii="Calibri" w:hAnsi="Calibri" w:cs="Calibri"/>
          <w:color w:val="000000"/>
          <w:lang w:eastAsia="en-AU"/>
        </w:rPr>
        <w:t>s</w:t>
      </w:r>
      <w:r w:rsidR="00DF18F7" w:rsidRPr="00214FF6">
        <w:rPr>
          <w:rFonts w:ascii="Calibri" w:hAnsi="Calibri" w:cs="Calibri"/>
          <w:color w:val="000000"/>
          <w:lang w:eastAsia="en-AU"/>
        </w:rPr>
        <w:t xml:space="preserve"> </w:t>
      </w:r>
    </w:p>
    <w:p w14:paraId="7820B342" w14:textId="3DE44182" w:rsidR="00DF18F7" w:rsidRPr="00214FF6" w:rsidRDefault="00822E0D" w:rsidP="00DF18F7">
      <w:pPr>
        <w:pStyle w:val="ListParagraph"/>
        <w:numPr>
          <w:ilvl w:val="0"/>
          <w:numId w:val="8"/>
        </w:numPr>
        <w:rPr>
          <w:rFonts w:ascii="Calibri" w:hAnsi="Calibri" w:cs="Calibri"/>
          <w:color w:val="000000"/>
          <w:lang w:eastAsia="en-AU"/>
        </w:rPr>
      </w:pPr>
      <w:r>
        <w:rPr>
          <w:rFonts w:ascii="Calibri" w:hAnsi="Calibri" w:cs="Calibri"/>
          <w:color w:val="000000"/>
          <w:lang w:eastAsia="en-AU"/>
        </w:rPr>
        <w:t>I</w:t>
      </w:r>
      <w:r w:rsidR="00DF18F7" w:rsidRPr="00214FF6">
        <w:rPr>
          <w:rFonts w:ascii="Calibri" w:hAnsi="Calibri" w:cs="Calibri"/>
          <w:color w:val="000000"/>
          <w:lang w:eastAsia="en-AU"/>
        </w:rPr>
        <w:t>ncreased out</w:t>
      </w:r>
      <w:r>
        <w:rPr>
          <w:rFonts w:ascii="Calibri" w:hAnsi="Calibri" w:cs="Calibri"/>
          <w:color w:val="000000"/>
          <w:lang w:eastAsia="en-AU"/>
        </w:rPr>
        <w:t>-</w:t>
      </w:r>
      <w:r w:rsidR="00DF18F7" w:rsidRPr="00214FF6">
        <w:rPr>
          <w:rFonts w:ascii="Calibri" w:hAnsi="Calibri" w:cs="Calibri"/>
          <w:color w:val="000000"/>
          <w:lang w:eastAsia="en-AU"/>
        </w:rPr>
        <w:t>of</w:t>
      </w:r>
      <w:r>
        <w:rPr>
          <w:rFonts w:ascii="Calibri" w:hAnsi="Calibri" w:cs="Calibri"/>
          <w:color w:val="000000"/>
          <w:lang w:eastAsia="en-AU"/>
        </w:rPr>
        <w:t>-</w:t>
      </w:r>
      <w:r w:rsidR="00DF18F7" w:rsidRPr="00214FF6">
        <w:rPr>
          <w:rFonts w:ascii="Calibri" w:hAnsi="Calibri" w:cs="Calibri"/>
          <w:color w:val="000000"/>
          <w:lang w:eastAsia="en-AU"/>
        </w:rPr>
        <w:t xml:space="preserve">pocket charges by doctors  </w:t>
      </w:r>
    </w:p>
    <w:p w14:paraId="1989E530" w14:textId="7D585B8D" w:rsidR="00DF18F7" w:rsidRPr="00214FF6" w:rsidRDefault="00822E0D" w:rsidP="00DF18F7">
      <w:pPr>
        <w:pStyle w:val="ListParagraph"/>
        <w:numPr>
          <w:ilvl w:val="0"/>
          <w:numId w:val="8"/>
        </w:numPr>
        <w:rPr>
          <w:rFonts w:ascii="Calibri" w:hAnsi="Calibri" w:cs="Calibri"/>
          <w:color w:val="000000"/>
          <w:lang w:eastAsia="en-AU"/>
        </w:rPr>
      </w:pPr>
      <w:r>
        <w:rPr>
          <w:rFonts w:ascii="Calibri" w:hAnsi="Calibri" w:cs="Calibri"/>
          <w:color w:val="000000"/>
          <w:lang w:eastAsia="en-AU"/>
        </w:rPr>
        <w:t>C</w:t>
      </w:r>
      <w:r w:rsidR="00DF18F7" w:rsidRPr="00214FF6">
        <w:rPr>
          <w:rFonts w:ascii="Calibri" w:hAnsi="Calibri" w:cs="Calibri"/>
          <w:color w:val="000000"/>
          <w:lang w:eastAsia="en-AU"/>
        </w:rPr>
        <w:t>essation of services in the private sector</w:t>
      </w:r>
      <w:r w:rsidR="00DF18F7">
        <w:rPr>
          <w:rFonts w:ascii="Calibri" w:hAnsi="Calibri" w:cs="Calibri"/>
          <w:color w:val="000000"/>
          <w:lang w:eastAsia="en-AU"/>
        </w:rPr>
        <w:t xml:space="preserve"> and a consequent increased burden on the public system</w:t>
      </w:r>
      <w:r w:rsidR="00DF18F7" w:rsidRPr="00214FF6">
        <w:rPr>
          <w:rFonts w:ascii="Calibri" w:hAnsi="Calibri" w:cs="Calibri"/>
          <w:color w:val="000000"/>
          <w:lang w:eastAsia="en-AU"/>
        </w:rPr>
        <w:t>.</w:t>
      </w:r>
    </w:p>
    <w:p w14:paraId="5A2A1FCD" w14:textId="77777777" w:rsidR="00DF18F7" w:rsidRPr="0097316E" w:rsidRDefault="00DF18F7" w:rsidP="00DF18F7">
      <w:pPr>
        <w:ind w:left="720"/>
        <w:rPr>
          <w:rFonts w:ascii="Calibri" w:hAnsi="Calibri" w:cs="Calibri"/>
          <w:color w:val="000000"/>
          <w:lang w:eastAsia="en-AU"/>
        </w:rPr>
      </w:pPr>
    </w:p>
    <w:p w14:paraId="1D12F29C" w14:textId="77777777" w:rsidR="00DF18F7" w:rsidRDefault="00DF18F7" w:rsidP="00DF18F7">
      <w:pPr>
        <w:spacing w:after="160" w:line="259" w:lineRule="auto"/>
        <w:rPr>
          <w:rFonts w:ascii="Calibri" w:hAnsi="Calibri" w:cs="Calibri"/>
          <w:b/>
          <w:color w:val="000000"/>
          <w:lang w:eastAsia="en-AU"/>
        </w:rPr>
      </w:pPr>
      <w:r>
        <w:br w:type="page"/>
      </w:r>
    </w:p>
    <w:p w14:paraId="7AF21D2A" w14:textId="3A42E9C9" w:rsidR="00DF18F7" w:rsidRDefault="00DF18F7" w:rsidP="00DF18F7">
      <w:pPr>
        <w:pStyle w:val="Heading2"/>
      </w:pPr>
      <w:bookmarkStart w:id="89" w:name="_Toc27494534"/>
      <w:bookmarkStart w:id="90" w:name="_Toc27494731"/>
      <w:bookmarkStart w:id="91" w:name="_Toc27664137"/>
      <w:r w:rsidRPr="002035F6">
        <w:t xml:space="preserve">Consumer </w:t>
      </w:r>
      <w:r w:rsidR="00EE4A96">
        <w:t>E</w:t>
      </w:r>
      <w:r w:rsidRPr="002035F6">
        <w:t>xperience</w:t>
      </w:r>
      <w:bookmarkEnd w:id="89"/>
      <w:bookmarkEnd w:id="90"/>
      <w:bookmarkEnd w:id="91"/>
    </w:p>
    <w:p w14:paraId="340F8FFF" w14:textId="77777777" w:rsidR="002842B6" w:rsidRPr="002842B6" w:rsidRDefault="002842B6" w:rsidP="002842B6"/>
    <w:p w14:paraId="62309649" w14:textId="66C27C62" w:rsidR="00DF18F7" w:rsidRPr="001A56C0" w:rsidRDefault="00DF18F7" w:rsidP="00EE4A96">
      <w:pPr>
        <w:pStyle w:val="Heading3"/>
        <w:keepNext w:val="0"/>
        <w:keepLines w:val="0"/>
        <w:numPr>
          <w:ilvl w:val="0"/>
          <w:numId w:val="6"/>
        </w:numPr>
        <w:spacing w:before="0"/>
        <w:contextualSpacing/>
        <w:rPr>
          <w:rFonts w:cstheme="minorHAnsi"/>
        </w:rPr>
      </w:pPr>
      <w:bookmarkStart w:id="92" w:name="_Toc27494535"/>
      <w:bookmarkStart w:id="93" w:name="_Toc27494732"/>
      <w:r w:rsidRPr="0097316E">
        <w:t>Ensure transparency of information on out-of-pocket costs by progressing with the already announced information portal.</w:t>
      </w:r>
      <w:bookmarkEnd w:id="92"/>
      <w:bookmarkEnd w:id="93"/>
      <w:r w:rsidR="001A56C0">
        <w:br/>
      </w:r>
    </w:p>
    <w:p w14:paraId="5F3C5973" w14:textId="4151311A" w:rsidR="00DF18F7" w:rsidRDefault="00DF18F7" w:rsidP="001A56C0">
      <w:pPr>
        <w:ind w:left="720"/>
        <w:rPr>
          <w:rFonts w:cstheme="minorHAnsi"/>
        </w:rPr>
      </w:pPr>
      <w:r w:rsidRPr="00D05217">
        <w:rPr>
          <w:rFonts w:cstheme="minorHAnsi"/>
        </w:rPr>
        <w:t xml:space="preserve">APHA </w:t>
      </w:r>
      <w:r w:rsidR="00822E0D">
        <w:rPr>
          <w:rFonts w:cstheme="minorHAnsi"/>
        </w:rPr>
        <w:t>supports the</w:t>
      </w:r>
      <w:r w:rsidRPr="00D05217">
        <w:rPr>
          <w:rFonts w:cstheme="minorHAnsi"/>
        </w:rPr>
        <w:t xml:space="preserve"> Federal Government</w:t>
      </w:r>
      <w:r w:rsidR="00822E0D">
        <w:rPr>
          <w:rFonts w:cstheme="minorHAnsi"/>
        </w:rPr>
        <w:t>’s initiative</w:t>
      </w:r>
      <w:r>
        <w:rPr>
          <w:rFonts w:cstheme="minorHAnsi"/>
        </w:rPr>
        <w:t xml:space="preserve"> to establish an online portal </w:t>
      </w:r>
      <w:r w:rsidR="00822E0D">
        <w:rPr>
          <w:rFonts w:cstheme="minorHAnsi"/>
        </w:rPr>
        <w:t>where</w:t>
      </w:r>
      <w:r>
        <w:rPr>
          <w:rFonts w:cstheme="minorHAnsi"/>
        </w:rPr>
        <w:t xml:space="preserve"> consumers can access comparative information on specialists</w:t>
      </w:r>
      <w:r w:rsidR="00C37729">
        <w:rPr>
          <w:rFonts w:cstheme="minorHAnsi"/>
        </w:rPr>
        <w:t>’</w:t>
      </w:r>
      <w:r w:rsidR="00822E0D">
        <w:rPr>
          <w:rFonts w:cstheme="minorHAnsi"/>
        </w:rPr>
        <w:t xml:space="preserve"> fees</w:t>
      </w:r>
      <w:r>
        <w:rPr>
          <w:rFonts w:cstheme="minorHAnsi"/>
        </w:rPr>
        <w:t xml:space="preserve"> for services and out-of-pocket charges</w:t>
      </w:r>
      <w:r w:rsidR="002842B6">
        <w:rPr>
          <w:rFonts w:cstheme="minorHAnsi"/>
        </w:rPr>
        <w:t xml:space="preserve"> </w:t>
      </w:r>
      <w:r w:rsidR="00822E0D">
        <w:rPr>
          <w:rFonts w:cstheme="minorHAnsi"/>
        </w:rPr>
        <w:t xml:space="preserve">- </w:t>
      </w:r>
      <w:r w:rsidR="001A56C0">
        <w:rPr>
          <w:rFonts w:cstheme="minorHAnsi"/>
        </w:rPr>
        <w:t xml:space="preserve">see the commitment made in the </w:t>
      </w:r>
      <w:r w:rsidR="00822E0D">
        <w:rPr>
          <w:rFonts w:cstheme="minorHAnsi"/>
        </w:rPr>
        <w:t xml:space="preserve">2019-20 </w:t>
      </w:r>
      <w:r w:rsidR="001A56C0">
        <w:rPr>
          <w:rFonts w:cstheme="minorHAnsi"/>
        </w:rPr>
        <w:t>Federal Budget.</w:t>
      </w:r>
    </w:p>
    <w:p w14:paraId="7D2102D8" w14:textId="77777777" w:rsidR="002842B6" w:rsidRPr="0097316E" w:rsidRDefault="002842B6" w:rsidP="001A56C0">
      <w:pPr>
        <w:ind w:left="720"/>
        <w:rPr>
          <w:rFonts w:cstheme="minorHAnsi"/>
          <w:b/>
        </w:rPr>
      </w:pPr>
    </w:p>
    <w:p w14:paraId="299166B1" w14:textId="190B6B4B" w:rsidR="00DF18F7" w:rsidRPr="001A56C0" w:rsidRDefault="00DF18F7" w:rsidP="00EE4A96">
      <w:pPr>
        <w:pStyle w:val="Heading3"/>
        <w:keepNext w:val="0"/>
        <w:keepLines w:val="0"/>
        <w:numPr>
          <w:ilvl w:val="0"/>
          <w:numId w:val="6"/>
        </w:numPr>
        <w:spacing w:before="0"/>
        <w:contextualSpacing/>
        <w:rPr>
          <w:rFonts w:ascii="Calibri" w:hAnsi="Calibri" w:cs="Calibri"/>
          <w:color w:val="000000"/>
          <w:lang w:eastAsia="en-AU"/>
        </w:rPr>
      </w:pPr>
      <w:bookmarkStart w:id="94" w:name="_Toc27494536"/>
      <w:bookmarkStart w:id="95" w:name="_Toc27494733"/>
      <w:r w:rsidRPr="0097316E">
        <w:t>Protect consumer choice and transparency regarding factors influencing availability of care options and doctor referrals/treatment recommendations</w:t>
      </w:r>
      <w:r>
        <w:t>.</w:t>
      </w:r>
      <w:bookmarkEnd w:id="94"/>
      <w:bookmarkEnd w:id="95"/>
      <w:r w:rsidR="001A56C0">
        <w:br/>
      </w:r>
    </w:p>
    <w:p w14:paraId="4A1D4AA0" w14:textId="01E1FC0F" w:rsidR="00DF18F7" w:rsidRDefault="00DF18F7" w:rsidP="00DF18F7">
      <w:pPr>
        <w:ind w:left="720"/>
        <w:rPr>
          <w:rFonts w:ascii="Calibri" w:hAnsi="Calibri" w:cs="Calibri"/>
          <w:color w:val="000000"/>
          <w:lang w:eastAsia="en-AU"/>
        </w:rPr>
      </w:pPr>
      <w:r w:rsidRPr="00D05217">
        <w:rPr>
          <w:rFonts w:ascii="Calibri" w:hAnsi="Calibri" w:cs="Calibri"/>
          <w:color w:val="000000"/>
          <w:lang w:eastAsia="en-AU"/>
        </w:rPr>
        <w:t>APHA is aware of attempts by some health insurers to incentivise doctors to make particular referrals or treatment recommendations</w:t>
      </w:r>
      <w:r>
        <w:rPr>
          <w:rFonts w:ascii="Calibri" w:hAnsi="Calibri" w:cs="Calibri"/>
          <w:color w:val="000000"/>
          <w:lang w:eastAsia="en-AU"/>
        </w:rPr>
        <w:t xml:space="preserve"> either through the design of remuneration arrangements o</w:t>
      </w:r>
      <w:r w:rsidR="00FC006F">
        <w:rPr>
          <w:rFonts w:ascii="Calibri" w:hAnsi="Calibri" w:cs="Calibri"/>
          <w:color w:val="000000"/>
          <w:lang w:eastAsia="en-AU"/>
        </w:rPr>
        <w:t>r</w:t>
      </w:r>
      <w:r>
        <w:rPr>
          <w:rFonts w:ascii="Calibri" w:hAnsi="Calibri" w:cs="Calibri"/>
          <w:color w:val="000000"/>
          <w:lang w:eastAsia="en-AU"/>
        </w:rPr>
        <w:t xml:space="preserve"> through </w:t>
      </w:r>
      <w:r w:rsidR="00C37729">
        <w:rPr>
          <w:rFonts w:ascii="Calibri" w:hAnsi="Calibri" w:cs="Calibri"/>
          <w:color w:val="000000"/>
          <w:lang w:eastAsia="en-AU"/>
        </w:rPr>
        <w:t xml:space="preserve">by limiting cover of </w:t>
      </w:r>
      <w:r>
        <w:rPr>
          <w:rFonts w:ascii="Calibri" w:hAnsi="Calibri" w:cs="Calibri"/>
          <w:color w:val="000000"/>
          <w:lang w:eastAsia="en-AU"/>
        </w:rPr>
        <w:t>treatment options</w:t>
      </w:r>
      <w:r w:rsidR="00C37729">
        <w:rPr>
          <w:rFonts w:ascii="Calibri" w:hAnsi="Calibri" w:cs="Calibri"/>
          <w:color w:val="000000"/>
          <w:lang w:eastAsia="en-AU"/>
        </w:rPr>
        <w:t>.</w:t>
      </w:r>
      <w:r>
        <w:rPr>
          <w:rFonts w:ascii="Calibri" w:hAnsi="Calibri" w:cs="Calibri"/>
          <w:color w:val="000000"/>
          <w:lang w:eastAsia="en-AU"/>
        </w:rPr>
        <w:t xml:space="preserve"> </w:t>
      </w:r>
      <w:r w:rsidR="002842B6">
        <w:rPr>
          <w:rFonts w:ascii="Calibri" w:hAnsi="Calibri" w:cs="Calibri"/>
          <w:color w:val="000000"/>
          <w:lang w:eastAsia="en-AU"/>
        </w:rPr>
        <w:t>For example, some doctors are offered increased payments by health insurers to admit a patient to a day hospital rather than an acute hospital.</w:t>
      </w:r>
    </w:p>
    <w:p w14:paraId="6D7197C3" w14:textId="77777777" w:rsidR="002842B6" w:rsidRDefault="002842B6" w:rsidP="00DF18F7">
      <w:pPr>
        <w:ind w:left="720"/>
        <w:rPr>
          <w:rFonts w:ascii="Calibri" w:hAnsi="Calibri" w:cs="Calibri"/>
          <w:color w:val="000000"/>
          <w:lang w:eastAsia="en-AU"/>
        </w:rPr>
      </w:pPr>
    </w:p>
    <w:p w14:paraId="73BC8AF6" w14:textId="2D07A97F" w:rsidR="00DF18F7" w:rsidRDefault="00DF18F7" w:rsidP="00DF18F7">
      <w:pPr>
        <w:ind w:left="720"/>
        <w:rPr>
          <w:rFonts w:ascii="Calibri" w:hAnsi="Calibri" w:cs="Calibri"/>
          <w:color w:val="000000"/>
          <w:lang w:eastAsia="en-AU"/>
        </w:rPr>
      </w:pPr>
      <w:r>
        <w:rPr>
          <w:rFonts w:ascii="Calibri" w:hAnsi="Calibri" w:cs="Calibri"/>
          <w:color w:val="000000"/>
          <w:lang w:eastAsia="en-AU"/>
        </w:rPr>
        <w:t xml:space="preserve">APHA advocates that, in the interests of transparency, consumers should be made aware of such incentives and limitations where they exist. </w:t>
      </w:r>
    </w:p>
    <w:p w14:paraId="19FE2A81" w14:textId="77777777" w:rsidR="002842B6" w:rsidRDefault="002842B6" w:rsidP="00DF18F7">
      <w:pPr>
        <w:ind w:left="720"/>
        <w:rPr>
          <w:rFonts w:ascii="Calibri" w:hAnsi="Calibri" w:cs="Calibri"/>
          <w:color w:val="000000"/>
          <w:lang w:eastAsia="en-AU"/>
        </w:rPr>
      </w:pPr>
    </w:p>
    <w:p w14:paraId="0AA33A6D" w14:textId="2E7323DC" w:rsidR="00DF18F7" w:rsidRPr="001A56C0" w:rsidRDefault="00DF18F7" w:rsidP="00EE4A96">
      <w:pPr>
        <w:pStyle w:val="Heading3"/>
        <w:keepNext w:val="0"/>
        <w:keepLines w:val="0"/>
        <w:numPr>
          <w:ilvl w:val="0"/>
          <w:numId w:val="6"/>
        </w:numPr>
        <w:spacing w:before="0"/>
        <w:contextualSpacing/>
        <w:rPr>
          <w:rFonts w:ascii="Calibri" w:hAnsi="Calibri" w:cs="Calibri"/>
          <w:color w:val="000000"/>
          <w:lang w:eastAsia="en-AU"/>
        </w:rPr>
      </w:pPr>
      <w:bookmarkStart w:id="96" w:name="_Toc27494537"/>
      <w:bookmarkStart w:id="97" w:name="_Toc27494734"/>
      <w:r w:rsidRPr="0097316E">
        <w:t>Address risks arising from vertical integration within private health insurance.</w:t>
      </w:r>
      <w:bookmarkEnd w:id="96"/>
      <w:bookmarkEnd w:id="97"/>
      <w:r w:rsidR="001A56C0">
        <w:br/>
      </w:r>
    </w:p>
    <w:p w14:paraId="64E9C536" w14:textId="5DBE6D7B" w:rsidR="00DF18F7" w:rsidRDefault="00DF18F7" w:rsidP="00DF18F7">
      <w:pPr>
        <w:ind w:left="720"/>
        <w:rPr>
          <w:rFonts w:ascii="Calibri" w:hAnsi="Calibri" w:cs="Calibri"/>
          <w:color w:val="000000"/>
          <w:lang w:eastAsia="en-AU"/>
        </w:rPr>
      </w:pPr>
      <w:r w:rsidRPr="00B9571C">
        <w:rPr>
          <w:rFonts w:ascii="Calibri" w:hAnsi="Calibri" w:cs="Calibri"/>
          <w:color w:val="000000"/>
          <w:lang w:eastAsia="en-AU"/>
        </w:rPr>
        <w:t>Several health insurers have acquired companies that provide health services including companies that provide ‘hospital substitute’ services.</w:t>
      </w:r>
      <w:r>
        <w:rPr>
          <w:rFonts w:ascii="Calibri" w:hAnsi="Calibri" w:cs="Calibri"/>
          <w:color w:val="000000"/>
          <w:lang w:eastAsia="en-AU"/>
        </w:rPr>
        <w:t xml:space="preserve"> As has been seen in the financial services sector, vertical integration can lead to adverse outcomes for consumers where financial incentives exist for service providers.</w:t>
      </w:r>
    </w:p>
    <w:p w14:paraId="64603AD8" w14:textId="77777777" w:rsidR="002842B6" w:rsidRDefault="002842B6" w:rsidP="00DF18F7">
      <w:pPr>
        <w:ind w:left="720"/>
        <w:rPr>
          <w:rFonts w:ascii="Calibri" w:hAnsi="Calibri" w:cs="Calibri"/>
          <w:color w:val="000000"/>
          <w:lang w:eastAsia="en-AU"/>
        </w:rPr>
      </w:pPr>
    </w:p>
    <w:p w14:paraId="5E4268B9" w14:textId="3D47A4BD" w:rsidR="00DF18F7" w:rsidRDefault="00DF18F7" w:rsidP="00DF18F7">
      <w:pPr>
        <w:ind w:left="720"/>
        <w:rPr>
          <w:rFonts w:ascii="Calibri" w:hAnsi="Calibri" w:cs="Calibri"/>
          <w:color w:val="000000"/>
          <w:lang w:eastAsia="en-AU"/>
        </w:rPr>
      </w:pPr>
      <w:r>
        <w:rPr>
          <w:rFonts w:ascii="Calibri" w:hAnsi="Calibri" w:cs="Calibri"/>
          <w:color w:val="000000"/>
          <w:lang w:eastAsia="en-AU"/>
        </w:rPr>
        <w:t xml:space="preserve">APHA advocates that, in the interests of transparency, consumers should be made aware of such vertical integration and incentives where they exist. This will minimise the opportunity for </w:t>
      </w:r>
      <w:r w:rsidR="00992DE5">
        <w:rPr>
          <w:rFonts w:ascii="Calibri" w:hAnsi="Calibri" w:cs="Calibri"/>
          <w:color w:val="000000"/>
          <w:lang w:eastAsia="en-AU"/>
        </w:rPr>
        <w:t>health insurer</w:t>
      </w:r>
      <w:r>
        <w:rPr>
          <w:rFonts w:ascii="Calibri" w:hAnsi="Calibri" w:cs="Calibri"/>
          <w:color w:val="000000"/>
          <w:lang w:eastAsia="en-AU"/>
        </w:rPr>
        <w:t>s to force a patient into a care pathway that is in the financial interest of the fund, rather than the clinical interests of the patient.</w:t>
      </w:r>
    </w:p>
    <w:p w14:paraId="0087BA0F" w14:textId="77777777" w:rsidR="002842B6" w:rsidRDefault="002842B6" w:rsidP="00DF18F7">
      <w:pPr>
        <w:ind w:left="720"/>
        <w:rPr>
          <w:rFonts w:ascii="Calibri" w:hAnsi="Calibri" w:cs="Calibri"/>
          <w:color w:val="000000"/>
          <w:lang w:eastAsia="en-AU"/>
        </w:rPr>
      </w:pPr>
    </w:p>
    <w:p w14:paraId="1EF433C2" w14:textId="7FFBA78F" w:rsidR="00DF18F7" w:rsidRPr="001A56C0" w:rsidRDefault="00DF18F7" w:rsidP="00EE4A96">
      <w:pPr>
        <w:pStyle w:val="Heading3"/>
        <w:keepNext w:val="0"/>
        <w:keepLines w:val="0"/>
        <w:numPr>
          <w:ilvl w:val="0"/>
          <w:numId w:val="6"/>
        </w:numPr>
        <w:spacing w:before="0"/>
        <w:contextualSpacing/>
        <w:rPr>
          <w:rFonts w:ascii="Calibri" w:hAnsi="Calibri" w:cs="Calibri"/>
          <w:color w:val="000000"/>
          <w:lang w:eastAsia="en-AU"/>
        </w:rPr>
      </w:pPr>
      <w:bookmarkStart w:id="98" w:name="_Toc27494538"/>
      <w:bookmarkStart w:id="99" w:name="_Toc27494735"/>
      <w:r w:rsidRPr="0097316E">
        <w:t>Ensure availability of independent and accurate advice and information</w:t>
      </w:r>
      <w:bookmarkEnd w:id="98"/>
      <w:bookmarkEnd w:id="99"/>
      <w:r w:rsidR="001A56C0">
        <w:br/>
      </w:r>
    </w:p>
    <w:p w14:paraId="197262FC" w14:textId="77777777" w:rsidR="00DF18F7" w:rsidRDefault="00DF18F7" w:rsidP="00DF18F7">
      <w:pPr>
        <w:ind w:left="720"/>
        <w:rPr>
          <w:rFonts w:ascii="Calibri" w:hAnsi="Calibri" w:cs="Calibri"/>
          <w:color w:val="000000"/>
          <w:lang w:eastAsia="en-AU"/>
        </w:rPr>
      </w:pPr>
      <w:r w:rsidRPr="00B9571C">
        <w:rPr>
          <w:rFonts w:ascii="Calibri" w:hAnsi="Calibri" w:cs="Calibri"/>
          <w:color w:val="000000"/>
          <w:lang w:eastAsia="en-AU"/>
        </w:rPr>
        <w:t>All reform processes require an ongoing commitment to the provision of independent and accurate advice and information</w:t>
      </w:r>
      <w:r>
        <w:rPr>
          <w:rFonts w:ascii="Calibri" w:hAnsi="Calibri" w:cs="Calibri"/>
          <w:color w:val="000000"/>
          <w:lang w:eastAsia="en-AU"/>
        </w:rPr>
        <w:t xml:space="preserve"> for consumers</w:t>
      </w:r>
      <w:r w:rsidRPr="00B9571C">
        <w:rPr>
          <w:rFonts w:ascii="Calibri" w:hAnsi="Calibri" w:cs="Calibri"/>
          <w:color w:val="000000"/>
          <w:lang w:eastAsia="en-AU"/>
        </w:rPr>
        <w:t>.</w:t>
      </w:r>
    </w:p>
    <w:p w14:paraId="544C184A" w14:textId="77777777" w:rsidR="00DF18F7" w:rsidRDefault="00DF18F7" w:rsidP="00DF18F7">
      <w:pPr>
        <w:spacing w:after="160" w:line="259" w:lineRule="auto"/>
        <w:rPr>
          <w:rFonts w:cstheme="minorHAnsi"/>
          <w:b/>
          <w:lang w:eastAsia="en-AU"/>
        </w:rPr>
      </w:pPr>
      <w:r>
        <w:rPr>
          <w:lang w:eastAsia="en-AU"/>
        </w:rPr>
        <w:br w:type="page"/>
      </w:r>
    </w:p>
    <w:p w14:paraId="064CB850" w14:textId="6F0ADC1B" w:rsidR="00DF18F7" w:rsidRDefault="00DF18F7" w:rsidP="00DF18F7">
      <w:pPr>
        <w:pStyle w:val="Heading2"/>
      </w:pPr>
      <w:bookmarkStart w:id="100" w:name="_Toc27494539"/>
      <w:bookmarkStart w:id="101" w:name="_Toc27494736"/>
      <w:bookmarkStart w:id="102" w:name="_Toc27664138"/>
      <w:r>
        <w:t>Administrative Efficiency</w:t>
      </w:r>
      <w:bookmarkEnd w:id="100"/>
      <w:bookmarkEnd w:id="101"/>
      <w:bookmarkEnd w:id="102"/>
    </w:p>
    <w:p w14:paraId="0EAADB64" w14:textId="77777777" w:rsidR="002842B6" w:rsidRPr="002842B6" w:rsidRDefault="002842B6" w:rsidP="002842B6"/>
    <w:p w14:paraId="43F93964" w14:textId="052B306F" w:rsidR="00DF18F7" w:rsidRPr="001A56C0" w:rsidRDefault="00DF18F7" w:rsidP="00EE4A96">
      <w:pPr>
        <w:pStyle w:val="Heading3"/>
        <w:keepNext w:val="0"/>
        <w:keepLines w:val="0"/>
        <w:numPr>
          <w:ilvl w:val="0"/>
          <w:numId w:val="6"/>
        </w:numPr>
        <w:spacing w:before="0"/>
        <w:contextualSpacing/>
        <w:rPr>
          <w:rFonts w:ascii="Calibri" w:hAnsi="Calibri" w:cs="Calibri"/>
          <w:color w:val="000000"/>
          <w:lang w:eastAsia="en-AU"/>
        </w:rPr>
      </w:pPr>
      <w:bookmarkStart w:id="103" w:name="_Toc27494540"/>
      <w:bookmarkStart w:id="104" w:name="_Toc27494737"/>
      <w:r w:rsidRPr="0097316E">
        <w:t>Reduce the administrative burden associated with implementation of the 1 April 2019 P</w:t>
      </w:r>
      <w:r w:rsidR="00FC006F">
        <w:t>rivate Health Insurance</w:t>
      </w:r>
      <w:r w:rsidRPr="0097316E">
        <w:t xml:space="preserve"> Reforms</w:t>
      </w:r>
      <w:r w:rsidR="00C37729">
        <w:t>,</w:t>
      </w:r>
      <w:r w:rsidRPr="0097316E">
        <w:t xml:space="preserve"> i</w:t>
      </w:r>
      <w:r w:rsidR="00C37729">
        <w:t>.</w:t>
      </w:r>
      <w:r w:rsidRPr="0097316E">
        <w:t>e</w:t>
      </w:r>
      <w:r w:rsidR="00C37729">
        <w:t>.</w:t>
      </w:r>
      <w:r w:rsidRPr="0097316E">
        <w:t xml:space="preserve"> upgrade the ECLIPSE system and update and enforce ECLIPSE standards</w:t>
      </w:r>
      <w:bookmarkEnd w:id="103"/>
      <w:bookmarkEnd w:id="104"/>
      <w:r w:rsidR="001A56C0">
        <w:br/>
      </w:r>
    </w:p>
    <w:p w14:paraId="781060D0" w14:textId="23C4B9C6" w:rsidR="00DF18F7" w:rsidRDefault="00DF18F7" w:rsidP="00DF18F7">
      <w:pPr>
        <w:ind w:left="720"/>
        <w:rPr>
          <w:rFonts w:ascii="Calibri" w:hAnsi="Calibri" w:cs="Calibri"/>
          <w:color w:val="000000"/>
          <w:lang w:eastAsia="en-AU"/>
        </w:rPr>
      </w:pPr>
      <w:r w:rsidRPr="0097316E">
        <w:rPr>
          <w:rFonts w:ascii="Calibri" w:hAnsi="Calibri" w:cs="Calibri"/>
          <w:color w:val="000000"/>
          <w:lang w:eastAsia="en-AU"/>
        </w:rPr>
        <w:t xml:space="preserve">Implementation of the reforms to private health insurance </w:t>
      </w:r>
      <w:r w:rsidR="00C84F09">
        <w:rPr>
          <w:rFonts w:ascii="Calibri" w:hAnsi="Calibri" w:cs="Calibri"/>
          <w:color w:val="000000"/>
          <w:lang w:eastAsia="en-AU"/>
        </w:rPr>
        <w:t>from</w:t>
      </w:r>
      <w:r w:rsidRPr="0097316E">
        <w:rPr>
          <w:rFonts w:ascii="Calibri" w:hAnsi="Calibri" w:cs="Calibri"/>
          <w:color w:val="000000"/>
          <w:lang w:eastAsia="en-AU"/>
        </w:rPr>
        <w:t xml:space="preserve"> 1 April</w:t>
      </w:r>
      <w:r w:rsidR="00C37729">
        <w:rPr>
          <w:rFonts w:ascii="Calibri" w:hAnsi="Calibri" w:cs="Calibri"/>
          <w:color w:val="000000"/>
          <w:lang w:eastAsia="en-AU"/>
        </w:rPr>
        <w:t xml:space="preserve"> 2019</w:t>
      </w:r>
      <w:r w:rsidRPr="0097316E">
        <w:rPr>
          <w:rFonts w:ascii="Calibri" w:hAnsi="Calibri" w:cs="Calibri"/>
          <w:color w:val="000000"/>
          <w:lang w:eastAsia="en-AU"/>
        </w:rPr>
        <w:t xml:space="preserve"> has placed significant strain on the ECLIPSE system</w:t>
      </w:r>
      <w:r>
        <w:rPr>
          <w:rFonts w:ascii="Calibri" w:hAnsi="Calibri" w:cs="Calibri"/>
          <w:color w:val="000000"/>
          <w:lang w:eastAsia="en-AU"/>
        </w:rPr>
        <w:t xml:space="preserve">. </w:t>
      </w:r>
      <w:r w:rsidRPr="0097316E">
        <w:rPr>
          <w:rFonts w:ascii="Calibri" w:hAnsi="Calibri" w:cs="Calibri"/>
          <w:color w:val="000000"/>
          <w:lang w:eastAsia="en-AU"/>
        </w:rPr>
        <w:t xml:space="preserve">Specifically </w:t>
      </w:r>
      <w:r>
        <w:rPr>
          <w:rFonts w:ascii="Calibri" w:hAnsi="Calibri" w:cs="Calibri"/>
          <w:color w:val="000000"/>
          <w:lang w:eastAsia="en-AU"/>
        </w:rPr>
        <w:t xml:space="preserve">the </w:t>
      </w:r>
      <w:r w:rsidRPr="0097316E">
        <w:rPr>
          <w:rFonts w:ascii="Calibri" w:hAnsi="Calibri" w:cs="Calibri"/>
          <w:color w:val="000000"/>
          <w:lang w:eastAsia="en-AU"/>
        </w:rPr>
        <w:t>ECLIPSE online eligibility</w:t>
      </w:r>
      <w:r w:rsidR="00C37729">
        <w:rPr>
          <w:rFonts w:ascii="Calibri" w:hAnsi="Calibri" w:cs="Calibri"/>
          <w:color w:val="000000"/>
          <w:lang w:eastAsia="en-AU"/>
        </w:rPr>
        <w:t>-</w:t>
      </w:r>
      <w:r w:rsidRPr="0097316E">
        <w:rPr>
          <w:rFonts w:ascii="Calibri" w:hAnsi="Calibri" w:cs="Calibri"/>
          <w:color w:val="000000"/>
          <w:lang w:eastAsia="en-AU"/>
        </w:rPr>
        <w:t>checking platform is no longer fit for purpose.</w:t>
      </w:r>
    </w:p>
    <w:p w14:paraId="450387BC" w14:textId="77777777" w:rsidR="002842B6" w:rsidRPr="0097316E" w:rsidRDefault="002842B6" w:rsidP="00DF18F7">
      <w:pPr>
        <w:ind w:left="720"/>
        <w:rPr>
          <w:rFonts w:ascii="Calibri" w:hAnsi="Calibri" w:cs="Calibri"/>
          <w:color w:val="000000"/>
          <w:lang w:eastAsia="en-AU"/>
        </w:rPr>
      </w:pPr>
    </w:p>
    <w:p w14:paraId="275EF271" w14:textId="3BECBE93" w:rsidR="00DF18F7" w:rsidRDefault="00DF18F7" w:rsidP="00DF18F7">
      <w:pPr>
        <w:ind w:left="720"/>
        <w:rPr>
          <w:rFonts w:ascii="Calibri" w:hAnsi="Calibri" w:cs="Calibri"/>
          <w:color w:val="000000"/>
          <w:lang w:eastAsia="en-AU"/>
        </w:rPr>
      </w:pPr>
      <w:r w:rsidRPr="0097316E">
        <w:rPr>
          <w:rFonts w:ascii="Calibri" w:hAnsi="Calibri" w:cs="Calibri"/>
          <w:color w:val="000000"/>
          <w:lang w:eastAsia="en-AU"/>
        </w:rPr>
        <w:t>Although some minor changes to codes used for online eligibility checking were implemented prior to</w:t>
      </w:r>
      <w:r w:rsidR="00C37729">
        <w:rPr>
          <w:rFonts w:ascii="Calibri" w:hAnsi="Calibri" w:cs="Calibri"/>
          <w:color w:val="000000"/>
          <w:lang w:eastAsia="en-AU"/>
        </w:rPr>
        <w:t xml:space="preserve"> </w:t>
      </w:r>
      <w:r w:rsidRPr="0097316E">
        <w:rPr>
          <w:rFonts w:ascii="Calibri" w:hAnsi="Calibri" w:cs="Calibri"/>
          <w:color w:val="000000"/>
          <w:lang w:eastAsia="en-AU"/>
        </w:rPr>
        <w:t>1 April 2019, these modifications were not sufficient to avoid the need for extremely high levels of manual and telephone</w:t>
      </w:r>
      <w:r w:rsidR="00C37729">
        <w:rPr>
          <w:rFonts w:ascii="Calibri" w:hAnsi="Calibri" w:cs="Calibri"/>
          <w:color w:val="000000"/>
          <w:lang w:eastAsia="en-AU"/>
        </w:rPr>
        <w:t>-</w:t>
      </w:r>
      <w:r w:rsidRPr="0097316E">
        <w:rPr>
          <w:rFonts w:ascii="Calibri" w:hAnsi="Calibri" w:cs="Calibri"/>
          <w:color w:val="000000"/>
          <w:lang w:eastAsia="en-AU"/>
        </w:rPr>
        <w:t>based checks</w:t>
      </w:r>
      <w:r>
        <w:rPr>
          <w:rFonts w:ascii="Calibri" w:hAnsi="Calibri" w:cs="Calibri"/>
          <w:color w:val="000000"/>
          <w:lang w:eastAsia="en-AU"/>
        </w:rPr>
        <w:t xml:space="preserve">. </w:t>
      </w:r>
      <w:r w:rsidRPr="0097316E">
        <w:rPr>
          <w:rFonts w:ascii="Calibri" w:hAnsi="Calibri" w:cs="Calibri"/>
          <w:color w:val="000000"/>
          <w:lang w:eastAsia="en-AU"/>
        </w:rPr>
        <w:t>This has meant:</w:t>
      </w:r>
    </w:p>
    <w:p w14:paraId="78F58A75" w14:textId="77777777" w:rsidR="002842B6" w:rsidRPr="0097316E" w:rsidRDefault="002842B6" w:rsidP="00DF18F7">
      <w:pPr>
        <w:ind w:left="720"/>
        <w:rPr>
          <w:rFonts w:ascii="Calibri" w:hAnsi="Calibri" w:cs="Calibri"/>
          <w:color w:val="000000"/>
          <w:lang w:eastAsia="en-AU"/>
        </w:rPr>
      </w:pPr>
    </w:p>
    <w:p w14:paraId="00879BAB" w14:textId="35BAFD78" w:rsidR="00DF18F7" w:rsidRPr="0097316E" w:rsidRDefault="00C37729" w:rsidP="002842B6">
      <w:pPr>
        <w:pStyle w:val="ListParagraph"/>
        <w:numPr>
          <w:ilvl w:val="1"/>
          <w:numId w:val="44"/>
        </w:numPr>
        <w:rPr>
          <w:rFonts w:ascii="Calibri" w:hAnsi="Calibri" w:cs="Calibri"/>
          <w:color w:val="000000"/>
          <w:lang w:eastAsia="en-AU"/>
        </w:rPr>
      </w:pPr>
      <w:r>
        <w:rPr>
          <w:rFonts w:ascii="Calibri" w:hAnsi="Calibri" w:cs="Calibri"/>
          <w:color w:val="000000"/>
          <w:lang w:eastAsia="en-AU"/>
        </w:rPr>
        <w:t>A</w:t>
      </w:r>
      <w:r w:rsidR="00DF18F7" w:rsidRPr="0097316E">
        <w:rPr>
          <w:rFonts w:ascii="Calibri" w:hAnsi="Calibri" w:cs="Calibri"/>
          <w:color w:val="000000"/>
          <w:lang w:eastAsia="en-AU"/>
        </w:rPr>
        <w:t xml:space="preserve"> very significant administrative burden for both hospitals and private health insurers</w:t>
      </w:r>
    </w:p>
    <w:p w14:paraId="6D6B8E97" w14:textId="2FED878C" w:rsidR="00DF18F7" w:rsidRPr="0097316E" w:rsidRDefault="00C37729" w:rsidP="002842B6">
      <w:pPr>
        <w:pStyle w:val="ListParagraph"/>
        <w:numPr>
          <w:ilvl w:val="1"/>
          <w:numId w:val="44"/>
        </w:numPr>
        <w:rPr>
          <w:rFonts w:ascii="Calibri" w:hAnsi="Calibri" w:cs="Calibri"/>
          <w:color w:val="000000"/>
          <w:lang w:eastAsia="en-AU"/>
        </w:rPr>
      </w:pPr>
      <w:r>
        <w:rPr>
          <w:rFonts w:ascii="Calibri" w:hAnsi="Calibri" w:cs="Calibri"/>
          <w:color w:val="000000"/>
          <w:lang w:eastAsia="en-AU"/>
        </w:rPr>
        <w:t>D</w:t>
      </w:r>
      <w:r w:rsidR="00DF18F7" w:rsidRPr="0097316E">
        <w:rPr>
          <w:rFonts w:ascii="Calibri" w:hAnsi="Calibri" w:cs="Calibri"/>
          <w:color w:val="000000"/>
          <w:lang w:eastAsia="en-AU"/>
        </w:rPr>
        <w:t>iminished quality of informed financial consent processes because of incomplete information</w:t>
      </w:r>
      <w:r w:rsidR="001A56C0">
        <w:rPr>
          <w:rFonts w:ascii="Calibri" w:hAnsi="Calibri" w:cs="Calibri"/>
          <w:color w:val="000000"/>
          <w:lang w:eastAsia="en-AU"/>
        </w:rPr>
        <w:t>.</w:t>
      </w:r>
    </w:p>
    <w:p w14:paraId="518FD667" w14:textId="12C9BBC4" w:rsidR="00DF18F7" w:rsidRDefault="001A56C0" w:rsidP="00DF18F7">
      <w:pPr>
        <w:ind w:left="720"/>
        <w:rPr>
          <w:rFonts w:ascii="Calibri" w:hAnsi="Calibri" w:cs="Calibri"/>
          <w:color w:val="000000"/>
          <w:lang w:eastAsia="en-AU"/>
        </w:rPr>
      </w:pPr>
      <w:r>
        <w:rPr>
          <w:rFonts w:ascii="Calibri" w:hAnsi="Calibri" w:cs="Calibri"/>
          <w:color w:val="000000"/>
          <w:lang w:eastAsia="en-AU"/>
        </w:rPr>
        <w:br/>
      </w:r>
      <w:r w:rsidR="00DF18F7" w:rsidRPr="0097316E">
        <w:rPr>
          <w:rFonts w:ascii="Calibri" w:hAnsi="Calibri" w:cs="Calibri"/>
          <w:color w:val="000000"/>
          <w:lang w:eastAsia="en-AU"/>
        </w:rPr>
        <w:t xml:space="preserve">The Department of Human Services maintains the ECPLISE system but there has </w:t>
      </w:r>
      <w:r w:rsidR="00C37729">
        <w:rPr>
          <w:rFonts w:ascii="Calibri" w:hAnsi="Calibri" w:cs="Calibri"/>
          <w:color w:val="000000"/>
          <w:lang w:eastAsia="en-AU"/>
        </w:rPr>
        <w:t>not been any</w:t>
      </w:r>
      <w:r w:rsidR="00DF18F7" w:rsidRPr="0097316E">
        <w:rPr>
          <w:rFonts w:ascii="Calibri" w:hAnsi="Calibri" w:cs="Calibri"/>
          <w:color w:val="000000"/>
          <w:lang w:eastAsia="en-AU"/>
        </w:rPr>
        <w:t xml:space="preserve"> development work on the online eligibility</w:t>
      </w:r>
      <w:r w:rsidR="00C37729">
        <w:rPr>
          <w:rFonts w:ascii="Calibri" w:hAnsi="Calibri" w:cs="Calibri"/>
          <w:color w:val="000000"/>
          <w:lang w:eastAsia="en-AU"/>
        </w:rPr>
        <w:t>-</w:t>
      </w:r>
      <w:r w:rsidR="00DF18F7" w:rsidRPr="0097316E">
        <w:rPr>
          <w:rFonts w:ascii="Calibri" w:hAnsi="Calibri" w:cs="Calibri"/>
          <w:color w:val="000000"/>
          <w:lang w:eastAsia="en-AU"/>
        </w:rPr>
        <w:t>checking platform since its inception.</w:t>
      </w:r>
    </w:p>
    <w:p w14:paraId="09AF71D3" w14:textId="77777777" w:rsidR="002842B6" w:rsidRPr="0097316E" w:rsidRDefault="002842B6" w:rsidP="00DF18F7">
      <w:pPr>
        <w:ind w:left="720"/>
        <w:rPr>
          <w:rFonts w:ascii="Calibri" w:hAnsi="Calibri" w:cs="Calibri"/>
          <w:color w:val="000000"/>
          <w:lang w:eastAsia="en-AU"/>
        </w:rPr>
      </w:pPr>
    </w:p>
    <w:p w14:paraId="16211A25" w14:textId="1725112A" w:rsidR="00DF18F7" w:rsidRDefault="00C37729" w:rsidP="00DF18F7">
      <w:pPr>
        <w:ind w:left="720"/>
        <w:rPr>
          <w:rFonts w:ascii="Calibri" w:hAnsi="Calibri" w:cs="Calibri"/>
          <w:color w:val="000000"/>
          <w:lang w:eastAsia="en-AU"/>
        </w:rPr>
      </w:pPr>
      <w:r>
        <w:rPr>
          <w:rFonts w:ascii="Calibri" w:hAnsi="Calibri" w:cs="Calibri"/>
          <w:color w:val="000000"/>
          <w:lang w:eastAsia="en-AU"/>
        </w:rPr>
        <w:t>S</w:t>
      </w:r>
      <w:r w:rsidR="00DF18F7" w:rsidRPr="0097316E">
        <w:rPr>
          <w:rFonts w:ascii="Calibri" w:hAnsi="Calibri" w:cs="Calibri"/>
          <w:color w:val="000000"/>
          <w:lang w:eastAsia="en-AU"/>
        </w:rPr>
        <w:t>everal problems need to be addressed:</w:t>
      </w:r>
    </w:p>
    <w:p w14:paraId="21E1CAF6" w14:textId="77777777" w:rsidR="002842B6" w:rsidRPr="0097316E" w:rsidRDefault="002842B6" w:rsidP="00DF18F7">
      <w:pPr>
        <w:ind w:left="720"/>
        <w:rPr>
          <w:rFonts w:ascii="Calibri" w:hAnsi="Calibri" w:cs="Calibri"/>
          <w:color w:val="000000"/>
          <w:lang w:eastAsia="en-AU"/>
        </w:rPr>
      </w:pPr>
    </w:p>
    <w:p w14:paraId="0EF4ADB3" w14:textId="6B647794" w:rsidR="00DF18F7" w:rsidRPr="0097316E" w:rsidRDefault="00DF18F7" w:rsidP="002842B6">
      <w:pPr>
        <w:pStyle w:val="ListParagraph"/>
        <w:numPr>
          <w:ilvl w:val="1"/>
          <w:numId w:val="43"/>
        </w:numPr>
        <w:rPr>
          <w:rFonts w:ascii="Calibri" w:hAnsi="Calibri" w:cs="Calibri"/>
          <w:color w:val="000000"/>
          <w:lang w:eastAsia="en-AU"/>
        </w:rPr>
      </w:pPr>
      <w:r w:rsidRPr="0097316E">
        <w:rPr>
          <w:rFonts w:ascii="Calibri" w:hAnsi="Calibri" w:cs="Calibri"/>
          <w:color w:val="000000"/>
          <w:lang w:eastAsia="en-AU"/>
        </w:rPr>
        <w:t>The ECLIPSE online eligibility</w:t>
      </w:r>
      <w:r w:rsidR="00C37729">
        <w:rPr>
          <w:rFonts w:ascii="Calibri" w:hAnsi="Calibri" w:cs="Calibri"/>
          <w:color w:val="000000"/>
          <w:lang w:eastAsia="en-AU"/>
        </w:rPr>
        <w:t>-</w:t>
      </w:r>
      <w:r w:rsidRPr="0097316E">
        <w:rPr>
          <w:rFonts w:ascii="Calibri" w:hAnsi="Calibri" w:cs="Calibri"/>
          <w:color w:val="000000"/>
          <w:lang w:eastAsia="en-AU"/>
        </w:rPr>
        <w:t>checking platform needs to be redesigned</w:t>
      </w:r>
    </w:p>
    <w:p w14:paraId="5BB85E9A" w14:textId="77777777" w:rsidR="00DF18F7" w:rsidRPr="0097316E" w:rsidRDefault="00DF18F7" w:rsidP="002842B6">
      <w:pPr>
        <w:pStyle w:val="ListParagraph"/>
        <w:numPr>
          <w:ilvl w:val="1"/>
          <w:numId w:val="43"/>
        </w:numPr>
        <w:rPr>
          <w:rFonts w:ascii="Calibri" w:hAnsi="Calibri" w:cs="Calibri"/>
          <w:color w:val="000000"/>
          <w:lang w:eastAsia="en-AU"/>
        </w:rPr>
      </w:pPr>
      <w:r w:rsidRPr="0097316E">
        <w:rPr>
          <w:rFonts w:ascii="Calibri" w:hAnsi="Calibri" w:cs="Calibri"/>
          <w:color w:val="000000"/>
          <w:lang w:eastAsia="en-AU"/>
        </w:rPr>
        <w:t>ECLIPSE standards need to be revised</w:t>
      </w:r>
    </w:p>
    <w:p w14:paraId="4B122B16" w14:textId="413A66C6" w:rsidR="00DF18F7" w:rsidRDefault="00DF18F7" w:rsidP="002842B6">
      <w:pPr>
        <w:pStyle w:val="ListParagraph"/>
        <w:numPr>
          <w:ilvl w:val="1"/>
          <w:numId w:val="43"/>
        </w:numPr>
        <w:rPr>
          <w:rFonts w:ascii="Calibri" w:hAnsi="Calibri" w:cs="Calibri"/>
          <w:color w:val="000000"/>
          <w:lang w:eastAsia="en-AU"/>
        </w:rPr>
      </w:pPr>
      <w:r w:rsidRPr="0097316E">
        <w:rPr>
          <w:rFonts w:ascii="Calibri" w:hAnsi="Calibri" w:cs="Calibri"/>
          <w:color w:val="000000"/>
          <w:lang w:eastAsia="en-AU"/>
        </w:rPr>
        <w:t>ECLIPSE standards need to be enforced so health insurers are obliged to use the system consistently and provide the required information</w:t>
      </w:r>
      <w:r>
        <w:rPr>
          <w:rFonts w:ascii="Calibri" w:hAnsi="Calibri" w:cs="Calibri"/>
          <w:color w:val="000000"/>
          <w:lang w:eastAsia="en-AU"/>
        </w:rPr>
        <w:t>.</w:t>
      </w:r>
    </w:p>
    <w:p w14:paraId="0AEB5DAE" w14:textId="0F983796" w:rsidR="00C37729" w:rsidRDefault="00CB4BBB" w:rsidP="00DF18F7">
      <w:pPr>
        <w:ind w:left="720"/>
        <w:rPr>
          <w:lang w:eastAsia="en-AU"/>
        </w:rPr>
      </w:pPr>
      <w:r>
        <w:rPr>
          <w:lang w:eastAsia="en-AU"/>
        </w:rPr>
        <w:br/>
      </w:r>
      <w:r w:rsidR="00C37729">
        <w:rPr>
          <w:lang w:eastAsia="en-AU"/>
        </w:rPr>
        <w:t>An immediate improvement to the ECLIPSE on-line eligibility-checking platform would be to include the information private health insurers are required to provide to the Commonwealth Ombudsman for each private health insurance product available to Australian consumers.</w:t>
      </w:r>
    </w:p>
    <w:p w14:paraId="5D99310F" w14:textId="77777777" w:rsidR="007E65A5" w:rsidRDefault="007E65A5" w:rsidP="00DF18F7">
      <w:pPr>
        <w:ind w:left="720"/>
        <w:rPr>
          <w:lang w:eastAsia="en-AU"/>
        </w:rPr>
      </w:pPr>
    </w:p>
    <w:p w14:paraId="5B7155C5" w14:textId="5C8AC4BC" w:rsidR="00CB4BBB" w:rsidRDefault="00DF18F7" w:rsidP="00DF18F7">
      <w:pPr>
        <w:ind w:left="720"/>
        <w:rPr>
          <w:lang w:eastAsia="en-AU"/>
        </w:rPr>
      </w:pPr>
      <w:r>
        <w:rPr>
          <w:lang w:eastAsia="en-AU"/>
        </w:rPr>
        <w:t>The standardised format for this information has already been specified</w:t>
      </w:r>
      <w:r w:rsidR="00C37729">
        <w:rPr>
          <w:lang w:eastAsia="en-AU"/>
        </w:rPr>
        <w:t xml:space="preserve">, </w:t>
      </w:r>
      <w:r>
        <w:rPr>
          <w:lang w:eastAsia="en-AU"/>
        </w:rPr>
        <w:t>it is used to populate the searchable comparator website privatehealth.gov.au. When combined with consumer specific information already provided through ECLIPSE, this single change would ensure that hospitals, consumers and health insurers had access to a common and consistent source of information regarding the coverage provided by each insurance policy.</w:t>
      </w:r>
    </w:p>
    <w:p w14:paraId="7BA1D141" w14:textId="77777777" w:rsidR="002842B6" w:rsidRDefault="002842B6" w:rsidP="00DF18F7">
      <w:pPr>
        <w:ind w:left="720"/>
        <w:rPr>
          <w:lang w:eastAsia="en-AU"/>
        </w:rPr>
      </w:pPr>
    </w:p>
    <w:p w14:paraId="3205620F" w14:textId="615CFC70" w:rsidR="008023EC" w:rsidRDefault="00DF18F7" w:rsidP="00DF18F7">
      <w:pPr>
        <w:ind w:left="720"/>
        <w:rPr>
          <w:rFonts w:ascii="Calibri" w:hAnsi="Calibri" w:cs="Calibri"/>
          <w:color w:val="000000"/>
          <w:lang w:eastAsia="en-AU"/>
        </w:rPr>
      </w:pPr>
      <w:r w:rsidRPr="0097316E">
        <w:rPr>
          <w:rFonts w:ascii="Calibri" w:hAnsi="Calibri" w:cs="Calibri"/>
          <w:color w:val="000000"/>
          <w:lang w:eastAsia="en-AU"/>
        </w:rPr>
        <w:t xml:space="preserve">This work will require allocation of financial resources by the </w:t>
      </w:r>
      <w:r w:rsidR="00C37729">
        <w:rPr>
          <w:rFonts w:ascii="Calibri" w:hAnsi="Calibri" w:cs="Calibri"/>
          <w:color w:val="000000"/>
          <w:lang w:eastAsia="en-AU"/>
        </w:rPr>
        <w:t>Federal G</w:t>
      </w:r>
      <w:r w:rsidRPr="0097316E">
        <w:rPr>
          <w:rFonts w:ascii="Calibri" w:hAnsi="Calibri" w:cs="Calibri"/>
          <w:color w:val="000000"/>
          <w:lang w:eastAsia="en-AU"/>
        </w:rPr>
        <w:t>overnment</w:t>
      </w:r>
      <w:r>
        <w:rPr>
          <w:rFonts w:ascii="Calibri" w:hAnsi="Calibri" w:cs="Calibri"/>
          <w:color w:val="000000"/>
          <w:lang w:eastAsia="en-AU"/>
        </w:rPr>
        <w:t xml:space="preserve"> but </w:t>
      </w:r>
      <w:r w:rsidR="007E65A5">
        <w:rPr>
          <w:rFonts w:ascii="Calibri" w:hAnsi="Calibri" w:cs="Calibri"/>
          <w:color w:val="000000"/>
          <w:lang w:eastAsia="en-AU"/>
        </w:rPr>
        <w:t xml:space="preserve">it could be incorporated </w:t>
      </w:r>
      <w:r w:rsidR="008023EC">
        <w:rPr>
          <w:rFonts w:ascii="Calibri" w:hAnsi="Calibri" w:cs="Calibri"/>
          <w:color w:val="000000"/>
          <w:lang w:eastAsia="en-AU"/>
        </w:rPr>
        <w:t xml:space="preserve">within the upgrade of the ECLIPSE system to which the Department of Human Services has already committed. </w:t>
      </w:r>
    </w:p>
    <w:p w14:paraId="7311F88D" w14:textId="0292EE7D" w:rsidR="00DF18F7" w:rsidRPr="0097316E" w:rsidRDefault="008023EC" w:rsidP="00DF18F7">
      <w:pPr>
        <w:ind w:left="720"/>
        <w:rPr>
          <w:rFonts w:ascii="Calibri" w:hAnsi="Calibri" w:cs="Calibri"/>
          <w:color w:val="000000"/>
          <w:lang w:eastAsia="en-AU"/>
        </w:rPr>
      </w:pPr>
      <w:r>
        <w:rPr>
          <w:rFonts w:ascii="Calibri" w:hAnsi="Calibri" w:cs="Calibri"/>
          <w:color w:val="000000"/>
          <w:lang w:eastAsia="en-AU"/>
        </w:rPr>
        <w:t>This enhancement would improve the experience of consumers by ensuring the provision of efficient and consistent advice. It would also support the administrative efficiency in hospitals and health insurers and there-by relieve upwards pressure on health insurance premiums.</w:t>
      </w:r>
    </w:p>
    <w:p w14:paraId="2A4CB6FD" w14:textId="77777777" w:rsidR="00DF18F7" w:rsidRDefault="00DF18F7" w:rsidP="00DF18F7">
      <w:pPr>
        <w:rPr>
          <w:rFonts w:ascii="Calibri" w:hAnsi="Calibri" w:cs="Calibri"/>
          <w:color w:val="000000"/>
          <w:lang w:eastAsia="en-AU"/>
        </w:rPr>
      </w:pPr>
    </w:p>
    <w:p w14:paraId="241D62DA" w14:textId="4987F513" w:rsidR="00DF18F7" w:rsidRPr="00CB4BBB" w:rsidRDefault="00DF18F7" w:rsidP="00EE4A96">
      <w:pPr>
        <w:pStyle w:val="Heading3"/>
        <w:keepNext w:val="0"/>
        <w:keepLines w:val="0"/>
        <w:numPr>
          <w:ilvl w:val="0"/>
          <w:numId w:val="6"/>
        </w:numPr>
        <w:autoSpaceDE w:val="0"/>
        <w:autoSpaceDN w:val="0"/>
        <w:adjustRightInd w:val="0"/>
        <w:spacing w:before="0"/>
        <w:contextualSpacing/>
        <w:rPr>
          <w:rFonts w:ascii="Calibri" w:eastAsiaTheme="minorHAnsi" w:hAnsi="Calibri" w:cs="Calibri"/>
          <w:color w:val="000000"/>
        </w:rPr>
      </w:pPr>
      <w:bookmarkStart w:id="105" w:name="_Toc27494541"/>
      <w:bookmarkStart w:id="106" w:name="_Toc27494738"/>
      <w:r w:rsidRPr="0097316E">
        <w:t xml:space="preserve">Ensure government initiatives to support e-health are appropriate and responsive to private hospital requirements specifically in relation </w:t>
      </w:r>
      <w:r w:rsidRPr="003A7770">
        <w:t xml:space="preserve">to </w:t>
      </w:r>
      <w:bookmarkEnd w:id="105"/>
      <w:bookmarkEnd w:id="106"/>
      <w:r w:rsidR="0030218A" w:rsidRPr="008023EC">
        <w:t>My Health Record</w:t>
      </w:r>
      <w:r w:rsidR="0030218A" w:rsidRPr="003A7770">
        <w:t>.</w:t>
      </w:r>
      <w:r w:rsidR="00CB4BBB">
        <w:br/>
      </w:r>
      <w:r w:rsidRPr="00CB4BBB">
        <w:rPr>
          <w:rFonts w:ascii="Calibri" w:eastAsiaTheme="minorHAnsi" w:hAnsi="Calibri" w:cs="Calibri"/>
          <w:color w:val="000000"/>
        </w:rPr>
        <w:t xml:space="preserve"> </w:t>
      </w:r>
    </w:p>
    <w:p w14:paraId="642F2B8E" w14:textId="3A31F44B" w:rsidR="00DF18F7" w:rsidRDefault="00DF18F7" w:rsidP="00CB4BBB">
      <w:pPr>
        <w:ind w:left="720"/>
        <w:rPr>
          <w:rFonts w:ascii="Calibri" w:hAnsi="Calibri" w:cs="Calibri"/>
          <w:color w:val="000000"/>
          <w:lang w:eastAsia="en-AU"/>
        </w:rPr>
      </w:pPr>
      <w:r w:rsidRPr="00C25114">
        <w:rPr>
          <w:rFonts w:ascii="Calibri" w:hAnsi="Calibri" w:cs="Calibri"/>
          <w:color w:val="000000"/>
          <w:lang w:eastAsia="en-AU"/>
        </w:rPr>
        <w:t xml:space="preserve">As at </w:t>
      </w:r>
      <w:r w:rsidR="002842B6">
        <w:rPr>
          <w:rFonts w:ascii="Calibri" w:hAnsi="Calibri" w:cs="Calibri"/>
          <w:color w:val="000000"/>
          <w:lang w:eastAsia="en-AU"/>
        </w:rPr>
        <w:t xml:space="preserve">the end of </w:t>
      </w:r>
      <w:r w:rsidRPr="00C25114">
        <w:rPr>
          <w:rFonts w:ascii="Calibri" w:hAnsi="Calibri" w:cs="Calibri"/>
          <w:color w:val="000000"/>
          <w:lang w:eastAsia="en-AU"/>
        </w:rPr>
        <w:t>November 2019</w:t>
      </w:r>
      <w:r w:rsidR="002842B6">
        <w:rPr>
          <w:rFonts w:ascii="Calibri" w:hAnsi="Calibri" w:cs="Calibri"/>
          <w:color w:val="000000"/>
          <w:lang w:eastAsia="en-AU"/>
        </w:rPr>
        <w:t>,</w:t>
      </w:r>
      <w:r w:rsidRPr="00C25114">
        <w:rPr>
          <w:rFonts w:ascii="Calibri" w:hAnsi="Calibri" w:cs="Calibri"/>
          <w:color w:val="000000"/>
          <w:lang w:eastAsia="en-AU"/>
        </w:rPr>
        <w:t xml:space="preserve"> 94</w:t>
      </w:r>
      <w:r w:rsidR="00A41E70">
        <w:rPr>
          <w:rFonts w:ascii="Calibri" w:hAnsi="Calibri" w:cs="Calibri"/>
          <w:color w:val="000000"/>
          <w:lang w:eastAsia="en-AU"/>
        </w:rPr>
        <w:t xml:space="preserve"> percent</w:t>
      </w:r>
      <w:r w:rsidRPr="00C25114">
        <w:rPr>
          <w:rFonts w:ascii="Calibri" w:hAnsi="Calibri" w:cs="Calibri"/>
          <w:color w:val="000000"/>
          <w:lang w:eastAsia="en-AU"/>
        </w:rPr>
        <w:t xml:space="preserve"> of public hospital beds </w:t>
      </w:r>
      <w:r w:rsidR="002842B6">
        <w:rPr>
          <w:rFonts w:ascii="Calibri" w:hAnsi="Calibri" w:cs="Calibri"/>
          <w:color w:val="000000"/>
          <w:lang w:eastAsia="en-AU"/>
        </w:rPr>
        <w:t xml:space="preserve">were </w:t>
      </w:r>
      <w:r w:rsidRPr="00C25114">
        <w:rPr>
          <w:rFonts w:ascii="Calibri" w:hAnsi="Calibri" w:cs="Calibri"/>
          <w:color w:val="000000"/>
          <w:lang w:eastAsia="en-AU"/>
        </w:rPr>
        <w:t xml:space="preserve">registered to use </w:t>
      </w:r>
      <w:r w:rsidRPr="003A7770">
        <w:rPr>
          <w:rFonts w:ascii="Calibri" w:hAnsi="Calibri" w:cs="Calibri"/>
          <w:color w:val="000000"/>
          <w:lang w:eastAsia="en-AU"/>
        </w:rPr>
        <w:t>My Health Record</w:t>
      </w:r>
      <w:r>
        <w:rPr>
          <w:rFonts w:ascii="Calibri" w:hAnsi="Calibri" w:cs="Calibri"/>
          <w:color w:val="000000"/>
          <w:lang w:eastAsia="en-AU"/>
        </w:rPr>
        <w:t xml:space="preserve">. </w:t>
      </w:r>
      <w:r w:rsidRPr="00C25114">
        <w:rPr>
          <w:rFonts w:ascii="Calibri" w:hAnsi="Calibri" w:cs="Calibri"/>
          <w:color w:val="000000"/>
          <w:lang w:eastAsia="en-AU"/>
        </w:rPr>
        <w:t>These facilities are viewing</w:t>
      </w:r>
      <w:r w:rsidR="002842B6">
        <w:rPr>
          <w:rFonts w:ascii="Calibri" w:hAnsi="Calibri" w:cs="Calibri"/>
          <w:color w:val="000000"/>
          <w:lang w:eastAsia="en-AU"/>
        </w:rPr>
        <w:t xml:space="preserve"> an average of </w:t>
      </w:r>
      <w:r w:rsidRPr="00C25114">
        <w:rPr>
          <w:rFonts w:ascii="Calibri" w:hAnsi="Calibri" w:cs="Calibri"/>
          <w:color w:val="000000"/>
          <w:lang w:eastAsia="en-AU"/>
        </w:rPr>
        <w:t>80,000 records per month</w:t>
      </w:r>
      <w:r w:rsidR="002842B6">
        <w:rPr>
          <w:rFonts w:ascii="Calibri" w:hAnsi="Calibri" w:cs="Calibri"/>
          <w:color w:val="000000"/>
          <w:lang w:eastAsia="en-AU"/>
        </w:rPr>
        <w:t xml:space="preserve"> and </w:t>
      </w:r>
      <w:r w:rsidRPr="00C25114">
        <w:rPr>
          <w:rFonts w:ascii="Calibri" w:hAnsi="Calibri" w:cs="Calibri"/>
          <w:color w:val="000000"/>
          <w:lang w:eastAsia="en-AU"/>
        </w:rPr>
        <w:t>uploading up</w:t>
      </w:r>
      <w:r>
        <w:rPr>
          <w:rFonts w:ascii="Calibri" w:hAnsi="Calibri" w:cs="Calibri"/>
          <w:color w:val="000000"/>
          <w:lang w:eastAsia="en-AU"/>
        </w:rPr>
        <w:t xml:space="preserve"> </w:t>
      </w:r>
      <w:r w:rsidRPr="00C25114">
        <w:rPr>
          <w:rFonts w:ascii="Calibri" w:hAnsi="Calibri" w:cs="Calibri"/>
          <w:color w:val="000000"/>
          <w:lang w:eastAsia="en-AU"/>
        </w:rPr>
        <w:t>to a million documents every month.</w:t>
      </w:r>
      <w:r>
        <w:rPr>
          <w:rFonts w:ascii="Calibri" w:hAnsi="Calibri" w:cs="Calibri"/>
          <w:color w:val="000000"/>
          <w:lang w:eastAsia="en-AU"/>
        </w:rPr>
        <w:t xml:space="preserve"> No recent data has been reported by the Australian Digital Health Agency in respect of the private hospital sector</w:t>
      </w:r>
      <w:r>
        <w:rPr>
          <w:rStyle w:val="FootnoteReference"/>
          <w:rFonts w:ascii="Calibri" w:hAnsi="Calibri" w:cs="Calibri"/>
          <w:color w:val="000000"/>
        </w:rPr>
        <w:footnoteReference w:id="16"/>
      </w:r>
      <w:r>
        <w:rPr>
          <w:rFonts w:ascii="Calibri" w:hAnsi="Calibri" w:cs="Calibri"/>
          <w:color w:val="000000"/>
          <w:lang w:eastAsia="en-AU"/>
        </w:rPr>
        <w:t>.</w:t>
      </w:r>
    </w:p>
    <w:p w14:paraId="61E03A22" w14:textId="77777777" w:rsidR="002842B6" w:rsidRDefault="002842B6" w:rsidP="00CB4BBB">
      <w:pPr>
        <w:ind w:left="720"/>
        <w:rPr>
          <w:rFonts w:ascii="Calibri" w:eastAsiaTheme="minorHAnsi" w:hAnsi="Calibri" w:cs="Calibri"/>
          <w:color w:val="000000"/>
          <w:sz w:val="22"/>
          <w:szCs w:val="22"/>
        </w:rPr>
      </w:pPr>
    </w:p>
    <w:p w14:paraId="00A6D6FC" w14:textId="7A8C3AE2" w:rsidR="00DF18F7" w:rsidRDefault="00DF18F7" w:rsidP="00DF18F7">
      <w:pPr>
        <w:ind w:left="720"/>
        <w:rPr>
          <w:rFonts w:ascii="Calibri" w:hAnsi="Calibri" w:cs="Calibri"/>
          <w:bCs/>
          <w:kern w:val="32"/>
        </w:rPr>
      </w:pPr>
      <w:r w:rsidRPr="005F0271">
        <w:rPr>
          <w:rFonts w:ascii="Calibri" w:hAnsi="Calibri" w:cs="Calibri"/>
          <w:color w:val="000000"/>
          <w:lang w:eastAsia="en-AU"/>
        </w:rPr>
        <w:t>As at May</w:t>
      </w:r>
      <w:r w:rsidR="0030218A">
        <w:rPr>
          <w:rFonts w:ascii="Calibri" w:hAnsi="Calibri" w:cs="Calibri"/>
          <w:color w:val="000000"/>
          <w:lang w:eastAsia="en-AU"/>
        </w:rPr>
        <w:t xml:space="preserve"> 2019</w:t>
      </w:r>
      <w:r w:rsidRPr="005F0271">
        <w:rPr>
          <w:rFonts w:ascii="Calibri" w:hAnsi="Calibri" w:cs="Calibri"/>
          <w:color w:val="000000"/>
          <w:lang w:eastAsia="en-AU"/>
        </w:rPr>
        <w:t xml:space="preserve"> (the most recent information available to APHA), there were only 183 private hospitals and ‘clinics’ registered to access and/or upload information to </w:t>
      </w:r>
      <w:r w:rsidR="0030218A" w:rsidRPr="008023EC">
        <w:rPr>
          <w:rFonts w:ascii="Calibri" w:hAnsi="Calibri" w:cs="Calibri"/>
          <w:color w:val="000000"/>
          <w:lang w:eastAsia="en-AU"/>
        </w:rPr>
        <w:t>My Health Record</w:t>
      </w:r>
      <w:r>
        <w:rPr>
          <w:rFonts w:ascii="Calibri" w:hAnsi="Calibri" w:cs="Calibri"/>
          <w:color w:val="000000"/>
          <w:lang w:eastAsia="en-AU"/>
        </w:rPr>
        <w:t xml:space="preserve">. </w:t>
      </w:r>
      <w:r w:rsidRPr="005F0271">
        <w:rPr>
          <w:rFonts w:ascii="Calibri" w:hAnsi="Calibri" w:cs="Calibri"/>
          <w:color w:val="000000"/>
          <w:lang w:eastAsia="en-AU"/>
        </w:rPr>
        <w:t>To put this result in context, there are a</w:t>
      </w:r>
      <w:r w:rsidR="0030218A">
        <w:rPr>
          <w:rFonts w:ascii="Calibri" w:hAnsi="Calibri" w:cs="Calibri"/>
          <w:color w:val="000000"/>
          <w:lang w:eastAsia="en-AU"/>
        </w:rPr>
        <w:t>bout</w:t>
      </w:r>
      <w:r w:rsidRPr="005F0271">
        <w:rPr>
          <w:rFonts w:ascii="Calibri" w:hAnsi="Calibri" w:cs="Calibri"/>
          <w:color w:val="000000"/>
          <w:lang w:eastAsia="en-AU"/>
        </w:rPr>
        <w:t xml:space="preserve"> </w:t>
      </w:r>
      <w:r w:rsidRPr="005F0271">
        <w:rPr>
          <w:rFonts w:ascii="Calibri" w:hAnsi="Calibri" w:cs="Calibri"/>
          <w:bCs/>
          <w:kern w:val="32"/>
        </w:rPr>
        <w:t xml:space="preserve">657 private hospitals in Australia made up of: </w:t>
      </w:r>
    </w:p>
    <w:p w14:paraId="283E4412" w14:textId="77777777" w:rsidR="002842B6" w:rsidRPr="005F0271" w:rsidRDefault="002842B6" w:rsidP="00DF18F7">
      <w:pPr>
        <w:ind w:left="720"/>
        <w:rPr>
          <w:rFonts w:ascii="Calibri" w:hAnsi="Calibri" w:cs="Calibri"/>
          <w:bCs/>
          <w:kern w:val="32"/>
        </w:rPr>
      </w:pPr>
    </w:p>
    <w:p w14:paraId="1B922058" w14:textId="77777777" w:rsidR="00DF18F7" w:rsidRPr="005F0271" w:rsidRDefault="00DF18F7" w:rsidP="00DF18F7">
      <w:pPr>
        <w:pStyle w:val="ListParagraph"/>
        <w:numPr>
          <w:ilvl w:val="0"/>
          <w:numId w:val="27"/>
        </w:numPr>
        <w:rPr>
          <w:rFonts w:ascii="Calibri" w:hAnsi="Calibri" w:cs="Calibri"/>
          <w:color w:val="000000"/>
          <w:lang w:eastAsia="en-AU"/>
        </w:rPr>
      </w:pPr>
      <w:r w:rsidRPr="005F0271">
        <w:rPr>
          <w:rFonts w:ascii="Calibri" w:hAnsi="Calibri" w:cs="Calibri"/>
          <w:color w:val="000000"/>
          <w:lang w:eastAsia="en-AU"/>
        </w:rPr>
        <w:t>300 overnight hospitals</w:t>
      </w:r>
    </w:p>
    <w:p w14:paraId="4FEF9C8C" w14:textId="77777777" w:rsidR="00DF18F7" w:rsidRPr="005F0271" w:rsidRDefault="00DF18F7" w:rsidP="00DF18F7">
      <w:pPr>
        <w:pStyle w:val="ListParagraph"/>
        <w:numPr>
          <w:ilvl w:val="0"/>
          <w:numId w:val="27"/>
        </w:numPr>
        <w:rPr>
          <w:rFonts w:ascii="Calibri" w:hAnsi="Calibri" w:cs="Calibri"/>
          <w:color w:val="000000"/>
          <w:lang w:eastAsia="en-AU"/>
        </w:rPr>
      </w:pPr>
      <w:r w:rsidRPr="005F0271">
        <w:rPr>
          <w:rFonts w:ascii="Calibri" w:hAnsi="Calibri" w:cs="Calibri"/>
          <w:color w:val="000000"/>
          <w:lang w:eastAsia="en-AU"/>
        </w:rPr>
        <w:t xml:space="preserve">357 day hospitals </w:t>
      </w:r>
    </w:p>
    <w:p w14:paraId="2398BEE8" w14:textId="78C311CA" w:rsidR="00DF18F7" w:rsidRDefault="00CB4BBB" w:rsidP="00DF18F7">
      <w:pPr>
        <w:ind w:left="720"/>
        <w:rPr>
          <w:rFonts w:ascii="Calibri" w:hAnsi="Calibri" w:cs="Calibri"/>
          <w:color w:val="000000"/>
          <w:lang w:eastAsia="en-AU"/>
        </w:rPr>
      </w:pPr>
      <w:r>
        <w:rPr>
          <w:rFonts w:ascii="Calibri" w:hAnsi="Calibri" w:cs="Calibri"/>
          <w:color w:val="000000"/>
          <w:lang w:eastAsia="en-AU"/>
        </w:rPr>
        <w:br/>
      </w:r>
      <w:r w:rsidR="00DF18F7">
        <w:rPr>
          <w:rFonts w:ascii="Calibri" w:hAnsi="Calibri" w:cs="Calibri"/>
          <w:color w:val="000000"/>
          <w:lang w:eastAsia="en-AU"/>
        </w:rPr>
        <w:t xml:space="preserve">On this basis, APHA estimates </w:t>
      </w:r>
      <w:r w:rsidR="004F47BF">
        <w:rPr>
          <w:rFonts w:ascii="Calibri" w:hAnsi="Calibri" w:cs="Calibri"/>
          <w:color w:val="000000"/>
          <w:lang w:eastAsia="en-AU"/>
        </w:rPr>
        <w:t>less</w:t>
      </w:r>
      <w:r w:rsidR="00CD444E">
        <w:rPr>
          <w:rFonts w:ascii="Calibri" w:hAnsi="Calibri" w:cs="Calibri"/>
          <w:color w:val="000000"/>
          <w:lang w:eastAsia="en-AU"/>
        </w:rPr>
        <w:t xml:space="preserve"> than</w:t>
      </w:r>
      <w:r w:rsidR="00DF18F7">
        <w:rPr>
          <w:rFonts w:ascii="Calibri" w:hAnsi="Calibri" w:cs="Calibri"/>
          <w:color w:val="000000"/>
          <w:lang w:eastAsia="en-AU"/>
        </w:rPr>
        <w:t xml:space="preserve"> 70</w:t>
      </w:r>
      <w:r w:rsidR="00A41E70">
        <w:rPr>
          <w:rFonts w:ascii="Calibri" w:hAnsi="Calibri" w:cs="Calibri"/>
          <w:color w:val="000000"/>
          <w:lang w:eastAsia="en-AU"/>
        </w:rPr>
        <w:t xml:space="preserve"> percent</w:t>
      </w:r>
      <w:r w:rsidR="00DF18F7">
        <w:rPr>
          <w:rFonts w:ascii="Calibri" w:hAnsi="Calibri" w:cs="Calibri"/>
          <w:color w:val="000000"/>
          <w:lang w:eastAsia="en-AU"/>
        </w:rPr>
        <w:t xml:space="preserve"> of overnight private hospital beds and </w:t>
      </w:r>
      <w:r w:rsidR="004F47BF">
        <w:rPr>
          <w:rFonts w:ascii="Calibri" w:hAnsi="Calibri" w:cs="Calibri"/>
          <w:color w:val="000000"/>
          <w:lang w:eastAsia="en-AU"/>
        </w:rPr>
        <w:t>less</w:t>
      </w:r>
      <w:r w:rsidR="00DF18F7">
        <w:rPr>
          <w:rFonts w:ascii="Calibri" w:hAnsi="Calibri" w:cs="Calibri"/>
          <w:color w:val="000000"/>
          <w:lang w:eastAsia="en-AU"/>
        </w:rPr>
        <w:t xml:space="preserve"> than 30</w:t>
      </w:r>
      <w:r w:rsidR="00A41E70">
        <w:rPr>
          <w:rFonts w:ascii="Calibri" w:hAnsi="Calibri" w:cs="Calibri"/>
          <w:color w:val="000000"/>
          <w:lang w:eastAsia="en-AU"/>
        </w:rPr>
        <w:t xml:space="preserve"> percent</w:t>
      </w:r>
      <w:r w:rsidR="00DF18F7">
        <w:rPr>
          <w:rFonts w:ascii="Calibri" w:hAnsi="Calibri" w:cs="Calibri"/>
          <w:color w:val="000000"/>
          <w:lang w:eastAsia="en-AU"/>
        </w:rPr>
        <w:t xml:space="preserve"> of day hospital beds are registered. </w:t>
      </w:r>
      <w:r w:rsidR="00DF18F7" w:rsidRPr="0097316E">
        <w:rPr>
          <w:rFonts w:ascii="Calibri" w:hAnsi="Calibri" w:cs="Calibri"/>
          <w:color w:val="000000"/>
          <w:lang w:eastAsia="en-AU"/>
        </w:rPr>
        <w:t xml:space="preserve">This level of registration </w:t>
      </w:r>
      <w:r w:rsidR="0030218A">
        <w:rPr>
          <w:rFonts w:ascii="Calibri" w:hAnsi="Calibri" w:cs="Calibri"/>
          <w:color w:val="000000"/>
          <w:lang w:eastAsia="en-AU"/>
        </w:rPr>
        <w:t>must</w:t>
      </w:r>
      <w:r w:rsidR="00DF18F7" w:rsidRPr="0097316E">
        <w:rPr>
          <w:rFonts w:ascii="Calibri" w:hAnsi="Calibri" w:cs="Calibri"/>
          <w:color w:val="000000"/>
          <w:lang w:eastAsia="en-AU"/>
        </w:rPr>
        <w:t xml:space="preserve"> be significantly increased </w:t>
      </w:r>
      <w:r w:rsidR="0030218A">
        <w:rPr>
          <w:rFonts w:ascii="Calibri" w:hAnsi="Calibri" w:cs="Calibri"/>
          <w:color w:val="000000"/>
          <w:lang w:eastAsia="en-AU"/>
        </w:rPr>
        <w:t>to realise the</w:t>
      </w:r>
      <w:r w:rsidR="00DF18F7" w:rsidRPr="0097316E">
        <w:rPr>
          <w:rFonts w:ascii="Calibri" w:hAnsi="Calibri" w:cs="Calibri"/>
          <w:color w:val="000000"/>
          <w:lang w:eastAsia="en-AU"/>
        </w:rPr>
        <w:t xml:space="preserve"> benefits to the health system as a whole. </w:t>
      </w:r>
    </w:p>
    <w:p w14:paraId="5C8E8E67" w14:textId="77777777" w:rsidR="00CD444E" w:rsidRDefault="00CD444E" w:rsidP="00DF18F7">
      <w:pPr>
        <w:ind w:left="720"/>
        <w:rPr>
          <w:rFonts w:ascii="Calibri" w:hAnsi="Calibri" w:cs="Calibri"/>
          <w:color w:val="000000"/>
          <w:lang w:eastAsia="en-AU"/>
        </w:rPr>
      </w:pPr>
    </w:p>
    <w:p w14:paraId="05053673" w14:textId="6AC116A5" w:rsidR="00DF18F7" w:rsidRDefault="00DF18F7" w:rsidP="00DF18F7">
      <w:pPr>
        <w:ind w:left="720"/>
        <w:rPr>
          <w:rFonts w:ascii="Calibri" w:hAnsi="Calibri" w:cs="Calibri"/>
          <w:color w:val="000000"/>
          <w:lang w:eastAsia="en-AU"/>
        </w:rPr>
      </w:pPr>
      <w:r>
        <w:rPr>
          <w:rFonts w:ascii="Calibri" w:hAnsi="Calibri" w:cs="Calibri"/>
          <w:color w:val="000000"/>
          <w:lang w:eastAsia="en-AU"/>
        </w:rPr>
        <w:t>Apart</w:t>
      </w:r>
      <w:r w:rsidR="00FD0302">
        <w:rPr>
          <w:rFonts w:ascii="Calibri" w:hAnsi="Calibri" w:cs="Calibri"/>
          <w:color w:val="000000"/>
          <w:lang w:eastAsia="en-AU"/>
        </w:rPr>
        <w:t xml:space="preserve"> from </w:t>
      </w:r>
      <w:r>
        <w:rPr>
          <w:rFonts w:ascii="Calibri" w:hAnsi="Calibri" w:cs="Calibri"/>
          <w:color w:val="000000"/>
          <w:lang w:eastAsia="en-AU"/>
        </w:rPr>
        <w:t xml:space="preserve">a small number of pilot project grants made available to some private hospital groups, there </w:t>
      </w:r>
      <w:r w:rsidR="00FC006F">
        <w:rPr>
          <w:rFonts w:ascii="Calibri" w:hAnsi="Calibri" w:cs="Calibri"/>
          <w:color w:val="000000"/>
          <w:lang w:eastAsia="en-AU"/>
        </w:rPr>
        <w:t>has</w:t>
      </w:r>
      <w:r>
        <w:rPr>
          <w:rFonts w:ascii="Calibri" w:hAnsi="Calibri" w:cs="Calibri"/>
          <w:color w:val="000000"/>
          <w:lang w:eastAsia="en-AU"/>
        </w:rPr>
        <w:t xml:space="preserve"> been virtually no support provided to enable the private hospital sector to participate in the rollout and implementation of </w:t>
      </w:r>
      <w:r w:rsidR="0030218A">
        <w:rPr>
          <w:rFonts w:ascii="Calibri" w:hAnsi="Calibri" w:cs="Calibri"/>
          <w:color w:val="000000"/>
          <w:lang w:eastAsia="en-AU"/>
        </w:rPr>
        <w:t>My Health Record</w:t>
      </w:r>
      <w:r>
        <w:rPr>
          <w:rFonts w:ascii="Calibri" w:hAnsi="Calibri" w:cs="Calibri"/>
          <w:color w:val="000000"/>
          <w:lang w:eastAsia="en-AU"/>
        </w:rPr>
        <w:t xml:space="preserve">. It is notable that the uptake of access to </w:t>
      </w:r>
      <w:r w:rsidR="0030218A">
        <w:rPr>
          <w:rFonts w:ascii="Calibri" w:hAnsi="Calibri" w:cs="Calibri"/>
          <w:color w:val="000000"/>
          <w:lang w:eastAsia="en-AU"/>
        </w:rPr>
        <w:t>My Health Record</w:t>
      </w:r>
      <w:r>
        <w:rPr>
          <w:rFonts w:ascii="Calibri" w:hAnsi="Calibri" w:cs="Calibri"/>
          <w:color w:val="000000"/>
          <w:lang w:eastAsia="en-AU"/>
        </w:rPr>
        <w:t xml:space="preserve"> has focused </w:t>
      </w:r>
      <w:r w:rsidR="0030218A">
        <w:rPr>
          <w:rFonts w:ascii="Calibri" w:hAnsi="Calibri" w:cs="Calibri"/>
          <w:color w:val="000000"/>
          <w:lang w:eastAsia="en-AU"/>
        </w:rPr>
        <w:t xml:space="preserve">on </w:t>
      </w:r>
      <w:r>
        <w:rPr>
          <w:rFonts w:ascii="Calibri" w:hAnsi="Calibri" w:cs="Calibri"/>
          <w:color w:val="000000"/>
          <w:lang w:eastAsia="en-AU"/>
        </w:rPr>
        <w:t>the corporate group</w:t>
      </w:r>
      <w:r w:rsidR="0030218A">
        <w:rPr>
          <w:rFonts w:ascii="Calibri" w:hAnsi="Calibri" w:cs="Calibri"/>
          <w:color w:val="000000"/>
          <w:lang w:eastAsia="en-AU"/>
        </w:rPr>
        <w:t>s that</w:t>
      </w:r>
      <w:r>
        <w:rPr>
          <w:rFonts w:ascii="Calibri" w:hAnsi="Calibri" w:cs="Calibri"/>
          <w:color w:val="000000"/>
          <w:lang w:eastAsia="en-AU"/>
        </w:rPr>
        <w:t xml:space="preserve"> access</w:t>
      </w:r>
      <w:r w:rsidR="0030218A">
        <w:rPr>
          <w:rFonts w:ascii="Calibri" w:hAnsi="Calibri" w:cs="Calibri"/>
          <w:color w:val="000000"/>
          <w:lang w:eastAsia="en-AU"/>
        </w:rPr>
        <w:t>ed</w:t>
      </w:r>
      <w:r>
        <w:rPr>
          <w:rFonts w:ascii="Calibri" w:hAnsi="Calibri" w:cs="Calibri"/>
          <w:color w:val="000000"/>
          <w:lang w:eastAsia="en-AU"/>
        </w:rPr>
        <w:t xml:space="preserve"> pilot project assistance.</w:t>
      </w:r>
    </w:p>
    <w:p w14:paraId="39B20C48" w14:textId="77777777" w:rsidR="004F47BF" w:rsidRDefault="004F47BF" w:rsidP="00DF18F7">
      <w:pPr>
        <w:ind w:left="720"/>
        <w:rPr>
          <w:rFonts w:ascii="Calibri" w:hAnsi="Calibri" w:cs="Calibri"/>
          <w:color w:val="000000"/>
          <w:lang w:eastAsia="en-AU"/>
        </w:rPr>
      </w:pPr>
    </w:p>
    <w:p w14:paraId="76FB8FD7" w14:textId="3AF88CA9" w:rsidR="004F47BF" w:rsidRDefault="004F47BF" w:rsidP="004F47BF">
      <w:pPr>
        <w:ind w:left="720"/>
        <w:rPr>
          <w:rFonts w:ascii="Calibri" w:hAnsi="Calibri" w:cs="Calibri"/>
          <w:color w:val="000000"/>
          <w:lang w:eastAsia="en-AU"/>
        </w:rPr>
      </w:pPr>
      <w:r>
        <w:rPr>
          <w:rFonts w:ascii="Calibri" w:hAnsi="Calibri" w:cs="Calibri"/>
          <w:color w:val="000000"/>
          <w:lang w:eastAsia="en-AU"/>
        </w:rPr>
        <w:t xml:space="preserve">As a consequence further expansion of registrations to cover the remaining 30 percent of overnight hospital beds and 80 percent of day hospitals will </w:t>
      </w:r>
      <w:r w:rsidR="001B7FD6">
        <w:rPr>
          <w:rFonts w:ascii="Calibri" w:hAnsi="Calibri" w:cs="Calibri"/>
          <w:color w:val="000000"/>
          <w:lang w:eastAsia="en-AU"/>
        </w:rPr>
        <w:t xml:space="preserve">may be slow </w:t>
      </w:r>
      <w:r>
        <w:rPr>
          <w:rFonts w:ascii="Calibri" w:hAnsi="Calibri" w:cs="Calibri"/>
          <w:color w:val="000000"/>
          <w:lang w:eastAsia="en-AU"/>
        </w:rPr>
        <w:t>without government support.</w:t>
      </w:r>
    </w:p>
    <w:p w14:paraId="2921A7EB" w14:textId="77777777" w:rsidR="00CD444E" w:rsidRDefault="00CD444E" w:rsidP="00DF18F7">
      <w:pPr>
        <w:ind w:left="720"/>
        <w:rPr>
          <w:rFonts w:ascii="Calibri" w:hAnsi="Calibri" w:cs="Calibri"/>
          <w:color w:val="000000"/>
          <w:lang w:eastAsia="en-AU"/>
        </w:rPr>
      </w:pPr>
    </w:p>
    <w:p w14:paraId="1D57A76B" w14:textId="20D61D6B" w:rsidR="00A74433" w:rsidRDefault="00DF18F7" w:rsidP="00DF18F7">
      <w:pPr>
        <w:ind w:left="720"/>
        <w:rPr>
          <w:rFonts w:ascii="Calibri" w:hAnsi="Calibri" w:cs="Calibri"/>
          <w:color w:val="000000"/>
          <w:lang w:eastAsia="en-AU"/>
        </w:rPr>
      </w:pPr>
      <w:r>
        <w:rPr>
          <w:rFonts w:ascii="Calibri" w:hAnsi="Calibri" w:cs="Calibri"/>
          <w:color w:val="000000"/>
          <w:lang w:eastAsia="en-AU"/>
        </w:rPr>
        <w:t xml:space="preserve">Full engagement requires a major investment in software, training and information technology. While private hospitals could play a major role in uploading information to </w:t>
      </w:r>
      <w:r w:rsidR="0030218A">
        <w:rPr>
          <w:rFonts w:ascii="Calibri" w:hAnsi="Calibri" w:cs="Calibri"/>
          <w:color w:val="000000"/>
          <w:lang w:eastAsia="en-AU"/>
        </w:rPr>
        <w:t>My Health Record</w:t>
      </w:r>
      <w:r>
        <w:rPr>
          <w:rFonts w:ascii="Calibri" w:hAnsi="Calibri" w:cs="Calibri"/>
          <w:color w:val="000000"/>
          <w:lang w:eastAsia="en-AU"/>
        </w:rPr>
        <w:t>, it can be difficult for private hospitals to demonstrate a return on the</w:t>
      </w:r>
      <w:r w:rsidR="00A74433">
        <w:rPr>
          <w:rFonts w:ascii="Calibri" w:hAnsi="Calibri" w:cs="Calibri"/>
          <w:color w:val="000000"/>
          <w:lang w:eastAsia="en-AU"/>
        </w:rPr>
        <w:t>ir</w:t>
      </w:r>
      <w:r>
        <w:rPr>
          <w:rFonts w:ascii="Calibri" w:hAnsi="Calibri" w:cs="Calibri"/>
          <w:color w:val="000000"/>
          <w:lang w:eastAsia="en-AU"/>
        </w:rPr>
        <w:t xml:space="preserve"> investment required</w:t>
      </w:r>
      <w:r w:rsidR="005A58F0">
        <w:rPr>
          <w:rFonts w:ascii="Calibri" w:hAnsi="Calibri" w:cs="Calibri"/>
          <w:color w:val="000000"/>
          <w:lang w:eastAsia="en-AU"/>
        </w:rPr>
        <w:t xml:space="preserve"> from accessing information</w:t>
      </w:r>
      <w:r>
        <w:rPr>
          <w:rFonts w:ascii="Calibri" w:hAnsi="Calibri" w:cs="Calibri"/>
          <w:color w:val="000000"/>
          <w:lang w:eastAsia="en-AU"/>
        </w:rPr>
        <w:t>.</w:t>
      </w:r>
      <w:r w:rsidR="00CD444E">
        <w:rPr>
          <w:rFonts w:ascii="Calibri" w:hAnsi="Calibri" w:cs="Calibri"/>
          <w:color w:val="000000"/>
          <w:lang w:eastAsia="en-AU"/>
        </w:rPr>
        <w:t xml:space="preserve"> </w:t>
      </w:r>
    </w:p>
    <w:p w14:paraId="46F3E890" w14:textId="77777777" w:rsidR="00A74433" w:rsidRDefault="00A74433" w:rsidP="00DF18F7">
      <w:pPr>
        <w:ind w:left="720"/>
        <w:rPr>
          <w:rFonts w:ascii="Calibri" w:hAnsi="Calibri" w:cs="Calibri"/>
          <w:color w:val="000000"/>
          <w:lang w:eastAsia="en-AU"/>
        </w:rPr>
      </w:pPr>
    </w:p>
    <w:p w14:paraId="4FC9E10D" w14:textId="4B80898A" w:rsidR="005A58F0" w:rsidRDefault="00A74433" w:rsidP="003A7770">
      <w:pPr>
        <w:ind w:left="720"/>
        <w:rPr>
          <w:rFonts w:ascii="Calibri" w:hAnsi="Calibri" w:cs="Calibri"/>
          <w:color w:val="000000"/>
          <w:lang w:eastAsia="en-AU"/>
        </w:rPr>
      </w:pPr>
      <w:r>
        <w:rPr>
          <w:rFonts w:ascii="Calibri" w:hAnsi="Calibri" w:cs="Calibri"/>
          <w:color w:val="000000"/>
          <w:lang w:eastAsia="en-AU"/>
        </w:rPr>
        <w:t xml:space="preserve">The benefit of hospitals </w:t>
      </w:r>
      <w:r w:rsidR="0030218A">
        <w:rPr>
          <w:rFonts w:ascii="Calibri" w:hAnsi="Calibri" w:cs="Calibri"/>
          <w:color w:val="000000"/>
          <w:lang w:eastAsia="en-AU"/>
        </w:rPr>
        <w:t>registering</w:t>
      </w:r>
      <w:r>
        <w:rPr>
          <w:rFonts w:ascii="Calibri" w:hAnsi="Calibri" w:cs="Calibri"/>
          <w:color w:val="000000"/>
          <w:lang w:eastAsia="en-AU"/>
        </w:rPr>
        <w:t xml:space="preserve"> with </w:t>
      </w:r>
      <w:r w:rsidR="0030218A">
        <w:rPr>
          <w:rFonts w:ascii="Calibri" w:hAnsi="Calibri" w:cs="Calibri"/>
          <w:color w:val="000000"/>
          <w:lang w:eastAsia="en-AU"/>
        </w:rPr>
        <w:t>My Health Record</w:t>
      </w:r>
      <w:r>
        <w:rPr>
          <w:rFonts w:ascii="Calibri" w:hAnsi="Calibri" w:cs="Calibri"/>
          <w:color w:val="000000"/>
          <w:lang w:eastAsia="en-AU"/>
        </w:rPr>
        <w:t xml:space="preserve"> is realised outside the hospital, not inside. </w:t>
      </w:r>
      <w:r w:rsidR="00CD444E">
        <w:rPr>
          <w:rFonts w:ascii="Calibri" w:hAnsi="Calibri" w:cs="Calibri"/>
          <w:color w:val="000000"/>
          <w:lang w:eastAsia="en-AU"/>
        </w:rPr>
        <w:t xml:space="preserve">This challenge is reflected in data produced by the Australian Digital Health Agency </w:t>
      </w:r>
      <w:r w:rsidR="004F47BF">
        <w:rPr>
          <w:rFonts w:ascii="Calibri" w:hAnsi="Calibri" w:cs="Calibri"/>
          <w:color w:val="000000"/>
          <w:lang w:eastAsia="en-AU"/>
        </w:rPr>
        <w:t>that</w:t>
      </w:r>
      <w:r w:rsidR="005A58F0">
        <w:rPr>
          <w:rFonts w:ascii="Calibri" w:hAnsi="Calibri" w:cs="Calibri"/>
          <w:color w:val="000000"/>
          <w:lang w:eastAsia="en-AU"/>
        </w:rPr>
        <w:t xml:space="preserve"> demonstrates that public hospitals upload 12 documents for every </w:t>
      </w:r>
      <w:r w:rsidR="00FD0302">
        <w:rPr>
          <w:rFonts w:ascii="Calibri" w:hAnsi="Calibri" w:cs="Calibri"/>
          <w:color w:val="000000"/>
          <w:lang w:eastAsia="en-AU"/>
        </w:rPr>
        <w:t>one</w:t>
      </w:r>
      <w:r w:rsidR="005A58F0">
        <w:rPr>
          <w:rFonts w:ascii="Calibri" w:hAnsi="Calibri" w:cs="Calibri"/>
          <w:color w:val="000000"/>
          <w:lang w:eastAsia="en-AU"/>
        </w:rPr>
        <w:t xml:space="preserve"> view accessed within the hospital</w:t>
      </w:r>
      <w:r>
        <w:rPr>
          <w:rStyle w:val="FootnoteReference"/>
          <w:rFonts w:ascii="Calibri" w:hAnsi="Calibri"/>
          <w:color w:val="000000"/>
          <w:lang w:eastAsia="en-AU"/>
        </w:rPr>
        <w:footnoteReference w:id="17"/>
      </w:r>
      <w:r w:rsidR="005A58F0">
        <w:rPr>
          <w:rFonts w:ascii="Calibri" w:hAnsi="Calibri" w:cs="Calibri"/>
          <w:color w:val="000000"/>
          <w:lang w:eastAsia="en-AU"/>
        </w:rPr>
        <w:t>.</w:t>
      </w:r>
      <w:r>
        <w:rPr>
          <w:rFonts w:ascii="Calibri" w:hAnsi="Calibri" w:cs="Calibri"/>
          <w:color w:val="000000"/>
          <w:lang w:eastAsia="en-AU"/>
        </w:rPr>
        <w:t xml:space="preserve"> </w:t>
      </w:r>
    </w:p>
    <w:p w14:paraId="1628B89F" w14:textId="15DC0A89" w:rsidR="00CD444E" w:rsidRDefault="00CD444E" w:rsidP="00DF18F7">
      <w:pPr>
        <w:ind w:left="720"/>
        <w:rPr>
          <w:rFonts w:ascii="Calibri" w:hAnsi="Calibri" w:cs="Calibri"/>
          <w:color w:val="000000"/>
          <w:lang w:eastAsia="en-AU"/>
        </w:rPr>
      </w:pPr>
    </w:p>
    <w:p w14:paraId="2C37E52B" w14:textId="433CA9BB" w:rsidR="00DF18F7" w:rsidRDefault="00DF18F7" w:rsidP="00DF18F7">
      <w:pPr>
        <w:ind w:left="720"/>
        <w:rPr>
          <w:rFonts w:cstheme="minorHAnsi"/>
          <w:b/>
        </w:rPr>
      </w:pPr>
      <w:r>
        <w:rPr>
          <w:rFonts w:ascii="Calibri" w:hAnsi="Calibri" w:cs="Calibri"/>
          <w:color w:val="000000"/>
          <w:lang w:eastAsia="en-AU"/>
        </w:rPr>
        <w:t>The Federal Government has provided a generic portal-based service</w:t>
      </w:r>
      <w:r w:rsidR="004F47BF">
        <w:rPr>
          <w:rFonts w:ascii="Calibri" w:hAnsi="Calibri" w:cs="Calibri"/>
          <w:color w:val="000000"/>
          <w:lang w:eastAsia="en-AU"/>
        </w:rPr>
        <w:t xml:space="preserve"> that</w:t>
      </w:r>
      <w:r>
        <w:rPr>
          <w:rFonts w:ascii="Calibri" w:hAnsi="Calibri" w:cs="Calibri"/>
          <w:color w:val="000000"/>
          <w:lang w:eastAsia="en-AU"/>
        </w:rPr>
        <w:t xml:space="preserve"> allows private hospitals to access information on the </w:t>
      </w:r>
      <w:r w:rsidR="0030218A">
        <w:rPr>
          <w:rFonts w:ascii="Calibri" w:hAnsi="Calibri" w:cs="Calibri"/>
          <w:color w:val="000000"/>
          <w:lang w:eastAsia="en-AU"/>
        </w:rPr>
        <w:t>My Health Record</w:t>
      </w:r>
      <w:r>
        <w:rPr>
          <w:rFonts w:ascii="Calibri" w:hAnsi="Calibri" w:cs="Calibri"/>
          <w:color w:val="000000"/>
          <w:lang w:eastAsia="en-AU"/>
        </w:rPr>
        <w:t xml:space="preserve"> system. While this option provides an affordable point of entry, the utility for private hospitals and patients is limited because this option does not allow hospitals to upload information.</w:t>
      </w:r>
    </w:p>
    <w:p w14:paraId="22063145" w14:textId="77777777" w:rsidR="00DF18F7" w:rsidRDefault="00DF18F7" w:rsidP="00DF18F7">
      <w:pPr>
        <w:spacing w:after="160" w:line="259" w:lineRule="auto"/>
        <w:rPr>
          <w:rFonts w:cstheme="minorHAnsi"/>
          <w:b/>
          <w:caps/>
        </w:rPr>
      </w:pPr>
      <w:r>
        <w:rPr>
          <w:caps/>
        </w:rPr>
        <w:br w:type="page"/>
      </w:r>
    </w:p>
    <w:p w14:paraId="629CEAB9" w14:textId="6A8B917F" w:rsidR="00DF18F7" w:rsidRDefault="00DF18F7" w:rsidP="00DF18F7">
      <w:pPr>
        <w:pStyle w:val="Heading2"/>
      </w:pPr>
      <w:bookmarkStart w:id="107" w:name="_Toc27494542"/>
      <w:bookmarkStart w:id="108" w:name="_Toc27494739"/>
      <w:bookmarkStart w:id="109" w:name="_Toc27664139"/>
      <w:r w:rsidRPr="007D38AC">
        <w:t xml:space="preserve">Accountability </w:t>
      </w:r>
      <w:r w:rsidR="00A37DB6">
        <w:t>a</w:t>
      </w:r>
      <w:r w:rsidRPr="007D38AC">
        <w:t>nd Reporting</w:t>
      </w:r>
      <w:bookmarkEnd w:id="107"/>
      <w:bookmarkEnd w:id="108"/>
      <w:bookmarkEnd w:id="109"/>
    </w:p>
    <w:p w14:paraId="76D772EF" w14:textId="77777777" w:rsidR="00A74433" w:rsidRPr="00A74433" w:rsidRDefault="00A74433" w:rsidP="00A74433"/>
    <w:p w14:paraId="5C3A4C05" w14:textId="77777777" w:rsidR="00DF18F7" w:rsidRPr="0097316E" w:rsidRDefault="00DF18F7" w:rsidP="00DF18F7">
      <w:pPr>
        <w:pStyle w:val="Heading3"/>
        <w:keepNext w:val="0"/>
        <w:keepLines w:val="0"/>
        <w:numPr>
          <w:ilvl w:val="0"/>
          <w:numId w:val="6"/>
        </w:numPr>
        <w:spacing w:before="0"/>
        <w:contextualSpacing/>
      </w:pPr>
      <w:bookmarkStart w:id="110" w:name="_Toc27127528"/>
      <w:bookmarkStart w:id="111" w:name="_Toc27494543"/>
      <w:bookmarkStart w:id="112" w:name="_Toc27494740"/>
      <w:r w:rsidRPr="0097316E">
        <w:t>Auspice an industry wide agreement regarding auditing.</w:t>
      </w:r>
      <w:bookmarkEnd w:id="110"/>
      <w:bookmarkEnd w:id="111"/>
      <w:bookmarkEnd w:id="112"/>
      <w:r w:rsidRPr="0097316E">
        <w:t xml:space="preserve"> </w:t>
      </w:r>
    </w:p>
    <w:p w14:paraId="1CD092A5" w14:textId="2D748121" w:rsidR="00DF18F7" w:rsidRDefault="00CB4BBB" w:rsidP="00DF18F7">
      <w:pPr>
        <w:ind w:left="720"/>
        <w:rPr>
          <w:rFonts w:ascii="Calibri" w:hAnsi="Calibri" w:cs="Calibri"/>
          <w:color w:val="000000"/>
          <w:lang w:eastAsia="en-AU"/>
        </w:rPr>
      </w:pPr>
      <w:r>
        <w:rPr>
          <w:rFonts w:ascii="Calibri" w:hAnsi="Calibri" w:cs="Calibri"/>
          <w:color w:val="000000"/>
          <w:lang w:eastAsia="en-AU"/>
        </w:rPr>
        <w:br/>
      </w:r>
      <w:r w:rsidR="00992DE5">
        <w:rPr>
          <w:rFonts w:ascii="Calibri" w:hAnsi="Calibri" w:cs="Calibri"/>
          <w:color w:val="000000"/>
          <w:lang w:eastAsia="en-AU"/>
        </w:rPr>
        <w:t>Health insurer</w:t>
      </w:r>
      <w:r w:rsidR="00DF18F7" w:rsidRPr="0097316E">
        <w:rPr>
          <w:rFonts w:ascii="Calibri" w:hAnsi="Calibri" w:cs="Calibri"/>
          <w:color w:val="000000"/>
          <w:lang w:eastAsia="en-AU"/>
        </w:rPr>
        <w:t>s have the right to audit claims for benefits to ensure protection from fraud or inappropriate claiming. However</w:t>
      </w:r>
      <w:r w:rsidR="004F47BF">
        <w:rPr>
          <w:rFonts w:ascii="Calibri" w:hAnsi="Calibri" w:cs="Calibri"/>
          <w:color w:val="000000"/>
          <w:lang w:eastAsia="en-AU"/>
        </w:rPr>
        <w:t>,</w:t>
      </w:r>
      <w:r w:rsidR="00DF18F7" w:rsidRPr="0097316E">
        <w:rPr>
          <w:rFonts w:ascii="Calibri" w:hAnsi="Calibri" w:cs="Calibri"/>
          <w:color w:val="000000"/>
          <w:lang w:eastAsia="en-AU"/>
        </w:rPr>
        <w:t xml:space="preserve"> in recent years health insurers have adopted audit practices that are excessive and onerous. Frequently </w:t>
      </w:r>
      <w:r w:rsidR="00992DE5">
        <w:rPr>
          <w:rFonts w:ascii="Calibri" w:hAnsi="Calibri" w:cs="Calibri"/>
          <w:color w:val="000000"/>
          <w:lang w:eastAsia="en-AU"/>
        </w:rPr>
        <w:t>health insurer</w:t>
      </w:r>
      <w:r w:rsidR="00DF18F7" w:rsidRPr="0097316E">
        <w:rPr>
          <w:rFonts w:ascii="Calibri" w:hAnsi="Calibri" w:cs="Calibri"/>
          <w:color w:val="000000"/>
          <w:lang w:eastAsia="en-AU"/>
        </w:rPr>
        <w:t xml:space="preserve">s demand retrospective audits over several years and may even seek to apply rules and criteria to claims that pre-date these arrangements. </w:t>
      </w:r>
      <w:r w:rsidR="00DF18F7">
        <w:rPr>
          <w:rFonts w:ascii="Calibri" w:hAnsi="Calibri" w:cs="Calibri"/>
          <w:color w:val="000000"/>
          <w:lang w:eastAsia="en-AU"/>
        </w:rPr>
        <w:t>The administrative costs associated with responding to these audit processes divert resources away from the delivery of patient care.</w:t>
      </w:r>
    </w:p>
    <w:p w14:paraId="794C3CE9" w14:textId="77777777" w:rsidR="00A74433" w:rsidRDefault="00A74433" w:rsidP="00DF18F7">
      <w:pPr>
        <w:ind w:left="720"/>
        <w:rPr>
          <w:rFonts w:ascii="Calibri" w:hAnsi="Calibri" w:cs="Calibri"/>
          <w:color w:val="000000"/>
          <w:lang w:eastAsia="en-AU"/>
        </w:rPr>
      </w:pPr>
    </w:p>
    <w:p w14:paraId="103C2C5D" w14:textId="22630EAA" w:rsidR="00DF18F7" w:rsidRDefault="00992DE5" w:rsidP="00DF18F7">
      <w:pPr>
        <w:ind w:left="720"/>
        <w:rPr>
          <w:rFonts w:ascii="Calibri" w:hAnsi="Calibri" w:cs="Calibri"/>
          <w:color w:val="000000"/>
          <w:lang w:eastAsia="en-AU"/>
        </w:rPr>
      </w:pPr>
      <w:r>
        <w:rPr>
          <w:rFonts w:ascii="Calibri" w:hAnsi="Calibri" w:cs="Calibri"/>
          <w:color w:val="000000"/>
          <w:lang w:eastAsia="en-AU"/>
        </w:rPr>
        <w:t>Health insurer</w:t>
      </w:r>
      <w:r w:rsidR="00DF18F7" w:rsidRPr="0097316E">
        <w:rPr>
          <w:rFonts w:ascii="Calibri" w:hAnsi="Calibri" w:cs="Calibri"/>
          <w:color w:val="000000"/>
          <w:lang w:eastAsia="en-AU"/>
        </w:rPr>
        <w:t xml:space="preserve">s use different criteria and ‘business rules’ with the result that hospitals must implement complex </w:t>
      </w:r>
      <w:r w:rsidR="00DF18F7">
        <w:rPr>
          <w:rFonts w:ascii="Calibri" w:hAnsi="Calibri" w:cs="Calibri"/>
          <w:color w:val="000000"/>
          <w:lang w:eastAsia="en-AU"/>
        </w:rPr>
        <w:t xml:space="preserve">administrative </w:t>
      </w:r>
      <w:r w:rsidR="00DF18F7" w:rsidRPr="0097316E">
        <w:rPr>
          <w:rFonts w:ascii="Calibri" w:hAnsi="Calibri" w:cs="Calibri"/>
          <w:color w:val="000000"/>
          <w:lang w:eastAsia="en-AU"/>
        </w:rPr>
        <w:t xml:space="preserve">arrangements to ensure that </w:t>
      </w:r>
      <w:r w:rsidR="00DF18F7">
        <w:rPr>
          <w:rFonts w:ascii="Calibri" w:hAnsi="Calibri" w:cs="Calibri"/>
          <w:color w:val="000000"/>
          <w:lang w:eastAsia="en-AU"/>
        </w:rPr>
        <w:t>each insurer’s requirements are complied with.</w:t>
      </w:r>
    </w:p>
    <w:p w14:paraId="4D3666C0" w14:textId="77777777" w:rsidR="00A74433" w:rsidRPr="0097316E" w:rsidRDefault="00A74433" w:rsidP="00DF18F7">
      <w:pPr>
        <w:ind w:left="720"/>
        <w:rPr>
          <w:rFonts w:ascii="Calibri" w:hAnsi="Calibri" w:cs="Calibri"/>
          <w:color w:val="000000"/>
          <w:lang w:eastAsia="en-AU"/>
        </w:rPr>
      </w:pPr>
    </w:p>
    <w:p w14:paraId="69C46716" w14:textId="4E74ABB7" w:rsidR="00DF18F7" w:rsidRDefault="00DF18F7" w:rsidP="00DF18F7">
      <w:pPr>
        <w:ind w:left="720"/>
        <w:rPr>
          <w:rFonts w:ascii="Calibri" w:hAnsi="Calibri" w:cs="Calibri"/>
          <w:color w:val="000000"/>
          <w:lang w:eastAsia="en-AU"/>
        </w:rPr>
      </w:pPr>
      <w:r w:rsidRPr="0097316E">
        <w:rPr>
          <w:rFonts w:ascii="Calibri" w:hAnsi="Calibri" w:cs="Calibri"/>
          <w:color w:val="000000"/>
          <w:lang w:eastAsia="en-AU"/>
        </w:rPr>
        <w:t>Consistency in approach would reduce administrative costs for both hospitals and health insurers.</w:t>
      </w:r>
    </w:p>
    <w:p w14:paraId="6CEC653E" w14:textId="77777777" w:rsidR="00A74433" w:rsidRDefault="00A74433" w:rsidP="00DF18F7">
      <w:pPr>
        <w:ind w:left="720"/>
        <w:rPr>
          <w:rFonts w:ascii="Calibri" w:hAnsi="Calibri" w:cs="Calibri"/>
          <w:color w:val="000000"/>
          <w:lang w:eastAsia="en-AU"/>
        </w:rPr>
      </w:pPr>
    </w:p>
    <w:p w14:paraId="3A74854B" w14:textId="1DCE05A3" w:rsidR="00DF18F7" w:rsidRDefault="00DF18F7" w:rsidP="00DF18F7">
      <w:pPr>
        <w:ind w:left="720"/>
        <w:rPr>
          <w:rFonts w:ascii="Calibri" w:hAnsi="Calibri" w:cs="Calibri"/>
          <w:color w:val="000000"/>
          <w:lang w:eastAsia="en-AU"/>
        </w:rPr>
      </w:pPr>
      <w:proofErr w:type="spellStart"/>
      <w:r>
        <w:rPr>
          <w:rFonts w:ascii="Calibri" w:hAnsi="Calibri" w:cs="Calibri"/>
          <w:color w:val="000000"/>
          <w:lang w:eastAsia="en-AU"/>
        </w:rPr>
        <w:t>Auspicing</w:t>
      </w:r>
      <w:proofErr w:type="spellEnd"/>
      <w:r>
        <w:rPr>
          <w:rFonts w:ascii="Calibri" w:hAnsi="Calibri" w:cs="Calibri"/>
          <w:color w:val="000000"/>
          <w:lang w:eastAsia="en-AU"/>
        </w:rPr>
        <w:t xml:space="preserve"> by </w:t>
      </w:r>
      <w:r w:rsidR="004F47BF">
        <w:rPr>
          <w:rFonts w:ascii="Calibri" w:hAnsi="Calibri" w:cs="Calibri"/>
          <w:color w:val="000000"/>
          <w:lang w:eastAsia="en-AU"/>
        </w:rPr>
        <w:t>Federal G</w:t>
      </w:r>
      <w:r>
        <w:rPr>
          <w:rFonts w:ascii="Calibri" w:hAnsi="Calibri" w:cs="Calibri"/>
          <w:color w:val="000000"/>
          <w:lang w:eastAsia="en-AU"/>
        </w:rPr>
        <w:t xml:space="preserve">overnment would provide consumers with assurance that benefits are paid in a transparent and consistent manner. It would also allow the </w:t>
      </w:r>
      <w:r w:rsidR="004F47BF">
        <w:rPr>
          <w:rFonts w:ascii="Calibri" w:hAnsi="Calibri" w:cs="Calibri"/>
          <w:color w:val="000000"/>
          <w:lang w:eastAsia="en-AU"/>
        </w:rPr>
        <w:t>G</w:t>
      </w:r>
      <w:r>
        <w:rPr>
          <w:rFonts w:ascii="Calibri" w:hAnsi="Calibri" w:cs="Calibri"/>
          <w:color w:val="000000"/>
          <w:lang w:eastAsia="en-AU"/>
        </w:rPr>
        <w:t xml:space="preserve">overnment to ensure auditing criteria </w:t>
      </w:r>
      <w:r w:rsidR="004F47BF">
        <w:rPr>
          <w:rFonts w:ascii="Calibri" w:hAnsi="Calibri" w:cs="Calibri"/>
          <w:color w:val="000000"/>
          <w:lang w:eastAsia="en-AU"/>
        </w:rPr>
        <w:t>a</w:t>
      </w:r>
      <w:r>
        <w:rPr>
          <w:rFonts w:ascii="Calibri" w:hAnsi="Calibri" w:cs="Calibri"/>
          <w:color w:val="000000"/>
          <w:lang w:eastAsia="en-AU"/>
        </w:rPr>
        <w:t>re consistent with the MBS in promoting evidence</w:t>
      </w:r>
      <w:r w:rsidR="004F47BF">
        <w:rPr>
          <w:rFonts w:ascii="Calibri" w:hAnsi="Calibri" w:cs="Calibri"/>
          <w:color w:val="000000"/>
          <w:lang w:eastAsia="en-AU"/>
        </w:rPr>
        <w:t>-</w:t>
      </w:r>
      <w:r>
        <w:rPr>
          <w:rFonts w:ascii="Calibri" w:hAnsi="Calibri" w:cs="Calibri"/>
          <w:color w:val="000000"/>
          <w:lang w:eastAsia="en-AU"/>
        </w:rPr>
        <w:t>based care</w:t>
      </w:r>
      <w:r w:rsidR="004F47BF">
        <w:rPr>
          <w:rFonts w:ascii="Calibri" w:hAnsi="Calibri" w:cs="Calibri"/>
          <w:color w:val="000000"/>
          <w:lang w:eastAsia="en-AU"/>
        </w:rPr>
        <w:t xml:space="preserve"> delivery</w:t>
      </w:r>
      <w:r>
        <w:rPr>
          <w:rFonts w:ascii="Calibri" w:hAnsi="Calibri" w:cs="Calibri"/>
          <w:color w:val="000000"/>
          <w:lang w:eastAsia="en-AU"/>
        </w:rPr>
        <w:t xml:space="preserve">. </w:t>
      </w:r>
    </w:p>
    <w:p w14:paraId="66506B8A" w14:textId="77777777" w:rsidR="00A74433" w:rsidRPr="0097316E" w:rsidRDefault="00A74433" w:rsidP="00DF18F7">
      <w:pPr>
        <w:ind w:left="720"/>
        <w:rPr>
          <w:rFonts w:ascii="Calibri" w:hAnsi="Calibri" w:cs="Calibri"/>
          <w:color w:val="000000"/>
          <w:lang w:eastAsia="en-AU"/>
        </w:rPr>
      </w:pPr>
    </w:p>
    <w:p w14:paraId="2A4743EE" w14:textId="4FD59C49" w:rsidR="00DF18F7" w:rsidRPr="0097316E" w:rsidRDefault="00DF18F7" w:rsidP="00DF18F7">
      <w:pPr>
        <w:pStyle w:val="Heading3"/>
        <w:keepNext w:val="0"/>
        <w:keepLines w:val="0"/>
        <w:numPr>
          <w:ilvl w:val="0"/>
          <w:numId w:val="6"/>
        </w:numPr>
        <w:spacing w:before="0"/>
        <w:contextualSpacing/>
      </w:pPr>
      <w:bookmarkStart w:id="113" w:name="_Toc27127529"/>
      <w:bookmarkStart w:id="114" w:name="_Toc27494544"/>
      <w:bookmarkStart w:id="115" w:name="_Toc27494741"/>
      <w:r w:rsidRPr="0097316E">
        <w:t>Remove duplication and increase standardisation in reporting to governments and insurers</w:t>
      </w:r>
      <w:bookmarkEnd w:id="113"/>
      <w:bookmarkEnd w:id="114"/>
      <w:bookmarkEnd w:id="115"/>
      <w:r w:rsidR="004F47BF">
        <w:t>.</w:t>
      </w:r>
      <w:r w:rsidR="00CB4BBB">
        <w:br/>
      </w:r>
    </w:p>
    <w:p w14:paraId="748F4650" w14:textId="674E01D8" w:rsidR="00DF18F7" w:rsidRDefault="00DF18F7" w:rsidP="00DF18F7">
      <w:pPr>
        <w:ind w:left="720"/>
        <w:rPr>
          <w:rFonts w:ascii="Calibri" w:hAnsi="Calibri" w:cs="Calibri"/>
          <w:color w:val="000000"/>
          <w:lang w:eastAsia="en-AU"/>
        </w:rPr>
      </w:pPr>
      <w:r w:rsidRPr="0097316E">
        <w:rPr>
          <w:rFonts w:ascii="Calibri" w:hAnsi="Calibri" w:cs="Calibri"/>
          <w:color w:val="000000"/>
          <w:lang w:eastAsia="en-AU"/>
        </w:rPr>
        <w:t>Private hospitals are required to meet a multitude of reporting and regulatory requirements at both state and federal level. They are also required to meet</w:t>
      </w:r>
      <w:r>
        <w:rPr>
          <w:rFonts w:ascii="Calibri" w:hAnsi="Calibri" w:cs="Calibri"/>
          <w:color w:val="000000"/>
          <w:lang w:eastAsia="en-AU"/>
        </w:rPr>
        <w:t xml:space="preserve"> </w:t>
      </w:r>
      <w:r w:rsidRPr="0097316E">
        <w:rPr>
          <w:rFonts w:ascii="Calibri" w:hAnsi="Calibri" w:cs="Calibri"/>
          <w:color w:val="000000"/>
          <w:lang w:eastAsia="en-AU"/>
        </w:rPr>
        <w:t>reporting requirements imposed by insurers and other payers. Many of these requirements are duplicative of the requirements already enforced through the National Safety and Quality in Health Service Standards</w:t>
      </w:r>
      <w:r>
        <w:rPr>
          <w:rFonts w:ascii="Calibri" w:hAnsi="Calibri" w:cs="Calibri"/>
          <w:color w:val="000000"/>
          <w:lang w:eastAsia="en-AU"/>
        </w:rPr>
        <w:t>.</w:t>
      </w:r>
    </w:p>
    <w:p w14:paraId="36A9A63E" w14:textId="77777777" w:rsidR="00A74433" w:rsidRDefault="00A74433" w:rsidP="00DF18F7">
      <w:pPr>
        <w:ind w:left="720"/>
        <w:rPr>
          <w:rFonts w:ascii="Calibri" w:hAnsi="Calibri" w:cs="Calibri"/>
          <w:color w:val="000000"/>
          <w:lang w:eastAsia="en-AU"/>
        </w:rPr>
      </w:pPr>
    </w:p>
    <w:p w14:paraId="2A024E33" w14:textId="72FEA930" w:rsidR="00DF18F7" w:rsidRDefault="00DF18F7" w:rsidP="00CB4BBB">
      <w:pPr>
        <w:ind w:left="720"/>
        <w:rPr>
          <w:rFonts w:ascii="Calibri" w:hAnsi="Calibri" w:cs="Calibri"/>
          <w:color w:val="000000"/>
          <w:lang w:eastAsia="en-AU"/>
        </w:rPr>
      </w:pPr>
      <w:r>
        <w:rPr>
          <w:rFonts w:ascii="Calibri" w:hAnsi="Calibri" w:cs="Calibri"/>
          <w:color w:val="000000"/>
          <w:lang w:eastAsia="en-AU"/>
        </w:rPr>
        <w:t xml:space="preserve">Removal of duplication and standardisation in reporting requirements would reduce administrative overheads enabling resources to be directed to patient care. </w:t>
      </w:r>
    </w:p>
    <w:p w14:paraId="2EAD7A2B" w14:textId="77777777" w:rsidR="00A74433" w:rsidRPr="0097316E" w:rsidRDefault="00A74433" w:rsidP="00CB4BBB">
      <w:pPr>
        <w:ind w:left="720"/>
        <w:rPr>
          <w:rFonts w:ascii="Calibri" w:hAnsi="Calibri" w:cs="Calibri"/>
          <w:color w:val="000000"/>
          <w:lang w:eastAsia="en-AU"/>
        </w:rPr>
      </w:pPr>
    </w:p>
    <w:p w14:paraId="59D777A9" w14:textId="360744AB" w:rsidR="00DF18F7" w:rsidRPr="00CB4BBB" w:rsidRDefault="00DF18F7" w:rsidP="00EE4A96">
      <w:pPr>
        <w:pStyle w:val="Heading3"/>
        <w:keepNext w:val="0"/>
        <w:keepLines w:val="0"/>
        <w:numPr>
          <w:ilvl w:val="0"/>
          <w:numId w:val="6"/>
        </w:numPr>
        <w:spacing w:before="0"/>
        <w:contextualSpacing/>
        <w:rPr>
          <w:rFonts w:ascii="Calibri" w:hAnsi="Calibri" w:cs="Calibri"/>
          <w:color w:val="000000"/>
          <w:lang w:eastAsia="en-AU"/>
        </w:rPr>
      </w:pPr>
      <w:bookmarkStart w:id="116" w:name="_Toc27127530"/>
      <w:bookmarkStart w:id="117" w:name="_Toc27494545"/>
      <w:bookmarkStart w:id="118" w:name="_Toc27494742"/>
      <w:r w:rsidRPr="0097316E">
        <w:t>Auspice an industry wide agreement by government re data/performance reporting</w:t>
      </w:r>
      <w:bookmarkEnd w:id="116"/>
      <w:r>
        <w:t>.</w:t>
      </w:r>
      <w:bookmarkEnd w:id="117"/>
      <w:bookmarkEnd w:id="118"/>
      <w:r w:rsidR="00CB4BBB">
        <w:br/>
      </w:r>
    </w:p>
    <w:p w14:paraId="0AFC9CB4" w14:textId="5FB27414" w:rsidR="00DF18F7" w:rsidRDefault="00DF18F7" w:rsidP="00DF18F7">
      <w:pPr>
        <w:ind w:left="720"/>
        <w:rPr>
          <w:rFonts w:ascii="Calibri" w:hAnsi="Calibri" w:cs="Calibri"/>
          <w:color w:val="000000"/>
          <w:lang w:eastAsia="en-AU"/>
        </w:rPr>
      </w:pPr>
      <w:r w:rsidRPr="0097316E">
        <w:rPr>
          <w:rFonts w:ascii="Calibri" w:hAnsi="Calibri" w:cs="Calibri"/>
          <w:color w:val="000000"/>
          <w:lang w:eastAsia="en-AU"/>
        </w:rPr>
        <w:t>The private hospital sector has been an active contributor to the process led by the A</w:t>
      </w:r>
      <w:r w:rsidR="00A74433">
        <w:rPr>
          <w:rFonts w:ascii="Calibri" w:hAnsi="Calibri" w:cs="Calibri"/>
          <w:color w:val="000000"/>
          <w:lang w:eastAsia="en-AU"/>
        </w:rPr>
        <w:t xml:space="preserve">ustralian Commission for Safety and Quality in </w:t>
      </w:r>
      <w:r w:rsidR="00134B4D">
        <w:rPr>
          <w:rFonts w:ascii="Calibri" w:hAnsi="Calibri" w:cs="Calibri"/>
          <w:color w:val="000000"/>
          <w:lang w:eastAsia="en-AU"/>
        </w:rPr>
        <w:t>Health</w:t>
      </w:r>
      <w:r w:rsidR="00C84F09">
        <w:rPr>
          <w:rFonts w:ascii="Calibri" w:hAnsi="Calibri" w:cs="Calibri"/>
          <w:color w:val="000000"/>
          <w:lang w:eastAsia="en-AU"/>
        </w:rPr>
        <w:t xml:space="preserve"> C</w:t>
      </w:r>
      <w:r w:rsidR="00134B4D">
        <w:rPr>
          <w:rFonts w:ascii="Calibri" w:hAnsi="Calibri" w:cs="Calibri"/>
          <w:color w:val="000000"/>
          <w:lang w:eastAsia="en-AU"/>
        </w:rPr>
        <w:t>are</w:t>
      </w:r>
      <w:r w:rsidR="00A74433">
        <w:rPr>
          <w:rFonts w:ascii="Calibri" w:hAnsi="Calibri" w:cs="Calibri"/>
          <w:color w:val="000000"/>
          <w:lang w:eastAsia="en-AU"/>
        </w:rPr>
        <w:t xml:space="preserve"> (A</w:t>
      </w:r>
      <w:r w:rsidRPr="0097316E">
        <w:rPr>
          <w:rFonts w:ascii="Calibri" w:hAnsi="Calibri" w:cs="Calibri"/>
          <w:color w:val="000000"/>
          <w:lang w:eastAsia="en-AU"/>
        </w:rPr>
        <w:t>CSQHC</w:t>
      </w:r>
      <w:r w:rsidR="00A74433">
        <w:rPr>
          <w:rFonts w:ascii="Calibri" w:hAnsi="Calibri" w:cs="Calibri"/>
          <w:color w:val="000000"/>
          <w:lang w:eastAsia="en-AU"/>
        </w:rPr>
        <w:t>)</w:t>
      </w:r>
      <w:r w:rsidRPr="0097316E">
        <w:rPr>
          <w:rFonts w:ascii="Calibri" w:hAnsi="Calibri" w:cs="Calibri"/>
          <w:color w:val="000000"/>
          <w:lang w:eastAsia="en-AU"/>
        </w:rPr>
        <w:t xml:space="preserve"> to provide advice to</w:t>
      </w:r>
      <w:r w:rsidR="00A74433">
        <w:rPr>
          <w:rFonts w:ascii="Calibri" w:hAnsi="Calibri" w:cs="Calibri"/>
          <w:color w:val="000000"/>
          <w:lang w:eastAsia="en-AU"/>
        </w:rPr>
        <w:t xml:space="preserve"> Australian Health Ministers Advisory Co</w:t>
      </w:r>
      <w:r w:rsidR="002348AB">
        <w:rPr>
          <w:rFonts w:ascii="Calibri" w:hAnsi="Calibri" w:cs="Calibri"/>
          <w:color w:val="000000"/>
          <w:lang w:eastAsia="en-AU"/>
        </w:rPr>
        <w:t xml:space="preserve">uncil </w:t>
      </w:r>
      <w:r w:rsidR="00A74433">
        <w:rPr>
          <w:rFonts w:ascii="Calibri" w:hAnsi="Calibri" w:cs="Calibri"/>
          <w:color w:val="000000"/>
          <w:lang w:eastAsia="en-AU"/>
        </w:rPr>
        <w:t>(</w:t>
      </w:r>
      <w:r w:rsidRPr="0097316E">
        <w:rPr>
          <w:rFonts w:ascii="Calibri" w:hAnsi="Calibri" w:cs="Calibri"/>
          <w:color w:val="000000"/>
          <w:lang w:eastAsia="en-AU"/>
        </w:rPr>
        <w:t>AHMAC</w:t>
      </w:r>
      <w:r w:rsidR="00A74433">
        <w:rPr>
          <w:rFonts w:ascii="Calibri" w:hAnsi="Calibri" w:cs="Calibri"/>
          <w:color w:val="000000"/>
          <w:lang w:eastAsia="en-AU"/>
        </w:rPr>
        <w:t xml:space="preserve">) </w:t>
      </w:r>
      <w:r w:rsidRPr="0097316E">
        <w:rPr>
          <w:rFonts w:ascii="Calibri" w:hAnsi="Calibri" w:cs="Calibri"/>
          <w:color w:val="000000"/>
          <w:lang w:eastAsia="en-AU"/>
        </w:rPr>
        <w:t>on the development of a framework for the public performance reporting across both public and private sectors.</w:t>
      </w:r>
      <w:r w:rsidR="00A74433">
        <w:rPr>
          <w:rFonts w:ascii="Calibri" w:hAnsi="Calibri" w:cs="Calibri"/>
          <w:color w:val="000000"/>
          <w:lang w:eastAsia="en-AU"/>
        </w:rPr>
        <w:t xml:space="preserve"> Private health insurers are also represented in this process.</w:t>
      </w:r>
    </w:p>
    <w:p w14:paraId="2EBD1CE9" w14:textId="77777777" w:rsidR="00A74433" w:rsidRPr="0097316E" w:rsidRDefault="00A74433" w:rsidP="00DF18F7">
      <w:pPr>
        <w:ind w:left="720"/>
        <w:rPr>
          <w:rFonts w:ascii="Calibri" w:hAnsi="Calibri" w:cs="Calibri"/>
          <w:color w:val="000000"/>
          <w:lang w:eastAsia="en-AU"/>
        </w:rPr>
      </w:pPr>
    </w:p>
    <w:p w14:paraId="18144F5A" w14:textId="278067D3" w:rsidR="00DF18F7" w:rsidRPr="0097316E" w:rsidRDefault="00DF18F7" w:rsidP="00DF18F7">
      <w:pPr>
        <w:ind w:left="720"/>
        <w:rPr>
          <w:rFonts w:ascii="Calibri" w:hAnsi="Calibri" w:cs="Calibri"/>
          <w:color w:val="000000"/>
          <w:lang w:eastAsia="en-AU"/>
        </w:rPr>
      </w:pPr>
      <w:r w:rsidRPr="0097316E">
        <w:rPr>
          <w:rFonts w:ascii="Calibri" w:hAnsi="Calibri" w:cs="Calibri"/>
          <w:color w:val="000000"/>
          <w:lang w:eastAsia="en-AU"/>
        </w:rPr>
        <w:t xml:space="preserve">APHA advocates that continued work towards a single reporting platform, </w:t>
      </w:r>
      <w:proofErr w:type="spellStart"/>
      <w:r w:rsidRPr="0097316E">
        <w:rPr>
          <w:rFonts w:ascii="Calibri" w:hAnsi="Calibri" w:cs="Calibri"/>
          <w:color w:val="000000"/>
          <w:lang w:eastAsia="en-AU"/>
        </w:rPr>
        <w:t>auspiced</w:t>
      </w:r>
      <w:proofErr w:type="spellEnd"/>
      <w:r w:rsidRPr="0097316E">
        <w:rPr>
          <w:rFonts w:ascii="Calibri" w:hAnsi="Calibri" w:cs="Calibri"/>
          <w:color w:val="000000"/>
          <w:lang w:eastAsia="en-AU"/>
        </w:rPr>
        <w:t xml:space="preserve"> by government</w:t>
      </w:r>
      <w:r w:rsidR="003735BD">
        <w:rPr>
          <w:rFonts w:ascii="Calibri" w:hAnsi="Calibri" w:cs="Calibri"/>
          <w:color w:val="000000"/>
          <w:lang w:eastAsia="en-AU"/>
        </w:rPr>
        <w:t>,</w:t>
      </w:r>
      <w:r w:rsidRPr="0097316E">
        <w:rPr>
          <w:rFonts w:ascii="Calibri" w:hAnsi="Calibri" w:cs="Calibri"/>
          <w:color w:val="000000"/>
          <w:lang w:eastAsia="en-AU"/>
        </w:rPr>
        <w:t xml:space="preserve"> would provide a useful service to consumers and reduce the waste and duplication of resources which arises </w:t>
      </w:r>
      <w:r>
        <w:rPr>
          <w:rFonts w:ascii="Calibri" w:hAnsi="Calibri" w:cs="Calibri"/>
          <w:color w:val="000000"/>
          <w:lang w:eastAsia="en-AU"/>
        </w:rPr>
        <w:t xml:space="preserve">from </w:t>
      </w:r>
      <w:r w:rsidRPr="0097316E">
        <w:rPr>
          <w:rFonts w:ascii="Calibri" w:hAnsi="Calibri" w:cs="Calibri"/>
          <w:color w:val="000000"/>
          <w:lang w:eastAsia="en-AU"/>
        </w:rPr>
        <w:t>the diverse and duplicative demands of individual health insurers</w:t>
      </w:r>
      <w:r>
        <w:rPr>
          <w:rFonts w:ascii="Calibri" w:hAnsi="Calibri" w:cs="Calibri"/>
          <w:color w:val="000000"/>
          <w:lang w:eastAsia="en-AU"/>
        </w:rPr>
        <w:t xml:space="preserve"> and government agencies</w:t>
      </w:r>
      <w:r w:rsidRPr="0097316E">
        <w:rPr>
          <w:rFonts w:ascii="Calibri" w:hAnsi="Calibri" w:cs="Calibri"/>
          <w:color w:val="000000"/>
          <w:lang w:eastAsia="en-AU"/>
        </w:rPr>
        <w:t>.</w:t>
      </w:r>
    </w:p>
    <w:p w14:paraId="5E34FEBE" w14:textId="77777777" w:rsidR="00DF18F7" w:rsidRPr="0097316E" w:rsidRDefault="00DF18F7" w:rsidP="00DF18F7">
      <w:pPr>
        <w:ind w:left="720"/>
        <w:rPr>
          <w:rFonts w:ascii="Calibri" w:hAnsi="Calibri" w:cs="Calibri"/>
          <w:color w:val="000000"/>
          <w:lang w:eastAsia="en-AU"/>
        </w:rPr>
      </w:pPr>
    </w:p>
    <w:p w14:paraId="381E9E30" w14:textId="76B60679" w:rsidR="00DF18F7" w:rsidRDefault="00DF18F7" w:rsidP="00CB4BBB">
      <w:pPr>
        <w:ind w:left="720"/>
        <w:rPr>
          <w:rFonts w:ascii="Calibri" w:hAnsi="Calibri" w:cs="Calibri"/>
          <w:color w:val="000000"/>
          <w:lang w:eastAsia="en-AU"/>
        </w:rPr>
      </w:pPr>
      <w:r w:rsidRPr="0097316E">
        <w:rPr>
          <w:rFonts w:ascii="Calibri" w:hAnsi="Calibri" w:cs="Calibri"/>
          <w:color w:val="000000"/>
          <w:lang w:eastAsia="en-AU"/>
        </w:rPr>
        <w:t xml:space="preserve">In addition to the administrative burden, the lack of a consistent framework means resources are diverted away from </w:t>
      </w:r>
      <w:r w:rsidR="003735BD">
        <w:rPr>
          <w:rFonts w:ascii="Calibri" w:hAnsi="Calibri" w:cs="Calibri"/>
          <w:color w:val="000000"/>
          <w:lang w:eastAsia="en-AU"/>
        </w:rPr>
        <w:t>focussing on</w:t>
      </w:r>
      <w:r w:rsidRPr="0097316E">
        <w:rPr>
          <w:rFonts w:ascii="Calibri" w:hAnsi="Calibri" w:cs="Calibri"/>
          <w:color w:val="000000"/>
          <w:lang w:eastAsia="en-AU"/>
        </w:rPr>
        <w:t xml:space="preserve"> collection of consistent data required to drive continuous improvement in patient care and transparency for consumers.</w:t>
      </w:r>
    </w:p>
    <w:p w14:paraId="5FEC0886" w14:textId="77777777" w:rsidR="00A74433" w:rsidRPr="0097316E" w:rsidRDefault="00A74433" w:rsidP="00CB4BBB">
      <w:pPr>
        <w:ind w:left="720"/>
        <w:rPr>
          <w:rFonts w:ascii="Calibri" w:hAnsi="Calibri" w:cs="Calibri"/>
          <w:b/>
          <w:color w:val="000000"/>
          <w:lang w:eastAsia="en-AU"/>
        </w:rPr>
      </w:pPr>
    </w:p>
    <w:p w14:paraId="09A75615" w14:textId="537E918E" w:rsidR="00DF18F7" w:rsidRPr="0097316E" w:rsidRDefault="00DF18F7" w:rsidP="00DF18F7">
      <w:pPr>
        <w:pStyle w:val="Heading3"/>
        <w:keepNext w:val="0"/>
        <w:keepLines w:val="0"/>
        <w:numPr>
          <w:ilvl w:val="0"/>
          <w:numId w:val="6"/>
        </w:numPr>
        <w:spacing w:before="0"/>
        <w:contextualSpacing/>
      </w:pPr>
      <w:bookmarkStart w:id="119" w:name="_Toc27127531"/>
      <w:bookmarkStart w:id="120" w:name="_Toc27494546"/>
      <w:bookmarkStart w:id="121" w:name="_Toc27494743"/>
      <w:r w:rsidRPr="0097316E">
        <w:t>Implement the National Strategy on Clinical Registries</w:t>
      </w:r>
      <w:bookmarkEnd w:id="119"/>
      <w:bookmarkEnd w:id="120"/>
      <w:bookmarkEnd w:id="121"/>
      <w:r w:rsidR="00CB4BBB">
        <w:br/>
      </w:r>
    </w:p>
    <w:p w14:paraId="120EC250" w14:textId="11CAC8BD" w:rsidR="00DF18F7" w:rsidRDefault="00DF18F7" w:rsidP="00DF18F7">
      <w:pPr>
        <w:ind w:left="720"/>
        <w:rPr>
          <w:rFonts w:cstheme="minorHAnsi"/>
        </w:rPr>
      </w:pPr>
      <w:r w:rsidRPr="0097316E">
        <w:rPr>
          <w:rFonts w:ascii="Calibri" w:hAnsi="Calibri" w:cs="Calibri"/>
          <w:color w:val="000000"/>
          <w:lang w:eastAsia="en-AU"/>
        </w:rPr>
        <w:t>Although this objective does not link directly to private health insurance reform</w:t>
      </w:r>
      <w:r w:rsidR="003735BD">
        <w:rPr>
          <w:rFonts w:ascii="Calibri" w:hAnsi="Calibri" w:cs="Calibri"/>
          <w:color w:val="000000"/>
          <w:lang w:eastAsia="en-AU"/>
        </w:rPr>
        <w:t>,</w:t>
      </w:r>
      <w:r w:rsidRPr="0097316E">
        <w:rPr>
          <w:rFonts w:ascii="Calibri" w:hAnsi="Calibri" w:cs="Calibri"/>
          <w:color w:val="000000"/>
          <w:lang w:eastAsia="en-AU"/>
        </w:rPr>
        <w:t xml:space="preserve"> it is related to the wider issue of data reporting for both clinical improvement and transparency/provision of information to consumers</w:t>
      </w:r>
      <w:r>
        <w:rPr>
          <w:rFonts w:ascii="Calibri" w:hAnsi="Calibri" w:cs="Calibri"/>
          <w:color w:val="000000"/>
          <w:lang w:eastAsia="en-AU"/>
        </w:rPr>
        <w:t>. APHA support</w:t>
      </w:r>
      <w:r w:rsidR="003735BD">
        <w:rPr>
          <w:rFonts w:ascii="Calibri" w:hAnsi="Calibri" w:cs="Calibri"/>
          <w:color w:val="000000"/>
          <w:lang w:eastAsia="en-AU"/>
        </w:rPr>
        <w:t>s</w:t>
      </w:r>
      <w:r>
        <w:rPr>
          <w:rFonts w:ascii="Calibri" w:hAnsi="Calibri" w:cs="Calibri"/>
          <w:color w:val="000000"/>
          <w:lang w:eastAsia="en-AU"/>
        </w:rPr>
        <w:t xml:space="preserve"> the National Strategy and has welcomed the opportunity to be represented on the implementation advisory committee.</w:t>
      </w:r>
      <w:r>
        <w:rPr>
          <w:rFonts w:cstheme="minorHAnsi"/>
        </w:rPr>
        <w:br w:type="page"/>
      </w:r>
    </w:p>
    <w:p w14:paraId="5B413088" w14:textId="77777777" w:rsidR="00DF18F7" w:rsidRDefault="00DF18F7" w:rsidP="00DF18F7">
      <w:pPr>
        <w:pStyle w:val="Heading1"/>
        <w:rPr>
          <w:caps/>
        </w:rPr>
      </w:pPr>
      <w:bookmarkStart w:id="122" w:name="_Toc27494547"/>
      <w:bookmarkStart w:id="123" w:name="_Toc27494744"/>
      <w:bookmarkStart w:id="124" w:name="_Toc27664140"/>
      <w:r>
        <w:rPr>
          <w:caps/>
        </w:rPr>
        <w:t>Equipping the health sector for the future</w:t>
      </w:r>
      <w:bookmarkEnd w:id="122"/>
      <w:bookmarkEnd w:id="123"/>
      <w:bookmarkEnd w:id="124"/>
    </w:p>
    <w:p w14:paraId="6EEFB775" w14:textId="77777777" w:rsidR="00DF18F7" w:rsidRDefault="00DF18F7" w:rsidP="00DF18F7"/>
    <w:p w14:paraId="1745F098" w14:textId="40E641E1" w:rsidR="00DF18F7" w:rsidRPr="00CB4BBB" w:rsidRDefault="00DF18F7" w:rsidP="00EE4A96">
      <w:pPr>
        <w:pStyle w:val="Heading3"/>
        <w:keepNext w:val="0"/>
        <w:keepLines w:val="0"/>
        <w:numPr>
          <w:ilvl w:val="0"/>
          <w:numId w:val="6"/>
        </w:numPr>
        <w:spacing w:before="0"/>
        <w:contextualSpacing/>
      </w:pPr>
      <w:bookmarkStart w:id="125" w:name="_Toc27494548"/>
      <w:bookmarkStart w:id="126" w:name="_Toc27494745"/>
      <w:r w:rsidRPr="008567F6">
        <w:t>C</w:t>
      </w:r>
      <w:r>
        <w:t xml:space="preserve">ontinue to work with the private sector to provide training opportunities </w:t>
      </w:r>
      <w:r w:rsidR="003735BD">
        <w:t xml:space="preserve">that </w:t>
      </w:r>
      <w:r>
        <w:t>would otherwise not be available.</w:t>
      </w:r>
      <w:bookmarkEnd w:id="125"/>
      <w:bookmarkEnd w:id="126"/>
      <w:r>
        <w:t xml:space="preserve"> </w:t>
      </w:r>
      <w:r w:rsidR="00CB4BBB">
        <w:br/>
      </w:r>
    </w:p>
    <w:p w14:paraId="712BBCD3" w14:textId="0048EC19" w:rsidR="00DF18F7" w:rsidRDefault="00DF18F7" w:rsidP="00DF18F7">
      <w:pPr>
        <w:ind w:left="720"/>
        <w:rPr>
          <w:rFonts w:ascii="Calibri" w:hAnsi="Calibri" w:cs="Calibri"/>
          <w:color w:val="000000"/>
          <w:lang w:eastAsia="en-AU"/>
        </w:rPr>
      </w:pPr>
      <w:r w:rsidRPr="008567F6">
        <w:rPr>
          <w:rFonts w:ascii="Calibri" w:hAnsi="Calibri" w:cs="Calibri"/>
          <w:color w:val="000000"/>
          <w:lang w:eastAsia="en-AU"/>
        </w:rPr>
        <w:t>Government support for training opportunities</w:t>
      </w:r>
      <w:r w:rsidR="003735BD">
        <w:rPr>
          <w:rFonts w:ascii="Calibri" w:hAnsi="Calibri" w:cs="Calibri"/>
          <w:color w:val="000000"/>
          <w:lang w:eastAsia="en-AU"/>
        </w:rPr>
        <w:t xml:space="preserve"> should be expanded</w:t>
      </w:r>
      <w:r w:rsidR="00A37DB6">
        <w:rPr>
          <w:rFonts w:ascii="Calibri" w:hAnsi="Calibri" w:cs="Calibri"/>
          <w:color w:val="000000"/>
          <w:lang w:eastAsia="en-AU"/>
        </w:rPr>
        <w:t>, i</w:t>
      </w:r>
      <w:r w:rsidRPr="008567F6">
        <w:rPr>
          <w:rFonts w:ascii="Calibri" w:hAnsi="Calibri" w:cs="Calibri"/>
          <w:color w:val="000000"/>
          <w:lang w:eastAsia="en-AU"/>
        </w:rPr>
        <w:t>ncluding:</w:t>
      </w:r>
    </w:p>
    <w:p w14:paraId="320480E5" w14:textId="77777777" w:rsidR="00A74433" w:rsidRPr="008567F6" w:rsidRDefault="00A74433" w:rsidP="00DF18F7">
      <w:pPr>
        <w:ind w:left="720"/>
        <w:rPr>
          <w:rFonts w:ascii="Calibri" w:hAnsi="Calibri" w:cs="Calibri"/>
          <w:color w:val="000000"/>
          <w:lang w:eastAsia="en-AU"/>
        </w:rPr>
      </w:pPr>
    </w:p>
    <w:p w14:paraId="35F7E10A" w14:textId="77777777" w:rsidR="00DF18F7" w:rsidRPr="008567F6" w:rsidRDefault="00DF18F7" w:rsidP="00DF18F7">
      <w:pPr>
        <w:pStyle w:val="ListParagraph"/>
        <w:numPr>
          <w:ilvl w:val="0"/>
          <w:numId w:val="13"/>
        </w:numPr>
        <w:rPr>
          <w:rFonts w:ascii="Calibri" w:hAnsi="Calibri" w:cs="Calibri"/>
          <w:color w:val="000000"/>
          <w:lang w:eastAsia="en-AU"/>
        </w:rPr>
      </w:pPr>
      <w:r w:rsidRPr="008567F6">
        <w:rPr>
          <w:rFonts w:ascii="Calibri" w:hAnsi="Calibri" w:cs="Calibri"/>
          <w:color w:val="000000"/>
          <w:lang w:eastAsia="en-AU"/>
        </w:rPr>
        <w:t>Medical internships and junior doctor placements</w:t>
      </w:r>
    </w:p>
    <w:p w14:paraId="0181162D" w14:textId="77777777" w:rsidR="00DF18F7" w:rsidRPr="008567F6" w:rsidRDefault="00DF18F7" w:rsidP="00DF18F7">
      <w:pPr>
        <w:pStyle w:val="ListParagraph"/>
        <w:numPr>
          <w:ilvl w:val="0"/>
          <w:numId w:val="13"/>
        </w:numPr>
        <w:rPr>
          <w:rFonts w:ascii="Calibri" w:hAnsi="Calibri" w:cs="Calibri"/>
          <w:color w:val="000000"/>
          <w:lang w:eastAsia="en-AU"/>
        </w:rPr>
      </w:pPr>
      <w:r w:rsidRPr="008567F6">
        <w:rPr>
          <w:rFonts w:ascii="Calibri" w:hAnsi="Calibri" w:cs="Calibri"/>
          <w:color w:val="000000"/>
          <w:lang w:eastAsia="en-AU"/>
        </w:rPr>
        <w:t>Specialist registrar training</w:t>
      </w:r>
    </w:p>
    <w:p w14:paraId="503C7225" w14:textId="25807627" w:rsidR="00DF18F7" w:rsidRPr="008567F6" w:rsidRDefault="00DF18F7" w:rsidP="00DF18F7">
      <w:pPr>
        <w:pStyle w:val="ListParagraph"/>
        <w:numPr>
          <w:ilvl w:val="0"/>
          <w:numId w:val="13"/>
        </w:numPr>
        <w:rPr>
          <w:rFonts w:ascii="Calibri" w:hAnsi="Calibri" w:cs="Calibri"/>
          <w:color w:val="000000"/>
          <w:lang w:eastAsia="en-AU"/>
        </w:rPr>
      </w:pPr>
      <w:r w:rsidRPr="008567F6">
        <w:rPr>
          <w:rFonts w:ascii="Calibri" w:hAnsi="Calibri" w:cs="Calibri"/>
          <w:color w:val="000000"/>
          <w:lang w:eastAsia="en-AU"/>
        </w:rPr>
        <w:t>Student placements for medical, nursing and allied health undergraduates.</w:t>
      </w:r>
      <w:r w:rsidR="00CB4BBB">
        <w:rPr>
          <w:rFonts w:ascii="Calibri" w:hAnsi="Calibri" w:cs="Calibri"/>
          <w:color w:val="000000"/>
          <w:lang w:eastAsia="en-AU"/>
        </w:rPr>
        <w:br/>
      </w:r>
    </w:p>
    <w:p w14:paraId="1C3FEBBA" w14:textId="4B4955FD" w:rsidR="00A37DB6" w:rsidRDefault="00DF18F7" w:rsidP="00A37DB6">
      <w:pPr>
        <w:ind w:left="720"/>
        <w:rPr>
          <w:rFonts w:ascii="Calibri" w:hAnsi="Calibri" w:cs="Calibri"/>
          <w:color w:val="000000"/>
          <w:lang w:eastAsia="en-AU"/>
        </w:rPr>
      </w:pPr>
      <w:bookmarkStart w:id="127" w:name="_bookmark12"/>
      <w:bookmarkEnd w:id="127"/>
      <w:r w:rsidRPr="00A37DB6">
        <w:rPr>
          <w:rFonts w:ascii="Calibri" w:hAnsi="Calibri" w:cs="Calibri"/>
          <w:color w:val="000000"/>
          <w:lang w:eastAsia="en-AU"/>
        </w:rPr>
        <w:t>Australia’s future medical workforce faces four challenges:</w:t>
      </w:r>
    </w:p>
    <w:p w14:paraId="5774A32D" w14:textId="77777777" w:rsidR="00A37DB6" w:rsidRPr="00A37DB6" w:rsidRDefault="00A37DB6" w:rsidP="00A37DB6">
      <w:pPr>
        <w:ind w:left="1080"/>
        <w:rPr>
          <w:rFonts w:ascii="Calibri" w:hAnsi="Calibri" w:cs="Calibri"/>
          <w:color w:val="000000"/>
          <w:lang w:eastAsia="en-AU"/>
        </w:rPr>
      </w:pPr>
    </w:p>
    <w:p w14:paraId="5418DCAB" w14:textId="171FE064" w:rsidR="00DF18F7" w:rsidRPr="00A37DB6" w:rsidRDefault="00DF18F7" w:rsidP="00A37DB6">
      <w:pPr>
        <w:pStyle w:val="ListParagraph"/>
        <w:numPr>
          <w:ilvl w:val="0"/>
          <w:numId w:val="13"/>
        </w:numPr>
        <w:rPr>
          <w:rFonts w:ascii="Calibri" w:hAnsi="Calibri" w:cs="Calibri"/>
          <w:color w:val="000000"/>
          <w:lang w:eastAsia="en-AU"/>
        </w:rPr>
      </w:pPr>
      <w:r w:rsidRPr="00A37DB6">
        <w:rPr>
          <w:rFonts w:ascii="Calibri" w:hAnsi="Calibri" w:cs="Calibri"/>
          <w:color w:val="000000"/>
          <w:lang w:eastAsia="en-AU"/>
        </w:rPr>
        <w:t>Retention of Australian trained graduates and provision of adequate opportunities for junior doctors to complete internships and acquire relevant experience</w:t>
      </w:r>
    </w:p>
    <w:p w14:paraId="58D67877" w14:textId="77777777" w:rsidR="00DF18F7" w:rsidRPr="008567F6" w:rsidRDefault="00DF18F7" w:rsidP="00DF18F7">
      <w:pPr>
        <w:pStyle w:val="ListParagraph"/>
        <w:numPr>
          <w:ilvl w:val="0"/>
          <w:numId w:val="12"/>
        </w:numPr>
        <w:rPr>
          <w:rFonts w:ascii="Calibri" w:hAnsi="Calibri" w:cs="Calibri"/>
          <w:color w:val="000000"/>
          <w:lang w:eastAsia="en-AU"/>
        </w:rPr>
      </w:pPr>
      <w:r w:rsidRPr="008567F6">
        <w:rPr>
          <w:rFonts w:ascii="Calibri" w:hAnsi="Calibri" w:cs="Calibri"/>
          <w:color w:val="000000"/>
          <w:lang w:eastAsia="en-AU"/>
        </w:rPr>
        <w:t>Attraction and retention of doctors to regional areas</w:t>
      </w:r>
    </w:p>
    <w:p w14:paraId="36D86019" w14:textId="7FAF6609" w:rsidR="00DF18F7" w:rsidRPr="008567F6" w:rsidRDefault="00DF18F7" w:rsidP="00DF18F7">
      <w:pPr>
        <w:pStyle w:val="ListParagraph"/>
        <w:numPr>
          <w:ilvl w:val="0"/>
          <w:numId w:val="12"/>
        </w:numPr>
        <w:rPr>
          <w:rFonts w:ascii="Calibri" w:hAnsi="Calibri" w:cs="Calibri"/>
          <w:color w:val="000000"/>
          <w:lang w:eastAsia="en-AU"/>
        </w:rPr>
      </w:pPr>
      <w:r w:rsidRPr="008567F6">
        <w:rPr>
          <w:rFonts w:ascii="Calibri" w:hAnsi="Calibri" w:cs="Calibri"/>
          <w:color w:val="000000"/>
          <w:lang w:eastAsia="en-AU"/>
        </w:rPr>
        <w:t>Attraction and retention of trainees to specialties in shortage</w:t>
      </w:r>
    </w:p>
    <w:p w14:paraId="5268CB7D" w14:textId="7C2A631B" w:rsidR="00DF18F7" w:rsidRDefault="00DF18F7" w:rsidP="00CB4BBB">
      <w:pPr>
        <w:pStyle w:val="ListParagraph"/>
        <w:numPr>
          <w:ilvl w:val="0"/>
          <w:numId w:val="12"/>
        </w:numPr>
        <w:rPr>
          <w:rFonts w:ascii="Calibri" w:hAnsi="Calibri" w:cs="Calibri"/>
          <w:color w:val="000000"/>
          <w:lang w:eastAsia="en-AU"/>
        </w:rPr>
      </w:pPr>
      <w:r w:rsidRPr="00CB4BBB">
        <w:rPr>
          <w:rFonts w:ascii="Calibri" w:hAnsi="Calibri" w:cs="Calibri"/>
          <w:color w:val="000000"/>
          <w:lang w:eastAsia="en-AU"/>
        </w:rPr>
        <w:t>Provision of opportunities to equip trainees with the skills they need for their future careers, including exposure to procedures and practices in the private sector.</w:t>
      </w:r>
    </w:p>
    <w:p w14:paraId="0128FC46" w14:textId="77777777" w:rsidR="00CB4BBB" w:rsidRPr="00CB4BBB" w:rsidRDefault="00CB4BBB" w:rsidP="00CB4BBB">
      <w:pPr>
        <w:ind w:left="360"/>
        <w:rPr>
          <w:rFonts w:ascii="Calibri" w:hAnsi="Calibri" w:cs="Calibri"/>
          <w:color w:val="000000"/>
          <w:lang w:eastAsia="en-AU"/>
        </w:rPr>
      </w:pPr>
    </w:p>
    <w:p w14:paraId="195352AE" w14:textId="16215783" w:rsidR="00DF18F7" w:rsidRDefault="00DF18F7" w:rsidP="00DF18F7">
      <w:pPr>
        <w:ind w:left="720"/>
        <w:rPr>
          <w:rFonts w:ascii="Calibri" w:hAnsi="Calibri" w:cs="Calibri"/>
          <w:color w:val="000000"/>
          <w:lang w:eastAsia="en-AU"/>
        </w:rPr>
      </w:pPr>
      <w:r w:rsidRPr="008567F6">
        <w:rPr>
          <w:rFonts w:ascii="Calibri" w:hAnsi="Calibri" w:cs="Calibri"/>
          <w:color w:val="000000"/>
          <w:lang w:eastAsia="en-AU"/>
        </w:rPr>
        <w:t>University and vocational education and training enrolments are at an all-time high for medical, nursing and allied health professions. However, these graduates will be unable to enter their intended professions without adequate access to clinical placements.</w:t>
      </w:r>
    </w:p>
    <w:p w14:paraId="1826FFA7" w14:textId="77777777" w:rsidR="00A74433" w:rsidRDefault="00A74433" w:rsidP="00DF18F7">
      <w:pPr>
        <w:ind w:left="720"/>
        <w:rPr>
          <w:rFonts w:ascii="Calibri" w:hAnsi="Calibri" w:cs="Calibri"/>
          <w:color w:val="000000"/>
          <w:lang w:eastAsia="en-AU"/>
        </w:rPr>
      </w:pPr>
    </w:p>
    <w:p w14:paraId="4D6E436B" w14:textId="224D608C" w:rsidR="00DF18F7" w:rsidRDefault="00DF18F7" w:rsidP="00DF18F7">
      <w:pPr>
        <w:ind w:left="720"/>
        <w:rPr>
          <w:rFonts w:ascii="Calibri" w:hAnsi="Calibri" w:cs="Calibri"/>
          <w:color w:val="000000"/>
          <w:lang w:eastAsia="en-AU"/>
        </w:rPr>
      </w:pPr>
      <w:r>
        <w:rPr>
          <w:rFonts w:ascii="Calibri" w:hAnsi="Calibri" w:cs="Calibri"/>
          <w:color w:val="000000"/>
          <w:lang w:eastAsia="en-AU"/>
        </w:rPr>
        <w:t>T</w:t>
      </w:r>
      <w:r w:rsidRPr="00E763BA">
        <w:rPr>
          <w:rFonts w:ascii="Calibri" w:hAnsi="Calibri" w:cs="Calibri"/>
          <w:color w:val="000000"/>
          <w:lang w:eastAsia="en-AU"/>
        </w:rPr>
        <w:t xml:space="preserve">he </w:t>
      </w:r>
      <w:r>
        <w:rPr>
          <w:rFonts w:ascii="Calibri" w:hAnsi="Calibri" w:cs="Calibri"/>
          <w:color w:val="000000"/>
          <w:lang w:eastAsia="en-AU"/>
        </w:rPr>
        <w:t>recently complete</w:t>
      </w:r>
      <w:r w:rsidR="003735BD">
        <w:rPr>
          <w:rFonts w:ascii="Calibri" w:hAnsi="Calibri" w:cs="Calibri"/>
          <w:color w:val="000000"/>
          <w:lang w:eastAsia="en-AU"/>
        </w:rPr>
        <w:t>d</w:t>
      </w:r>
      <w:r>
        <w:rPr>
          <w:rFonts w:ascii="Calibri" w:hAnsi="Calibri" w:cs="Calibri"/>
          <w:color w:val="000000"/>
          <w:lang w:eastAsia="en-AU"/>
        </w:rPr>
        <w:t xml:space="preserve"> </w:t>
      </w:r>
      <w:r w:rsidRPr="00E763BA">
        <w:rPr>
          <w:rFonts w:ascii="Calibri" w:hAnsi="Calibri" w:cs="Calibri"/>
          <w:color w:val="000000"/>
          <w:lang w:eastAsia="en-AU"/>
        </w:rPr>
        <w:t>independent review of nursing education conducted by Emeritus Professor Steven Schwartz AM</w:t>
      </w:r>
      <w:r>
        <w:rPr>
          <w:rFonts w:ascii="Calibri" w:hAnsi="Calibri" w:cs="Calibri"/>
          <w:color w:val="000000"/>
          <w:lang w:eastAsia="en-AU"/>
        </w:rPr>
        <w:t xml:space="preserve"> for the Federal Government has strongly recommended a greater emphasis and more funding for clinical placements in nursing education:</w:t>
      </w:r>
      <w:r w:rsidR="00A74433">
        <w:rPr>
          <w:rFonts w:ascii="Calibri" w:hAnsi="Calibri" w:cs="Calibri"/>
          <w:color w:val="000000"/>
          <w:lang w:eastAsia="en-AU"/>
        </w:rPr>
        <w:br/>
      </w:r>
    </w:p>
    <w:p w14:paraId="147C7739" w14:textId="60497418" w:rsidR="00DF18F7" w:rsidRPr="00CB4BBB" w:rsidRDefault="00DF18F7" w:rsidP="00CB4BBB">
      <w:pPr>
        <w:pStyle w:val="ListParagraph"/>
        <w:numPr>
          <w:ilvl w:val="0"/>
          <w:numId w:val="12"/>
        </w:numPr>
        <w:rPr>
          <w:rFonts w:ascii="Calibri" w:hAnsi="Calibri" w:cs="Calibri"/>
          <w:color w:val="000000"/>
          <w:lang w:eastAsia="en-AU"/>
        </w:rPr>
      </w:pPr>
      <w:r w:rsidRPr="00CB4BBB">
        <w:rPr>
          <w:rFonts w:ascii="Calibri" w:hAnsi="Calibri" w:cs="Calibri"/>
          <w:color w:val="000000"/>
          <w:lang w:eastAsia="en-AU"/>
        </w:rPr>
        <w:t xml:space="preserve">Recommendation </w:t>
      </w:r>
      <w:r w:rsidR="003735BD">
        <w:rPr>
          <w:rFonts w:ascii="Calibri" w:hAnsi="Calibri" w:cs="Calibri"/>
          <w:color w:val="000000"/>
          <w:lang w:eastAsia="en-AU"/>
        </w:rPr>
        <w:t>Seven:</w:t>
      </w:r>
      <w:r w:rsidRPr="00CB4BBB">
        <w:rPr>
          <w:rFonts w:ascii="Calibri" w:hAnsi="Calibri" w:cs="Calibri"/>
          <w:color w:val="000000"/>
          <w:lang w:eastAsia="en-AU"/>
        </w:rPr>
        <w:t xml:space="preserve"> To ensure quality and equity,</w:t>
      </w:r>
      <w:r w:rsidR="001B7FD6">
        <w:rPr>
          <w:rFonts w:ascii="Calibri" w:hAnsi="Calibri" w:cs="Calibri"/>
          <w:color w:val="000000"/>
          <w:lang w:eastAsia="en-AU"/>
        </w:rPr>
        <w:t xml:space="preserve"> the Nursing and Midwifery Board of Australia (</w:t>
      </w:r>
      <w:r w:rsidRPr="00CB4BBB">
        <w:rPr>
          <w:rFonts w:ascii="Calibri" w:hAnsi="Calibri" w:cs="Calibri"/>
          <w:color w:val="000000"/>
          <w:lang w:eastAsia="en-AU"/>
        </w:rPr>
        <w:t>NMBA</w:t>
      </w:r>
      <w:r w:rsidR="001B7FD6">
        <w:rPr>
          <w:rFonts w:ascii="Calibri" w:hAnsi="Calibri" w:cs="Calibri"/>
          <w:color w:val="000000"/>
          <w:lang w:eastAsia="en-AU"/>
        </w:rPr>
        <w:t>)</w:t>
      </w:r>
      <w:r w:rsidRPr="00CB4BBB">
        <w:rPr>
          <w:rFonts w:ascii="Calibri" w:hAnsi="Calibri" w:cs="Calibri"/>
          <w:color w:val="000000"/>
          <w:lang w:eastAsia="en-AU"/>
        </w:rPr>
        <w:t xml:space="preserve"> and A</w:t>
      </w:r>
      <w:r w:rsidR="003735BD">
        <w:rPr>
          <w:rFonts w:ascii="Calibri" w:hAnsi="Calibri" w:cs="Calibri"/>
          <w:color w:val="000000"/>
          <w:lang w:eastAsia="en-AU"/>
        </w:rPr>
        <w:t xml:space="preserve">ustralian Nursing and Midwifery </w:t>
      </w:r>
      <w:r w:rsidR="001B7FD6">
        <w:rPr>
          <w:rFonts w:ascii="Calibri" w:hAnsi="Calibri" w:cs="Calibri"/>
          <w:color w:val="000000"/>
          <w:lang w:eastAsia="en-AU"/>
        </w:rPr>
        <w:t>Accreditation Council (ANMAC)</w:t>
      </w:r>
      <w:r w:rsidRPr="00CB4BBB">
        <w:rPr>
          <w:rFonts w:ascii="Calibri" w:hAnsi="Calibri" w:cs="Calibri"/>
          <w:color w:val="000000"/>
          <w:lang w:eastAsia="en-AU"/>
        </w:rPr>
        <w:t xml:space="preserve"> should consider implementing an accreditation system for clinical placements. Only practice hours spent in accredited placements should count toward meeting practice hour requirements. </w:t>
      </w:r>
      <w:r w:rsidR="00CB4BBB">
        <w:rPr>
          <w:rFonts w:ascii="Calibri" w:hAnsi="Calibri" w:cs="Calibri"/>
          <w:color w:val="000000"/>
          <w:lang w:eastAsia="en-AU"/>
        </w:rPr>
        <w:br/>
      </w:r>
    </w:p>
    <w:p w14:paraId="5C7F8724" w14:textId="387B6AF4" w:rsidR="00DF18F7" w:rsidRPr="00CB4BBB" w:rsidRDefault="00DF18F7" w:rsidP="00CB4BBB">
      <w:pPr>
        <w:pStyle w:val="ListParagraph"/>
        <w:numPr>
          <w:ilvl w:val="0"/>
          <w:numId w:val="12"/>
        </w:numPr>
        <w:rPr>
          <w:rFonts w:ascii="Calibri" w:hAnsi="Calibri" w:cs="Calibri"/>
          <w:color w:val="000000"/>
          <w:lang w:eastAsia="en-AU"/>
        </w:rPr>
      </w:pPr>
      <w:r w:rsidRPr="00CB4BBB">
        <w:rPr>
          <w:rFonts w:ascii="Calibri" w:hAnsi="Calibri" w:cs="Calibri"/>
          <w:color w:val="000000"/>
          <w:lang w:eastAsia="en-AU"/>
        </w:rPr>
        <w:t xml:space="preserve">Recommendation </w:t>
      </w:r>
      <w:r w:rsidR="003735BD">
        <w:rPr>
          <w:rFonts w:ascii="Calibri" w:hAnsi="Calibri" w:cs="Calibri"/>
          <w:color w:val="000000"/>
          <w:lang w:eastAsia="en-AU"/>
        </w:rPr>
        <w:t>Eight:</w:t>
      </w:r>
      <w:r w:rsidRPr="00CB4BBB">
        <w:rPr>
          <w:rFonts w:ascii="Calibri" w:hAnsi="Calibri" w:cs="Calibri"/>
          <w:color w:val="000000"/>
          <w:lang w:eastAsia="en-AU"/>
        </w:rPr>
        <w:t xml:space="preserve"> Given rising clinical placement charges and the cost of accrediting professional placements (see Recommendation </w:t>
      </w:r>
      <w:r w:rsidR="003735BD">
        <w:rPr>
          <w:rFonts w:ascii="Calibri" w:hAnsi="Calibri" w:cs="Calibri"/>
          <w:color w:val="000000"/>
          <w:lang w:eastAsia="en-AU"/>
        </w:rPr>
        <w:t>Seven</w:t>
      </w:r>
      <w:r w:rsidRPr="00CB4BBB">
        <w:rPr>
          <w:rFonts w:ascii="Calibri" w:hAnsi="Calibri" w:cs="Calibri"/>
          <w:color w:val="000000"/>
          <w:lang w:eastAsia="en-AU"/>
        </w:rPr>
        <w:t xml:space="preserve">), the Department of Education should review the costs and funding of undergraduate nursing education to ensure it is adequate to provide high-quality theoretical and clinical education. </w:t>
      </w:r>
      <w:r w:rsidR="00CB4BBB">
        <w:rPr>
          <w:rFonts w:ascii="Calibri" w:hAnsi="Calibri" w:cs="Calibri"/>
          <w:color w:val="000000"/>
          <w:lang w:eastAsia="en-AU"/>
        </w:rPr>
        <w:br/>
      </w:r>
    </w:p>
    <w:p w14:paraId="237050D0" w14:textId="3D335A5E" w:rsidR="00DF18F7" w:rsidRPr="00E763BA" w:rsidRDefault="00DF18F7" w:rsidP="00CB4BBB">
      <w:pPr>
        <w:pStyle w:val="ListParagraph"/>
        <w:numPr>
          <w:ilvl w:val="0"/>
          <w:numId w:val="12"/>
        </w:numPr>
        <w:rPr>
          <w:rFonts w:ascii="Calibri" w:hAnsi="Calibri" w:cs="Calibri"/>
          <w:color w:val="000000"/>
          <w:lang w:eastAsia="en-AU"/>
        </w:rPr>
      </w:pPr>
      <w:r w:rsidRPr="00CB4BBB">
        <w:rPr>
          <w:rFonts w:ascii="Calibri" w:hAnsi="Calibri" w:cs="Calibri"/>
          <w:color w:val="000000"/>
          <w:lang w:eastAsia="en-AU"/>
        </w:rPr>
        <w:t xml:space="preserve">Recommendation </w:t>
      </w:r>
      <w:r w:rsidR="003735BD">
        <w:rPr>
          <w:rFonts w:ascii="Calibri" w:hAnsi="Calibri" w:cs="Calibri"/>
          <w:color w:val="000000"/>
          <w:lang w:eastAsia="en-AU"/>
        </w:rPr>
        <w:t>Ten</w:t>
      </w:r>
      <w:r w:rsidR="001B7FD6">
        <w:rPr>
          <w:rFonts w:ascii="Calibri" w:hAnsi="Calibri" w:cs="Calibri"/>
          <w:color w:val="000000"/>
          <w:lang w:eastAsia="en-AU"/>
        </w:rPr>
        <w:t>:</w:t>
      </w:r>
      <w:r w:rsidRPr="00CB4BBB">
        <w:rPr>
          <w:rFonts w:ascii="Calibri" w:hAnsi="Calibri" w:cs="Calibri"/>
          <w:color w:val="000000"/>
          <w:lang w:eastAsia="en-AU"/>
        </w:rPr>
        <w:t xml:space="preserve"> To ensure that all nurses are adequately prepared, ANMAC and the NMBA should increase the minimum number of placement hours required for the Bachelor of Nursing degree to 1,000 hours. ANMAC/NMBA should also increase the minimum number of placement hours required for </w:t>
      </w:r>
      <w:r w:rsidR="003735BD">
        <w:rPr>
          <w:rFonts w:ascii="Calibri" w:hAnsi="Calibri" w:cs="Calibri"/>
          <w:color w:val="000000"/>
          <w:lang w:eastAsia="en-AU"/>
        </w:rPr>
        <w:t xml:space="preserve">Enrolled Nursing </w:t>
      </w:r>
      <w:r w:rsidRPr="00CB4BBB">
        <w:rPr>
          <w:rFonts w:ascii="Calibri" w:hAnsi="Calibri" w:cs="Calibri"/>
          <w:color w:val="000000"/>
          <w:lang w:eastAsia="en-AU"/>
        </w:rPr>
        <w:t xml:space="preserve">diplomas and graduate-entry master’s degree </w:t>
      </w:r>
      <w:r w:rsidRPr="001B7FD6">
        <w:rPr>
          <w:rFonts w:ascii="Calibri" w:hAnsi="Calibri" w:cs="Calibri"/>
          <w:color w:val="000000"/>
          <w:lang w:eastAsia="en-AU"/>
        </w:rPr>
        <w:t>programs proportionately</w:t>
      </w:r>
      <w:r w:rsidRPr="001B7FD6">
        <w:rPr>
          <w:rFonts w:ascii="Calibri" w:hAnsi="Calibri" w:cs="Calibri"/>
          <w:color w:val="000000"/>
          <w:vertAlign w:val="superscript"/>
          <w:lang w:eastAsia="en-AU"/>
        </w:rPr>
        <w:footnoteReference w:id="18"/>
      </w:r>
      <w:r w:rsidRPr="001B7FD6">
        <w:rPr>
          <w:rFonts w:ascii="Calibri" w:hAnsi="Calibri" w:cs="Calibri"/>
          <w:color w:val="000000"/>
          <w:lang w:eastAsia="en-AU"/>
        </w:rPr>
        <w:t>.</w:t>
      </w:r>
    </w:p>
    <w:p w14:paraId="613C17D8" w14:textId="1D332C22" w:rsidR="00DF18F7" w:rsidRDefault="00CB4BBB" w:rsidP="00DF18F7">
      <w:pPr>
        <w:ind w:left="720"/>
        <w:rPr>
          <w:rFonts w:ascii="Calibri" w:hAnsi="Calibri" w:cs="Calibri"/>
          <w:color w:val="000000"/>
          <w:lang w:eastAsia="en-AU"/>
        </w:rPr>
      </w:pPr>
      <w:r>
        <w:rPr>
          <w:rFonts w:ascii="Calibri" w:hAnsi="Calibri" w:cs="Calibri"/>
          <w:color w:val="000000"/>
          <w:lang w:eastAsia="en-AU"/>
        </w:rPr>
        <w:br/>
      </w:r>
      <w:r w:rsidR="00DF18F7">
        <w:rPr>
          <w:rFonts w:ascii="Calibri" w:hAnsi="Calibri" w:cs="Calibri"/>
          <w:color w:val="000000"/>
          <w:lang w:eastAsia="en-AU"/>
        </w:rPr>
        <w:t>These important recommendations come at a time when there are not enough quality clinical placements for university and V</w:t>
      </w:r>
      <w:r w:rsidR="003735BD">
        <w:rPr>
          <w:rFonts w:ascii="Calibri" w:hAnsi="Calibri" w:cs="Calibri"/>
          <w:color w:val="000000"/>
          <w:lang w:eastAsia="en-AU"/>
        </w:rPr>
        <w:t>ocational Education and Training (V</w:t>
      </w:r>
      <w:r w:rsidR="00DF18F7">
        <w:rPr>
          <w:rFonts w:ascii="Calibri" w:hAnsi="Calibri" w:cs="Calibri"/>
          <w:color w:val="000000"/>
          <w:lang w:eastAsia="en-AU"/>
        </w:rPr>
        <w:t>ET</w:t>
      </w:r>
      <w:r w:rsidR="003735BD">
        <w:rPr>
          <w:rFonts w:ascii="Calibri" w:hAnsi="Calibri" w:cs="Calibri"/>
          <w:color w:val="000000"/>
          <w:lang w:eastAsia="en-AU"/>
        </w:rPr>
        <w:t xml:space="preserve">) </w:t>
      </w:r>
      <w:r w:rsidR="00DF18F7">
        <w:rPr>
          <w:rFonts w:ascii="Calibri" w:hAnsi="Calibri" w:cs="Calibri"/>
          <w:color w:val="000000"/>
          <w:lang w:eastAsia="en-AU"/>
        </w:rPr>
        <w:t>sector students. Notwithstanding the points made in the report about the need to prepare graduates to enter a diversity of roles including roles in primary care, the hospital sector</w:t>
      </w:r>
      <w:r w:rsidR="00A37DB6">
        <w:rPr>
          <w:rFonts w:ascii="Calibri" w:hAnsi="Calibri" w:cs="Calibri"/>
          <w:color w:val="000000"/>
          <w:lang w:eastAsia="en-AU"/>
        </w:rPr>
        <w:t xml:space="preserve">, </w:t>
      </w:r>
      <w:r w:rsidR="00DF18F7">
        <w:rPr>
          <w:rFonts w:ascii="Calibri" w:hAnsi="Calibri" w:cs="Calibri"/>
          <w:color w:val="000000"/>
          <w:lang w:eastAsia="en-AU"/>
        </w:rPr>
        <w:t>including the private hospital sector</w:t>
      </w:r>
      <w:r w:rsidR="00A37DB6">
        <w:rPr>
          <w:rFonts w:ascii="Calibri" w:hAnsi="Calibri" w:cs="Calibri"/>
          <w:color w:val="000000"/>
          <w:lang w:eastAsia="en-AU"/>
        </w:rPr>
        <w:t>,</w:t>
      </w:r>
      <w:r w:rsidR="00DF18F7">
        <w:rPr>
          <w:rFonts w:ascii="Calibri" w:hAnsi="Calibri" w:cs="Calibri"/>
          <w:color w:val="000000"/>
          <w:lang w:eastAsia="en-AU"/>
        </w:rPr>
        <w:t xml:space="preserve"> will remain a crucial training environment. </w:t>
      </w:r>
      <w:r w:rsidR="00A74433">
        <w:rPr>
          <w:rFonts w:ascii="Calibri" w:hAnsi="Calibri" w:cs="Calibri"/>
          <w:color w:val="000000"/>
          <w:lang w:eastAsia="en-AU"/>
        </w:rPr>
        <w:br/>
      </w:r>
    </w:p>
    <w:p w14:paraId="00AE985F" w14:textId="23D85134" w:rsidR="00A37DB6" w:rsidRDefault="00DF18F7" w:rsidP="00A37DB6">
      <w:pPr>
        <w:ind w:left="720"/>
      </w:pPr>
      <w:r>
        <w:t xml:space="preserve">APHA estimates that in 2014–15, private hospitals provided: </w:t>
      </w:r>
    </w:p>
    <w:p w14:paraId="3CAFF52F" w14:textId="77777777" w:rsidR="00A37DB6" w:rsidRPr="00A37DB6" w:rsidRDefault="00A37DB6" w:rsidP="00A37DB6">
      <w:pPr>
        <w:ind w:left="720"/>
        <w:rPr>
          <w:rFonts w:ascii="Calibri" w:hAnsi="Calibri" w:cs="Calibri"/>
        </w:rPr>
      </w:pPr>
    </w:p>
    <w:p w14:paraId="44653E68" w14:textId="05B4B5C9" w:rsidR="00DF18F7" w:rsidRPr="00A37DB6" w:rsidRDefault="00DF18F7" w:rsidP="00A37DB6">
      <w:pPr>
        <w:pStyle w:val="ListParagraph"/>
        <w:numPr>
          <w:ilvl w:val="0"/>
          <w:numId w:val="48"/>
        </w:numPr>
        <w:rPr>
          <w:rFonts w:ascii="Calibri" w:hAnsi="Calibri" w:cs="Calibri"/>
        </w:rPr>
      </w:pPr>
      <w:r>
        <w:t xml:space="preserve">40,400 days of clinical placement for medical students </w:t>
      </w:r>
    </w:p>
    <w:p w14:paraId="7B17E79B" w14:textId="77777777" w:rsidR="00DF18F7" w:rsidRPr="00CC109F" w:rsidRDefault="00DF18F7" w:rsidP="00DF18F7">
      <w:pPr>
        <w:pStyle w:val="ListParagraph"/>
        <w:numPr>
          <w:ilvl w:val="0"/>
          <w:numId w:val="25"/>
        </w:numPr>
        <w:rPr>
          <w:rFonts w:ascii="Calibri" w:hAnsi="Calibri" w:cs="Calibri"/>
        </w:rPr>
      </w:pPr>
      <w:r>
        <w:t xml:space="preserve">304,800 days of clinical placement of nursing and midwifery students </w:t>
      </w:r>
    </w:p>
    <w:p w14:paraId="7B2C703B" w14:textId="7D22B0D0" w:rsidR="00DF18F7" w:rsidRDefault="00DF18F7" w:rsidP="00CB4BBB">
      <w:pPr>
        <w:pStyle w:val="ListParagraph"/>
        <w:numPr>
          <w:ilvl w:val="0"/>
          <w:numId w:val="25"/>
        </w:numPr>
      </w:pPr>
      <w:r>
        <w:t>28,900 days of clinical placement for allied health students</w:t>
      </w:r>
      <w:r>
        <w:rPr>
          <w:rStyle w:val="FootnoteReference"/>
        </w:rPr>
        <w:footnoteReference w:id="19"/>
      </w:r>
      <w:r>
        <w:t>.</w:t>
      </w:r>
      <w:r w:rsidR="00CB4BBB">
        <w:br/>
      </w:r>
    </w:p>
    <w:p w14:paraId="44DFE68B" w14:textId="4182B02F" w:rsidR="00DF18F7" w:rsidRDefault="00DF18F7" w:rsidP="00DF18F7">
      <w:pPr>
        <w:ind w:left="720"/>
        <w:rPr>
          <w:rFonts w:ascii="Calibri" w:hAnsi="Calibri" w:cs="Calibri"/>
          <w:color w:val="000000"/>
          <w:lang w:eastAsia="en-AU"/>
        </w:rPr>
      </w:pPr>
      <w:r>
        <w:rPr>
          <w:rFonts w:ascii="Calibri" w:hAnsi="Calibri" w:cs="Calibri"/>
          <w:color w:val="000000"/>
          <w:lang w:eastAsia="en-AU"/>
        </w:rPr>
        <w:t>These figures demonstrate the</w:t>
      </w:r>
      <w:r w:rsidRPr="008567F6">
        <w:rPr>
          <w:rFonts w:ascii="Calibri" w:hAnsi="Calibri" w:cs="Calibri"/>
          <w:color w:val="000000"/>
          <w:lang w:eastAsia="en-AU"/>
        </w:rPr>
        <w:t xml:space="preserve"> private hospital sector has a vital role in meeting </w:t>
      </w:r>
      <w:r>
        <w:rPr>
          <w:rFonts w:ascii="Calibri" w:hAnsi="Calibri" w:cs="Calibri"/>
          <w:color w:val="000000"/>
          <w:lang w:eastAsia="en-AU"/>
        </w:rPr>
        <w:t>Australia’s clinical workforce challenges</w:t>
      </w:r>
      <w:r w:rsidRPr="008567F6">
        <w:rPr>
          <w:rFonts w:ascii="Calibri" w:hAnsi="Calibri" w:cs="Calibri"/>
          <w:color w:val="000000"/>
          <w:lang w:eastAsia="en-AU"/>
        </w:rPr>
        <w:t xml:space="preserve"> by:</w:t>
      </w:r>
    </w:p>
    <w:p w14:paraId="01625229" w14:textId="77777777" w:rsidR="00A74433" w:rsidRPr="008567F6" w:rsidRDefault="00A74433" w:rsidP="00DF18F7">
      <w:pPr>
        <w:ind w:left="720"/>
        <w:rPr>
          <w:rFonts w:ascii="Calibri" w:hAnsi="Calibri" w:cs="Calibri"/>
          <w:color w:val="000000"/>
          <w:lang w:eastAsia="en-AU"/>
        </w:rPr>
      </w:pPr>
    </w:p>
    <w:p w14:paraId="5C9C4DB8" w14:textId="77777777" w:rsidR="00DF18F7" w:rsidRPr="008567F6" w:rsidRDefault="00DF18F7" w:rsidP="00DF18F7">
      <w:pPr>
        <w:pStyle w:val="ListParagraph"/>
        <w:numPr>
          <w:ilvl w:val="0"/>
          <w:numId w:val="14"/>
        </w:numPr>
        <w:rPr>
          <w:rFonts w:ascii="Calibri" w:hAnsi="Calibri" w:cs="Calibri"/>
          <w:color w:val="000000"/>
          <w:lang w:eastAsia="en-AU"/>
        </w:rPr>
      </w:pPr>
      <w:r w:rsidRPr="008567F6">
        <w:rPr>
          <w:rFonts w:ascii="Calibri" w:hAnsi="Calibri" w:cs="Calibri"/>
          <w:color w:val="000000"/>
          <w:lang w:eastAsia="en-AU"/>
        </w:rPr>
        <w:t>Providing placements for university and vocational education and training students</w:t>
      </w:r>
    </w:p>
    <w:p w14:paraId="735E62E8" w14:textId="77777777" w:rsidR="00DF18F7" w:rsidRPr="008567F6" w:rsidRDefault="00DF18F7" w:rsidP="00DF18F7">
      <w:pPr>
        <w:pStyle w:val="ListParagraph"/>
        <w:numPr>
          <w:ilvl w:val="0"/>
          <w:numId w:val="14"/>
        </w:numPr>
        <w:rPr>
          <w:rFonts w:ascii="Calibri" w:hAnsi="Calibri" w:cs="Calibri"/>
          <w:color w:val="000000"/>
          <w:lang w:eastAsia="en-AU"/>
        </w:rPr>
      </w:pPr>
      <w:r w:rsidRPr="008567F6">
        <w:rPr>
          <w:rFonts w:ascii="Calibri" w:hAnsi="Calibri" w:cs="Calibri"/>
          <w:color w:val="000000"/>
          <w:lang w:eastAsia="en-AU"/>
        </w:rPr>
        <w:t>Providing graduate placements for nurses and allied health professionals</w:t>
      </w:r>
    </w:p>
    <w:p w14:paraId="07056109" w14:textId="77777777" w:rsidR="00DF18F7" w:rsidRPr="008567F6" w:rsidRDefault="00DF18F7" w:rsidP="00DF18F7">
      <w:pPr>
        <w:pStyle w:val="ListParagraph"/>
        <w:numPr>
          <w:ilvl w:val="0"/>
          <w:numId w:val="14"/>
        </w:numPr>
        <w:rPr>
          <w:rFonts w:ascii="Calibri" w:hAnsi="Calibri" w:cs="Calibri"/>
          <w:color w:val="000000"/>
          <w:lang w:eastAsia="en-AU"/>
        </w:rPr>
      </w:pPr>
      <w:r w:rsidRPr="008567F6">
        <w:rPr>
          <w:rFonts w:ascii="Calibri" w:hAnsi="Calibri" w:cs="Calibri"/>
          <w:color w:val="000000"/>
          <w:lang w:eastAsia="en-AU"/>
        </w:rPr>
        <w:t>Providing internships and junior doctor positions for medical graduates</w:t>
      </w:r>
    </w:p>
    <w:p w14:paraId="74684865" w14:textId="77777777" w:rsidR="00DF18F7" w:rsidRPr="008567F6" w:rsidRDefault="00DF18F7" w:rsidP="00DF18F7">
      <w:pPr>
        <w:pStyle w:val="ListParagraph"/>
        <w:numPr>
          <w:ilvl w:val="0"/>
          <w:numId w:val="14"/>
        </w:numPr>
        <w:rPr>
          <w:rFonts w:ascii="Calibri" w:hAnsi="Calibri" w:cs="Calibri"/>
          <w:color w:val="000000"/>
          <w:lang w:eastAsia="en-AU"/>
        </w:rPr>
      </w:pPr>
      <w:r w:rsidRPr="008567F6">
        <w:rPr>
          <w:rFonts w:ascii="Calibri" w:hAnsi="Calibri" w:cs="Calibri"/>
          <w:color w:val="000000"/>
          <w:lang w:eastAsia="en-AU"/>
        </w:rPr>
        <w:t>Providing registrar positions to train future medical specialists</w:t>
      </w:r>
    </w:p>
    <w:p w14:paraId="373FAD27" w14:textId="77777777" w:rsidR="00FC006F" w:rsidRDefault="00DF18F7" w:rsidP="00CB4BBB">
      <w:pPr>
        <w:pStyle w:val="ListParagraph"/>
        <w:numPr>
          <w:ilvl w:val="0"/>
          <w:numId w:val="14"/>
        </w:numPr>
        <w:rPr>
          <w:rFonts w:ascii="Calibri" w:hAnsi="Calibri" w:cs="Calibri"/>
          <w:color w:val="000000"/>
          <w:lang w:eastAsia="en-AU"/>
        </w:rPr>
      </w:pPr>
      <w:r w:rsidRPr="00CB4BBB">
        <w:rPr>
          <w:rFonts w:ascii="Calibri" w:hAnsi="Calibri" w:cs="Calibri"/>
          <w:color w:val="000000"/>
          <w:lang w:eastAsia="en-AU"/>
        </w:rPr>
        <w:t>Supporting staff to acquire postgraduate and research qualifications</w:t>
      </w:r>
    </w:p>
    <w:p w14:paraId="39B604CF" w14:textId="2276A12D" w:rsidR="00DF18F7" w:rsidRPr="00CB4BBB" w:rsidRDefault="00FC006F" w:rsidP="00CB4BBB">
      <w:pPr>
        <w:pStyle w:val="ListParagraph"/>
        <w:numPr>
          <w:ilvl w:val="0"/>
          <w:numId w:val="14"/>
        </w:numPr>
        <w:rPr>
          <w:rFonts w:ascii="Calibri" w:hAnsi="Calibri" w:cs="Calibri"/>
          <w:color w:val="000000"/>
          <w:lang w:eastAsia="en-AU"/>
        </w:rPr>
      </w:pPr>
      <w:r>
        <w:rPr>
          <w:rFonts w:ascii="Calibri" w:hAnsi="Calibri" w:cs="Calibri"/>
          <w:color w:val="000000"/>
          <w:lang w:eastAsia="en-AU"/>
        </w:rPr>
        <w:t>Providing training opportunities not readily available in the public sector</w:t>
      </w:r>
      <w:r w:rsidR="00DF18F7" w:rsidRPr="00CB4BBB">
        <w:rPr>
          <w:rFonts w:ascii="Calibri" w:hAnsi="Calibri" w:cs="Calibri"/>
          <w:color w:val="000000"/>
          <w:lang w:eastAsia="en-AU"/>
        </w:rPr>
        <w:t>.</w:t>
      </w:r>
      <w:r w:rsidR="00CB4BBB">
        <w:rPr>
          <w:rFonts w:ascii="Calibri" w:hAnsi="Calibri" w:cs="Calibri"/>
          <w:color w:val="000000"/>
          <w:lang w:eastAsia="en-AU"/>
        </w:rPr>
        <w:br/>
      </w:r>
    </w:p>
    <w:p w14:paraId="16E340AF" w14:textId="24408EB5" w:rsidR="00DF18F7" w:rsidRDefault="00DF18F7" w:rsidP="00DF18F7">
      <w:pPr>
        <w:ind w:left="720"/>
        <w:rPr>
          <w:rFonts w:ascii="Calibri" w:hAnsi="Calibri" w:cs="Calibri"/>
          <w:color w:val="000000"/>
          <w:lang w:eastAsia="en-AU"/>
        </w:rPr>
      </w:pPr>
      <w:r w:rsidRPr="008567F6">
        <w:rPr>
          <w:rFonts w:ascii="Calibri" w:hAnsi="Calibri" w:cs="Calibri"/>
          <w:color w:val="000000"/>
          <w:lang w:eastAsia="en-AU"/>
        </w:rPr>
        <w:t xml:space="preserve">In 2015, the private hospital sector spent an estimated $167 million on training medical, nursing, midwifery and allied health staff. In fact, the private sector plays a </w:t>
      </w:r>
      <w:r w:rsidR="003735BD">
        <w:rPr>
          <w:rFonts w:ascii="Calibri" w:hAnsi="Calibri" w:cs="Calibri"/>
          <w:color w:val="000000"/>
          <w:lang w:eastAsia="en-AU"/>
        </w:rPr>
        <w:t>particular</w:t>
      </w:r>
      <w:r w:rsidRPr="008567F6">
        <w:rPr>
          <w:rFonts w:ascii="Calibri" w:hAnsi="Calibri" w:cs="Calibri"/>
          <w:color w:val="000000"/>
          <w:lang w:eastAsia="en-AU"/>
        </w:rPr>
        <w:t xml:space="preserve"> role in providing training in health areas not readily available in the public sector</w:t>
      </w:r>
      <w:r w:rsidR="003735BD">
        <w:rPr>
          <w:rFonts w:ascii="Calibri" w:hAnsi="Calibri" w:cs="Calibri"/>
          <w:color w:val="000000"/>
          <w:lang w:eastAsia="en-AU"/>
        </w:rPr>
        <w:t xml:space="preserve">, </w:t>
      </w:r>
      <w:r w:rsidRPr="008567F6">
        <w:rPr>
          <w:rFonts w:ascii="Calibri" w:hAnsi="Calibri" w:cs="Calibri"/>
          <w:color w:val="000000"/>
          <w:lang w:eastAsia="en-AU"/>
        </w:rPr>
        <w:t>including many areas of surgery, mental health and rehabilitation</w:t>
      </w:r>
      <w:r>
        <w:rPr>
          <w:rStyle w:val="FootnoteReference"/>
          <w:rFonts w:ascii="Calibri" w:hAnsi="Calibri" w:cs="Calibri"/>
          <w:color w:val="000000"/>
        </w:rPr>
        <w:footnoteReference w:id="20"/>
      </w:r>
      <w:r w:rsidRPr="008567F6">
        <w:rPr>
          <w:rFonts w:ascii="Calibri" w:hAnsi="Calibri" w:cs="Calibri"/>
          <w:color w:val="000000"/>
          <w:lang w:eastAsia="en-AU"/>
        </w:rPr>
        <w:t>.</w:t>
      </w:r>
    </w:p>
    <w:p w14:paraId="607A8D49" w14:textId="77777777" w:rsidR="00A74433" w:rsidRPr="008567F6" w:rsidRDefault="00A74433" w:rsidP="00DF18F7">
      <w:pPr>
        <w:ind w:left="720"/>
        <w:rPr>
          <w:rFonts w:ascii="Calibri" w:hAnsi="Calibri" w:cs="Calibri"/>
          <w:color w:val="000000"/>
          <w:lang w:eastAsia="en-AU"/>
        </w:rPr>
      </w:pPr>
    </w:p>
    <w:p w14:paraId="22B2E91F" w14:textId="6F6DA0E7" w:rsidR="00DF18F7" w:rsidRDefault="00DF18F7" w:rsidP="00CB4BBB">
      <w:pPr>
        <w:ind w:left="720"/>
        <w:rPr>
          <w:rFonts w:ascii="Calibri" w:hAnsi="Calibri" w:cs="Calibri"/>
          <w:color w:val="000000"/>
          <w:lang w:eastAsia="en-AU"/>
        </w:rPr>
      </w:pPr>
      <w:r w:rsidRPr="008567F6">
        <w:rPr>
          <w:rFonts w:ascii="Calibri" w:hAnsi="Calibri" w:cs="Calibri"/>
          <w:color w:val="000000"/>
          <w:lang w:eastAsia="en-AU"/>
        </w:rPr>
        <w:t>If the private sector is to p</w:t>
      </w:r>
      <w:r>
        <w:rPr>
          <w:rFonts w:ascii="Calibri" w:hAnsi="Calibri" w:cs="Calibri"/>
          <w:color w:val="000000"/>
          <w:lang w:eastAsia="en-AU"/>
        </w:rPr>
        <w:t>l</w:t>
      </w:r>
      <w:r w:rsidRPr="008567F6">
        <w:rPr>
          <w:rFonts w:ascii="Calibri" w:hAnsi="Calibri" w:cs="Calibri"/>
          <w:color w:val="000000"/>
          <w:lang w:eastAsia="en-AU"/>
        </w:rPr>
        <w:t>ay an even greater role in meeting these future challenges at time when it is also committed to keeping the cost of hospital care as affordable as possible, it will need financial support from Government to provide additional quality clinical training opportunities.</w:t>
      </w:r>
      <w:r>
        <w:rPr>
          <w:rFonts w:ascii="Calibri" w:hAnsi="Calibri" w:cs="Calibri"/>
          <w:color w:val="000000"/>
          <w:lang w:eastAsia="en-AU"/>
        </w:rPr>
        <w:br w:type="page"/>
      </w:r>
    </w:p>
    <w:p w14:paraId="6CD45E61" w14:textId="7D10D18F" w:rsidR="00DF18F7" w:rsidRPr="00CB4BBB" w:rsidRDefault="00DF18F7" w:rsidP="00EE4A96">
      <w:pPr>
        <w:pStyle w:val="Heading3"/>
        <w:keepNext w:val="0"/>
        <w:keepLines w:val="0"/>
        <w:numPr>
          <w:ilvl w:val="0"/>
          <w:numId w:val="6"/>
        </w:numPr>
        <w:spacing w:before="0"/>
        <w:contextualSpacing/>
        <w:rPr>
          <w:rFonts w:ascii="Calibri" w:hAnsi="Calibri" w:cs="Calibri"/>
          <w:color w:val="000000"/>
          <w:lang w:eastAsia="en-AU"/>
        </w:rPr>
      </w:pPr>
      <w:bookmarkStart w:id="128" w:name="_Toc27494549"/>
      <w:bookmarkStart w:id="129" w:name="_Toc27494746"/>
      <w:r>
        <w:t>Reduce the cost and complexity of skilled migration arrangements</w:t>
      </w:r>
      <w:bookmarkEnd w:id="128"/>
      <w:bookmarkEnd w:id="129"/>
      <w:r w:rsidR="003735BD">
        <w:t>.</w:t>
      </w:r>
      <w:r w:rsidR="00CB4BBB">
        <w:br/>
      </w:r>
    </w:p>
    <w:p w14:paraId="2A359511" w14:textId="3A3FB587" w:rsidR="00DF18F7" w:rsidRDefault="003735BD" w:rsidP="00DF18F7">
      <w:pPr>
        <w:ind w:left="720"/>
        <w:rPr>
          <w:rFonts w:ascii="Calibri" w:hAnsi="Calibri" w:cs="Calibri"/>
          <w:color w:val="000000"/>
          <w:lang w:eastAsia="en-AU"/>
        </w:rPr>
      </w:pPr>
      <w:r>
        <w:rPr>
          <w:rFonts w:ascii="Calibri" w:hAnsi="Calibri" w:cs="Calibri"/>
          <w:color w:val="000000"/>
          <w:lang w:eastAsia="en-AU"/>
        </w:rPr>
        <w:t>Reforming s</w:t>
      </w:r>
      <w:r w:rsidR="00DF18F7" w:rsidRPr="008567F6">
        <w:rPr>
          <w:rFonts w:ascii="Calibri" w:hAnsi="Calibri" w:cs="Calibri"/>
          <w:color w:val="000000"/>
          <w:lang w:eastAsia="en-AU"/>
        </w:rPr>
        <w:t xml:space="preserve">killed migration regulations </w:t>
      </w:r>
      <w:r>
        <w:rPr>
          <w:rFonts w:ascii="Calibri" w:hAnsi="Calibri" w:cs="Calibri"/>
          <w:color w:val="000000"/>
          <w:lang w:eastAsia="en-AU"/>
        </w:rPr>
        <w:t>will</w:t>
      </w:r>
      <w:r w:rsidR="00DF18F7" w:rsidRPr="008567F6">
        <w:rPr>
          <w:rFonts w:ascii="Calibri" w:hAnsi="Calibri" w:cs="Calibri"/>
          <w:color w:val="000000"/>
          <w:lang w:eastAsia="en-AU"/>
        </w:rPr>
        <w:t xml:space="preserve"> reduce the cost and complexity involved in recruiting skilled and experienced clinicians to positions </w:t>
      </w:r>
      <w:r>
        <w:rPr>
          <w:rFonts w:ascii="Calibri" w:hAnsi="Calibri" w:cs="Calibri"/>
          <w:color w:val="000000"/>
          <w:lang w:eastAsia="en-AU"/>
        </w:rPr>
        <w:t xml:space="preserve">that Australian graduates </w:t>
      </w:r>
      <w:r w:rsidR="00DF18F7" w:rsidRPr="008567F6">
        <w:rPr>
          <w:rFonts w:ascii="Calibri" w:hAnsi="Calibri" w:cs="Calibri"/>
          <w:color w:val="000000"/>
          <w:lang w:eastAsia="en-AU"/>
        </w:rPr>
        <w:t>cannot</w:t>
      </w:r>
      <w:r>
        <w:rPr>
          <w:rFonts w:ascii="Calibri" w:hAnsi="Calibri" w:cs="Calibri"/>
          <w:color w:val="000000"/>
          <w:lang w:eastAsia="en-AU"/>
        </w:rPr>
        <w:t xml:space="preserve"> fill</w:t>
      </w:r>
      <w:r w:rsidR="00DF18F7" w:rsidRPr="008567F6">
        <w:rPr>
          <w:rFonts w:ascii="Calibri" w:hAnsi="Calibri" w:cs="Calibri"/>
          <w:color w:val="000000"/>
          <w:lang w:eastAsia="en-AU"/>
        </w:rPr>
        <w:t>.</w:t>
      </w:r>
    </w:p>
    <w:p w14:paraId="340C72A5" w14:textId="77777777" w:rsidR="00A74433" w:rsidRPr="008567F6" w:rsidRDefault="00A74433" w:rsidP="00DF18F7">
      <w:pPr>
        <w:ind w:left="720"/>
        <w:rPr>
          <w:rFonts w:ascii="Calibri" w:hAnsi="Calibri" w:cs="Calibri"/>
          <w:color w:val="000000"/>
          <w:lang w:eastAsia="en-AU"/>
        </w:rPr>
      </w:pPr>
    </w:p>
    <w:p w14:paraId="64A48151" w14:textId="05E7329F" w:rsidR="00DF18F7" w:rsidRPr="008567F6" w:rsidRDefault="00DF18F7" w:rsidP="00CB4BBB">
      <w:pPr>
        <w:pStyle w:val="ListParagraph"/>
        <w:numPr>
          <w:ilvl w:val="0"/>
          <w:numId w:val="11"/>
        </w:numPr>
        <w:rPr>
          <w:rFonts w:ascii="Calibri" w:hAnsi="Calibri" w:cs="Calibri"/>
          <w:color w:val="000000"/>
          <w:lang w:eastAsia="en-AU"/>
        </w:rPr>
      </w:pPr>
      <w:r w:rsidRPr="008567F6">
        <w:rPr>
          <w:rFonts w:ascii="Calibri" w:hAnsi="Calibri" w:cs="Calibri"/>
          <w:color w:val="000000"/>
          <w:lang w:eastAsia="en-AU"/>
        </w:rPr>
        <w:t>The charges to employers need to reduced</w:t>
      </w:r>
    </w:p>
    <w:p w14:paraId="1601FFF5" w14:textId="5975F5D9" w:rsidR="00DF18F7" w:rsidRPr="008567F6" w:rsidRDefault="00DF18F7" w:rsidP="00CB4BBB">
      <w:pPr>
        <w:pStyle w:val="ListParagraph"/>
        <w:numPr>
          <w:ilvl w:val="0"/>
          <w:numId w:val="11"/>
        </w:numPr>
        <w:rPr>
          <w:rFonts w:ascii="Calibri" w:hAnsi="Calibri" w:cs="Calibri"/>
          <w:color w:val="000000"/>
          <w:lang w:eastAsia="en-AU"/>
        </w:rPr>
      </w:pPr>
      <w:r w:rsidRPr="008567F6">
        <w:rPr>
          <w:rFonts w:ascii="Calibri" w:hAnsi="Calibri" w:cs="Calibri"/>
          <w:color w:val="000000"/>
          <w:lang w:eastAsia="en-AU"/>
        </w:rPr>
        <w:t>Pathways to permanent residency for highly</w:t>
      </w:r>
      <w:r w:rsidR="003735BD">
        <w:rPr>
          <w:rFonts w:ascii="Calibri" w:hAnsi="Calibri" w:cs="Calibri"/>
          <w:color w:val="000000"/>
          <w:lang w:eastAsia="en-AU"/>
        </w:rPr>
        <w:t>-</w:t>
      </w:r>
      <w:r w:rsidRPr="008567F6">
        <w:rPr>
          <w:rFonts w:ascii="Calibri" w:hAnsi="Calibri" w:cs="Calibri"/>
          <w:color w:val="000000"/>
          <w:lang w:eastAsia="en-AU"/>
        </w:rPr>
        <w:t xml:space="preserve">skilled employees need to be </w:t>
      </w:r>
      <w:r>
        <w:rPr>
          <w:rFonts w:ascii="Calibri" w:hAnsi="Calibri" w:cs="Calibri"/>
          <w:color w:val="000000"/>
          <w:lang w:eastAsia="en-AU"/>
        </w:rPr>
        <w:t>broadened</w:t>
      </w:r>
    </w:p>
    <w:p w14:paraId="65C51352" w14:textId="77777777" w:rsidR="00DF18F7" w:rsidRPr="008567F6" w:rsidRDefault="00DF18F7" w:rsidP="00CB4BBB">
      <w:pPr>
        <w:pStyle w:val="ListParagraph"/>
        <w:numPr>
          <w:ilvl w:val="0"/>
          <w:numId w:val="11"/>
        </w:numPr>
        <w:rPr>
          <w:rFonts w:ascii="Calibri" w:hAnsi="Calibri" w:cs="Calibri"/>
          <w:color w:val="000000"/>
          <w:lang w:eastAsia="en-AU"/>
        </w:rPr>
      </w:pPr>
      <w:r w:rsidRPr="008567F6">
        <w:rPr>
          <w:rFonts w:ascii="Calibri" w:hAnsi="Calibri" w:cs="Calibri"/>
          <w:color w:val="000000"/>
          <w:lang w:eastAsia="en-AU"/>
        </w:rPr>
        <w:t>Government investment in training and workforce development needs to align with skill shortages.</w:t>
      </w:r>
    </w:p>
    <w:p w14:paraId="54832F44" w14:textId="77777777" w:rsidR="00DF18F7" w:rsidRPr="00CB4BBB" w:rsidRDefault="00DF18F7" w:rsidP="00CB4BBB">
      <w:pPr>
        <w:ind w:left="1080"/>
        <w:rPr>
          <w:rFonts w:ascii="Calibri" w:hAnsi="Calibri" w:cs="Calibri"/>
          <w:color w:val="000000"/>
          <w:lang w:eastAsia="en-AU"/>
        </w:rPr>
      </w:pPr>
    </w:p>
    <w:p w14:paraId="47B934EB" w14:textId="25D57039" w:rsidR="00DF18F7" w:rsidRDefault="00DF18F7" w:rsidP="00DF18F7">
      <w:pPr>
        <w:ind w:left="720"/>
        <w:rPr>
          <w:rFonts w:ascii="Calibri" w:hAnsi="Calibri" w:cs="Calibri"/>
          <w:color w:val="000000"/>
          <w:lang w:eastAsia="en-AU"/>
        </w:rPr>
      </w:pPr>
      <w:r w:rsidRPr="008567F6">
        <w:rPr>
          <w:rFonts w:ascii="Calibri" w:hAnsi="Calibri" w:cs="Calibri"/>
          <w:color w:val="000000"/>
          <w:lang w:eastAsia="en-AU"/>
        </w:rPr>
        <w:t>National data shows in aggregate</w:t>
      </w:r>
      <w:r w:rsidR="00134B4D">
        <w:rPr>
          <w:rFonts w:ascii="Calibri" w:hAnsi="Calibri" w:cs="Calibri"/>
          <w:color w:val="000000"/>
          <w:lang w:eastAsia="en-AU"/>
        </w:rPr>
        <w:t>,</w:t>
      </w:r>
      <w:r w:rsidRPr="008567F6">
        <w:rPr>
          <w:rFonts w:ascii="Calibri" w:hAnsi="Calibri" w:cs="Calibri"/>
          <w:color w:val="000000"/>
          <w:lang w:eastAsia="en-AU"/>
        </w:rPr>
        <w:t xml:space="preserve"> there has been no evident shortage of registered nurses since 2011 and </w:t>
      </w:r>
      <w:r w:rsidR="00134B4D">
        <w:rPr>
          <w:rFonts w:ascii="Calibri" w:hAnsi="Calibri" w:cs="Calibri"/>
          <w:color w:val="000000"/>
          <w:lang w:eastAsia="en-AU"/>
        </w:rPr>
        <w:t xml:space="preserve">enrolled nurses </w:t>
      </w:r>
      <w:r w:rsidRPr="008567F6">
        <w:rPr>
          <w:rFonts w:ascii="Calibri" w:hAnsi="Calibri" w:cs="Calibri"/>
          <w:color w:val="000000"/>
          <w:lang w:eastAsia="en-AU"/>
        </w:rPr>
        <w:t>since 2012. Shortages in midwifery have been “patchy” and regional. However, the Department of Jobs and Small Business reports internet vacancies are now at an all-time high and APHA member hospitals already experience persistent difficulties in recruiting experienced nurses to take on specialised roles including:</w:t>
      </w:r>
    </w:p>
    <w:p w14:paraId="62ADDD05" w14:textId="77777777" w:rsidR="00A74433" w:rsidRPr="008567F6" w:rsidRDefault="00A74433" w:rsidP="00DF18F7">
      <w:pPr>
        <w:ind w:left="720"/>
        <w:rPr>
          <w:rFonts w:ascii="Calibri" w:hAnsi="Calibri" w:cs="Calibri"/>
          <w:color w:val="000000"/>
          <w:lang w:eastAsia="en-AU"/>
        </w:rPr>
      </w:pPr>
    </w:p>
    <w:p w14:paraId="78826BE5" w14:textId="77777777" w:rsidR="00DF18F7" w:rsidRPr="008567F6" w:rsidRDefault="00DF18F7" w:rsidP="00DF18F7">
      <w:pPr>
        <w:pStyle w:val="ListParagraph"/>
        <w:numPr>
          <w:ilvl w:val="0"/>
          <w:numId w:val="11"/>
        </w:numPr>
        <w:rPr>
          <w:rFonts w:ascii="Calibri" w:hAnsi="Calibri" w:cs="Calibri"/>
          <w:color w:val="000000"/>
          <w:lang w:eastAsia="en-AU"/>
        </w:rPr>
      </w:pPr>
      <w:r w:rsidRPr="008567F6">
        <w:rPr>
          <w:rFonts w:ascii="Calibri" w:hAnsi="Calibri" w:cs="Calibri"/>
          <w:color w:val="000000"/>
          <w:lang w:eastAsia="en-AU"/>
        </w:rPr>
        <w:t>Surgical</w:t>
      </w:r>
    </w:p>
    <w:p w14:paraId="3E722694" w14:textId="77777777" w:rsidR="00DF18F7" w:rsidRPr="008567F6" w:rsidRDefault="00DF18F7" w:rsidP="00DF18F7">
      <w:pPr>
        <w:pStyle w:val="ListParagraph"/>
        <w:numPr>
          <w:ilvl w:val="0"/>
          <w:numId w:val="11"/>
        </w:numPr>
        <w:rPr>
          <w:rFonts w:ascii="Calibri" w:hAnsi="Calibri" w:cs="Calibri"/>
          <w:color w:val="000000"/>
          <w:lang w:eastAsia="en-AU"/>
        </w:rPr>
      </w:pPr>
      <w:r w:rsidRPr="008567F6">
        <w:rPr>
          <w:rFonts w:ascii="Calibri" w:hAnsi="Calibri" w:cs="Calibri"/>
          <w:color w:val="000000"/>
          <w:lang w:eastAsia="en-AU"/>
        </w:rPr>
        <w:t>Critical care</w:t>
      </w:r>
    </w:p>
    <w:p w14:paraId="3C3ED54E" w14:textId="77777777" w:rsidR="00DF18F7" w:rsidRPr="008567F6" w:rsidRDefault="00DF18F7" w:rsidP="00DF18F7">
      <w:pPr>
        <w:pStyle w:val="ListParagraph"/>
        <w:numPr>
          <w:ilvl w:val="0"/>
          <w:numId w:val="11"/>
        </w:numPr>
        <w:rPr>
          <w:rFonts w:ascii="Calibri" w:hAnsi="Calibri" w:cs="Calibri"/>
          <w:color w:val="000000"/>
          <w:lang w:eastAsia="en-AU"/>
        </w:rPr>
      </w:pPr>
      <w:r w:rsidRPr="008567F6">
        <w:rPr>
          <w:rFonts w:ascii="Calibri" w:hAnsi="Calibri" w:cs="Calibri"/>
          <w:color w:val="000000"/>
          <w:lang w:eastAsia="en-AU"/>
        </w:rPr>
        <w:t>Peri-operative</w:t>
      </w:r>
    </w:p>
    <w:p w14:paraId="5189ED7F" w14:textId="77777777" w:rsidR="00DF18F7" w:rsidRPr="008567F6" w:rsidRDefault="00DF18F7" w:rsidP="00DF18F7">
      <w:pPr>
        <w:pStyle w:val="ListParagraph"/>
        <w:numPr>
          <w:ilvl w:val="0"/>
          <w:numId w:val="11"/>
        </w:numPr>
        <w:rPr>
          <w:rFonts w:ascii="Calibri" w:hAnsi="Calibri" w:cs="Calibri"/>
          <w:color w:val="000000"/>
          <w:lang w:eastAsia="en-AU"/>
        </w:rPr>
      </w:pPr>
      <w:r w:rsidRPr="008567F6">
        <w:rPr>
          <w:rFonts w:ascii="Calibri" w:hAnsi="Calibri" w:cs="Calibri"/>
          <w:color w:val="000000"/>
          <w:lang w:eastAsia="en-AU"/>
        </w:rPr>
        <w:t>Cancer care</w:t>
      </w:r>
    </w:p>
    <w:p w14:paraId="33690B03" w14:textId="77777777" w:rsidR="00DF18F7" w:rsidRPr="008567F6" w:rsidRDefault="00DF18F7" w:rsidP="00DF18F7">
      <w:pPr>
        <w:pStyle w:val="ListParagraph"/>
        <w:numPr>
          <w:ilvl w:val="0"/>
          <w:numId w:val="11"/>
        </w:numPr>
        <w:rPr>
          <w:rFonts w:ascii="Calibri" w:hAnsi="Calibri" w:cs="Calibri"/>
          <w:color w:val="000000"/>
          <w:lang w:eastAsia="en-AU"/>
        </w:rPr>
      </w:pPr>
      <w:r w:rsidRPr="008567F6">
        <w:rPr>
          <w:rFonts w:ascii="Calibri" w:hAnsi="Calibri" w:cs="Calibri"/>
          <w:color w:val="000000"/>
          <w:lang w:eastAsia="en-AU"/>
        </w:rPr>
        <w:t>Mental health</w:t>
      </w:r>
    </w:p>
    <w:p w14:paraId="5FD83ED1" w14:textId="77777777" w:rsidR="00DF18F7" w:rsidRPr="008567F6" w:rsidRDefault="00DF18F7" w:rsidP="00DF18F7">
      <w:pPr>
        <w:pStyle w:val="ListParagraph"/>
        <w:numPr>
          <w:ilvl w:val="0"/>
          <w:numId w:val="11"/>
        </w:numPr>
        <w:rPr>
          <w:rFonts w:ascii="Calibri" w:hAnsi="Calibri" w:cs="Calibri"/>
          <w:color w:val="000000"/>
          <w:lang w:eastAsia="en-AU"/>
        </w:rPr>
      </w:pPr>
      <w:r w:rsidRPr="008567F6">
        <w:rPr>
          <w:rFonts w:ascii="Calibri" w:hAnsi="Calibri" w:cs="Calibri"/>
          <w:color w:val="000000"/>
          <w:lang w:eastAsia="en-AU"/>
        </w:rPr>
        <w:t>Midwifery</w:t>
      </w:r>
    </w:p>
    <w:p w14:paraId="05EEB1C5" w14:textId="62872217" w:rsidR="00DF18F7" w:rsidRDefault="00DF18F7" w:rsidP="00DF18F7">
      <w:pPr>
        <w:pStyle w:val="ListParagraph"/>
        <w:numPr>
          <w:ilvl w:val="0"/>
          <w:numId w:val="11"/>
        </w:numPr>
        <w:rPr>
          <w:rFonts w:ascii="Calibri" w:hAnsi="Calibri" w:cs="Calibri"/>
          <w:color w:val="000000"/>
          <w:lang w:eastAsia="en-AU"/>
        </w:rPr>
      </w:pPr>
      <w:r w:rsidRPr="008567F6">
        <w:rPr>
          <w:rFonts w:ascii="Calibri" w:hAnsi="Calibri" w:cs="Calibri"/>
          <w:color w:val="000000"/>
          <w:lang w:eastAsia="en-AU"/>
        </w:rPr>
        <w:t>Nursing manager roles.</w:t>
      </w:r>
    </w:p>
    <w:p w14:paraId="7533CA02" w14:textId="77777777" w:rsidR="00667ECF" w:rsidRPr="00667ECF" w:rsidRDefault="00667ECF" w:rsidP="00667ECF">
      <w:pPr>
        <w:ind w:left="1080"/>
        <w:rPr>
          <w:rFonts w:ascii="Calibri" w:hAnsi="Calibri" w:cs="Calibri"/>
          <w:color w:val="000000"/>
          <w:lang w:eastAsia="en-AU"/>
        </w:rPr>
      </w:pPr>
    </w:p>
    <w:p w14:paraId="2CB7D3C4" w14:textId="14CAA176" w:rsidR="00DF18F7" w:rsidRDefault="00DF18F7" w:rsidP="00DF18F7">
      <w:pPr>
        <w:ind w:left="720"/>
        <w:rPr>
          <w:rFonts w:ascii="Calibri" w:hAnsi="Calibri" w:cs="Calibri"/>
          <w:color w:val="000000"/>
          <w:lang w:eastAsia="en-AU"/>
        </w:rPr>
      </w:pPr>
      <w:r w:rsidRPr="008567F6">
        <w:rPr>
          <w:rFonts w:ascii="Calibri" w:hAnsi="Calibri" w:cs="Calibri"/>
          <w:color w:val="000000"/>
          <w:lang w:eastAsia="en-AU"/>
        </w:rPr>
        <w:t>The Department of Employment found nearly 80 percent of all qualified registered nurse applicants in N</w:t>
      </w:r>
      <w:r w:rsidR="00134B4D">
        <w:rPr>
          <w:rFonts w:ascii="Calibri" w:hAnsi="Calibri" w:cs="Calibri"/>
          <w:color w:val="000000"/>
          <w:lang w:eastAsia="en-AU"/>
        </w:rPr>
        <w:t>ew South Wales</w:t>
      </w:r>
      <w:r w:rsidRPr="008567F6">
        <w:rPr>
          <w:rFonts w:ascii="Calibri" w:hAnsi="Calibri" w:cs="Calibri"/>
          <w:color w:val="000000"/>
          <w:lang w:eastAsia="en-AU"/>
        </w:rPr>
        <w:t xml:space="preserve"> were considered by employers (all sectors) as either lacking the minimum level of experience required or lacking experience in the modality required</w:t>
      </w:r>
      <w:r w:rsidRPr="00A74433">
        <w:rPr>
          <w:rFonts w:ascii="Calibri" w:hAnsi="Calibri" w:cs="Calibri"/>
          <w:color w:val="000000"/>
          <w:sz w:val="20"/>
          <w:szCs w:val="20"/>
          <w:vertAlign w:val="superscript"/>
          <w:lang w:eastAsia="en-AU"/>
        </w:rPr>
        <w:footnoteReference w:id="21"/>
      </w:r>
      <w:r w:rsidRPr="008567F6">
        <w:rPr>
          <w:rFonts w:ascii="Calibri" w:hAnsi="Calibri" w:cs="Calibri"/>
          <w:color w:val="000000"/>
          <w:lang w:eastAsia="en-AU"/>
        </w:rPr>
        <w:t>.</w:t>
      </w:r>
    </w:p>
    <w:p w14:paraId="790801B6" w14:textId="77777777" w:rsidR="00A74433" w:rsidRPr="008567F6" w:rsidRDefault="00A74433" w:rsidP="00DF18F7">
      <w:pPr>
        <w:ind w:left="720"/>
        <w:rPr>
          <w:rFonts w:ascii="Calibri" w:hAnsi="Calibri" w:cs="Calibri"/>
          <w:color w:val="000000"/>
          <w:lang w:eastAsia="en-AU"/>
        </w:rPr>
      </w:pPr>
    </w:p>
    <w:p w14:paraId="7C394BB6" w14:textId="0FC4DC38" w:rsidR="00DF18F7" w:rsidRPr="008567F6" w:rsidRDefault="00DF18F7" w:rsidP="00DF18F7">
      <w:pPr>
        <w:ind w:left="720"/>
        <w:rPr>
          <w:rFonts w:ascii="Calibri" w:hAnsi="Calibri" w:cs="Calibri"/>
          <w:color w:val="000000"/>
          <w:lang w:eastAsia="en-AU"/>
        </w:rPr>
      </w:pPr>
      <w:r w:rsidRPr="008567F6">
        <w:rPr>
          <w:rFonts w:ascii="Calibri" w:hAnsi="Calibri" w:cs="Calibri"/>
          <w:color w:val="000000"/>
          <w:lang w:eastAsia="en-AU"/>
        </w:rPr>
        <w:t xml:space="preserve">The Department of Jobs and Small Business has said employment in the </w:t>
      </w:r>
      <w:r w:rsidR="00134B4D">
        <w:rPr>
          <w:rFonts w:ascii="Calibri" w:hAnsi="Calibri" w:cs="Calibri"/>
          <w:color w:val="000000"/>
          <w:lang w:eastAsia="en-AU"/>
        </w:rPr>
        <w:t>healthcare</w:t>
      </w:r>
      <w:r w:rsidRPr="008567F6">
        <w:rPr>
          <w:rFonts w:ascii="Calibri" w:hAnsi="Calibri" w:cs="Calibri"/>
          <w:color w:val="000000"/>
          <w:lang w:eastAsia="en-AU"/>
        </w:rPr>
        <w:t xml:space="preserve"> and social assistance industry (a major employer of health professions) </w:t>
      </w:r>
      <w:r w:rsidR="00134B4D">
        <w:rPr>
          <w:rFonts w:ascii="Calibri" w:hAnsi="Calibri" w:cs="Calibri"/>
          <w:color w:val="000000"/>
          <w:lang w:eastAsia="en-AU"/>
        </w:rPr>
        <w:t>will</w:t>
      </w:r>
      <w:r w:rsidRPr="008567F6">
        <w:rPr>
          <w:rFonts w:ascii="Calibri" w:hAnsi="Calibri" w:cs="Calibri"/>
          <w:color w:val="000000"/>
          <w:lang w:eastAsia="en-AU"/>
        </w:rPr>
        <w:t xml:space="preserve"> expand at double the pace of all industries over the five years to May 2023</w:t>
      </w:r>
      <w:r w:rsidRPr="00A74433">
        <w:rPr>
          <w:rFonts w:ascii="Calibri" w:hAnsi="Calibri" w:cs="Calibri"/>
          <w:color w:val="000000"/>
          <w:sz w:val="20"/>
          <w:szCs w:val="20"/>
          <w:vertAlign w:val="superscript"/>
          <w:lang w:eastAsia="en-AU"/>
        </w:rPr>
        <w:footnoteReference w:id="22"/>
      </w:r>
      <w:r>
        <w:rPr>
          <w:rFonts w:ascii="Calibri" w:hAnsi="Calibri" w:cs="Calibri"/>
          <w:color w:val="000000"/>
          <w:lang w:eastAsia="en-AU"/>
        </w:rPr>
        <w:t xml:space="preserve">. The Royal Commission into Aged Care is likely to highlight the need to address skill shortages in the aged care sector creating further demand for skilled and experienced clinicians, particularly nurses, across both sectors. </w:t>
      </w:r>
    </w:p>
    <w:p w14:paraId="3D1A7775" w14:textId="77777777" w:rsidR="00DF18F7" w:rsidRPr="008567F6" w:rsidRDefault="00DF18F7" w:rsidP="00DF18F7">
      <w:pPr>
        <w:ind w:left="720"/>
        <w:rPr>
          <w:rFonts w:ascii="Calibri" w:hAnsi="Calibri" w:cs="Calibri"/>
          <w:color w:val="000000"/>
          <w:lang w:eastAsia="en-AU"/>
        </w:rPr>
      </w:pPr>
    </w:p>
    <w:p w14:paraId="7ADD102F" w14:textId="25C906F7" w:rsidR="00A74433" w:rsidRDefault="00DF18F7" w:rsidP="00A74433">
      <w:pPr>
        <w:ind w:left="720"/>
        <w:rPr>
          <w:rFonts w:ascii="Calibri" w:hAnsi="Calibri" w:cs="Calibri"/>
          <w:color w:val="000000"/>
          <w:lang w:eastAsia="en-AU"/>
        </w:rPr>
      </w:pPr>
      <w:r w:rsidRPr="008567F6">
        <w:rPr>
          <w:rFonts w:ascii="Calibri" w:hAnsi="Calibri" w:cs="Calibri"/>
          <w:color w:val="000000"/>
          <w:lang w:eastAsia="en-AU"/>
        </w:rPr>
        <w:t xml:space="preserve">Migration remains an essential strategy for employers in recruiting to roles </w:t>
      </w:r>
      <w:r w:rsidR="00134B4D">
        <w:rPr>
          <w:rFonts w:ascii="Calibri" w:hAnsi="Calibri" w:cs="Calibri"/>
          <w:color w:val="000000"/>
          <w:lang w:eastAsia="en-AU"/>
        </w:rPr>
        <w:t>t</w:t>
      </w:r>
      <w:r w:rsidRPr="008567F6">
        <w:rPr>
          <w:rFonts w:ascii="Calibri" w:hAnsi="Calibri" w:cs="Calibri"/>
          <w:color w:val="000000"/>
          <w:lang w:eastAsia="en-AU"/>
        </w:rPr>
        <w:t>h</w:t>
      </w:r>
      <w:r w:rsidR="00134B4D">
        <w:rPr>
          <w:rFonts w:ascii="Calibri" w:hAnsi="Calibri" w:cs="Calibri"/>
          <w:color w:val="000000"/>
          <w:lang w:eastAsia="en-AU"/>
        </w:rPr>
        <w:t>at</w:t>
      </w:r>
      <w:r w:rsidRPr="008567F6">
        <w:rPr>
          <w:rFonts w:ascii="Calibri" w:hAnsi="Calibri" w:cs="Calibri"/>
          <w:color w:val="000000"/>
          <w:lang w:eastAsia="en-AU"/>
        </w:rPr>
        <w:t xml:space="preserve"> require specialised skills and experience</w:t>
      </w:r>
      <w:r w:rsidR="00134B4D">
        <w:rPr>
          <w:rFonts w:ascii="Calibri" w:hAnsi="Calibri" w:cs="Calibri"/>
          <w:color w:val="000000"/>
          <w:lang w:eastAsia="en-AU"/>
        </w:rPr>
        <w:t>,</w:t>
      </w:r>
      <w:r w:rsidRPr="008567F6">
        <w:rPr>
          <w:rFonts w:ascii="Calibri" w:hAnsi="Calibri" w:cs="Calibri"/>
          <w:color w:val="000000"/>
          <w:lang w:eastAsia="en-AU"/>
        </w:rPr>
        <w:t xml:space="preserve"> particularly registered nurses and midwives. As at 30 September</w:t>
      </w:r>
      <w:r>
        <w:rPr>
          <w:rFonts w:ascii="Calibri" w:hAnsi="Calibri" w:cs="Calibri"/>
          <w:color w:val="000000"/>
          <w:lang w:eastAsia="en-AU"/>
        </w:rPr>
        <w:t xml:space="preserve"> 2019 </w:t>
      </w:r>
      <w:r w:rsidRPr="008567F6">
        <w:rPr>
          <w:rFonts w:ascii="Calibri" w:hAnsi="Calibri" w:cs="Calibri"/>
          <w:color w:val="000000"/>
          <w:lang w:eastAsia="en-AU"/>
        </w:rPr>
        <w:t>there were 2,2</w:t>
      </w:r>
      <w:r>
        <w:rPr>
          <w:rFonts w:ascii="Calibri" w:hAnsi="Calibri" w:cs="Calibri"/>
          <w:color w:val="000000"/>
          <w:lang w:eastAsia="en-AU"/>
        </w:rPr>
        <w:t>25</w:t>
      </w:r>
      <w:r w:rsidRPr="008567F6">
        <w:rPr>
          <w:rFonts w:ascii="Calibri" w:hAnsi="Calibri" w:cs="Calibri"/>
          <w:color w:val="000000"/>
          <w:lang w:eastAsia="en-AU"/>
        </w:rPr>
        <w:t xml:space="preserve"> registered nurses on skilled worker visas. They included 1,</w:t>
      </w:r>
      <w:r>
        <w:rPr>
          <w:rFonts w:ascii="Calibri" w:hAnsi="Calibri" w:cs="Calibri"/>
          <w:color w:val="000000"/>
          <w:lang w:eastAsia="en-AU"/>
        </w:rPr>
        <w:t>431</w:t>
      </w:r>
      <w:r w:rsidRPr="008567F6">
        <w:rPr>
          <w:rFonts w:ascii="Calibri" w:hAnsi="Calibri" w:cs="Calibri"/>
          <w:color w:val="000000"/>
          <w:lang w:eastAsia="en-AU"/>
        </w:rPr>
        <w:t xml:space="preserve"> working in specialist areas relevant to private hospitals as summarised in the following</w:t>
      </w:r>
      <w:r w:rsidR="00134B4D">
        <w:rPr>
          <w:rFonts w:ascii="Calibri" w:hAnsi="Calibri" w:cs="Calibri"/>
          <w:color w:val="000000"/>
          <w:lang w:eastAsia="en-AU"/>
        </w:rPr>
        <w:t xml:space="preserve"> table</w:t>
      </w:r>
      <w:r w:rsidRPr="008567F6">
        <w:rPr>
          <w:rFonts w:ascii="Calibri" w:hAnsi="Calibri" w:cs="Calibri"/>
          <w:color w:val="000000"/>
          <w:lang w:eastAsia="en-AU"/>
        </w:rPr>
        <w:t>.</w:t>
      </w:r>
    </w:p>
    <w:p w14:paraId="4D625D98" w14:textId="77777777" w:rsidR="00A74433" w:rsidRDefault="00A74433" w:rsidP="00A74433">
      <w:pPr>
        <w:ind w:left="720"/>
        <w:rPr>
          <w:rFonts w:ascii="Calibri" w:hAnsi="Calibri" w:cs="Calibri"/>
          <w:color w:val="000000"/>
          <w:lang w:eastAsia="en-AU"/>
        </w:rPr>
      </w:pPr>
    </w:p>
    <w:p w14:paraId="13E8EEF8" w14:textId="312369BB" w:rsidR="00DF18F7" w:rsidRDefault="00DF18F7" w:rsidP="00A74433">
      <w:pPr>
        <w:ind w:left="720"/>
        <w:jc w:val="center"/>
        <w:rPr>
          <w:b/>
          <w:sz w:val="19"/>
        </w:rPr>
      </w:pPr>
      <w:r w:rsidRPr="00685285">
        <w:rPr>
          <w:b/>
        </w:rPr>
        <w:t>Registered nurses in selected areas relevant to the private hospital sector</w:t>
      </w:r>
      <w:r w:rsidR="00FC006F">
        <w:rPr>
          <w:rStyle w:val="FootnoteReference"/>
          <w:b/>
        </w:rPr>
        <w:footnoteReference w:id="23"/>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8"/>
        <w:gridCol w:w="1008"/>
      </w:tblGrid>
      <w:tr w:rsidR="00DF18F7" w14:paraId="6CFB8021" w14:textId="77777777" w:rsidTr="00A41E70">
        <w:trPr>
          <w:trHeight w:hRule="exact" w:val="278"/>
          <w:jc w:val="center"/>
        </w:trPr>
        <w:tc>
          <w:tcPr>
            <w:tcW w:w="2438" w:type="dxa"/>
          </w:tcPr>
          <w:p w14:paraId="6A245690" w14:textId="77777777" w:rsidR="00DF18F7" w:rsidRDefault="00DF18F7" w:rsidP="00A41E70"/>
        </w:tc>
        <w:tc>
          <w:tcPr>
            <w:tcW w:w="1008" w:type="dxa"/>
          </w:tcPr>
          <w:p w14:paraId="0F19D48B" w14:textId="77777777" w:rsidR="00DF18F7" w:rsidRDefault="00DF18F7" w:rsidP="00A41E70">
            <w:pPr>
              <w:jc w:val="right"/>
            </w:pPr>
            <w:r>
              <w:t>Australia</w:t>
            </w:r>
          </w:p>
        </w:tc>
      </w:tr>
      <w:tr w:rsidR="00DF18F7" w14:paraId="7D92FF6C" w14:textId="77777777" w:rsidTr="00A41E70">
        <w:trPr>
          <w:trHeight w:hRule="exact" w:val="278"/>
          <w:jc w:val="center"/>
        </w:trPr>
        <w:tc>
          <w:tcPr>
            <w:tcW w:w="2438" w:type="dxa"/>
          </w:tcPr>
          <w:p w14:paraId="076F7591" w14:textId="77777777" w:rsidR="00DF18F7" w:rsidRDefault="00DF18F7" w:rsidP="00A41E70">
            <w:r>
              <w:t>Critical Care</w:t>
            </w:r>
          </w:p>
        </w:tc>
        <w:tc>
          <w:tcPr>
            <w:tcW w:w="1008" w:type="dxa"/>
          </w:tcPr>
          <w:p w14:paraId="59FDEDA7" w14:textId="77777777" w:rsidR="00DF18F7" w:rsidRDefault="00DF18F7" w:rsidP="00A41E70">
            <w:pPr>
              <w:jc w:val="right"/>
            </w:pPr>
            <w:r>
              <w:t>352</w:t>
            </w:r>
          </w:p>
        </w:tc>
      </w:tr>
      <w:tr w:rsidR="00DF18F7" w14:paraId="5FAF4B07" w14:textId="77777777" w:rsidTr="00A41E70">
        <w:trPr>
          <w:trHeight w:hRule="exact" w:val="278"/>
          <w:jc w:val="center"/>
        </w:trPr>
        <w:tc>
          <w:tcPr>
            <w:tcW w:w="2438" w:type="dxa"/>
          </w:tcPr>
          <w:p w14:paraId="0B5DD7AF" w14:textId="77777777" w:rsidR="00DF18F7" w:rsidRDefault="00DF18F7" w:rsidP="00A41E70">
            <w:r>
              <w:t>Medical</w:t>
            </w:r>
          </w:p>
        </w:tc>
        <w:tc>
          <w:tcPr>
            <w:tcW w:w="1008" w:type="dxa"/>
          </w:tcPr>
          <w:p w14:paraId="2A281B62" w14:textId="77777777" w:rsidR="00DF18F7" w:rsidRDefault="00DF18F7" w:rsidP="00A41E70">
            <w:pPr>
              <w:jc w:val="right"/>
            </w:pPr>
            <w:r>
              <w:t>386</w:t>
            </w:r>
          </w:p>
        </w:tc>
      </w:tr>
      <w:tr w:rsidR="00DF18F7" w14:paraId="14792984" w14:textId="77777777" w:rsidTr="00A41E70">
        <w:trPr>
          <w:trHeight w:hRule="exact" w:val="278"/>
          <w:jc w:val="center"/>
        </w:trPr>
        <w:tc>
          <w:tcPr>
            <w:tcW w:w="2438" w:type="dxa"/>
          </w:tcPr>
          <w:p w14:paraId="62DE2FDF" w14:textId="77777777" w:rsidR="00DF18F7" w:rsidRDefault="00DF18F7" w:rsidP="00A41E70">
            <w:r>
              <w:t>Mental Health</w:t>
            </w:r>
          </w:p>
        </w:tc>
        <w:tc>
          <w:tcPr>
            <w:tcW w:w="1008" w:type="dxa"/>
          </w:tcPr>
          <w:p w14:paraId="00DF602C" w14:textId="77777777" w:rsidR="00DF18F7" w:rsidRDefault="00DF18F7" w:rsidP="00A41E70">
            <w:pPr>
              <w:jc w:val="right"/>
            </w:pPr>
            <w:r>
              <w:t>191</w:t>
            </w:r>
          </w:p>
        </w:tc>
      </w:tr>
      <w:tr w:rsidR="00DF18F7" w14:paraId="6CBA5BC7" w14:textId="77777777" w:rsidTr="00A41E70">
        <w:trPr>
          <w:trHeight w:hRule="exact" w:val="278"/>
          <w:jc w:val="center"/>
        </w:trPr>
        <w:tc>
          <w:tcPr>
            <w:tcW w:w="2438" w:type="dxa"/>
          </w:tcPr>
          <w:p w14:paraId="073A62E8" w14:textId="77777777" w:rsidR="00DF18F7" w:rsidRDefault="00DF18F7" w:rsidP="00A41E70">
            <w:r>
              <w:t>Peri-operative</w:t>
            </w:r>
          </w:p>
        </w:tc>
        <w:tc>
          <w:tcPr>
            <w:tcW w:w="1008" w:type="dxa"/>
          </w:tcPr>
          <w:p w14:paraId="65F114DD" w14:textId="77777777" w:rsidR="00DF18F7" w:rsidRDefault="00DF18F7" w:rsidP="00A41E70">
            <w:pPr>
              <w:jc w:val="right"/>
            </w:pPr>
            <w:r>
              <w:t>219</w:t>
            </w:r>
          </w:p>
        </w:tc>
      </w:tr>
      <w:tr w:rsidR="00DF18F7" w14:paraId="7D7E50B0" w14:textId="77777777" w:rsidTr="00A41E70">
        <w:trPr>
          <w:trHeight w:hRule="exact" w:val="281"/>
          <w:jc w:val="center"/>
        </w:trPr>
        <w:tc>
          <w:tcPr>
            <w:tcW w:w="2438" w:type="dxa"/>
          </w:tcPr>
          <w:p w14:paraId="445FE29F" w14:textId="77777777" w:rsidR="00DF18F7" w:rsidRDefault="00DF18F7" w:rsidP="00A41E70">
            <w:r>
              <w:t>Surgical</w:t>
            </w:r>
          </w:p>
        </w:tc>
        <w:tc>
          <w:tcPr>
            <w:tcW w:w="1008" w:type="dxa"/>
          </w:tcPr>
          <w:p w14:paraId="2D85B505" w14:textId="77777777" w:rsidR="00DF18F7" w:rsidRDefault="00DF18F7" w:rsidP="00A41E70">
            <w:pPr>
              <w:jc w:val="right"/>
            </w:pPr>
            <w:r>
              <w:t>235</w:t>
            </w:r>
          </w:p>
        </w:tc>
      </w:tr>
      <w:tr w:rsidR="00DF18F7" w14:paraId="624D75DB" w14:textId="77777777" w:rsidTr="00A41E70">
        <w:trPr>
          <w:trHeight w:hRule="exact" w:val="278"/>
          <w:jc w:val="center"/>
        </w:trPr>
        <w:tc>
          <w:tcPr>
            <w:tcW w:w="2438" w:type="dxa"/>
          </w:tcPr>
          <w:p w14:paraId="71EA61E7" w14:textId="77777777" w:rsidR="00DF18F7" w:rsidRDefault="00DF18F7" w:rsidP="00A41E70">
            <w:r>
              <w:t>Paediatrics</w:t>
            </w:r>
          </w:p>
        </w:tc>
        <w:tc>
          <w:tcPr>
            <w:tcW w:w="1008" w:type="dxa"/>
          </w:tcPr>
          <w:p w14:paraId="47BABF66" w14:textId="77777777" w:rsidR="00DF18F7" w:rsidRDefault="00DF18F7" w:rsidP="00A41E70">
            <w:pPr>
              <w:jc w:val="right"/>
            </w:pPr>
            <w:r>
              <w:t>48</w:t>
            </w:r>
          </w:p>
        </w:tc>
      </w:tr>
      <w:tr w:rsidR="00DF18F7" w14:paraId="283FB5AF" w14:textId="77777777" w:rsidTr="00A41E70">
        <w:trPr>
          <w:trHeight w:hRule="exact" w:val="278"/>
          <w:jc w:val="center"/>
        </w:trPr>
        <w:tc>
          <w:tcPr>
            <w:tcW w:w="2438" w:type="dxa"/>
          </w:tcPr>
          <w:p w14:paraId="50AF4F8A" w14:textId="77777777" w:rsidR="00DF18F7" w:rsidRDefault="00DF18F7" w:rsidP="00A41E70">
            <w:r>
              <w:t>Total</w:t>
            </w:r>
          </w:p>
        </w:tc>
        <w:tc>
          <w:tcPr>
            <w:tcW w:w="1008" w:type="dxa"/>
          </w:tcPr>
          <w:p w14:paraId="708B3A12" w14:textId="77777777" w:rsidR="00DF18F7" w:rsidRDefault="00DF18F7" w:rsidP="00A41E70">
            <w:pPr>
              <w:jc w:val="right"/>
            </w:pPr>
            <w:r>
              <w:t>1,431</w:t>
            </w:r>
          </w:p>
        </w:tc>
      </w:tr>
    </w:tbl>
    <w:p w14:paraId="32172D10" w14:textId="341F775E" w:rsidR="00A74433" w:rsidRDefault="00A74433" w:rsidP="00667ECF">
      <w:pPr>
        <w:ind w:left="1440"/>
        <w:rPr>
          <w:rStyle w:val="Hyperlink"/>
          <w:rFonts w:eastAsiaTheme="majorEastAsia"/>
        </w:rPr>
      </w:pPr>
    </w:p>
    <w:p w14:paraId="3D9BE721" w14:textId="064ACFFC" w:rsidR="00DF18F7" w:rsidRDefault="00DF18F7" w:rsidP="00DF18F7">
      <w:pPr>
        <w:ind w:left="720"/>
        <w:rPr>
          <w:rFonts w:ascii="Calibri" w:hAnsi="Calibri" w:cs="Calibri"/>
          <w:color w:val="000000"/>
          <w:lang w:eastAsia="en-AU"/>
        </w:rPr>
      </w:pPr>
      <w:r w:rsidRPr="008567F6">
        <w:rPr>
          <w:rFonts w:ascii="Calibri" w:hAnsi="Calibri" w:cs="Calibri"/>
          <w:color w:val="000000"/>
          <w:lang w:eastAsia="en-AU"/>
        </w:rPr>
        <w:t>Reforms to skilled migration in 2018 dramatically increased the cost to employers of sponsoring  skilled employees</w:t>
      </w:r>
      <w:r w:rsidR="00134B4D">
        <w:rPr>
          <w:rFonts w:ascii="Calibri" w:hAnsi="Calibri" w:cs="Calibri"/>
          <w:color w:val="000000"/>
          <w:lang w:eastAsia="en-AU"/>
        </w:rPr>
        <w:t>’ migration</w:t>
      </w:r>
      <w:r w:rsidRPr="008567F6">
        <w:rPr>
          <w:rFonts w:ascii="Calibri" w:hAnsi="Calibri" w:cs="Calibri"/>
          <w:color w:val="000000"/>
          <w:lang w:eastAsia="en-AU"/>
        </w:rPr>
        <w:t>. While acknowledging the Federal Government needed to act to address damaging unintended consequences in some sectors, APHA contends the impact on the health sector has been detrimental</w:t>
      </w:r>
      <w:r w:rsidR="00134B4D">
        <w:rPr>
          <w:rFonts w:ascii="Calibri" w:hAnsi="Calibri" w:cs="Calibri"/>
          <w:color w:val="000000"/>
          <w:lang w:eastAsia="en-AU"/>
        </w:rPr>
        <w:t>.</w:t>
      </w:r>
    </w:p>
    <w:p w14:paraId="3A715562" w14:textId="77777777" w:rsidR="00A74433" w:rsidRPr="008567F6" w:rsidRDefault="00A74433" w:rsidP="00DF18F7">
      <w:pPr>
        <w:ind w:left="720"/>
        <w:rPr>
          <w:rFonts w:ascii="Calibri" w:hAnsi="Calibri" w:cs="Calibri"/>
          <w:color w:val="000000"/>
          <w:lang w:eastAsia="en-AU"/>
        </w:rPr>
      </w:pPr>
    </w:p>
    <w:p w14:paraId="6465AF75" w14:textId="764CF79D" w:rsidR="00DF18F7" w:rsidRDefault="00DF18F7" w:rsidP="00DF18F7">
      <w:pPr>
        <w:ind w:left="720"/>
        <w:rPr>
          <w:rFonts w:ascii="Calibri" w:hAnsi="Calibri" w:cs="Calibri"/>
          <w:color w:val="000000"/>
          <w:lang w:eastAsia="en-AU"/>
        </w:rPr>
      </w:pPr>
      <w:r w:rsidRPr="008567F6">
        <w:rPr>
          <w:rFonts w:ascii="Calibri" w:hAnsi="Calibri" w:cs="Calibri"/>
          <w:color w:val="000000"/>
          <w:lang w:eastAsia="en-AU"/>
        </w:rPr>
        <w:t>There is no longer the possibility of retaining skilled and valued employees beyond the initial visa period. Consequently, not only employers but the health sector as a whole</w:t>
      </w:r>
      <w:r w:rsidR="00134B4D">
        <w:rPr>
          <w:rFonts w:ascii="Calibri" w:hAnsi="Calibri" w:cs="Calibri"/>
          <w:color w:val="000000"/>
          <w:lang w:eastAsia="en-AU"/>
        </w:rPr>
        <w:t xml:space="preserve">, </w:t>
      </w:r>
      <w:r w:rsidRPr="008567F6">
        <w:rPr>
          <w:rFonts w:ascii="Calibri" w:hAnsi="Calibri" w:cs="Calibri"/>
          <w:color w:val="000000"/>
          <w:lang w:eastAsia="en-AU"/>
        </w:rPr>
        <w:t xml:space="preserve">loses the benefit of several years’ investment in these individuals; personnel essential to the provision of high quality </w:t>
      </w:r>
      <w:r w:rsidR="00134B4D">
        <w:rPr>
          <w:rFonts w:ascii="Calibri" w:hAnsi="Calibri" w:cs="Calibri"/>
          <w:color w:val="000000"/>
          <w:lang w:eastAsia="en-AU"/>
        </w:rPr>
        <w:t>healthcare</w:t>
      </w:r>
      <w:r w:rsidRPr="008567F6">
        <w:rPr>
          <w:rFonts w:ascii="Calibri" w:hAnsi="Calibri" w:cs="Calibri"/>
          <w:color w:val="000000"/>
          <w:lang w:eastAsia="en-AU"/>
        </w:rPr>
        <w:t>.</w:t>
      </w:r>
    </w:p>
    <w:p w14:paraId="4DB5BC58" w14:textId="77777777" w:rsidR="00A74433" w:rsidRPr="008567F6" w:rsidRDefault="00A74433" w:rsidP="00DF18F7">
      <w:pPr>
        <w:ind w:left="720"/>
        <w:rPr>
          <w:rFonts w:ascii="Calibri" w:hAnsi="Calibri" w:cs="Calibri"/>
          <w:color w:val="000000"/>
          <w:lang w:eastAsia="en-AU"/>
        </w:rPr>
      </w:pPr>
    </w:p>
    <w:p w14:paraId="700393C4" w14:textId="32A72094" w:rsidR="00DF18F7" w:rsidRDefault="00DF18F7" w:rsidP="00DF18F7">
      <w:pPr>
        <w:ind w:left="720"/>
        <w:rPr>
          <w:rFonts w:ascii="Calibri" w:hAnsi="Calibri" w:cs="Calibri"/>
          <w:color w:val="000000"/>
          <w:lang w:eastAsia="en-AU"/>
        </w:rPr>
      </w:pPr>
      <w:r w:rsidRPr="008567F6">
        <w:rPr>
          <w:rFonts w:ascii="Calibri" w:hAnsi="Calibri" w:cs="Calibri"/>
          <w:color w:val="000000"/>
          <w:lang w:eastAsia="en-AU"/>
        </w:rPr>
        <w:t xml:space="preserve">The loss of highly skilled and experienced employees also reduces the capacity of private hospitals to train the next generation of Australian </w:t>
      </w:r>
      <w:r w:rsidR="00134B4D">
        <w:rPr>
          <w:rFonts w:ascii="Calibri" w:hAnsi="Calibri" w:cs="Calibri"/>
          <w:color w:val="000000"/>
          <w:lang w:eastAsia="en-AU"/>
        </w:rPr>
        <w:t>healthcare</w:t>
      </w:r>
      <w:r w:rsidRPr="008567F6">
        <w:rPr>
          <w:rFonts w:ascii="Calibri" w:hAnsi="Calibri" w:cs="Calibri"/>
          <w:color w:val="000000"/>
          <w:lang w:eastAsia="en-AU"/>
        </w:rPr>
        <w:t xml:space="preserve"> professionals.</w:t>
      </w:r>
    </w:p>
    <w:p w14:paraId="15233BE7" w14:textId="77777777" w:rsidR="00A74433" w:rsidRPr="008567F6" w:rsidRDefault="00A74433" w:rsidP="00DF18F7">
      <w:pPr>
        <w:ind w:left="720"/>
        <w:rPr>
          <w:rFonts w:ascii="Calibri" w:hAnsi="Calibri" w:cs="Calibri"/>
          <w:color w:val="000000"/>
          <w:lang w:eastAsia="en-AU"/>
        </w:rPr>
      </w:pPr>
    </w:p>
    <w:p w14:paraId="04D6CDA4" w14:textId="08A22430" w:rsidR="00DF18F7" w:rsidRDefault="00DF18F7" w:rsidP="00DF18F7">
      <w:pPr>
        <w:ind w:left="720"/>
        <w:rPr>
          <w:rFonts w:ascii="Calibri" w:hAnsi="Calibri" w:cs="Calibri"/>
          <w:color w:val="000000"/>
          <w:lang w:eastAsia="en-AU"/>
        </w:rPr>
      </w:pPr>
      <w:r w:rsidRPr="008567F6">
        <w:rPr>
          <w:rFonts w:ascii="Calibri" w:hAnsi="Calibri" w:cs="Calibri"/>
          <w:color w:val="000000"/>
          <w:lang w:eastAsia="en-AU"/>
        </w:rPr>
        <w:t>The Skilling Australia Fund provides no benefit to the health sector because it does not provide funding for university and post-graduate level programs of the type needed to address skill shortages. It does nothing to reduce reliance of skilled migration or develop the Australian health sector workforce.</w:t>
      </w:r>
      <w:bookmarkStart w:id="130" w:name="_bookmark13"/>
      <w:bookmarkEnd w:id="130"/>
    </w:p>
    <w:p w14:paraId="709E277D" w14:textId="77777777" w:rsidR="00A74433" w:rsidRPr="008567F6" w:rsidRDefault="00A74433" w:rsidP="00DF18F7">
      <w:pPr>
        <w:ind w:left="720"/>
        <w:rPr>
          <w:rFonts w:ascii="Calibri" w:hAnsi="Calibri" w:cs="Calibri"/>
          <w:color w:val="000000"/>
          <w:lang w:eastAsia="en-AU"/>
        </w:rPr>
      </w:pPr>
    </w:p>
    <w:p w14:paraId="5593C5B7" w14:textId="401B3859" w:rsidR="00DF18F7" w:rsidRDefault="00DF18F7" w:rsidP="00DF18F7">
      <w:pPr>
        <w:ind w:left="720"/>
        <w:rPr>
          <w:rFonts w:ascii="Calibri" w:hAnsi="Calibri" w:cs="Calibri"/>
          <w:color w:val="000000"/>
          <w:lang w:eastAsia="en-AU"/>
        </w:rPr>
      </w:pPr>
      <w:r w:rsidRPr="008567F6">
        <w:rPr>
          <w:rFonts w:ascii="Calibri" w:hAnsi="Calibri" w:cs="Calibri"/>
          <w:color w:val="000000"/>
          <w:lang w:eastAsia="en-AU"/>
        </w:rPr>
        <w:t>Without a ready supply of well</w:t>
      </w:r>
      <w:r w:rsidR="00134B4D">
        <w:rPr>
          <w:rFonts w:ascii="Calibri" w:hAnsi="Calibri" w:cs="Calibri"/>
          <w:color w:val="000000"/>
          <w:lang w:eastAsia="en-AU"/>
        </w:rPr>
        <w:t>-</w:t>
      </w:r>
      <w:r w:rsidRPr="008567F6">
        <w:rPr>
          <w:rFonts w:ascii="Calibri" w:hAnsi="Calibri" w:cs="Calibri"/>
          <w:color w:val="000000"/>
          <w:lang w:eastAsia="en-AU"/>
        </w:rPr>
        <w:t>trained and experienced clinicians, consumers will inevitably face challenges in accessing timely and affordable high quality care</w:t>
      </w:r>
      <w:r>
        <w:rPr>
          <w:rFonts w:ascii="Calibri" w:hAnsi="Calibri" w:cs="Calibri"/>
          <w:color w:val="000000"/>
          <w:lang w:eastAsia="en-AU"/>
        </w:rPr>
        <w:t>. Furthermore the sectors’ ability to training and mentor Australia’s future workforce will be constrained.</w:t>
      </w:r>
    </w:p>
    <w:p w14:paraId="51A7F1A0" w14:textId="77777777" w:rsidR="00A74433" w:rsidRDefault="00A74433" w:rsidP="00DF18F7">
      <w:pPr>
        <w:ind w:left="720"/>
        <w:rPr>
          <w:rFonts w:ascii="Calibri" w:hAnsi="Calibri" w:cs="Calibri"/>
          <w:color w:val="000000"/>
          <w:lang w:eastAsia="en-AU"/>
        </w:rPr>
      </w:pPr>
    </w:p>
    <w:p w14:paraId="366D23C8" w14:textId="50751B04" w:rsidR="00DF18F7" w:rsidRDefault="00DF18F7" w:rsidP="00DF18F7">
      <w:pPr>
        <w:ind w:left="720"/>
        <w:rPr>
          <w:rFonts w:ascii="Calibri" w:hAnsi="Calibri" w:cs="Calibri"/>
          <w:color w:val="000000"/>
          <w:lang w:eastAsia="en-AU"/>
        </w:rPr>
      </w:pPr>
      <w:r>
        <w:rPr>
          <w:rFonts w:ascii="Calibri" w:hAnsi="Calibri" w:cs="Calibri"/>
          <w:color w:val="000000"/>
          <w:lang w:eastAsia="en-AU"/>
        </w:rPr>
        <w:t xml:space="preserve">In the nine months to 30 September 2019, there were 296 temporary resident (skilled) visas granted to registered nurses, a dramatic reduction on past years. This reduction suggests that the increased costs to employers has </w:t>
      </w:r>
      <w:r w:rsidR="00464A07">
        <w:rPr>
          <w:rFonts w:ascii="Calibri" w:hAnsi="Calibri" w:cs="Calibri"/>
          <w:color w:val="000000"/>
          <w:lang w:eastAsia="en-AU"/>
        </w:rPr>
        <w:t xml:space="preserve">sharply </w:t>
      </w:r>
      <w:r>
        <w:rPr>
          <w:rFonts w:ascii="Calibri" w:hAnsi="Calibri" w:cs="Calibri"/>
          <w:color w:val="000000"/>
          <w:lang w:eastAsia="en-AU"/>
        </w:rPr>
        <w:t>reduced sponsorship of skill</w:t>
      </w:r>
      <w:r w:rsidR="00134B4D">
        <w:rPr>
          <w:rFonts w:ascii="Calibri" w:hAnsi="Calibri" w:cs="Calibri"/>
          <w:color w:val="000000"/>
          <w:lang w:eastAsia="en-AU"/>
        </w:rPr>
        <w:t>ed</w:t>
      </w:r>
      <w:r>
        <w:rPr>
          <w:rFonts w:ascii="Calibri" w:hAnsi="Calibri" w:cs="Calibri"/>
          <w:color w:val="000000"/>
          <w:lang w:eastAsia="en-AU"/>
        </w:rPr>
        <w:t xml:space="preserve"> nurses into Australia. </w:t>
      </w:r>
    </w:p>
    <w:p w14:paraId="6CEACB23" w14:textId="77777777" w:rsidR="00A74433" w:rsidRDefault="00A74433" w:rsidP="00DF18F7">
      <w:pPr>
        <w:ind w:left="720"/>
        <w:rPr>
          <w:rFonts w:ascii="Calibri" w:hAnsi="Calibri" w:cs="Calibri"/>
          <w:color w:val="000000"/>
          <w:lang w:eastAsia="en-AU"/>
        </w:rPr>
      </w:pPr>
    </w:p>
    <w:p w14:paraId="40AF3B51" w14:textId="2F20B00A" w:rsidR="00DF18F7" w:rsidRDefault="00DF18F7" w:rsidP="00DF18F7">
      <w:pPr>
        <w:ind w:left="720"/>
        <w:rPr>
          <w:rFonts w:ascii="Calibri" w:hAnsi="Calibri" w:cs="Calibri"/>
          <w:color w:val="000000"/>
          <w:lang w:eastAsia="en-AU"/>
        </w:rPr>
      </w:pPr>
      <w:r>
        <w:rPr>
          <w:rFonts w:ascii="Calibri" w:hAnsi="Calibri" w:cs="Calibri"/>
          <w:color w:val="000000"/>
          <w:lang w:eastAsia="en-AU"/>
        </w:rPr>
        <w:t>The cost to an employer (annual turnover of $10</w:t>
      </w:r>
      <w:r w:rsidR="00293BFA">
        <w:rPr>
          <w:rFonts w:ascii="Calibri" w:hAnsi="Calibri" w:cs="Calibri"/>
          <w:color w:val="000000"/>
          <w:lang w:eastAsia="en-AU"/>
        </w:rPr>
        <w:t xml:space="preserve"> </w:t>
      </w:r>
      <w:r>
        <w:rPr>
          <w:rFonts w:ascii="Calibri" w:hAnsi="Calibri" w:cs="Calibri"/>
          <w:color w:val="000000"/>
          <w:lang w:eastAsia="en-AU"/>
        </w:rPr>
        <w:t>million of more) includes a skill levy of $7,200. This levy does nothing to reduce the reliance of the Australian health sector in immigration. If this levy was abolished, skilled migration sponsorship would once again be a viable option for employers. Sponsorship of skilled registered nurses would benefit Australia in two ways:</w:t>
      </w:r>
    </w:p>
    <w:p w14:paraId="72CF7D86" w14:textId="77777777" w:rsidR="00A74433" w:rsidRDefault="00A74433" w:rsidP="00DF18F7">
      <w:pPr>
        <w:ind w:left="720"/>
        <w:rPr>
          <w:rFonts w:ascii="Calibri" w:hAnsi="Calibri" w:cs="Calibri"/>
          <w:color w:val="000000"/>
          <w:lang w:eastAsia="en-AU"/>
        </w:rPr>
      </w:pPr>
    </w:p>
    <w:p w14:paraId="1D836FA4" w14:textId="77777777" w:rsidR="00DF18F7" w:rsidRDefault="00DF18F7" w:rsidP="00DF18F7">
      <w:pPr>
        <w:pStyle w:val="ListParagraph"/>
        <w:numPr>
          <w:ilvl w:val="0"/>
          <w:numId w:val="24"/>
        </w:numPr>
        <w:rPr>
          <w:rFonts w:ascii="Calibri" w:hAnsi="Calibri" w:cs="Calibri"/>
          <w:color w:val="000000"/>
          <w:lang w:eastAsia="en-AU"/>
        </w:rPr>
      </w:pPr>
      <w:r>
        <w:rPr>
          <w:rFonts w:ascii="Calibri" w:hAnsi="Calibri" w:cs="Calibri"/>
          <w:color w:val="000000"/>
          <w:lang w:eastAsia="en-AU"/>
        </w:rPr>
        <w:t>Persistent shortages in skilled and experienced registered nurses would be met</w:t>
      </w:r>
    </w:p>
    <w:p w14:paraId="565E988E" w14:textId="38AF7ACA" w:rsidR="00DF18F7" w:rsidRDefault="00DF18F7" w:rsidP="00DF18F7">
      <w:pPr>
        <w:pStyle w:val="ListParagraph"/>
        <w:numPr>
          <w:ilvl w:val="0"/>
          <w:numId w:val="24"/>
        </w:numPr>
        <w:rPr>
          <w:rFonts w:ascii="Calibri" w:hAnsi="Calibri" w:cs="Calibri"/>
          <w:color w:val="000000"/>
          <w:lang w:eastAsia="en-AU"/>
        </w:rPr>
      </w:pPr>
      <w:r>
        <w:rPr>
          <w:rFonts w:ascii="Calibri" w:hAnsi="Calibri" w:cs="Calibri"/>
          <w:color w:val="000000"/>
          <w:lang w:eastAsia="en-AU"/>
        </w:rPr>
        <w:t>The capacity of the private health sector to provide clinical placements for nursing students and induction programs for early career nurses would be enhanced because of the increased availability of skilled and experienced nurses to provide supervision.</w:t>
      </w:r>
      <w:r w:rsidR="00667ECF">
        <w:rPr>
          <w:rFonts w:ascii="Calibri" w:hAnsi="Calibri" w:cs="Calibri"/>
          <w:color w:val="000000"/>
          <w:lang w:eastAsia="en-AU"/>
        </w:rPr>
        <w:br/>
      </w:r>
    </w:p>
    <w:p w14:paraId="4DF4E9D1" w14:textId="0D80144D" w:rsidR="00DF18F7" w:rsidRDefault="00DF18F7" w:rsidP="00DF18F7">
      <w:pPr>
        <w:ind w:left="720"/>
        <w:rPr>
          <w:rFonts w:ascii="Calibri" w:hAnsi="Calibri" w:cs="Calibri"/>
          <w:color w:val="000000"/>
          <w:lang w:eastAsia="en-AU"/>
        </w:rPr>
      </w:pPr>
      <w:r>
        <w:rPr>
          <w:rFonts w:ascii="Calibri" w:hAnsi="Calibri" w:cs="Calibri"/>
          <w:color w:val="000000"/>
          <w:lang w:eastAsia="en-AU"/>
        </w:rPr>
        <w:t xml:space="preserve">Judicious use of skilled migration makes sense in the health sector in order to address both present and future skill needs. </w:t>
      </w:r>
    </w:p>
    <w:p w14:paraId="05978EB7" w14:textId="77777777" w:rsidR="00FC006F" w:rsidRDefault="00FC006F" w:rsidP="00DF18F7">
      <w:pPr>
        <w:ind w:left="720"/>
        <w:rPr>
          <w:rFonts w:ascii="Calibri" w:hAnsi="Calibri" w:cs="Calibri"/>
          <w:color w:val="000000"/>
          <w:lang w:eastAsia="en-AU"/>
        </w:rPr>
      </w:pPr>
    </w:p>
    <w:p w14:paraId="47BAE2BF" w14:textId="0AA49A8F" w:rsidR="00DF18F7" w:rsidRPr="0054529D" w:rsidRDefault="00DF18F7" w:rsidP="00DF18F7">
      <w:pPr>
        <w:ind w:left="720"/>
        <w:rPr>
          <w:rFonts w:ascii="Calibri" w:hAnsi="Calibri" w:cs="Calibri"/>
          <w:color w:val="000000"/>
          <w:lang w:eastAsia="en-AU"/>
        </w:rPr>
      </w:pPr>
      <w:r>
        <w:rPr>
          <w:rFonts w:ascii="Calibri" w:hAnsi="Calibri" w:cs="Calibri"/>
          <w:color w:val="000000"/>
          <w:lang w:eastAsia="en-AU"/>
        </w:rPr>
        <w:t>The estimated costs of waving this levy for the sponsorship of registered nurses and midwives would be around $2</w:t>
      </w:r>
      <w:r w:rsidR="00293BFA">
        <w:rPr>
          <w:rFonts w:ascii="Calibri" w:hAnsi="Calibri" w:cs="Calibri"/>
          <w:color w:val="000000"/>
          <w:lang w:eastAsia="en-AU"/>
        </w:rPr>
        <w:t xml:space="preserve"> </w:t>
      </w:r>
      <w:r>
        <w:rPr>
          <w:rFonts w:ascii="Calibri" w:hAnsi="Calibri" w:cs="Calibri"/>
          <w:color w:val="000000"/>
          <w:lang w:eastAsia="en-AU"/>
        </w:rPr>
        <w:t>million in foregone revenue to the Skilling Australia Levy.</w:t>
      </w:r>
      <w:r w:rsidRPr="0054529D">
        <w:rPr>
          <w:rFonts w:ascii="Calibri" w:hAnsi="Calibri" w:cs="Calibri"/>
          <w:color w:val="000000"/>
          <w:lang w:eastAsia="en-AU"/>
        </w:rPr>
        <w:t xml:space="preserve"> </w:t>
      </w:r>
    </w:p>
    <w:p w14:paraId="6799A1D6" w14:textId="77777777" w:rsidR="00DF18F7" w:rsidRDefault="00DF18F7" w:rsidP="00DF18F7">
      <w:pPr>
        <w:ind w:left="720"/>
        <w:rPr>
          <w:rFonts w:ascii="Calibri" w:hAnsi="Calibri" w:cs="Calibri"/>
          <w:color w:val="000000"/>
          <w:lang w:eastAsia="en-AU"/>
        </w:rPr>
      </w:pPr>
    </w:p>
    <w:p w14:paraId="0BE27087" w14:textId="77777777" w:rsidR="00DF18F7" w:rsidRPr="008567F6" w:rsidRDefault="00DF18F7" w:rsidP="00DF18F7">
      <w:pPr>
        <w:ind w:left="720"/>
        <w:rPr>
          <w:rFonts w:ascii="Calibri" w:hAnsi="Calibri" w:cs="Calibri"/>
          <w:color w:val="000000"/>
          <w:lang w:eastAsia="en-AU"/>
        </w:rPr>
      </w:pPr>
    </w:p>
    <w:p w14:paraId="0903A019" w14:textId="77777777" w:rsidR="00DF18F7" w:rsidRPr="008567F6" w:rsidRDefault="00DF18F7" w:rsidP="00DF18F7">
      <w:pPr>
        <w:ind w:left="720"/>
        <w:rPr>
          <w:rFonts w:ascii="Calibri" w:hAnsi="Calibri" w:cs="Calibri"/>
          <w:color w:val="000000"/>
          <w:lang w:eastAsia="en-AU"/>
        </w:rPr>
      </w:pPr>
    </w:p>
    <w:p w14:paraId="6B218345" w14:textId="77777777" w:rsidR="00DF18F7" w:rsidRPr="0097316E" w:rsidRDefault="00DF18F7" w:rsidP="00DF18F7">
      <w:pPr>
        <w:rPr>
          <w:rFonts w:cstheme="minorHAnsi"/>
        </w:rPr>
      </w:pPr>
    </w:p>
    <w:p w14:paraId="6087B811" w14:textId="77777777" w:rsidR="002B106A" w:rsidRPr="0097316E" w:rsidRDefault="002B106A" w:rsidP="002B106A">
      <w:pPr>
        <w:rPr>
          <w:rFonts w:cstheme="minorHAnsi"/>
        </w:rPr>
      </w:pPr>
    </w:p>
    <w:p w14:paraId="698A48D7" w14:textId="77777777" w:rsidR="002B106A" w:rsidRDefault="002B106A">
      <w:pPr>
        <w:spacing w:after="200" w:line="276" w:lineRule="auto"/>
        <w:rPr>
          <w:rFonts w:cs="Calibri"/>
          <w:b/>
          <w:bCs/>
          <w:color w:val="204499"/>
          <w:kern w:val="32"/>
          <w:sz w:val="52"/>
          <w:lang w:eastAsia="en-AU"/>
        </w:rPr>
      </w:pPr>
      <w:r>
        <w:rPr>
          <w:lang w:eastAsia="en-AU"/>
        </w:rPr>
        <w:br w:type="page"/>
      </w:r>
    </w:p>
    <w:p w14:paraId="7B7338F0" w14:textId="3DAE5866" w:rsidR="003D35E9" w:rsidRPr="007D0457" w:rsidRDefault="003D35E9" w:rsidP="002B106A">
      <w:pPr>
        <w:pStyle w:val="Heading1"/>
        <w:rPr>
          <w:lang w:eastAsia="en-AU"/>
        </w:rPr>
      </w:pPr>
      <w:bookmarkStart w:id="131" w:name="_Toc27494550"/>
      <w:bookmarkStart w:id="132" w:name="_Toc27494747"/>
      <w:bookmarkStart w:id="133" w:name="_Toc27664141"/>
      <w:r w:rsidRPr="007D0457">
        <w:rPr>
          <w:lang w:eastAsia="en-AU"/>
        </w:rPr>
        <w:t>P</w:t>
      </w:r>
      <w:r w:rsidR="00134B4D">
        <w:rPr>
          <w:lang w:eastAsia="en-AU"/>
        </w:rPr>
        <w:t>RIVATE HOSPITALS IN AUSTRALIA</w:t>
      </w:r>
      <w:bookmarkEnd w:id="0"/>
      <w:bookmarkEnd w:id="1"/>
      <w:bookmarkEnd w:id="131"/>
      <w:bookmarkEnd w:id="132"/>
      <w:bookmarkEnd w:id="133"/>
      <w:r w:rsidRPr="007D0457">
        <w:rPr>
          <w:lang w:eastAsia="en-AU"/>
        </w:rPr>
        <w:t xml:space="preserve"> </w:t>
      </w:r>
    </w:p>
    <w:bookmarkEnd w:id="2"/>
    <w:p w14:paraId="0890A771" w14:textId="77777777" w:rsidR="002B106A" w:rsidRDefault="002B106A" w:rsidP="002B106A">
      <w:pPr>
        <w:rPr>
          <w:rFonts w:ascii="Calibri" w:hAnsi="Calibri" w:cs="Calibri"/>
          <w:bCs/>
          <w:kern w:val="32"/>
          <w:sz w:val="22"/>
          <w:szCs w:val="22"/>
        </w:rPr>
      </w:pPr>
    </w:p>
    <w:p w14:paraId="61B3F8CD" w14:textId="77777777" w:rsidR="002B106A" w:rsidRDefault="002B106A" w:rsidP="002B106A">
      <w:pPr>
        <w:rPr>
          <w:rFonts w:ascii="Calibri" w:hAnsi="Calibri" w:cs="Calibri"/>
          <w:bCs/>
          <w:kern w:val="32"/>
          <w:sz w:val="22"/>
          <w:szCs w:val="22"/>
        </w:rPr>
      </w:pPr>
    </w:p>
    <w:p w14:paraId="0465DF9E" w14:textId="35DA7CBC" w:rsidR="003E4831" w:rsidRDefault="003E4831" w:rsidP="003E4831">
      <w:r>
        <w:t>The private hospital sector makes a significant contribution to health care in Australia, providing a large number of services and taking the pressure off the already stretched public hospital system.</w:t>
      </w:r>
    </w:p>
    <w:p w14:paraId="19F0088C" w14:textId="77777777" w:rsidR="003E4831" w:rsidRDefault="003E4831" w:rsidP="003E4831"/>
    <w:p w14:paraId="53407302" w14:textId="3196FF62" w:rsidR="003E4831" w:rsidRDefault="003E4831" w:rsidP="003E4831">
      <w:r>
        <w:t xml:space="preserve">The private hospital sector treats: </w:t>
      </w:r>
      <w:r>
        <w:br/>
      </w:r>
    </w:p>
    <w:p w14:paraId="6A88FFEC" w14:textId="77777777" w:rsidR="003E4831" w:rsidRDefault="003E4831" w:rsidP="003E4831">
      <w:pPr>
        <w:pStyle w:val="ListParagraph"/>
        <w:numPr>
          <w:ilvl w:val="0"/>
          <w:numId w:val="47"/>
        </w:numPr>
        <w:spacing w:after="240"/>
      </w:pPr>
      <w:r>
        <w:t>4.5 million hospitalisations a year.</w:t>
      </w:r>
    </w:p>
    <w:p w14:paraId="24CEE5AA" w14:textId="6B4B9DF4" w:rsidR="003E4831" w:rsidRDefault="003E4831" w:rsidP="003E4831">
      <w:r>
        <w:t xml:space="preserve">In 2017–18 it delivered: </w:t>
      </w:r>
      <w:r>
        <w:br/>
      </w:r>
    </w:p>
    <w:p w14:paraId="304D77EF" w14:textId="77777777" w:rsidR="003E4831" w:rsidRDefault="003E4831" w:rsidP="003E4831">
      <w:pPr>
        <w:pStyle w:val="ListParagraph"/>
        <w:numPr>
          <w:ilvl w:val="0"/>
          <w:numId w:val="47"/>
        </w:numPr>
        <w:spacing w:after="240"/>
      </w:pPr>
      <w:r>
        <w:t>60% of all surgery</w:t>
      </w:r>
    </w:p>
    <w:p w14:paraId="26FEE91D" w14:textId="77777777" w:rsidR="003E4831" w:rsidRDefault="003E4831" w:rsidP="003E4831">
      <w:pPr>
        <w:pStyle w:val="ListParagraph"/>
        <w:numPr>
          <w:ilvl w:val="0"/>
          <w:numId w:val="47"/>
        </w:numPr>
        <w:spacing w:after="240"/>
      </w:pPr>
      <w:r>
        <w:t>71% of eye procedures</w:t>
      </w:r>
    </w:p>
    <w:p w14:paraId="1C41B67C" w14:textId="77777777" w:rsidR="003E4831" w:rsidRDefault="003E4831" w:rsidP="003E4831">
      <w:pPr>
        <w:pStyle w:val="ListParagraph"/>
        <w:numPr>
          <w:ilvl w:val="0"/>
          <w:numId w:val="47"/>
        </w:numPr>
        <w:spacing w:after="240"/>
      </w:pPr>
      <w:r>
        <w:t>Almost half of all heart procedures</w:t>
      </w:r>
    </w:p>
    <w:p w14:paraId="20026853" w14:textId="77777777" w:rsidR="003E4831" w:rsidRDefault="003E4831" w:rsidP="003E4831">
      <w:pPr>
        <w:pStyle w:val="ListParagraph"/>
        <w:numPr>
          <w:ilvl w:val="0"/>
          <w:numId w:val="47"/>
        </w:numPr>
        <w:spacing w:after="240"/>
      </w:pPr>
      <w:r>
        <w:t>74% of procedures on the brain, spine and nerves.</w:t>
      </w:r>
    </w:p>
    <w:p w14:paraId="1768F140" w14:textId="57D15AAB" w:rsidR="003E4831" w:rsidRDefault="003E4831" w:rsidP="003E4831">
      <w:r>
        <w:t xml:space="preserve">Australian private hospitals by the numbers (2016–17): </w:t>
      </w:r>
      <w:r>
        <w:br/>
      </w:r>
    </w:p>
    <w:p w14:paraId="2FFBE776" w14:textId="77777777" w:rsidR="003E4831" w:rsidRDefault="003E4831" w:rsidP="003E4831">
      <w:pPr>
        <w:pStyle w:val="ListParagraph"/>
        <w:numPr>
          <w:ilvl w:val="0"/>
          <w:numId w:val="47"/>
        </w:numPr>
        <w:spacing w:after="240"/>
      </w:pPr>
      <w:r>
        <w:t>Almost half (49%) of all Australian hospitals are private</w:t>
      </w:r>
    </w:p>
    <w:p w14:paraId="6DEB7115" w14:textId="77777777" w:rsidR="003E4831" w:rsidRDefault="003E4831" w:rsidP="003E4831">
      <w:pPr>
        <w:pStyle w:val="ListParagraph"/>
        <w:numPr>
          <w:ilvl w:val="0"/>
          <w:numId w:val="47"/>
        </w:numPr>
        <w:spacing w:after="240"/>
      </w:pPr>
      <w:r>
        <w:t xml:space="preserve">657 private hospitals made up of: </w:t>
      </w:r>
    </w:p>
    <w:p w14:paraId="7C5E1CF3" w14:textId="77777777" w:rsidR="003E4831" w:rsidRDefault="003E4831" w:rsidP="003E4831">
      <w:pPr>
        <w:pStyle w:val="ListParagraph"/>
        <w:numPr>
          <w:ilvl w:val="1"/>
          <w:numId w:val="47"/>
        </w:numPr>
        <w:spacing w:after="240"/>
      </w:pPr>
      <w:r>
        <w:t>300 overnight hospitals</w:t>
      </w:r>
    </w:p>
    <w:p w14:paraId="41898CE4" w14:textId="77777777" w:rsidR="003E4831" w:rsidRDefault="003E4831" w:rsidP="003E4831">
      <w:pPr>
        <w:pStyle w:val="ListParagraph"/>
        <w:numPr>
          <w:ilvl w:val="1"/>
          <w:numId w:val="47"/>
        </w:numPr>
        <w:spacing w:after="240"/>
      </w:pPr>
      <w:r>
        <w:t xml:space="preserve">357 day hospitals </w:t>
      </w:r>
    </w:p>
    <w:p w14:paraId="54EECEFC" w14:textId="77777777" w:rsidR="003E4831" w:rsidRDefault="003E4831" w:rsidP="003E4831">
      <w:pPr>
        <w:pStyle w:val="ListParagraph"/>
        <w:numPr>
          <w:ilvl w:val="0"/>
          <w:numId w:val="47"/>
        </w:numPr>
        <w:spacing w:after="240"/>
      </w:pPr>
      <w:r>
        <w:t>That amounts to: 34,339 beds and chairs (31,029 in overnight hospitals and 3,310 in free-standing day surgeries)</w:t>
      </w:r>
    </w:p>
    <w:p w14:paraId="68877050" w14:textId="77777777" w:rsidR="003E4831" w:rsidRDefault="003E4831" w:rsidP="003E4831">
      <w:pPr>
        <w:pStyle w:val="ListParagraph"/>
        <w:numPr>
          <w:ilvl w:val="0"/>
          <w:numId w:val="47"/>
        </w:numPr>
        <w:spacing w:after="240"/>
      </w:pPr>
      <w:r>
        <w:t xml:space="preserve">Employs more than 69,000 full-time equivalent staff. </w:t>
      </w:r>
    </w:p>
    <w:p w14:paraId="2EEC93F1" w14:textId="2EED5A04" w:rsidR="003E4831" w:rsidRDefault="003E4831" w:rsidP="003E4831">
      <w:pPr>
        <w:pStyle w:val="Heading2"/>
        <w:rPr>
          <w:rFonts w:eastAsia="Times New Roman"/>
        </w:rPr>
      </w:pPr>
      <w:bookmarkStart w:id="134" w:name="_Toc27569320"/>
      <w:bookmarkStart w:id="135" w:name="_Toc13750521"/>
      <w:bookmarkStart w:id="136" w:name="_Toc27664142"/>
      <w:r>
        <w:rPr>
          <w:rFonts w:eastAsia="Times New Roman"/>
        </w:rPr>
        <w:t>The Australian Private Hospitals Association</w:t>
      </w:r>
      <w:bookmarkEnd w:id="134"/>
      <w:bookmarkEnd w:id="135"/>
      <w:bookmarkEnd w:id="136"/>
      <w:r>
        <w:rPr>
          <w:rFonts w:eastAsia="Times New Roman"/>
        </w:rPr>
        <w:br/>
      </w:r>
    </w:p>
    <w:p w14:paraId="44F44716" w14:textId="77777777" w:rsidR="003E4831" w:rsidRDefault="003E4831" w:rsidP="003E4831">
      <w:pPr>
        <w:rPr>
          <w:rFonts w:eastAsiaTheme="minorHAnsi"/>
        </w:rPr>
      </w:pPr>
      <w:r>
        <w:t xml:space="preserve">The Australian Private Hospitals Association (APHA) is the peak industry body representing the private hospital and day surgery sector. About 70% of overnight hospitals and half of all day surgeries in Australia are APHA members. </w:t>
      </w:r>
    </w:p>
    <w:p w14:paraId="6A57FC38" w14:textId="77777777" w:rsidR="003E4831" w:rsidRDefault="003E4831" w:rsidP="003E4831"/>
    <w:p w14:paraId="21546B59" w14:textId="77777777" w:rsidR="003D35E9" w:rsidRDefault="003D35E9" w:rsidP="002B106A">
      <w:pPr>
        <w:rPr>
          <w:rStyle w:val="apple-converted-space"/>
          <w:rFonts w:cs="Calibri"/>
        </w:rPr>
      </w:pPr>
    </w:p>
    <w:sectPr w:rsidR="003D35E9" w:rsidSect="004D7169">
      <w:headerReference w:type="default" r:id="rId15"/>
      <w:footerReference w:type="default" r:id="rId16"/>
      <w:pgSz w:w="11906" w:h="16838"/>
      <w:pgMar w:top="1440" w:right="1134"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1B299" w14:textId="77777777" w:rsidR="00293BFA" w:rsidRDefault="00293BFA" w:rsidP="00C73983">
      <w:r>
        <w:separator/>
      </w:r>
    </w:p>
    <w:p w14:paraId="5FCD6342" w14:textId="77777777" w:rsidR="00293BFA" w:rsidRDefault="00293BFA" w:rsidP="00C73983"/>
  </w:endnote>
  <w:endnote w:type="continuationSeparator" w:id="0">
    <w:p w14:paraId="0C772957" w14:textId="77777777" w:rsidR="00293BFA" w:rsidRDefault="00293BFA" w:rsidP="00C73983">
      <w:r>
        <w:continuationSeparator/>
      </w:r>
    </w:p>
    <w:p w14:paraId="52799C63" w14:textId="77777777" w:rsidR="00293BFA" w:rsidRDefault="00293BFA" w:rsidP="00C739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F UI Text">
    <w:altName w:val="Times New Roman"/>
    <w:panose1 w:val="00000000000000000000"/>
    <w:charset w:val="00"/>
    <w:family w:val="roman"/>
    <w:notTrueType/>
    <w:pitch w:val="default"/>
    <w:sig w:usb0="00000003" w:usb1="00000000" w:usb2="00000000" w:usb3="00000000" w:csb0="00000001" w:csb1="00000000"/>
  </w:font>
  <w:font w:name=".SFUIText-Regular">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BB305" w14:textId="77777777" w:rsidR="000B4FBA" w:rsidRDefault="000B4F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4E940" w14:textId="684929D7" w:rsidR="00293BFA" w:rsidRDefault="00293BFA">
    <w:pPr>
      <w:pStyle w:val="Footer"/>
      <w:jc w:val="right"/>
    </w:pPr>
  </w:p>
  <w:p w14:paraId="6BDC49EB" w14:textId="77777777" w:rsidR="00293BFA" w:rsidRDefault="00293B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5D20A" w14:textId="77777777" w:rsidR="000B4FBA" w:rsidRDefault="000B4F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984682"/>
      <w:docPartObj>
        <w:docPartGallery w:val="Page Numbers (Bottom of Page)"/>
        <w:docPartUnique/>
      </w:docPartObj>
    </w:sdtPr>
    <w:sdtEndPr>
      <w:rPr>
        <w:noProof/>
      </w:rPr>
    </w:sdtEndPr>
    <w:sdtContent>
      <w:p w14:paraId="4A77FAA9" w14:textId="5385D26D" w:rsidR="00293BFA" w:rsidRDefault="00293BFA">
        <w:pPr>
          <w:pStyle w:val="Footer"/>
          <w:jc w:val="right"/>
        </w:pPr>
        <w:r>
          <w:fldChar w:fldCharType="begin"/>
        </w:r>
        <w:r>
          <w:instrText xml:space="preserve"> PAGE   \* MERGEFORMAT </w:instrText>
        </w:r>
        <w:r>
          <w:fldChar w:fldCharType="separate"/>
        </w:r>
        <w:r w:rsidR="00E1783A">
          <w:rPr>
            <w:noProof/>
          </w:rPr>
          <w:t>2</w:t>
        </w:r>
        <w:r>
          <w:rPr>
            <w:noProof/>
          </w:rPr>
          <w:fldChar w:fldCharType="end"/>
        </w:r>
      </w:p>
    </w:sdtContent>
  </w:sdt>
  <w:p w14:paraId="77D7FFC1" w14:textId="77777777" w:rsidR="00293BFA" w:rsidRDefault="00293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E541D" w14:textId="77777777" w:rsidR="00293BFA" w:rsidRDefault="00293BFA" w:rsidP="00C73983">
      <w:r>
        <w:separator/>
      </w:r>
    </w:p>
    <w:p w14:paraId="459D9CF9" w14:textId="77777777" w:rsidR="00293BFA" w:rsidRDefault="00293BFA" w:rsidP="00C73983"/>
  </w:footnote>
  <w:footnote w:type="continuationSeparator" w:id="0">
    <w:p w14:paraId="58AF6550" w14:textId="77777777" w:rsidR="00293BFA" w:rsidRDefault="00293BFA" w:rsidP="00C73983">
      <w:r>
        <w:continuationSeparator/>
      </w:r>
    </w:p>
    <w:p w14:paraId="5BCE96BC" w14:textId="77777777" w:rsidR="00293BFA" w:rsidRDefault="00293BFA" w:rsidP="00C73983"/>
  </w:footnote>
  <w:footnote w:id="1">
    <w:p w14:paraId="0767A6D9" w14:textId="77777777" w:rsidR="00293BFA" w:rsidRPr="00B62977" w:rsidRDefault="00293BFA" w:rsidP="00DF18F7">
      <w:pPr>
        <w:pStyle w:val="FootnoteText"/>
      </w:pPr>
      <w:r>
        <w:rPr>
          <w:rStyle w:val="FootnoteReference"/>
        </w:rPr>
        <w:footnoteRef/>
      </w:r>
      <w:r>
        <w:t xml:space="preserve"> AIHW Admitted Patient Care, 2008-9 and 2017-18.</w:t>
      </w:r>
    </w:p>
  </w:footnote>
  <w:footnote w:id="2">
    <w:p w14:paraId="2E7892E6" w14:textId="77777777" w:rsidR="00293BFA" w:rsidRPr="00634776" w:rsidRDefault="00293BFA" w:rsidP="00DF18F7">
      <w:pPr>
        <w:pStyle w:val="FootnoteText"/>
      </w:pPr>
      <w:r>
        <w:rPr>
          <w:rStyle w:val="FootnoteReference"/>
        </w:rPr>
        <w:footnoteRef/>
      </w:r>
      <w:r>
        <w:t xml:space="preserve"> AIHW Admitted Patient Care, various years.</w:t>
      </w:r>
    </w:p>
  </w:footnote>
  <w:footnote w:id="3">
    <w:p w14:paraId="62A840A4" w14:textId="77777777" w:rsidR="00293BFA" w:rsidRPr="00634776" w:rsidRDefault="00293BFA" w:rsidP="00DF18F7">
      <w:pPr>
        <w:pStyle w:val="FootnoteText"/>
      </w:pPr>
      <w:r>
        <w:rPr>
          <w:rStyle w:val="FootnoteReference"/>
        </w:rPr>
        <w:footnoteRef/>
      </w:r>
      <w:r>
        <w:t xml:space="preserve"> AIHW Admitted Patient Care, various years, Health Expenditure Australia, 2017-18 </w:t>
      </w:r>
    </w:p>
  </w:footnote>
  <w:footnote w:id="4">
    <w:p w14:paraId="6BC4D188" w14:textId="77777777" w:rsidR="00293BFA" w:rsidRPr="00634776" w:rsidRDefault="00293BFA" w:rsidP="00DF18F7">
      <w:pPr>
        <w:pStyle w:val="FootnoteText"/>
      </w:pPr>
      <w:r>
        <w:rPr>
          <w:rStyle w:val="FootnoteReference"/>
        </w:rPr>
        <w:footnoteRef/>
      </w:r>
      <w:r>
        <w:t xml:space="preserve"> APRA, Private Health Insurance Statistics</w:t>
      </w:r>
    </w:p>
  </w:footnote>
  <w:footnote w:id="5">
    <w:p w14:paraId="78A73534" w14:textId="77777777" w:rsidR="00293BFA" w:rsidRPr="00634776" w:rsidRDefault="00293BFA" w:rsidP="00DF18F7">
      <w:pPr>
        <w:pStyle w:val="FootnoteText"/>
      </w:pPr>
      <w:r>
        <w:rPr>
          <w:rStyle w:val="FootnoteReference"/>
        </w:rPr>
        <w:footnoteRef/>
      </w:r>
      <w:r>
        <w:t xml:space="preserve"> AIHW Health Expenditure Australia, 2017-18</w:t>
      </w:r>
    </w:p>
  </w:footnote>
  <w:footnote w:id="6">
    <w:p w14:paraId="4552E1DC" w14:textId="77777777" w:rsidR="00293BFA" w:rsidRDefault="00293BFA" w:rsidP="00293BFA">
      <w:pPr>
        <w:pStyle w:val="FootnoteText"/>
      </w:pPr>
      <w:r>
        <w:rPr>
          <w:rStyle w:val="FootnoteReference"/>
        </w:rPr>
        <w:footnoteRef/>
      </w:r>
      <w:r>
        <w:t xml:space="preserve"> APRRA, Private Health Insurance Statistics </w:t>
      </w:r>
    </w:p>
  </w:footnote>
  <w:footnote w:id="7">
    <w:p w14:paraId="0D30BF14" w14:textId="04CC3A06" w:rsidR="00293BFA" w:rsidRDefault="00293BFA">
      <w:pPr>
        <w:pStyle w:val="FootnoteText"/>
      </w:pPr>
      <w:r>
        <w:rPr>
          <w:rStyle w:val="FootnoteReference"/>
        </w:rPr>
        <w:footnoteRef/>
      </w:r>
      <w:r>
        <w:t xml:space="preserve"> Department of Health, Private Health Insurance Reform Data</w:t>
      </w:r>
    </w:p>
  </w:footnote>
  <w:footnote w:id="8">
    <w:p w14:paraId="41B1142F" w14:textId="08E3657A" w:rsidR="00293BFA" w:rsidRPr="000B5E7D" w:rsidRDefault="00293BFA" w:rsidP="00DF18F7">
      <w:pPr>
        <w:pStyle w:val="FootnoteText"/>
      </w:pPr>
      <w:r>
        <w:rPr>
          <w:rStyle w:val="FootnoteReference"/>
        </w:rPr>
        <w:footnoteRef/>
      </w:r>
      <w:r>
        <w:t xml:space="preserve"> Department of Health, ‘</w:t>
      </w:r>
      <w:r w:rsidRPr="001B7FD6">
        <w:t>Educating the Nurse of the Future</w:t>
      </w:r>
      <w:r w:rsidRPr="00524B50">
        <w:rPr>
          <w:i/>
        </w:rPr>
        <w:t>—</w:t>
      </w:r>
      <w:r w:rsidRPr="00524B50">
        <w:t>Report of the Independent Review into Nursing Education</w:t>
      </w:r>
      <w:r>
        <w:t>’</w:t>
      </w:r>
      <w:r w:rsidRPr="00524B50">
        <w:t xml:space="preserve"> Author: Emeritus Professor Steven Schwartz, </w:t>
      </w:r>
      <w:r>
        <w:t>Commonwealth of Australia 2019</w:t>
      </w:r>
      <w:r w:rsidRPr="00524B50">
        <w:t>.</w:t>
      </w:r>
    </w:p>
  </w:footnote>
  <w:footnote w:id="9">
    <w:p w14:paraId="23644FC8" w14:textId="77777777" w:rsidR="00293BFA" w:rsidRPr="00F12178" w:rsidRDefault="00293BFA" w:rsidP="00DF18F7">
      <w:pPr>
        <w:pStyle w:val="FootnoteText"/>
      </w:pPr>
      <w:r>
        <w:rPr>
          <w:rStyle w:val="FootnoteReference"/>
        </w:rPr>
        <w:footnoteRef/>
      </w:r>
      <w:r>
        <w:t xml:space="preserve"> APRA Quarterly Statistics March Quarter 20sHRA</w:t>
      </w:r>
    </w:p>
  </w:footnote>
  <w:footnote w:id="10">
    <w:p w14:paraId="5A5577DB" w14:textId="77777777" w:rsidR="00293BFA" w:rsidRPr="00A22495" w:rsidRDefault="00293BFA" w:rsidP="00DF18F7">
      <w:pPr>
        <w:pStyle w:val="FootnoteText"/>
      </w:pPr>
      <w:r>
        <w:rPr>
          <w:rStyle w:val="FootnoteReference"/>
        </w:rPr>
        <w:footnoteRef/>
      </w:r>
      <w:r>
        <w:t xml:space="preserve"> AIHW, Health Expenditure, APRA Private Health Insurance Statistics</w:t>
      </w:r>
    </w:p>
  </w:footnote>
  <w:footnote w:id="11">
    <w:p w14:paraId="1BE40259" w14:textId="77777777" w:rsidR="00293BFA" w:rsidRPr="00A22495" w:rsidRDefault="00293BFA" w:rsidP="00DF18F7">
      <w:pPr>
        <w:pStyle w:val="FootnoteText"/>
      </w:pPr>
      <w:r>
        <w:rPr>
          <w:rStyle w:val="FootnoteReference"/>
        </w:rPr>
        <w:footnoteRef/>
      </w:r>
      <w:r>
        <w:t xml:space="preserve"> AIHW Admitted Patient Care, various years. </w:t>
      </w:r>
    </w:p>
  </w:footnote>
  <w:footnote w:id="12">
    <w:p w14:paraId="153AD87E" w14:textId="77777777" w:rsidR="00293BFA" w:rsidRPr="00A22495" w:rsidRDefault="00293BFA" w:rsidP="00DF18F7">
      <w:pPr>
        <w:pStyle w:val="FootnoteText"/>
      </w:pPr>
      <w:r>
        <w:rPr>
          <w:rStyle w:val="FootnoteReference"/>
        </w:rPr>
        <w:footnoteRef/>
      </w:r>
      <w:r>
        <w:t xml:space="preserve"> AIHW Admitted Patient Care</w:t>
      </w:r>
    </w:p>
  </w:footnote>
  <w:footnote w:id="13">
    <w:p w14:paraId="0D900A2E" w14:textId="77777777" w:rsidR="00293BFA" w:rsidRPr="00A22495" w:rsidRDefault="00293BFA" w:rsidP="00DF18F7">
      <w:pPr>
        <w:pStyle w:val="FootnoteText"/>
      </w:pPr>
      <w:r>
        <w:rPr>
          <w:rStyle w:val="FootnoteReference"/>
        </w:rPr>
        <w:footnoteRef/>
      </w:r>
      <w:r>
        <w:t xml:space="preserve"> Victorian Auditor General</w:t>
      </w:r>
    </w:p>
  </w:footnote>
  <w:footnote w:id="14">
    <w:p w14:paraId="5B2C08A3" w14:textId="774FD5FB" w:rsidR="00692310" w:rsidRDefault="00692310">
      <w:pPr>
        <w:pStyle w:val="FootnoteText"/>
      </w:pPr>
      <w:r>
        <w:rPr>
          <w:rStyle w:val="FootnoteReference"/>
        </w:rPr>
        <w:footnoteRef/>
      </w:r>
      <w:r>
        <w:t xml:space="preserve"> Total savings from reductions made in the period 2018 to 2021.  Department of Health website accessed on 19 December 2019. </w:t>
      </w:r>
      <w:hyperlink r:id="rId1" w:history="1">
        <w:r>
          <w:rPr>
            <w:rStyle w:val="Hyperlink"/>
          </w:rPr>
          <w:t>https://www1.health.gov.au/internet/main/publishing.nsf/Content/private-health-insurance-reforms-fact-sheet-prostheses-list-benefit-reductions</w:t>
        </w:r>
      </w:hyperlink>
    </w:p>
  </w:footnote>
  <w:footnote w:id="15">
    <w:p w14:paraId="15CCAE3B" w14:textId="4EAD81A4" w:rsidR="00293BFA" w:rsidRDefault="00293BFA">
      <w:pPr>
        <w:pStyle w:val="FootnoteText"/>
      </w:pPr>
      <w:r>
        <w:rPr>
          <w:rStyle w:val="FootnoteReference"/>
        </w:rPr>
        <w:footnoteRef/>
      </w:r>
      <w:r>
        <w:t xml:space="preserve"> National Mental Health Commission, Equally Well Equally Well Consensus Statement: Improving the physical health and wellbeing of people living with mental illness in Australia. Sydney NMHC, 2016.</w:t>
      </w:r>
    </w:p>
  </w:footnote>
  <w:footnote w:id="16">
    <w:p w14:paraId="69E34739" w14:textId="0AF72B1F" w:rsidR="00293BFA" w:rsidRPr="00C25114" w:rsidRDefault="00293BFA" w:rsidP="00DF18F7">
      <w:pPr>
        <w:pStyle w:val="FootnoteText"/>
      </w:pPr>
      <w:r>
        <w:rPr>
          <w:rStyle w:val="FootnoteReference"/>
        </w:rPr>
        <w:footnoteRef/>
      </w:r>
      <w:r>
        <w:t xml:space="preserve"> Australian Digital Health Agency, My Health Record Statistics and Insights, March 2019 to November 2019</w:t>
      </w:r>
      <w:r>
        <w:br/>
      </w:r>
      <w:hyperlink r:id="rId2" w:history="1">
        <w:r>
          <w:rPr>
            <w:rStyle w:val="Hyperlink"/>
          </w:rPr>
          <w:t>https://www.myhealthrecord.gov.au/sites/default/files/mhr_stats_marchnovember2019.pdf?v=1576471841</w:t>
        </w:r>
      </w:hyperlink>
    </w:p>
  </w:footnote>
  <w:footnote w:id="17">
    <w:p w14:paraId="1B015E87" w14:textId="10BCB412" w:rsidR="00293BFA" w:rsidRDefault="00293BFA">
      <w:pPr>
        <w:pStyle w:val="FootnoteText"/>
      </w:pPr>
      <w:r>
        <w:rPr>
          <w:rStyle w:val="FootnoteReference"/>
        </w:rPr>
        <w:footnoteRef/>
      </w:r>
      <w:r>
        <w:t xml:space="preserve"> Ibid.</w:t>
      </w:r>
    </w:p>
  </w:footnote>
  <w:footnote w:id="18">
    <w:p w14:paraId="4F303E9B" w14:textId="04ABE23C" w:rsidR="00293BFA" w:rsidRPr="00524B50" w:rsidRDefault="00293BFA" w:rsidP="00DF18F7">
      <w:pPr>
        <w:pStyle w:val="FootnoteText"/>
      </w:pPr>
      <w:r>
        <w:rPr>
          <w:rStyle w:val="FootnoteReference"/>
        </w:rPr>
        <w:footnoteRef/>
      </w:r>
      <w:r>
        <w:t xml:space="preserve"> Department of Health, ‘</w:t>
      </w:r>
      <w:r w:rsidRPr="0068151C">
        <w:t>Educating the Nurse of the Future</w:t>
      </w:r>
      <w:r w:rsidRPr="00524B50">
        <w:rPr>
          <w:i/>
        </w:rPr>
        <w:t>—</w:t>
      </w:r>
      <w:r w:rsidRPr="00524B50">
        <w:t>Report of the Independent Review into Nursing Education</w:t>
      </w:r>
      <w:r>
        <w:t>’</w:t>
      </w:r>
      <w:r w:rsidRPr="00524B50">
        <w:t xml:space="preserve"> Author: Emeritus Professor Steven Schwartz, </w:t>
      </w:r>
      <w:r>
        <w:t>Commonwealth of Australia 2019</w:t>
      </w:r>
      <w:r w:rsidRPr="00524B50">
        <w:t>.</w:t>
      </w:r>
    </w:p>
  </w:footnote>
  <w:footnote w:id="19">
    <w:p w14:paraId="08DEA58A" w14:textId="77777777" w:rsidR="00293BFA" w:rsidRPr="00CC109F" w:rsidRDefault="00293BFA" w:rsidP="00DF18F7">
      <w:pPr>
        <w:pStyle w:val="FootnoteText"/>
      </w:pPr>
      <w:r>
        <w:rPr>
          <w:rStyle w:val="FootnoteReference"/>
        </w:rPr>
        <w:footnoteRef/>
      </w:r>
      <w:r>
        <w:t xml:space="preserve"> Australian Private Hospitals Association and Catholic Health Australia, Education and training the private hospital sector, Canberra 2017</w:t>
      </w:r>
    </w:p>
  </w:footnote>
  <w:footnote w:id="20">
    <w:p w14:paraId="608161D1" w14:textId="4BA02F1A" w:rsidR="00293BFA" w:rsidRPr="007A7B7C" w:rsidRDefault="00293BFA" w:rsidP="00DF18F7">
      <w:pPr>
        <w:pStyle w:val="FootnoteText"/>
      </w:pPr>
      <w:r>
        <w:rPr>
          <w:rStyle w:val="FootnoteReference"/>
        </w:rPr>
        <w:footnoteRef/>
      </w:r>
      <w:r>
        <w:t xml:space="preserve"> Ibid.</w:t>
      </w:r>
    </w:p>
  </w:footnote>
  <w:footnote w:id="21">
    <w:p w14:paraId="5E928217" w14:textId="77777777" w:rsidR="00293BFA" w:rsidRPr="00685285" w:rsidRDefault="00293BFA" w:rsidP="00DF18F7">
      <w:pPr>
        <w:pStyle w:val="FootnoteText"/>
      </w:pPr>
      <w:r>
        <w:rPr>
          <w:rStyle w:val="FootnoteReference"/>
        </w:rPr>
        <w:footnoteRef/>
      </w:r>
      <w:r>
        <w:t xml:space="preserve"> Department of Employment – Registered Nursing June 2017 </w:t>
      </w:r>
      <w:hyperlink r:id="rId3">
        <w:r>
          <w:rPr>
            <w:spacing w:val="-1"/>
          </w:rPr>
          <w:t>(</w:t>
        </w:r>
        <w:r>
          <w:rPr>
            <w:color w:val="0000FF"/>
            <w:spacing w:val="-1"/>
            <w:u w:val="single" w:color="0000FF"/>
          </w:rPr>
          <w:t>https://docs.jobs.gov.au/system/files/doc/other/2544registerednursesnsw_2.pdf</w:t>
        </w:r>
      </w:hyperlink>
    </w:p>
  </w:footnote>
  <w:footnote w:id="22">
    <w:p w14:paraId="35958D2A" w14:textId="77777777" w:rsidR="00293BFA" w:rsidRPr="00685285" w:rsidRDefault="00293BFA" w:rsidP="00DF18F7">
      <w:pPr>
        <w:pStyle w:val="FootnoteText"/>
      </w:pPr>
      <w:r>
        <w:rPr>
          <w:rStyle w:val="FootnoteReference"/>
        </w:rPr>
        <w:footnoteRef/>
      </w:r>
      <w:r>
        <w:t xml:space="preserve"> Labour Market Research, Health Professions, Australia, 2017–18, September 2018 https://docs.jobs.gov.au/documents/health-professions-australia</w:t>
      </w:r>
    </w:p>
  </w:footnote>
  <w:footnote w:id="23">
    <w:p w14:paraId="369BF4BD" w14:textId="66AA5FA4" w:rsidR="00293BFA" w:rsidRDefault="00293BFA">
      <w:pPr>
        <w:pStyle w:val="FootnoteText"/>
      </w:pPr>
      <w:r>
        <w:rPr>
          <w:rStyle w:val="FootnoteReference"/>
        </w:rPr>
        <w:footnoteRef/>
      </w:r>
      <w:r>
        <w:t xml:space="preserve"> Department of Home Affairs: Temporary resident (skilled) visa holders </w:t>
      </w:r>
      <w:hyperlink r:id="rId4" w:history="1">
        <w:r>
          <w:rPr>
            <w:rStyle w:val="Hyperlink"/>
            <w:rFonts w:eastAsiaTheme="majorEastAsia"/>
          </w:rPr>
          <w:t>https://data.gov.au/dataset/ds-dga-2515b21d-0dba-4810-afd4-ac8dd92e873e/details?q=</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7C507" w14:textId="77777777" w:rsidR="000B4FBA" w:rsidRDefault="000B4F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0873C" w14:textId="52E6ADCE" w:rsidR="00293BFA" w:rsidRDefault="00293BFA" w:rsidP="00742D72">
    <w:pPr>
      <w:pStyle w:val="Title"/>
    </w:pPr>
    <w:r>
      <w:drawing>
        <wp:anchor distT="0" distB="0" distL="114300" distR="114300" simplePos="0" relativeHeight="251657728" behindDoc="1" locked="0" layoutInCell="1" allowOverlap="1" wp14:anchorId="15E08896" wp14:editId="61E4B104">
          <wp:simplePos x="0" y="0"/>
          <wp:positionH relativeFrom="column">
            <wp:posOffset>3328670</wp:posOffset>
          </wp:positionH>
          <wp:positionV relativeFrom="paragraph">
            <wp:posOffset>888365</wp:posOffset>
          </wp:positionV>
          <wp:extent cx="2758440" cy="860425"/>
          <wp:effectExtent l="0" t="0" r="3810" b="0"/>
          <wp:wrapTight wrapText="bothSides">
            <wp:wrapPolygon edited="0">
              <wp:start x="14470" y="0"/>
              <wp:lineTo x="5967" y="1435"/>
              <wp:lineTo x="5818" y="6217"/>
              <wp:lineTo x="0" y="7652"/>
              <wp:lineTo x="0" y="12912"/>
              <wp:lineTo x="4773" y="15303"/>
              <wp:lineTo x="4475" y="19129"/>
              <wp:lineTo x="14470" y="21042"/>
              <wp:lineTo x="21481" y="21042"/>
              <wp:lineTo x="21481" y="9565"/>
              <wp:lineTo x="10740" y="7652"/>
              <wp:lineTo x="21481" y="7652"/>
              <wp:lineTo x="21481" y="0"/>
              <wp:lineTo x="1447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HA-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8440" cy="860425"/>
                  </a:xfrm>
                  <a:prstGeom prst="rect">
                    <a:avLst/>
                  </a:prstGeom>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56704" behindDoc="1" locked="0" layoutInCell="1" allowOverlap="1" wp14:anchorId="1D67CE15" wp14:editId="3259B720">
          <wp:simplePos x="0" y="0"/>
          <wp:positionH relativeFrom="column">
            <wp:posOffset>-1080135</wp:posOffset>
          </wp:positionH>
          <wp:positionV relativeFrom="paragraph">
            <wp:posOffset>-450215</wp:posOffset>
          </wp:positionV>
          <wp:extent cx="7534910" cy="1186815"/>
          <wp:effectExtent l="0" t="0" r="8890" b="0"/>
          <wp:wrapTight wrapText="bothSides">
            <wp:wrapPolygon edited="0">
              <wp:start x="0" y="0"/>
              <wp:lineTo x="0" y="21149"/>
              <wp:lineTo x="21571" y="21149"/>
              <wp:lineTo x="2157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HA_D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34910" cy="1186815"/>
                  </a:xfrm>
                  <a:prstGeom prst="rect">
                    <a:avLst/>
                  </a:prstGeom>
                </pic:spPr>
              </pic:pic>
            </a:graphicData>
          </a:graphic>
          <wp14:sizeRelH relativeFrom="page">
            <wp14:pctWidth>0</wp14:pctWidth>
          </wp14:sizeRelH>
          <wp14:sizeRelV relativeFrom="page">
            <wp14:pctHeight>0</wp14:pctHeight>
          </wp14:sizeRelV>
        </wp:anchor>
      </w:drawing>
    </w:r>
  </w:p>
  <w:p w14:paraId="4700D30D" w14:textId="77777777" w:rsidR="00293BFA" w:rsidRPr="00CA09D0" w:rsidRDefault="00293BFA" w:rsidP="00742D72">
    <w:pPr>
      <w:pStyle w:val="Title"/>
    </w:pPr>
  </w:p>
  <w:p w14:paraId="05AD73CA" w14:textId="77777777" w:rsidR="00293BFA" w:rsidRPr="008073F1" w:rsidRDefault="00293BFA" w:rsidP="00742D72">
    <w:pPr>
      <w:pStyle w:val="Tit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81132" w14:textId="77777777" w:rsidR="000B4FBA" w:rsidRDefault="000B4F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CCBE0" w14:textId="77777777" w:rsidR="00293BFA" w:rsidRPr="002B106A" w:rsidRDefault="00293BFA" w:rsidP="002B10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74938"/>
    <w:multiLevelType w:val="hybridMultilevel"/>
    <w:tmpl w:val="5D584DB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8857D38"/>
    <w:multiLevelType w:val="hybridMultilevel"/>
    <w:tmpl w:val="CFE2C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7B70F1"/>
    <w:multiLevelType w:val="hybridMultilevel"/>
    <w:tmpl w:val="56488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B97742"/>
    <w:multiLevelType w:val="hybridMultilevel"/>
    <w:tmpl w:val="8A66EEB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D8E796E"/>
    <w:multiLevelType w:val="hybridMultilevel"/>
    <w:tmpl w:val="9C38784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DAA3F7F"/>
    <w:multiLevelType w:val="hybridMultilevel"/>
    <w:tmpl w:val="5E6477D2"/>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6" w15:restartNumberingAfterBreak="0">
    <w:nsid w:val="23BC20C5"/>
    <w:multiLevelType w:val="multilevel"/>
    <w:tmpl w:val="FEACC674"/>
    <w:styleLink w:val="111111"/>
    <w:lvl w:ilvl="0">
      <w:start w:val="1"/>
      <w:numFmt w:val="decimal"/>
      <w:lvlText w:val="%1"/>
      <w:lvlJc w:val="left"/>
      <w:pPr>
        <w:tabs>
          <w:tab w:val="num" w:pos="567"/>
        </w:tabs>
        <w:ind w:left="567" w:hanging="567"/>
      </w:pPr>
      <w:rPr>
        <w:rFonts w:ascii="Arial" w:hAnsi="Arial" w:hint="default"/>
        <w:b w:val="0"/>
        <w:i w:val="0"/>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275D5BB7"/>
    <w:multiLevelType w:val="hybridMultilevel"/>
    <w:tmpl w:val="6AB4E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F432BE"/>
    <w:multiLevelType w:val="hybridMultilevel"/>
    <w:tmpl w:val="DFB275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D11123D"/>
    <w:multiLevelType w:val="hybridMultilevel"/>
    <w:tmpl w:val="C6D69EE4"/>
    <w:lvl w:ilvl="0" w:tplc="5DDE6498">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FE016A"/>
    <w:multiLevelType w:val="hybridMultilevel"/>
    <w:tmpl w:val="F2C888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97C16B2"/>
    <w:multiLevelType w:val="hybridMultilevel"/>
    <w:tmpl w:val="BA8E7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8D0D68"/>
    <w:multiLevelType w:val="hybridMultilevel"/>
    <w:tmpl w:val="21D8A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C039CF"/>
    <w:multiLevelType w:val="hybridMultilevel"/>
    <w:tmpl w:val="DE621A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44DC6350"/>
    <w:multiLevelType w:val="hybridMultilevel"/>
    <w:tmpl w:val="A34E4F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7B81E69"/>
    <w:multiLevelType w:val="hybridMultilevel"/>
    <w:tmpl w:val="CBBEC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5A976DC"/>
    <w:multiLevelType w:val="hybridMultilevel"/>
    <w:tmpl w:val="32B83FE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571A3D63"/>
    <w:multiLevelType w:val="hybridMultilevel"/>
    <w:tmpl w:val="6F10490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59A30939"/>
    <w:multiLevelType w:val="hybridMultilevel"/>
    <w:tmpl w:val="B322D0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B732535"/>
    <w:multiLevelType w:val="hybridMultilevel"/>
    <w:tmpl w:val="43CEC8F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60531C8B"/>
    <w:multiLevelType w:val="hybridMultilevel"/>
    <w:tmpl w:val="4EA81BC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62D260AE"/>
    <w:multiLevelType w:val="hybridMultilevel"/>
    <w:tmpl w:val="A9B4E70C"/>
    <w:lvl w:ilvl="0" w:tplc="D6725232">
      <w:start w:val="1"/>
      <w:numFmt w:val="decimal"/>
      <w:pStyle w:val="agendaparagraph"/>
      <w:lvlText w:val="%1."/>
      <w:lvlJc w:val="left"/>
      <w:pPr>
        <w:tabs>
          <w:tab w:val="num" w:pos="720"/>
        </w:tabs>
        <w:ind w:left="720" w:hanging="720"/>
      </w:pPr>
      <w:rPr>
        <w:rFonts w:hint="default"/>
      </w:rPr>
    </w:lvl>
    <w:lvl w:ilvl="1" w:tplc="0C09000F">
      <w:start w:val="1"/>
      <w:numFmt w:val="decimal"/>
      <w:lvlText w:val="%2."/>
      <w:lvlJc w:val="left"/>
      <w:pPr>
        <w:tabs>
          <w:tab w:val="num" w:pos="1080"/>
        </w:tabs>
        <w:ind w:left="1080" w:hanging="360"/>
      </w:pPr>
      <w:rPr>
        <w:rFonts w:hint="default"/>
      </w:rPr>
    </w:lvl>
    <w:lvl w:ilvl="2" w:tplc="0C09000F">
      <w:start w:val="1"/>
      <w:numFmt w:val="decimal"/>
      <w:lvlText w:val="%3."/>
      <w:lvlJc w:val="lef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664C4DC9"/>
    <w:multiLevelType w:val="hybridMultilevel"/>
    <w:tmpl w:val="B86224C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66BF7F79"/>
    <w:multiLevelType w:val="hybridMultilevel"/>
    <w:tmpl w:val="46848BD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67125861"/>
    <w:multiLevelType w:val="hybridMultilevel"/>
    <w:tmpl w:val="B5BEAC80"/>
    <w:lvl w:ilvl="0" w:tplc="5DDE649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BFE502B"/>
    <w:multiLevelType w:val="hybridMultilevel"/>
    <w:tmpl w:val="286642AA"/>
    <w:lvl w:ilvl="0" w:tplc="BAA258DC">
      <w:start w:val="1"/>
      <w:numFmt w:val="bullet"/>
      <w:pStyle w:val="ListParagraph"/>
      <w:lvlText w:val="+"/>
      <w:lvlJc w:val="left"/>
      <w:pPr>
        <w:ind w:left="720" w:hanging="360"/>
      </w:pPr>
      <w:rPr>
        <w:rFonts w:ascii="Helvetica" w:hAnsi="Helvetic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F7F3678"/>
    <w:multiLevelType w:val="hybridMultilevel"/>
    <w:tmpl w:val="C3F894C0"/>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27" w15:restartNumberingAfterBreak="0">
    <w:nsid w:val="70BC209F"/>
    <w:multiLevelType w:val="hybridMultilevel"/>
    <w:tmpl w:val="5C769A7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73D91D40"/>
    <w:multiLevelType w:val="hybridMultilevel"/>
    <w:tmpl w:val="B8B0A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3EB4D52"/>
    <w:multiLevelType w:val="hybridMultilevel"/>
    <w:tmpl w:val="F23A3F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6641A39"/>
    <w:multiLevelType w:val="hybridMultilevel"/>
    <w:tmpl w:val="8512A4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7B345F07"/>
    <w:multiLevelType w:val="hybridMultilevel"/>
    <w:tmpl w:val="9730B7A4"/>
    <w:lvl w:ilvl="0" w:tplc="5DDE6498">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B3A3597"/>
    <w:multiLevelType w:val="hybridMultilevel"/>
    <w:tmpl w:val="3D04178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7D726028"/>
    <w:multiLevelType w:val="hybridMultilevel"/>
    <w:tmpl w:val="33EE933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6"/>
  </w:num>
  <w:num w:numId="2">
    <w:abstractNumId w:val="25"/>
  </w:num>
  <w:num w:numId="3">
    <w:abstractNumId w:val="21"/>
  </w:num>
  <w:num w:numId="4">
    <w:abstractNumId w:val="11"/>
  </w:num>
  <w:num w:numId="5">
    <w:abstractNumId w:val="23"/>
  </w:num>
  <w:num w:numId="6">
    <w:abstractNumId w:val="24"/>
  </w:num>
  <w:num w:numId="7">
    <w:abstractNumId w:val="18"/>
  </w:num>
  <w:num w:numId="8">
    <w:abstractNumId w:val="17"/>
  </w:num>
  <w:num w:numId="9">
    <w:abstractNumId w:val="5"/>
  </w:num>
  <w:num w:numId="10">
    <w:abstractNumId w:val="20"/>
  </w:num>
  <w:num w:numId="11">
    <w:abstractNumId w:val="30"/>
  </w:num>
  <w:num w:numId="12">
    <w:abstractNumId w:val="33"/>
  </w:num>
  <w:num w:numId="13">
    <w:abstractNumId w:val="19"/>
  </w:num>
  <w:num w:numId="14">
    <w:abstractNumId w:val="16"/>
  </w:num>
  <w:num w:numId="15">
    <w:abstractNumId w:val="4"/>
  </w:num>
  <w:num w:numId="16">
    <w:abstractNumId w:val="1"/>
  </w:num>
  <w:num w:numId="17">
    <w:abstractNumId w:val="12"/>
  </w:num>
  <w:num w:numId="18">
    <w:abstractNumId w:val="28"/>
  </w:num>
  <w:num w:numId="19">
    <w:abstractNumId w:val="15"/>
  </w:num>
  <w:num w:numId="20">
    <w:abstractNumId w:val="29"/>
  </w:num>
  <w:num w:numId="21">
    <w:abstractNumId w:val="2"/>
  </w:num>
  <w:num w:numId="22">
    <w:abstractNumId w:val="7"/>
  </w:num>
  <w:num w:numId="23">
    <w:abstractNumId w:val="32"/>
  </w:num>
  <w:num w:numId="24">
    <w:abstractNumId w:val="0"/>
  </w:num>
  <w:num w:numId="25">
    <w:abstractNumId w:val="22"/>
  </w:num>
  <w:num w:numId="26">
    <w:abstractNumId w:val="14"/>
  </w:num>
  <w:num w:numId="27">
    <w:abstractNumId w:val="13"/>
  </w:num>
  <w:num w:numId="28">
    <w:abstractNumId w:val="25"/>
  </w:num>
  <w:num w:numId="29">
    <w:abstractNumId w:val="3"/>
  </w:num>
  <w:num w:numId="30">
    <w:abstractNumId w:val="25"/>
  </w:num>
  <w:num w:numId="31">
    <w:abstractNumId w:val="25"/>
  </w:num>
  <w:num w:numId="32">
    <w:abstractNumId w:val="25"/>
  </w:num>
  <w:num w:numId="33">
    <w:abstractNumId w:val="25"/>
  </w:num>
  <w:num w:numId="34">
    <w:abstractNumId w:val="25"/>
  </w:num>
  <w:num w:numId="35">
    <w:abstractNumId w:val="25"/>
  </w:num>
  <w:num w:numId="36">
    <w:abstractNumId w:val="25"/>
  </w:num>
  <w:num w:numId="37">
    <w:abstractNumId w:val="25"/>
  </w:num>
  <w:num w:numId="38">
    <w:abstractNumId w:val="26"/>
  </w:num>
  <w:num w:numId="39">
    <w:abstractNumId w:val="25"/>
  </w:num>
  <w:num w:numId="40">
    <w:abstractNumId w:val="25"/>
  </w:num>
  <w:num w:numId="41">
    <w:abstractNumId w:val="25"/>
  </w:num>
  <w:num w:numId="42">
    <w:abstractNumId w:val="25"/>
  </w:num>
  <w:num w:numId="43">
    <w:abstractNumId w:val="9"/>
  </w:num>
  <w:num w:numId="44">
    <w:abstractNumId w:val="31"/>
  </w:num>
  <w:num w:numId="45">
    <w:abstractNumId w:val="27"/>
  </w:num>
  <w:num w:numId="46">
    <w:abstractNumId w:val="25"/>
  </w:num>
  <w:num w:numId="47">
    <w:abstractNumId w:val="8"/>
  </w:num>
  <w:num w:numId="48">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51D"/>
    <w:rsid w:val="000140DD"/>
    <w:rsid w:val="000214BE"/>
    <w:rsid w:val="0002312B"/>
    <w:rsid w:val="000235A8"/>
    <w:rsid w:val="00025B66"/>
    <w:rsid w:val="00027CF1"/>
    <w:rsid w:val="0003383B"/>
    <w:rsid w:val="00035161"/>
    <w:rsid w:val="000373C2"/>
    <w:rsid w:val="000504D8"/>
    <w:rsid w:val="00057B25"/>
    <w:rsid w:val="000742A0"/>
    <w:rsid w:val="000760FC"/>
    <w:rsid w:val="00080C13"/>
    <w:rsid w:val="00080D52"/>
    <w:rsid w:val="00083C76"/>
    <w:rsid w:val="000841A7"/>
    <w:rsid w:val="00090DE0"/>
    <w:rsid w:val="0009349C"/>
    <w:rsid w:val="000B2441"/>
    <w:rsid w:val="000B4FBA"/>
    <w:rsid w:val="000D26B0"/>
    <w:rsid w:val="000D3B8F"/>
    <w:rsid w:val="000D3EB7"/>
    <w:rsid w:val="000E27D8"/>
    <w:rsid w:val="000F554A"/>
    <w:rsid w:val="000F6006"/>
    <w:rsid w:val="001012FC"/>
    <w:rsid w:val="001100D7"/>
    <w:rsid w:val="00112FC2"/>
    <w:rsid w:val="00120314"/>
    <w:rsid w:val="001259BC"/>
    <w:rsid w:val="00130287"/>
    <w:rsid w:val="00131B7E"/>
    <w:rsid w:val="00134B4D"/>
    <w:rsid w:val="00141A37"/>
    <w:rsid w:val="00143CB4"/>
    <w:rsid w:val="001503A4"/>
    <w:rsid w:val="00153BF2"/>
    <w:rsid w:val="0015508C"/>
    <w:rsid w:val="001554C4"/>
    <w:rsid w:val="001566EF"/>
    <w:rsid w:val="00157207"/>
    <w:rsid w:val="00165F3A"/>
    <w:rsid w:val="00180438"/>
    <w:rsid w:val="001840FE"/>
    <w:rsid w:val="00195072"/>
    <w:rsid w:val="001A251D"/>
    <w:rsid w:val="001A56C0"/>
    <w:rsid w:val="001A7748"/>
    <w:rsid w:val="001B2258"/>
    <w:rsid w:val="001B2D02"/>
    <w:rsid w:val="001B419D"/>
    <w:rsid w:val="001B7134"/>
    <w:rsid w:val="001B766D"/>
    <w:rsid w:val="001B7FD6"/>
    <w:rsid w:val="001C3D34"/>
    <w:rsid w:val="001D10C1"/>
    <w:rsid w:val="001D1873"/>
    <w:rsid w:val="001D270A"/>
    <w:rsid w:val="002020D9"/>
    <w:rsid w:val="00204888"/>
    <w:rsid w:val="00205796"/>
    <w:rsid w:val="002111B6"/>
    <w:rsid w:val="0021473F"/>
    <w:rsid w:val="002159D2"/>
    <w:rsid w:val="00221D22"/>
    <w:rsid w:val="00222C6B"/>
    <w:rsid w:val="002333D4"/>
    <w:rsid w:val="002348AB"/>
    <w:rsid w:val="00236C00"/>
    <w:rsid w:val="00245C00"/>
    <w:rsid w:val="00246B7D"/>
    <w:rsid w:val="002518AE"/>
    <w:rsid w:val="002558AF"/>
    <w:rsid w:val="00265D32"/>
    <w:rsid w:val="00275A74"/>
    <w:rsid w:val="00284268"/>
    <w:rsid w:val="002842B6"/>
    <w:rsid w:val="00291276"/>
    <w:rsid w:val="002927A7"/>
    <w:rsid w:val="00293BFA"/>
    <w:rsid w:val="00294F84"/>
    <w:rsid w:val="00297982"/>
    <w:rsid w:val="002A249C"/>
    <w:rsid w:val="002A2BD1"/>
    <w:rsid w:val="002A5B47"/>
    <w:rsid w:val="002A73EE"/>
    <w:rsid w:val="002B106A"/>
    <w:rsid w:val="002B178C"/>
    <w:rsid w:val="002B371C"/>
    <w:rsid w:val="002B3848"/>
    <w:rsid w:val="002B3A12"/>
    <w:rsid w:val="002B3C9E"/>
    <w:rsid w:val="002C1975"/>
    <w:rsid w:val="002C6D2D"/>
    <w:rsid w:val="002D088F"/>
    <w:rsid w:val="002D58F8"/>
    <w:rsid w:val="002D5D33"/>
    <w:rsid w:val="002D69D2"/>
    <w:rsid w:val="002E2008"/>
    <w:rsid w:val="002E2F4D"/>
    <w:rsid w:val="002E3508"/>
    <w:rsid w:val="002E3E34"/>
    <w:rsid w:val="002E56D0"/>
    <w:rsid w:val="002F229A"/>
    <w:rsid w:val="002F45DD"/>
    <w:rsid w:val="002F790C"/>
    <w:rsid w:val="00301CC3"/>
    <w:rsid w:val="0030218A"/>
    <w:rsid w:val="00302F4D"/>
    <w:rsid w:val="003043C0"/>
    <w:rsid w:val="00316244"/>
    <w:rsid w:val="003168A1"/>
    <w:rsid w:val="00326319"/>
    <w:rsid w:val="003315FE"/>
    <w:rsid w:val="003412C4"/>
    <w:rsid w:val="00343D59"/>
    <w:rsid w:val="003457C2"/>
    <w:rsid w:val="00350432"/>
    <w:rsid w:val="00353EAA"/>
    <w:rsid w:val="00357CBE"/>
    <w:rsid w:val="00367054"/>
    <w:rsid w:val="003735BD"/>
    <w:rsid w:val="00376573"/>
    <w:rsid w:val="00380D8F"/>
    <w:rsid w:val="003838C5"/>
    <w:rsid w:val="003A1174"/>
    <w:rsid w:val="003A11BA"/>
    <w:rsid w:val="003A58EA"/>
    <w:rsid w:val="003A5F0D"/>
    <w:rsid w:val="003A7770"/>
    <w:rsid w:val="003B2457"/>
    <w:rsid w:val="003D35E9"/>
    <w:rsid w:val="003D5DC6"/>
    <w:rsid w:val="003E3A4A"/>
    <w:rsid w:val="003E4831"/>
    <w:rsid w:val="003E5E41"/>
    <w:rsid w:val="003F205D"/>
    <w:rsid w:val="0040798D"/>
    <w:rsid w:val="00416C71"/>
    <w:rsid w:val="004332F0"/>
    <w:rsid w:val="004410D2"/>
    <w:rsid w:val="00445A30"/>
    <w:rsid w:val="00461B68"/>
    <w:rsid w:val="00462E1C"/>
    <w:rsid w:val="00464153"/>
    <w:rsid w:val="00464A07"/>
    <w:rsid w:val="00480E76"/>
    <w:rsid w:val="004830C8"/>
    <w:rsid w:val="004908EC"/>
    <w:rsid w:val="0049551E"/>
    <w:rsid w:val="004975F7"/>
    <w:rsid w:val="004A5017"/>
    <w:rsid w:val="004B242A"/>
    <w:rsid w:val="004D1A11"/>
    <w:rsid w:val="004D3474"/>
    <w:rsid w:val="004D3AA1"/>
    <w:rsid w:val="004D7169"/>
    <w:rsid w:val="004E363D"/>
    <w:rsid w:val="004E3737"/>
    <w:rsid w:val="004F47BF"/>
    <w:rsid w:val="005023C7"/>
    <w:rsid w:val="00507D2F"/>
    <w:rsid w:val="00510A20"/>
    <w:rsid w:val="005145BB"/>
    <w:rsid w:val="00524951"/>
    <w:rsid w:val="00525B1E"/>
    <w:rsid w:val="0052609F"/>
    <w:rsid w:val="00535854"/>
    <w:rsid w:val="00541972"/>
    <w:rsid w:val="0054587D"/>
    <w:rsid w:val="00546D0F"/>
    <w:rsid w:val="0055188D"/>
    <w:rsid w:val="0055435D"/>
    <w:rsid w:val="00561F9A"/>
    <w:rsid w:val="00567856"/>
    <w:rsid w:val="005944CD"/>
    <w:rsid w:val="00594D80"/>
    <w:rsid w:val="005A0CF2"/>
    <w:rsid w:val="005A58F0"/>
    <w:rsid w:val="005B6090"/>
    <w:rsid w:val="005C62C8"/>
    <w:rsid w:val="005D505A"/>
    <w:rsid w:val="005F6E6A"/>
    <w:rsid w:val="0061743C"/>
    <w:rsid w:val="00632549"/>
    <w:rsid w:val="00634472"/>
    <w:rsid w:val="00644E9A"/>
    <w:rsid w:val="00651B38"/>
    <w:rsid w:val="00661668"/>
    <w:rsid w:val="00667ECF"/>
    <w:rsid w:val="00675373"/>
    <w:rsid w:val="00675D0A"/>
    <w:rsid w:val="006778C9"/>
    <w:rsid w:val="0068151C"/>
    <w:rsid w:val="00691C94"/>
    <w:rsid w:val="00692310"/>
    <w:rsid w:val="006A5A27"/>
    <w:rsid w:val="006B0352"/>
    <w:rsid w:val="006D4E63"/>
    <w:rsid w:val="006D74F6"/>
    <w:rsid w:val="006E2044"/>
    <w:rsid w:val="006F22EC"/>
    <w:rsid w:val="006F77BE"/>
    <w:rsid w:val="007033B9"/>
    <w:rsid w:val="0070553F"/>
    <w:rsid w:val="00717F32"/>
    <w:rsid w:val="00717F58"/>
    <w:rsid w:val="00731013"/>
    <w:rsid w:val="00742A54"/>
    <w:rsid w:val="00742D72"/>
    <w:rsid w:val="00755DCC"/>
    <w:rsid w:val="00760379"/>
    <w:rsid w:val="00762863"/>
    <w:rsid w:val="00772802"/>
    <w:rsid w:val="007738F0"/>
    <w:rsid w:val="00774598"/>
    <w:rsid w:val="007809C1"/>
    <w:rsid w:val="00783142"/>
    <w:rsid w:val="00785EC1"/>
    <w:rsid w:val="0078703B"/>
    <w:rsid w:val="00787159"/>
    <w:rsid w:val="007915F8"/>
    <w:rsid w:val="007A35A8"/>
    <w:rsid w:val="007A3C3E"/>
    <w:rsid w:val="007A4E66"/>
    <w:rsid w:val="007A5748"/>
    <w:rsid w:val="007B0350"/>
    <w:rsid w:val="007B08A1"/>
    <w:rsid w:val="007B22E2"/>
    <w:rsid w:val="007B29CC"/>
    <w:rsid w:val="007B35DC"/>
    <w:rsid w:val="007D54BE"/>
    <w:rsid w:val="007D6D52"/>
    <w:rsid w:val="007E65A5"/>
    <w:rsid w:val="007E66F3"/>
    <w:rsid w:val="007F14E4"/>
    <w:rsid w:val="007F4E2C"/>
    <w:rsid w:val="007F6F5B"/>
    <w:rsid w:val="007F74BA"/>
    <w:rsid w:val="008023EC"/>
    <w:rsid w:val="00803FCF"/>
    <w:rsid w:val="00805B67"/>
    <w:rsid w:val="008073F1"/>
    <w:rsid w:val="00822E0D"/>
    <w:rsid w:val="00824183"/>
    <w:rsid w:val="0084206B"/>
    <w:rsid w:val="008478EF"/>
    <w:rsid w:val="00855C3E"/>
    <w:rsid w:val="00856CA8"/>
    <w:rsid w:val="00864F2A"/>
    <w:rsid w:val="00865351"/>
    <w:rsid w:val="0086696D"/>
    <w:rsid w:val="00870273"/>
    <w:rsid w:val="00870F69"/>
    <w:rsid w:val="00871EBB"/>
    <w:rsid w:val="0087449D"/>
    <w:rsid w:val="00882198"/>
    <w:rsid w:val="0089014D"/>
    <w:rsid w:val="008921CA"/>
    <w:rsid w:val="008A0FB3"/>
    <w:rsid w:val="008A38CD"/>
    <w:rsid w:val="008A4A1D"/>
    <w:rsid w:val="008A4DE6"/>
    <w:rsid w:val="008A5C27"/>
    <w:rsid w:val="008B0CE8"/>
    <w:rsid w:val="008B156D"/>
    <w:rsid w:val="008B26AC"/>
    <w:rsid w:val="008C7280"/>
    <w:rsid w:val="008D106C"/>
    <w:rsid w:val="008D4F42"/>
    <w:rsid w:val="008E5E1B"/>
    <w:rsid w:val="008F1D4B"/>
    <w:rsid w:val="008F22DB"/>
    <w:rsid w:val="008F36B4"/>
    <w:rsid w:val="008F5781"/>
    <w:rsid w:val="0090532B"/>
    <w:rsid w:val="00905A4D"/>
    <w:rsid w:val="009168F0"/>
    <w:rsid w:val="009224D0"/>
    <w:rsid w:val="009275F7"/>
    <w:rsid w:val="00932019"/>
    <w:rsid w:val="009430E6"/>
    <w:rsid w:val="00961233"/>
    <w:rsid w:val="00970018"/>
    <w:rsid w:val="00977201"/>
    <w:rsid w:val="00992DE5"/>
    <w:rsid w:val="009A0993"/>
    <w:rsid w:val="009A2A2C"/>
    <w:rsid w:val="009B1548"/>
    <w:rsid w:val="009C12AD"/>
    <w:rsid w:val="009C32EF"/>
    <w:rsid w:val="009C3AD9"/>
    <w:rsid w:val="009D0758"/>
    <w:rsid w:val="009D5D58"/>
    <w:rsid w:val="009F0DD2"/>
    <w:rsid w:val="009F1BDC"/>
    <w:rsid w:val="009F28CC"/>
    <w:rsid w:val="009F496E"/>
    <w:rsid w:val="009F61F7"/>
    <w:rsid w:val="00A00782"/>
    <w:rsid w:val="00A105EA"/>
    <w:rsid w:val="00A1645F"/>
    <w:rsid w:val="00A20330"/>
    <w:rsid w:val="00A249A2"/>
    <w:rsid w:val="00A3126E"/>
    <w:rsid w:val="00A34A64"/>
    <w:rsid w:val="00A36AEC"/>
    <w:rsid w:val="00A37DB6"/>
    <w:rsid w:val="00A41E70"/>
    <w:rsid w:val="00A421FC"/>
    <w:rsid w:val="00A4512D"/>
    <w:rsid w:val="00A572A2"/>
    <w:rsid w:val="00A74433"/>
    <w:rsid w:val="00A74BEB"/>
    <w:rsid w:val="00A808D9"/>
    <w:rsid w:val="00A91A1A"/>
    <w:rsid w:val="00AA0DD8"/>
    <w:rsid w:val="00AB7195"/>
    <w:rsid w:val="00AC3B87"/>
    <w:rsid w:val="00AD71CF"/>
    <w:rsid w:val="00B02B4E"/>
    <w:rsid w:val="00B049F0"/>
    <w:rsid w:val="00B12DC1"/>
    <w:rsid w:val="00B13E1D"/>
    <w:rsid w:val="00B24261"/>
    <w:rsid w:val="00B318D3"/>
    <w:rsid w:val="00B333C5"/>
    <w:rsid w:val="00B33573"/>
    <w:rsid w:val="00B553A3"/>
    <w:rsid w:val="00B92FEC"/>
    <w:rsid w:val="00BA416D"/>
    <w:rsid w:val="00BB119D"/>
    <w:rsid w:val="00BB2FC1"/>
    <w:rsid w:val="00BB6CA4"/>
    <w:rsid w:val="00BD6F09"/>
    <w:rsid w:val="00BE3211"/>
    <w:rsid w:val="00BE7E9F"/>
    <w:rsid w:val="00BF0FFA"/>
    <w:rsid w:val="00BF342C"/>
    <w:rsid w:val="00BF481D"/>
    <w:rsid w:val="00BF61C3"/>
    <w:rsid w:val="00C0321D"/>
    <w:rsid w:val="00C06F69"/>
    <w:rsid w:val="00C13CD4"/>
    <w:rsid w:val="00C16875"/>
    <w:rsid w:val="00C32A31"/>
    <w:rsid w:val="00C32C68"/>
    <w:rsid w:val="00C37729"/>
    <w:rsid w:val="00C41698"/>
    <w:rsid w:val="00C442E5"/>
    <w:rsid w:val="00C448BC"/>
    <w:rsid w:val="00C44BEE"/>
    <w:rsid w:val="00C537DC"/>
    <w:rsid w:val="00C57809"/>
    <w:rsid w:val="00C64F9F"/>
    <w:rsid w:val="00C65851"/>
    <w:rsid w:val="00C73983"/>
    <w:rsid w:val="00C8009E"/>
    <w:rsid w:val="00C80C13"/>
    <w:rsid w:val="00C80DC9"/>
    <w:rsid w:val="00C82084"/>
    <w:rsid w:val="00C832CE"/>
    <w:rsid w:val="00C84F09"/>
    <w:rsid w:val="00C906C5"/>
    <w:rsid w:val="00C911ED"/>
    <w:rsid w:val="00C940B3"/>
    <w:rsid w:val="00C95945"/>
    <w:rsid w:val="00CA09D0"/>
    <w:rsid w:val="00CA14A0"/>
    <w:rsid w:val="00CA1570"/>
    <w:rsid w:val="00CB4BBB"/>
    <w:rsid w:val="00CC233D"/>
    <w:rsid w:val="00CC7096"/>
    <w:rsid w:val="00CD1124"/>
    <w:rsid w:val="00CD184B"/>
    <w:rsid w:val="00CD444E"/>
    <w:rsid w:val="00CD71D6"/>
    <w:rsid w:val="00CE1E40"/>
    <w:rsid w:val="00CE5D8F"/>
    <w:rsid w:val="00CE7FA1"/>
    <w:rsid w:val="00CF324F"/>
    <w:rsid w:val="00D00F97"/>
    <w:rsid w:val="00D0163A"/>
    <w:rsid w:val="00D04680"/>
    <w:rsid w:val="00D13155"/>
    <w:rsid w:val="00D26415"/>
    <w:rsid w:val="00D35F99"/>
    <w:rsid w:val="00D460CD"/>
    <w:rsid w:val="00D504A7"/>
    <w:rsid w:val="00D62738"/>
    <w:rsid w:val="00D6490F"/>
    <w:rsid w:val="00D75C48"/>
    <w:rsid w:val="00D77549"/>
    <w:rsid w:val="00D85080"/>
    <w:rsid w:val="00D93F56"/>
    <w:rsid w:val="00D95FE4"/>
    <w:rsid w:val="00DA165D"/>
    <w:rsid w:val="00DA4197"/>
    <w:rsid w:val="00DA4872"/>
    <w:rsid w:val="00DA5F6D"/>
    <w:rsid w:val="00DC2614"/>
    <w:rsid w:val="00DF18F7"/>
    <w:rsid w:val="00DF299A"/>
    <w:rsid w:val="00DF6E3A"/>
    <w:rsid w:val="00DF7BF3"/>
    <w:rsid w:val="00E12D99"/>
    <w:rsid w:val="00E15C87"/>
    <w:rsid w:val="00E15DA9"/>
    <w:rsid w:val="00E16334"/>
    <w:rsid w:val="00E1783A"/>
    <w:rsid w:val="00E20C35"/>
    <w:rsid w:val="00E232A6"/>
    <w:rsid w:val="00E31051"/>
    <w:rsid w:val="00E446E3"/>
    <w:rsid w:val="00E4600F"/>
    <w:rsid w:val="00E47250"/>
    <w:rsid w:val="00E51825"/>
    <w:rsid w:val="00E53E45"/>
    <w:rsid w:val="00E6241A"/>
    <w:rsid w:val="00E70492"/>
    <w:rsid w:val="00E76109"/>
    <w:rsid w:val="00E81451"/>
    <w:rsid w:val="00E82E32"/>
    <w:rsid w:val="00E85784"/>
    <w:rsid w:val="00E85BD9"/>
    <w:rsid w:val="00E914A2"/>
    <w:rsid w:val="00E943B0"/>
    <w:rsid w:val="00E946AD"/>
    <w:rsid w:val="00E9564B"/>
    <w:rsid w:val="00EA6DBB"/>
    <w:rsid w:val="00EB5F04"/>
    <w:rsid w:val="00EB7B88"/>
    <w:rsid w:val="00EC4672"/>
    <w:rsid w:val="00EC5DC1"/>
    <w:rsid w:val="00ED11CF"/>
    <w:rsid w:val="00ED1FB0"/>
    <w:rsid w:val="00ED2339"/>
    <w:rsid w:val="00ED39B2"/>
    <w:rsid w:val="00ED423B"/>
    <w:rsid w:val="00ED6091"/>
    <w:rsid w:val="00EE09AA"/>
    <w:rsid w:val="00EE4A96"/>
    <w:rsid w:val="00EE6149"/>
    <w:rsid w:val="00EF6C06"/>
    <w:rsid w:val="00F119C4"/>
    <w:rsid w:val="00F247B1"/>
    <w:rsid w:val="00F278F4"/>
    <w:rsid w:val="00F4589F"/>
    <w:rsid w:val="00F5331D"/>
    <w:rsid w:val="00F53FAB"/>
    <w:rsid w:val="00F62B8D"/>
    <w:rsid w:val="00F65926"/>
    <w:rsid w:val="00F71123"/>
    <w:rsid w:val="00F72384"/>
    <w:rsid w:val="00F862EE"/>
    <w:rsid w:val="00F86336"/>
    <w:rsid w:val="00F86DD9"/>
    <w:rsid w:val="00F87E2E"/>
    <w:rsid w:val="00F90F1A"/>
    <w:rsid w:val="00F9650B"/>
    <w:rsid w:val="00FB391A"/>
    <w:rsid w:val="00FC006F"/>
    <w:rsid w:val="00FC515C"/>
    <w:rsid w:val="00FD0302"/>
    <w:rsid w:val="00FD1491"/>
    <w:rsid w:val="00FD1E23"/>
    <w:rsid w:val="00FE1DAB"/>
    <w:rsid w:val="00FE5B9D"/>
    <w:rsid w:val="00FF46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3C1FB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432"/>
    <w:pPr>
      <w:spacing w:after="0" w:line="240" w:lineRule="auto"/>
    </w:pPr>
    <w:rPr>
      <w:rFonts w:eastAsia="Times New Roman" w:cs="Times New Roman"/>
      <w:sz w:val="24"/>
      <w:szCs w:val="24"/>
    </w:rPr>
  </w:style>
  <w:style w:type="paragraph" w:styleId="Heading1">
    <w:name w:val="heading 1"/>
    <w:basedOn w:val="Normal"/>
    <w:next w:val="Normal"/>
    <w:link w:val="Heading1Char"/>
    <w:autoRedefine/>
    <w:uiPriority w:val="9"/>
    <w:qFormat/>
    <w:rsid w:val="004D7169"/>
    <w:pPr>
      <w:keepNext/>
      <w:pBdr>
        <w:bottom w:val="single" w:sz="48" w:space="1" w:color="23378B"/>
      </w:pBdr>
      <w:spacing w:line="500" w:lineRule="exact"/>
      <w:outlineLvl w:val="0"/>
    </w:pPr>
    <w:rPr>
      <w:rFonts w:cs="Calibri"/>
      <w:b/>
      <w:bCs/>
      <w:color w:val="204499"/>
      <w:kern w:val="32"/>
      <w:sz w:val="52"/>
    </w:rPr>
  </w:style>
  <w:style w:type="paragraph" w:styleId="Heading2">
    <w:name w:val="heading 2"/>
    <w:basedOn w:val="Normal"/>
    <w:next w:val="Normal"/>
    <w:link w:val="Heading2Char"/>
    <w:uiPriority w:val="9"/>
    <w:unhideWhenUsed/>
    <w:qFormat/>
    <w:rsid w:val="00245C00"/>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BD6F09"/>
    <w:pPr>
      <w:keepNext/>
      <w:keepLines/>
      <w:spacing w:before="20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52609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2609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251D"/>
    <w:pPr>
      <w:tabs>
        <w:tab w:val="center" w:pos="4513"/>
        <w:tab w:val="right" w:pos="9026"/>
      </w:tabs>
    </w:pPr>
    <w:rPr>
      <w:rFonts w:eastAsiaTheme="minorHAnsi" w:cstheme="minorBidi"/>
      <w:szCs w:val="22"/>
    </w:rPr>
  </w:style>
  <w:style w:type="character" w:customStyle="1" w:styleId="HeaderChar">
    <w:name w:val="Header Char"/>
    <w:basedOn w:val="DefaultParagraphFont"/>
    <w:link w:val="Header"/>
    <w:uiPriority w:val="99"/>
    <w:rsid w:val="001A251D"/>
  </w:style>
  <w:style w:type="paragraph" w:styleId="Footer">
    <w:name w:val="footer"/>
    <w:basedOn w:val="Normal"/>
    <w:link w:val="FooterChar"/>
    <w:uiPriority w:val="99"/>
    <w:unhideWhenUsed/>
    <w:rsid w:val="001A251D"/>
    <w:pPr>
      <w:tabs>
        <w:tab w:val="center" w:pos="4513"/>
        <w:tab w:val="right" w:pos="9026"/>
      </w:tabs>
    </w:pPr>
    <w:rPr>
      <w:rFonts w:eastAsiaTheme="minorHAnsi" w:cstheme="minorBidi"/>
      <w:szCs w:val="22"/>
    </w:rPr>
  </w:style>
  <w:style w:type="character" w:customStyle="1" w:styleId="FooterChar">
    <w:name w:val="Footer Char"/>
    <w:basedOn w:val="DefaultParagraphFont"/>
    <w:link w:val="Footer"/>
    <w:uiPriority w:val="99"/>
    <w:rsid w:val="001A251D"/>
  </w:style>
  <w:style w:type="paragraph" w:styleId="Title">
    <w:name w:val="Title"/>
    <w:basedOn w:val="Normal"/>
    <w:next w:val="Normal"/>
    <w:link w:val="TitleChar"/>
    <w:uiPriority w:val="10"/>
    <w:qFormat/>
    <w:rsid w:val="00742D72"/>
    <w:rPr>
      <w:rFonts w:eastAsiaTheme="minorHAnsi" w:cs="Arial"/>
      <w:b/>
      <w:noProof/>
      <w:color w:val="FFFFFF" w:themeColor="background1"/>
      <w:sz w:val="70"/>
      <w:szCs w:val="70"/>
      <w:lang w:eastAsia="en-AU"/>
    </w:rPr>
  </w:style>
  <w:style w:type="character" w:customStyle="1" w:styleId="TitleChar">
    <w:name w:val="Title Char"/>
    <w:basedOn w:val="DefaultParagraphFont"/>
    <w:link w:val="Title"/>
    <w:uiPriority w:val="10"/>
    <w:rsid w:val="00742D72"/>
    <w:rPr>
      <w:rFonts w:ascii="Arial" w:hAnsi="Arial" w:cs="Arial"/>
      <w:b/>
      <w:noProof/>
      <w:color w:val="FFFFFF" w:themeColor="background1"/>
      <w:sz w:val="70"/>
      <w:szCs w:val="70"/>
      <w:lang w:eastAsia="en-AU"/>
    </w:rPr>
  </w:style>
  <w:style w:type="paragraph" w:customStyle="1" w:styleId="CoverTitle">
    <w:name w:val="Cover Title"/>
    <w:basedOn w:val="Normal"/>
    <w:link w:val="CoverTitleChar"/>
    <w:rsid w:val="001A251D"/>
    <w:pPr>
      <w:spacing w:line="880" w:lineRule="exact"/>
      <w:jc w:val="right"/>
    </w:pPr>
    <w:rPr>
      <w:b/>
      <w:color w:val="54928E"/>
      <w:sz w:val="88"/>
    </w:rPr>
  </w:style>
  <w:style w:type="character" w:customStyle="1" w:styleId="Heading1Char">
    <w:name w:val="Heading 1 Char"/>
    <w:basedOn w:val="DefaultParagraphFont"/>
    <w:link w:val="Heading1"/>
    <w:uiPriority w:val="9"/>
    <w:rsid w:val="004D7169"/>
    <w:rPr>
      <w:rFonts w:eastAsia="Times New Roman" w:cs="Calibri"/>
      <w:b/>
      <w:bCs/>
      <w:color w:val="204499"/>
      <w:kern w:val="32"/>
      <w:sz w:val="52"/>
      <w:szCs w:val="24"/>
    </w:rPr>
  </w:style>
  <w:style w:type="numbering" w:styleId="111111">
    <w:name w:val="Outline List 2"/>
    <w:basedOn w:val="NoList"/>
    <w:rsid w:val="00C73983"/>
    <w:pPr>
      <w:numPr>
        <w:numId w:val="1"/>
      </w:numPr>
    </w:pPr>
  </w:style>
  <w:style w:type="paragraph" w:customStyle="1" w:styleId="DocumentTitle">
    <w:name w:val="Document Title"/>
    <w:basedOn w:val="CoverTitle"/>
    <w:link w:val="DocumentTitleChar"/>
    <w:qFormat/>
    <w:rsid w:val="00742D72"/>
    <w:pPr>
      <w:spacing w:after="120" w:line="240" w:lineRule="auto"/>
      <w:jc w:val="left"/>
    </w:pPr>
    <w:rPr>
      <w:color w:val="FFFFFF" w:themeColor="background1"/>
      <w:sz w:val="56"/>
    </w:rPr>
  </w:style>
  <w:style w:type="paragraph" w:customStyle="1" w:styleId="DocumentDetails">
    <w:name w:val="Document Details"/>
    <w:basedOn w:val="Normal"/>
    <w:link w:val="DocumentDetailsChar"/>
    <w:qFormat/>
    <w:rsid w:val="00742D72"/>
    <w:rPr>
      <w:b/>
      <w:color w:val="FFFFFF" w:themeColor="background1"/>
      <w:sz w:val="28"/>
    </w:rPr>
  </w:style>
  <w:style w:type="character" w:customStyle="1" w:styleId="CoverTitleChar">
    <w:name w:val="Cover Title Char"/>
    <w:basedOn w:val="DefaultParagraphFont"/>
    <w:link w:val="CoverTitle"/>
    <w:rsid w:val="00C73983"/>
    <w:rPr>
      <w:rFonts w:ascii="Arial" w:eastAsia="Times New Roman" w:hAnsi="Arial" w:cs="Times New Roman"/>
      <w:b/>
      <w:color w:val="54928E"/>
      <w:sz w:val="88"/>
      <w:szCs w:val="24"/>
    </w:rPr>
  </w:style>
  <w:style w:type="character" w:customStyle="1" w:styleId="DocumentTitleChar">
    <w:name w:val="Document Title Char"/>
    <w:basedOn w:val="CoverTitleChar"/>
    <w:link w:val="DocumentTitle"/>
    <w:rsid w:val="00742D72"/>
    <w:rPr>
      <w:rFonts w:ascii="Arial" w:eastAsia="Times New Roman" w:hAnsi="Arial" w:cs="Times New Roman"/>
      <w:b/>
      <w:color w:val="FFFFFF" w:themeColor="background1"/>
      <w:sz w:val="56"/>
      <w:szCs w:val="24"/>
    </w:rPr>
  </w:style>
  <w:style w:type="paragraph" w:styleId="ListParagraph">
    <w:name w:val="List Paragraph"/>
    <w:aliases w:val="Bullet table,List Paragraph1,Recommendation,NFP GP Bulleted List,List Paragraph11,Bullet point,Bullets,NAST Quote,L,CV text,Table text,F5 List Paragraph,Dot pt,List Paragraph111,Medium Grid 1 - Accent 21,Numbered Paragraph,List Paragraph2"/>
    <w:basedOn w:val="Normal"/>
    <w:link w:val="ListParagraphChar"/>
    <w:uiPriority w:val="34"/>
    <w:qFormat/>
    <w:rsid w:val="007F74BA"/>
    <w:pPr>
      <w:numPr>
        <w:numId w:val="2"/>
      </w:numPr>
      <w:contextualSpacing/>
    </w:pPr>
  </w:style>
  <w:style w:type="character" w:customStyle="1" w:styleId="DocumentDetailsChar">
    <w:name w:val="Document Details Char"/>
    <w:basedOn w:val="DefaultParagraphFont"/>
    <w:link w:val="DocumentDetails"/>
    <w:rsid w:val="00742D72"/>
    <w:rPr>
      <w:rFonts w:ascii="Arial" w:eastAsia="Times New Roman" w:hAnsi="Arial" w:cs="Times New Roman"/>
      <w:b/>
      <w:color w:val="FFFFFF" w:themeColor="background1"/>
      <w:sz w:val="28"/>
      <w:szCs w:val="24"/>
    </w:rPr>
  </w:style>
  <w:style w:type="paragraph" w:customStyle="1" w:styleId="Pageno">
    <w:name w:val="Page no."/>
    <w:basedOn w:val="Footer"/>
    <w:link w:val="PagenoChar"/>
    <w:qFormat/>
    <w:rsid w:val="00236C00"/>
    <w:rPr>
      <w:rFonts w:ascii="Arial" w:hAnsi="Arial" w:cs="Arial"/>
      <w:b/>
      <w:noProof/>
      <w:color w:val="008687"/>
      <w:sz w:val="22"/>
      <w:lang w:eastAsia="en-AU"/>
    </w:rPr>
  </w:style>
  <w:style w:type="paragraph" w:customStyle="1" w:styleId="agendaparagraph">
    <w:name w:val="agenda paragraph"/>
    <w:basedOn w:val="Normal"/>
    <w:link w:val="agendaparagraphChar"/>
    <w:uiPriority w:val="99"/>
    <w:rsid w:val="00CA09D0"/>
    <w:pPr>
      <w:numPr>
        <w:numId w:val="3"/>
      </w:numPr>
      <w:spacing w:line="480" w:lineRule="auto"/>
      <w:jc w:val="both"/>
    </w:pPr>
    <w:rPr>
      <w:rFonts w:ascii="Times New Roman" w:hAnsi="Times New Roman"/>
      <w:szCs w:val="20"/>
    </w:rPr>
  </w:style>
  <w:style w:type="character" w:customStyle="1" w:styleId="PagenoChar">
    <w:name w:val="Page no. Char"/>
    <w:basedOn w:val="FooterChar"/>
    <w:link w:val="Pageno"/>
    <w:rsid w:val="00236C00"/>
    <w:rPr>
      <w:rFonts w:ascii="Arial" w:hAnsi="Arial" w:cs="Arial"/>
      <w:b/>
      <w:noProof/>
      <w:color w:val="008687"/>
      <w:lang w:eastAsia="en-AU"/>
    </w:rPr>
  </w:style>
  <w:style w:type="paragraph" w:customStyle="1" w:styleId="StyleBefore5ptAfter5pt">
    <w:name w:val="Style Before:  5 pt After:  5 pt"/>
    <w:basedOn w:val="Normal"/>
    <w:uiPriority w:val="99"/>
    <w:rsid w:val="00CA09D0"/>
    <w:rPr>
      <w:rFonts w:ascii="Times New Roman" w:hAnsi="Times New Roman"/>
      <w:szCs w:val="20"/>
    </w:rPr>
  </w:style>
  <w:style w:type="paragraph" w:customStyle="1" w:styleId="NoList0">
    <w:name w:val="No. List"/>
    <w:basedOn w:val="agendaparagraph"/>
    <w:link w:val="NoListChar"/>
    <w:qFormat/>
    <w:rsid w:val="00CA09D0"/>
    <w:pPr>
      <w:spacing w:line="360" w:lineRule="auto"/>
      <w:ind w:right="-759"/>
    </w:pPr>
    <w:rPr>
      <w:rFonts w:asciiTheme="minorHAnsi" w:hAnsiTheme="minorHAnsi"/>
    </w:rPr>
  </w:style>
  <w:style w:type="character" w:customStyle="1" w:styleId="ListParagraphChar">
    <w:name w:val="List Paragraph Char"/>
    <w:aliases w:val="Bullet table Char,List Paragraph1 Char,Recommendation Char,NFP GP Bulleted List Char,List Paragraph11 Char,Bullet point Char,Bullets Char,NAST Quote Char,L Char,CV text Char,Table text Char,F5 List Paragraph Char,Dot pt Char"/>
    <w:basedOn w:val="DefaultParagraphFont"/>
    <w:link w:val="ListParagraph"/>
    <w:uiPriority w:val="34"/>
    <w:locked/>
    <w:rsid w:val="00ED1FB0"/>
    <w:rPr>
      <w:rFonts w:eastAsia="Times New Roman" w:cs="Times New Roman"/>
      <w:sz w:val="24"/>
      <w:szCs w:val="24"/>
    </w:rPr>
  </w:style>
  <w:style w:type="character" w:customStyle="1" w:styleId="agendaparagraphChar">
    <w:name w:val="agenda paragraph Char"/>
    <w:basedOn w:val="DefaultParagraphFont"/>
    <w:link w:val="agendaparagraph"/>
    <w:uiPriority w:val="99"/>
    <w:rsid w:val="00CA09D0"/>
    <w:rPr>
      <w:rFonts w:ascii="Times New Roman" w:eastAsia="Times New Roman" w:hAnsi="Times New Roman" w:cs="Times New Roman"/>
      <w:sz w:val="24"/>
      <w:szCs w:val="20"/>
    </w:rPr>
  </w:style>
  <w:style w:type="character" w:customStyle="1" w:styleId="NoListChar">
    <w:name w:val="No. List Char"/>
    <w:basedOn w:val="agendaparagraphChar"/>
    <w:link w:val="NoList0"/>
    <w:rsid w:val="00CA09D0"/>
    <w:rPr>
      <w:rFonts w:ascii="Times New Roman" w:eastAsia="Times New Roman" w:hAnsi="Times New Roman" w:cs="Times New Roman"/>
      <w:sz w:val="24"/>
      <w:szCs w:val="20"/>
    </w:rPr>
  </w:style>
  <w:style w:type="table" w:styleId="TableGrid">
    <w:name w:val="Table Grid"/>
    <w:basedOn w:val="TableNormal"/>
    <w:uiPriority w:val="39"/>
    <w:rsid w:val="00ED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ED1FB0"/>
    <w:pPr>
      <w:spacing w:after="0" w:line="240" w:lineRule="auto"/>
    </w:pPr>
    <w:tblPr>
      <w:tblStyleRowBandSize w:val="1"/>
      <w:tblStyleColBandSize w:val="1"/>
      <w:tblBorders>
        <w:top w:val="single" w:sz="4" w:space="0" w:color="204498"/>
        <w:left w:val="single" w:sz="4" w:space="0" w:color="204498"/>
        <w:bottom w:val="single" w:sz="4" w:space="0" w:color="204498"/>
        <w:right w:val="single" w:sz="4" w:space="0" w:color="204498"/>
        <w:insideH w:val="single" w:sz="4" w:space="0" w:color="204498"/>
        <w:insideV w:val="single" w:sz="4" w:space="0" w:color="204498"/>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Emphasis">
    <w:name w:val="Emphasis"/>
    <w:basedOn w:val="DefaultParagraphFont"/>
    <w:qFormat/>
    <w:rsid w:val="001100D7"/>
    <w:rPr>
      <w:b/>
      <w:iCs/>
      <w:color w:val="FFFFFF" w:themeColor="background1"/>
      <w:sz w:val="24"/>
    </w:rPr>
  </w:style>
  <w:style w:type="paragraph" w:styleId="BalloonText">
    <w:name w:val="Balloon Text"/>
    <w:basedOn w:val="Normal"/>
    <w:link w:val="BalloonTextChar"/>
    <w:uiPriority w:val="99"/>
    <w:semiHidden/>
    <w:unhideWhenUsed/>
    <w:rsid w:val="008D4F42"/>
    <w:rPr>
      <w:rFonts w:ascii="Tahoma" w:hAnsi="Tahoma" w:cs="Tahoma"/>
      <w:sz w:val="16"/>
      <w:szCs w:val="16"/>
    </w:rPr>
  </w:style>
  <w:style w:type="character" w:customStyle="1" w:styleId="BalloonTextChar">
    <w:name w:val="Balloon Text Char"/>
    <w:basedOn w:val="DefaultParagraphFont"/>
    <w:link w:val="BalloonText"/>
    <w:uiPriority w:val="99"/>
    <w:semiHidden/>
    <w:rsid w:val="008D4F42"/>
    <w:rPr>
      <w:rFonts w:ascii="Tahoma" w:eastAsia="Times New Roman" w:hAnsi="Tahoma" w:cs="Tahoma"/>
      <w:sz w:val="16"/>
      <w:szCs w:val="16"/>
    </w:rPr>
  </w:style>
  <w:style w:type="character" w:customStyle="1" w:styleId="Heading2Char">
    <w:name w:val="Heading 2 Char"/>
    <w:basedOn w:val="DefaultParagraphFont"/>
    <w:link w:val="Heading2"/>
    <w:uiPriority w:val="9"/>
    <w:rsid w:val="00245C00"/>
    <w:rPr>
      <w:rFonts w:eastAsiaTheme="majorEastAsia" w:cstheme="majorBidi"/>
      <w:b/>
      <w:bCs/>
      <w:sz w:val="28"/>
      <w:szCs w:val="26"/>
    </w:rPr>
  </w:style>
  <w:style w:type="character" w:styleId="PageNumber">
    <w:name w:val="page number"/>
    <w:basedOn w:val="DefaultParagraphFont"/>
    <w:rsid w:val="00F53FAB"/>
    <w:rPr>
      <w:rFonts w:ascii="Arial" w:hAnsi="Arial"/>
      <w:color w:val="FFFFFF"/>
      <w:sz w:val="26"/>
    </w:rPr>
  </w:style>
  <w:style w:type="paragraph" w:styleId="PlainText">
    <w:name w:val="Plain Text"/>
    <w:basedOn w:val="Normal"/>
    <w:link w:val="PlainTextChar"/>
    <w:uiPriority w:val="99"/>
    <w:unhideWhenUsed/>
    <w:rsid w:val="00F53FAB"/>
    <w:rPr>
      <w:rFonts w:ascii="Consolas" w:eastAsiaTheme="minorHAnsi" w:hAnsi="Consolas" w:cstheme="minorBidi"/>
      <w:szCs w:val="22"/>
    </w:rPr>
  </w:style>
  <w:style w:type="character" w:customStyle="1" w:styleId="PlainTextChar">
    <w:name w:val="Plain Text Char"/>
    <w:basedOn w:val="DefaultParagraphFont"/>
    <w:link w:val="PlainText"/>
    <w:uiPriority w:val="99"/>
    <w:rsid w:val="00F53FAB"/>
    <w:rPr>
      <w:rFonts w:ascii="Consolas" w:hAnsi="Consolas"/>
      <w:sz w:val="24"/>
    </w:rPr>
  </w:style>
  <w:style w:type="paragraph" w:styleId="TOCHeading">
    <w:name w:val="TOC Heading"/>
    <w:basedOn w:val="Heading1"/>
    <w:next w:val="Normal"/>
    <w:uiPriority w:val="39"/>
    <w:unhideWhenUsed/>
    <w:qFormat/>
    <w:rsid w:val="00C64F9F"/>
    <w:pPr>
      <w:keepLines/>
      <w:pBdr>
        <w:bottom w:val="none" w:sz="0" w:space="0" w:color="auto"/>
      </w:pBdr>
      <w:spacing w:before="480" w:line="276" w:lineRule="auto"/>
      <w:outlineLvl w:val="9"/>
    </w:pPr>
    <w:rPr>
      <w:rFonts w:asciiTheme="majorHAnsi" w:eastAsiaTheme="majorEastAsia" w:hAnsiTheme="majorHAnsi" w:cstheme="majorBidi"/>
      <w:bCs w:val="0"/>
      <w:color w:val="365F91" w:themeColor="accent1" w:themeShade="BF"/>
      <w:kern w:val="0"/>
      <w:sz w:val="28"/>
      <w:szCs w:val="28"/>
      <w:lang w:val="en-US" w:eastAsia="ja-JP"/>
    </w:rPr>
  </w:style>
  <w:style w:type="paragraph" w:styleId="TOC1">
    <w:name w:val="toc 1"/>
    <w:basedOn w:val="Normal"/>
    <w:next w:val="Normal"/>
    <w:autoRedefine/>
    <w:uiPriority w:val="39"/>
    <w:unhideWhenUsed/>
    <w:rsid w:val="00C64F9F"/>
    <w:pPr>
      <w:spacing w:after="100"/>
    </w:pPr>
  </w:style>
  <w:style w:type="character" w:styleId="Hyperlink">
    <w:name w:val="Hyperlink"/>
    <w:basedOn w:val="DefaultParagraphFont"/>
    <w:uiPriority w:val="99"/>
    <w:unhideWhenUsed/>
    <w:rsid w:val="00C64F9F"/>
    <w:rPr>
      <w:color w:val="0000FF" w:themeColor="hyperlink"/>
      <w:u w:val="single"/>
    </w:rPr>
  </w:style>
  <w:style w:type="character" w:customStyle="1" w:styleId="Heading3Char">
    <w:name w:val="Heading 3 Char"/>
    <w:basedOn w:val="DefaultParagraphFont"/>
    <w:link w:val="Heading3"/>
    <w:uiPriority w:val="9"/>
    <w:rsid w:val="00BD6F09"/>
    <w:rPr>
      <w:rFonts w:eastAsiaTheme="majorEastAsia" w:cstheme="majorBidi"/>
      <w:b/>
      <w:bCs/>
      <w:sz w:val="24"/>
      <w:szCs w:val="24"/>
    </w:rPr>
  </w:style>
  <w:style w:type="paragraph" w:styleId="TOC2">
    <w:name w:val="toc 2"/>
    <w:basedOn w:val="Normal"/>
    <w:next w:val="Normal"/>
    <w:autoRedefine/>
    <w:uiPriority w:val="39"/>
    <w:unhideWhenUsed/>
    <w:rsid w:val="00CF324F"/>
    <w:pPr>
      <w:spacing w:after="100"/>
      <w:ind w:left="200"/>
    </w:pPr>
  </w:style>
  <w:style w:type="paragraph" w:styleId="NormalWeb">
    <w:name w:val="Normal (Web)"/>
    <w:basedOn w:val="Normal"/>
    <w:uiPriority w:val="99"/>
    <w:semiHidden/>
    <w:unhideWhenUsed/>
    <w:rsid w:val="0084206B"/>
    <w:pPr>
      <w:spacing w:before="100" w:beforeAutospacing="1" w:after="100" w:afterAutospacing="1"/>
    </w:pPr>
    <w:rPr>
      <w:rFonts w:ascii="Times New Roman" w:eastAsiaTheme="minorEastAsia" w:hAnsi="Times New Roman"/>
      <w:lang w:eastAsia="en-AU"/>
    </w:rPr>
  </w:style>
  <w:style w:type="paragraph" w:styleId="BodyText">
    <w:name w:val="Body Text"/>
    <w:basedOn w:val="Normal"/>
    <w:link w:val="BodyTextChar"/>
    <w:uiPriority w:val="1"/>
    <w:qFormat/>
    <w:rsid w:val="00222C6B"/>
    <w:pPr>
      <w:widowControl w:val="0"/>
      <w:ind w:left="118"/>
    </w:pPr>
    <w:rPr>
      <w:rFonts w:eastAsia="Arial" w:cstheme="minorBidi"/>
      <w:szCs w:val="20"/>
      <w:lang w:val="en-US"/>
    </w:rPr>
  </w:style>
  <w:style w:type="character" w:customStyle="1" w:styleId="BodyTextChar">
    <w:name w:val="Body Text Char"/>
    <w:basedOn w:val="DefaultParagraphFont"/>
    <w:link w:val="BodyText"/>
    <w:uiPriority w:val="1"/>
    <w:rsid w:val="00222C6B"/>
    <w:rPr>
      <w:rFonts w:ascii="Arial" w:eastAsia="Arial" w:hAnsi="Arial"/>
      <w:sz w:val="20"/>
      <w:szCs w:val="20"/>
      <w:lang w:val="en-US"/>
    </w:rPr>
  </w:style>
  <w:style w:type="character" w:styleId="CommentReference">
    <w:name w:val="annotation reference"/>
    <w:basedOn w:val="DefaultParagraphFont"/>
    <w:uiPriority w:val="99"/>
    <w:semiHidden/>
    <w:unhideWhenUsed/>
    <w:rsid w:val="00D00F97"/>
    <w:rPr>
      <w:sz w:val="16"/>
      <w:szCs w:val="16"/>
    </w:rPr>
  </w:style>
  <w:style w:type="paragraph" w:styleId="CommentText">
    <w:name w:val="annotation text"/>
    <w:basedOn w:val="Normal"/>
    <w:link w:val="CommentTextChar"/>
    <w:uiPriority w:val="99"/>
    <w:unhideWhenUsed/>
    <w:rsid w:val="00D00F97"/>
    <w:rPr>
      <w:szCs w:val="20"/>
    </w:rPr>
  </w:style>
  <w:style w:type="character" w:customStyle="1" w:styleId="CommentTextChar">
    <w:name w:val="Comment Text Char"/>
    <w:basedOn w:val="DefaultParagraphFont"/>
    <w:link w:val="CommentText"/>
    <w:uiPriority w:val="99"/>
    <w:rsid w:val="00D00F9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00F97"/>
    <w:rPr>
      <w:b/>
      <w:bCs/>
    </w:rPr>
  </w:style>
  <w:style w:type="character" w:customStyle="1" w:styleId="CommentSubjectChar">
    <w:name w:val="Comment Subject Char"/>
    <w:basedOn w:val="CommentTextChar"/>
    <w:link w:val="CommentSubject"/>
    <w:uiPriority w:val="99"/>
    <w:semiHidden/>
    <w:rsid w:val="00D00F97"/>
    <w:rPr>
      <w:rFonts w:ascii="Arial" w:eastAsia="Times New Roman" w:hAnsi="Arial" w:cs="Times New Roman"/>
      <w:b/>
      <w:bCs/>
      <w:sz w:val="20"/>
      <w:szCs w:val="20"/>
    </w:rPr>
  </w:style>
  <w:style w:type="paragraph" w:customStyle="1" w:styleId="Default">
    <w:name w:val="Default"/>
    <w:rsid w:val="00DA4872"/>
    <w:pPr>
      <w:autoSpaceDE w:val="0"/>
      <w:autoSpaceDN w:val="0"/>
      <w:adjustRightInd w:val="0"/>
      <w:spacing w:after="0" w:line="240" w:lineRule="auto"/>
    </w:pPr>
    <w:rPr>
      <w:rFonts w:ascii="Calibri" w:hAnsi="Calibri" w:cs="Calibri"/>
      <w:color w:val="000000"/>
      <w:sz w:val="24"/>
      <w:szCs w:val="24"/>
    </w:rPr>
  </w:style>
  <w:style w:type="paragraph" w:customStyle="1" w:styleId="p1">
    <w:name w:val="p1"/>
    <w:basedOn w:val="Normal"/>
    <w:rsid w:val="00380D8F"/>
    <w:rPr>
      <w:rFonts w:ascii=".SF UI Text" w:eastAsia="Calibri" w:hAnsi=".SF UI Text"/>
      <w:color w:val="454545"/>
      <w:sz w:val="26"/>
      <w:szCs w:val="26"/>
      <w:lang w:eastAsia="en-AU"/>
    </w:rPr>
  </w:style>
  <w:style w:type="paragraph" w:customStyle="1" w:styleId="p2">
    <w:name w:val="p2"/>
    <w:basedOn w:val="Normal"/>
    <w:rsid w:val="00380D8F"/>
    <w:rPr>
      <w:rFonts w:ascii=".SF UI Text" w:eastAsia="Calibri" w:hAnsi=".SF UI Text"/>
      <w:color w:val="454545"/>
      <w:sz w:val="26"/>
      <w:szCs w:val="26"/>
      <w:lang w:eastAsia="en-AU"/>
    </w:rPr>
  </w:style>
  <w:style w:type="character" w:customStyle="1" w:styleId="s1">
    <w:name w:val="s1"/>
    <w:basedOn w:val="DefaultParagraphFont"/>
    <w:rsid w:val="00380D8F"/>
    <w:rPr>
      <w:rFonts w:ascii=".SFUIText-Regular" w:hAnsi=".SFUIText-Regular" w:cs="Times New Roman"/>
      <w:sz w:val="34"/>
      <w:szCs w:val="34"/>
    </w:rPr>
  </w:style>
  <w:style w:type="character" w:customStyle="1" w:styleId="apple-tab-span">
    <w:name w:val="apple-tab-span"/>
    <w:basedOn w:val="DefaultParagraphFont"/>
    <w:uiPriority w:val="99"/>
    <w:rsid w:val="00380D8F"/>
    <w:rPr>
      <w:rFonts w:cs="Times New Roman"/>
    </w:rPr>
  </w:style>
  <w:style w:type="character" w:customStyle="1" w:styleId="apple-converted-space">
    <w:name w:val="apple-converted-space"/>
    <w:basedOn w:val="DefaultParagraphFont"/>
    <w:rsid w:val="00380D8F"/>
    <w:rPr>
      <w:rFonts w:cs="Times New Roman"/>
    </w:rPr>
  </w:style>
  <w:style w:type="paragraph" w:customStyle="1" w:styleId="tabletext">
    <w:name w:val="tabletext"/>
    <w:basedOn w:val="Normal"/>
    <w:uiPriority w:val="99"/>
    <w:rsid w:val="00380D8F"/>
    <w:pPr>
      <w:spacing w:before="100" w:beforeAutospacing="1" w:after="100" w:afterAutospacing="1"/>
    </w:pPr>
    <w:rPr>
      <w:rFonts w:ascii="Times New Roman" w:hAnsi="Times New Roman"/>
      <w:lang w:eastAsia="en-AU"/>
    </w:rPr>
  </w:style>
  <w:style w:type="paragraph" w:styleId="FootnoteText">
    <w:name w:val="footnote text"/>
    <w:basedOn w:val="Normal"/>
    <w:link w:val="FootnoteTextChar"/>
    <w:uiPriority w:val="99"/>
    <w:semiHidden/>
    <w:rsid w:val="00380D8F"/>
    <w:rPr>
      <w:rFonts w:ascii="Calibri" w:eastAsia="Calibri" w:hAnsi="Calibri"/>
      <w:szCs w:val="20"/>
    </w:rPr>
  </w:style>
  <w:style w:type="character" w:customStyle="1" w:styleId="FootnoteTextChar">
    <w:name w:val="Footnote Text Char"/>
    <w:basedOn w:val="DefaultParagraphFont"/>
    <w:link w:val="FootnoteText"/>
    <w:uiPriority w:val="99"/>
    <w:semiHidden/>
    <w:rsid w:val="00380D8F"/>
    <w:rPr>
      <w:rFonts w:ascii="Calibri" w:eastAsia="Calibri" w:hAnsi="Calibri" w:cs="Times New Roman"/>
      <w:sz w:val="20"/>
      <w:szCs w:val="20"/>
    </w:rPr>
  </w:style>
  <w:style w:type="character" w:styleId="FootnoteReference">
    <w:name w:val="footnote reference"/>
    <w:basedOn w:val="DefaultParagraphFont"/>
    <w:uiPriority w:val="99"/>
    <w:semiHidden/>
    <w:rsid w:val="00380D8F"/>
    <w:rPr>
      <w:rFonts w:cs="Times New Roman"/>
      <w:vertAlign w:val="superscript"/>
    </w:rPr>
  </w:style>
  <w:style w:type="paragraph" w:styleId="NoSpacing">
    <w:name w:val="No Spacing"/>
    <w:uiPriority w:val="1"/>
    <w:qFormat/>
    <w:rsid w:val="003D35E9"/>
    <w:pPr>
      <w:spacing w:after="0" w:line="240" w:lineRule="auto"/>
    </w:pPr>
    <w:rPr>
      <w:rFonts w:eastAsia="Times New Roman" w:cs="Times New Roman"/>
      <w:sz w:val="24"/>
      <w:szCs w:val="24"/>
    </w:rPr>
  </w:style>
  <w:style w:type="paragraph" w:styleId="Subtitle">
    <w:name w:val="Subtitle"/>
    <w:basedOn w:val="Normal"/>
    <w:next w:val="Normal"/>
    <w:link w:val="SubtitleChar"/>
    <w:qFormat/>
    <w:rsid w:val="002C1975"/>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2C1975"/>
    <w:rPr>
      <w:rFonts w:eastAsiaTheme="minorEastAsia"/>
      <w:color w:val="5A5A5A" w:themeColor="text1" w:themeTint="A5"/>
      <w:spacing w:val="15"/>
    </w:rPr>
  </w:style>
  <w:style w:type="character" w:customStyle="1" w:styleId="Heading4Char">
    <w:name w:val="Heading 4 Char"/>
    <w:basedOn w:val="DefaultParagraphFont"/>
    <w:link w:val="Heading4"/>
    <w:uiPriority w:val="9"/>
    <w:semiHidden/>
    <w:rsid w:val="0052609F"/>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52609F"/>
    <w:rPr>
      <w:rFonts w:asciiTheme="majorHAnsi" w:eastAsiaTheme="majorEastAsia" w:hAnsiTheme="majorHAnsi" w:cstheme="majorBidi"/>
      <w:color w:val="365F91" w:themeColor="accent1" w:themeShade="BF"/>
      <w:sz w:val="24"/>
      <w:szCs w:val="24"/>
    </w:rPr>
  </w:style>
  <w:style w:type="paragraph" w:styleId="EndnoteText">
    <w:name w:val="endnote text"/>
    <w:basedOn w:val="Normal"/>
    <w:link w:val="EndnoteTextChar"/>
    <w:uiPriority w:val="99"/>
    <w:semiHidden/>
    <w:unhideWhenUsed/>
    <w:rsid w:val="00DC2614"/>
    <w:rPr>
      <w:sz w:val="20"/>
      <w:szCs w:val="20"/>
    </w:rPr>
  </w:style>
  <w:style w:type="character" w:customStyle="1" w:styleId="EndnoteTextChar">
    <w:name w:val="Endnote Text Char"/>
    <w:basedOn w:val="DefaultParagraphFont"/>
    <w:link w:val="EndnoteText"/>
    <w:uiPriority w:val="99"/>
    <w:semiHidden/>
    <w:rsid w:val="00DC2614"/>
    <w:rPr>
      <w:rFonts w:eastAsia="Times New Roman" w:cs="Times New Roman"/>
      <w:sz w:val="20"/>
      <w:szCs w:val="20"/>
    </w:rPr>
  </w:style>
  <w:style w:type="character" w:styleId="EndnoteReference">
    <w:name w:val="endnote reference"/>
    <w:basedOn w:val="DefaultParagraphFont"/>
    <w:uiPriority w:val="99"/>
    <w:semiHidden/>
    <w:unhideWhenUsed/>
    <w:rsid w:val="00DC2614"/>
    <w:rPr>
      <w:vertAlign w:val="superscript"/>
    </w:rPr>
  </w:style>
  <w:style w:type="paragraph" w:styleId="TOC3">
    <w:name w:val="toc 3"/>
    <w:basedOn w:val="Normal"/>
    <w:next w:val="Normal"/>
    <w:autoRedefine/>
    <w:uiPriority w:val="39"/>
    <w:unhideWhenUsed/>
    <w:rsid w:val="004D7169"/>
    <w:pPr>
      <w:tabs>
        <w:tab w:val="left" w:pos="1100"/>
        <w:tab w:val="right" w:leader="dot" w:pos="9016"/>
      </w:tabs>
      <w:spacing w:after="100"/>
      <w:ind w:left="480"/>
    </w:pPr>
  </w:style>
  <w:style w:type="paragraph" w:customStyle="1" w:styleId="TableParagraph">
    <w:name w:val="Table Paragraph"/>
    <w:basedOn w:val="Normal"/>
    <w:uiPriority w:val="1"/>
    <w:qFormat/>
    <w:rsid w:val="00DF18F7"/>
    <w:pPr>
      <w:widowControl w:val="0"/>
      <w:autoSpaceDE w:val="0"/>
      <w:autoSpaceDN w:val="0"/>
      <w:jc w:val="right"/>
    </w:pPr>
    <w:rPr>
      <w:rFonts w:ascii="Calibri" w:eastAsia="Calibri" w:hAnsi="Calibri" w:cs="Calibri"/>
      <w:sz w:val="22"/>
      <w:szCs w:val="22"/>
      <w:lang w:val="en-US"/>
    </w:rPr>
  </w:style>
  <w:style w:type="character" w:styleId="FollowedHyperlink">
    <w:name w:val="FollowedHyperlink"/>
    <w:basedOn w:val="DefaultParagraphFont"/>
    <w:uiPriority w:val="99"/>
    <w:semiHidden/>
    <w:unhideWhenUsed/>
    <w:rsid w:val="00DF18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495993">
      <w:bodyDiv w:val="1"/>
      <w:marLeft w:val="0"/>
      <w:marRight w:val="0"/>
      <w:marTop w:val="0"/>
      <w:marBottom w:val="0"/>
      <w:divBdr>
        <w:top w:val="none" w:sz="0" w:space="0" w:color="auto"/>
        <w:left w:val="none" w:sz="0" w:space="0" w:color="auto"/>
        <w:bottom w:val="none" w:sz="0" w:space="0" w:color="auto"/>
        <w:right w:val="none" w:sz="0" w:space="0" w:color="auto"/>
      </w:divBdr>
    </w:div>
    <w:div w:id="700319272">
      <w:bodyDiv w:val="1"/>
      <w:marLeft w:val="0"/>
      <w:marRight w:val="0"/>
      <w:marTop w:val="0"/>
      <w:marBottom w:val="0"/>
      <w:divBdr>
        <w:top w:val="none" w:sz="0" w:space="0" w:color="auto"/>
        <w:left w:val="none" w:sz="0" w:space="0" w:color="auto"/>
        <w:bottom w:val="none" w:sz="0" w:space="0" w:color="auto"/>
        <w:right w:val="none" w:sz="0" w:space="0" w:color="auto"/>
      </w:divBdr>
    </w:div>
    <w:div w:id="761340624">
      <w:bodyDiv w:val="1"/>
      <w:marLeft w:val="0"/>
      <w:marRight w:val="0"/>
      <w:marTop w:val="0"/>
      <w:marBottom w:val="0"/>
      <w:divBdr>
        <w:top w:val="none" w:sz="0" w:space="0" w:color="auto"/>
        <w:left w:val="none" w:sz="0" w:space="0" w:color="auto"/>
        <w:bottom w:val="none" w:sz="0" w:space="0" w:color="auto"/>
        <w:right w:val="none" w:sz="0" w:space="0" w:color="auto"/>
      </w:divBdr>
    </w:div>
    <w:div w:id="831141974">
      <w:bodyDiv w:val="1"/>
      <w:marLeft w:val="0"/>
      <w:marRight w:val="0"/>
      <w:marTop w:val="0"/>
      <w:marBottom w:val="0"/>
      <w:divBdr>
        <w:top w:val="none" w:sz="0" w:space="0" w:color="auto"/>
        <w:left w:val="none" w:sz="0" w:space="0" w:color="auto"/>
        <w:bottom w:val="none" w:sz="0" w:space="0" w:color="auto"/>
        <w:right w:val="none" w:sz="0" w:space="0" w:color="auto"/>
      </w:divBdr>
    </w:div>
    <w:div w:id="916327711">
      <w:bodyDiv w:val="1"/>
      <w:marLeft w:val="0"/>
      <w:marRight w:val="0"/>
      <w:marTop w:val="0"/>
      <w:marBottom w:val="0"/>
      <w:divBdr>
        <w:top w:val="none" w:sz="0" w:space="0" w:color="auto"/>
        <w:left w:val="none" w:sz="0" w:space="0" w:color="auto"/>
        <w:bottom w:val="none" w:sz="0" w:space="0" w:color="auto"/>
        <w:right w:val="none" w:sz="0" w:space="0" w:color="auto"/>
      </w:divBdr>
    </w:div>
    <w:div w:id="940919025">
      <w:bodyDiv w:val="1"/>
      <w:marLeft w:val="0"/>
      <w:marRight w:val="0"/>
      <w:marTop w:val="0"/>
      <w:marBottom w:val="0"/>
      <w:divBdr>
        <w:top w:val="none" w:sz="0" w:space="0" w:color="auto"/>
        <w:left w:val="none" w:sz="0" w:space="0" w:color="auto"/>
        <w:bottom w:val="none" w:sz="0" w:space="0" w:color="auto"/>
        <w:right w:val="none" w:sz="0" w:space="0" w:color="auto"/>
      </w:divBdr>
    </w:div>
    <w:div w:id="1046222681">
      <w:bodyDiv w:val="1"/>
      <w:marLeft w:val="0"/>
      <w:marRight w:val="0"/>
      <w:marTop w:val="0"/>
      <w:marBottom w:val="0"/>
      <w:divBdr>
        <w:top w:val="none" w:sz="0" w:space="0" w:color="auto"/>
        <w:left w:val="none" w:sz="0" w:space="0" w:color="auto"/>
        <w:bottom w:val="none" w:sz="0" w:space="0" w:color="auto"/>
        <w:right w:val="none" w:sz="0" w:space="0" w:color="auto"/>
      </w:divBdr>
    </w:div>
    <w:div w:id="1076319397">
      <w:bodyDiv w:val="1"/>
      <w:marLeft w:val="0"/>
      <w:marRight w:val="0"/>
      <w:marTop w:val="0"/>
      <w:marBottom w:val="0"/>
      <w:divBdr>
        <w:top w:val="none" w:sz="0" w:space="0" w:color="auto"/>
        <w:left w:val="none" w:sz="0" w:space="0" w:color="auto"/>
        <w:bottom w:val="none" w:sz="0" w:space="0" w:color="auto"/>
        <w:right w:val="none" w:sz="0" w:space="0" w:color="auto"/>
      </w:divBdr>
    </w:div>
    <w:div w:id="1293561816">
      <w:bodyDiv w:val="1"/>
      <w:marLeft w:val="0"/>
      <w:marRight w:val="0"/>
      <w:marTop w:val="0"/>
      <w:marBottom w:val="0"/>
      <w:divBdr>
        <w:top w:val="none" w:sz="0" w:space="0" w:color="auto"/>
        <w:left w:val="none" w:sz="0" w:space="0" w:color="auto"/>
        <w:bottom w:val="none" w:sz="0" w:space="0" w:color="auto"/>
        <w:right w:val="none" w:sz="0" w:space="0" w:color="auto"/>
      </w:divBdr>
    </w:div>
    <w:div w:id="1366716891">
      <w:bodyDiv w:val="1"/>
      <w:marLeft w:val="0"/>
      <w:marRight w:val="0"/>
      <w:marTop w:val="0"/>
      <w:marBottom w:val="0"/>
      <w:divBdr>
        <w:top w:val="none" w:sz="0" w:space="0" w:color="auto"/>
        <w:left w:val="none" w:sz="0" w:space="0" w:color="auto"/>
        <w:bottom w:val="none" w:sz="0" w:space="0" w:color="auto"/>
        <w:right w:val="none" w:sz="0" w:space="0" w:color="auto"/>
      </w:divBdr>
    </w:div>
    <w:div w:id="1481264058">
      <w:bodyDiv w:val="1"/>
      <w:marLeft w:val="0"/>
      <w:marRight w:val="0"/>
      <w:marTop w:val="0"/>
      <w:marBottom w:val="0"/>
      <w:divBdr>
        <w:top w:val="none" w:sz="0" w:space="0" w:color="auto"/>
        <w:left w:val="none" w:sz="0" w:space="0" w:color="auto"/>
        <w:bottom w:val="none" w:sz="0" w:space="0" w:color="auto"/>
        <w:right w:val="none" w:sz="0" w:space="0" w:color="auto"/>
      </w:divBdr>
    </w:div>
    <w:div w:id="1764256190">
      <w:bodyDiv w:val="1"/>
      <w:marLeft w:val="0"/>
      <w:marRight w:val="0"/>
      <w:marTop w:val="0"/>
      <w:marBottom w:val="0"/>
      <w:divBdr>
        <w:top w:val="none" w:sz="0" w:space="0" w:color="auto"/>
        <w:left w:val="none" w:sz="0" w:space="0" w:color="auto"/>
        <w:bottom w:val="none" w:sz="0" w:space="0" w:color="auto"/>
        <w:right w:val="none" w:sz="0" w:space="0" w:color="auto"/>
      </w:divBdr>
    </w:div>
    <w:div w:id="2029524934">
      <w:bodyDiv w:val="1"/>
      <w:marLeft w:val="0"/>
      <w:marRight w:val="0"/>
      <w:marTop w:val="0"/>
      <w:marBottom w:val="0"/>
      <w:divBdr>
        <w:top w:val="none" w:sz="0" w:space="0" w:color="auto"/>
        <w:left w:val="none" w:sz="0" w:space="0" w:color="auto"/>
        <w:bottom w:val="none" w:sz="0" w:space="0" w:color="auto"/>
        <w:right w:val="none" w:sz="0" w:space="0" w:color="auto"/>
      </w:divBdr>
    </w:div>
    <w:div w:id="212784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customXml" Target="../customXml/item6.xm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customXml" Target="../customXml/item5.xml"/></Relationships>
</file>

<file path=word/_rels/footnotes.xml.rels><?xml version="1.0" encoding="UTF-8" standalone="yes"?>
<Relationships xmlns="http://schemas.openxmlformats.org/package/2006/relationships"><Relationship Id="rId3" Type="http://schemas.openxmlformats.org/officeDocument/2006/relationships/hyperlink" Target="https://docs.jobs.gov.au/system/files/doc/other/2544registerednursesnsw_2.pdf" TargetMode="External"/><Relationship Id="rId2" Type="http://schemas.openxmlformats.org/officeDocument/2006/relationships/hyperlink" Target="https://www.myhealthrecord.gov.au/sites/default/files/mhr_stats_marchnovember2019.pdf?v=1576471841" TargetMode="External"/><Relationship Id="rId1" Type="http://schemas.openxmlformats.org/officeDocument/2006/relationships/hyperlink" Target="https://www1.health.gov.au/internet/main/publishing.nsf/Content/private-health-insurance-reforms-fact-sheet-prostheses-list-benefit-reductions" TargetMode="External"/><Relationship Id="rId4" Type="http://schemas.openxmlformats.org/officeDocument/2006/relationships/hyperlink" Target="https://data.gov.au/dataset/ds-dga-2515b21d-0dba-4810-afd4-ac8dd92e873e/details?q="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APHA-FDS-01\K%20drive\APHA\15.%20Policy\Manager-Research%20and%20Data\APRA\APRA%20Statistical%20Trend%20data\APRA%20quarterly%20update%20document.xlsm"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 People with hospital cover - age distribution</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2"/>
          <c:order val="0"/>
          <c:tx>
            <c:v>Sep-99</c:v>
          </c:tx>
          <c:spPr>
            <a:ln w="28575" cap="rnd">
              <a:solidFill>
                <a:schemeClr val="accent3"/>
              </a:solidFill>
              <a:round/>
            </a:ln>
            <a:effectLst/>
          </c:spPr>
          <c:marker>
            <c:symbol val="none"/>
          </c:marker>
          <c:cat>
            <c:strRef>
              <c:f>Age!$AC$4:$AJ$4</c:f>
              <c:strCache>
                <c:ptCount val="8"/>
                <c:pt idx="0">
                  <c:v>0–9</c:v>
                </c:pt>
                <c:pt idx="1">
                  <c:v>10–19</c:v>
                </c:pt>
                <c:pt idx="2">
                  <c:v>20–29</c:v>
                </c:pt>
                <c:pt idx="3">
                  <c:v>30–39</c:v>
                </c:pt>
                <c:pt idx="4">
                  <c:v>40–49</c:v>
                </c:pt>
                <c:pt idx="5">
                  <c:v>50–59</c:v>
                </c:pt>
                <c:pt idx="6">
                  <c:v>60–69</c:v>
                </c:pt>
                <c:pt idx="7">
                  <c:v>70+</c:v>
                </c:pt>
              </c:strCache>
            </c:strRef>
          </c:cat>
          <c:val>
            <c:numRef>
              <c:f>Age!$AC$13:$AJ$13</c:f>
              <c:numCache>
                <c:formatCode>0.0</c:formatCode>
                <c:ptCount val="8"/>
                <c:pt idx="0">
                  <c:v>11.874554080656516</c:v>
                </c:pt>
                <c:pt idx="1">
                  <c:v>13.763927710213297</c:v>
                </c:pt>
                <c:pt idx="2">
                  <c:v>8.7510896477436688</c:v>
                </c:pt>
                <c:pt idx="3">
                  <c:v>13.431710370865664</c:v>
                </c:pt>
                <c:pt idx="4">
                  <c:v>16.669038111437981</c:v>
                </c:pt>
                <c:pt idx="5">
                  <c:v>15.640091430232491</c:v>
                </c:pt>
                <c:pt idx="6">
                  <c:v>9.9709687617900133</c:v>
                </c:pt>
                <c:pt idx="7">
                  <c:v>9.8986198870603666</c:v>
                </c:pt>
              </c:numCache>
            </c:numRef>
          </c:val>
          <c:smooth val="0"/>
          <c:extLst>
            <c:ext xmlns:c16="http://schemas.microsoft.com/office/drawing/2014/chart" uri="{C3380CC4-5D6E-409C-BE32-E72D297353CC}">
              <c16:uniqueId val="{00000000-CF91-454D-87EA-40D0F842D047}"/>
            </c:ext>
          </c:extLst>
        </c:ser>
        <c:ser>
          <c:idx val="3"/>
          <c:order val="1"/>
          <c:tx>
            <c:v>Sep-01</c:v>
          </c:tx>
          <c:spPr>
            <a:ln w="28575" cap="rnd">
              <a:solidFill>
                <a:schemeClr val="accent4"/>
              </a:solidFill>
              <a:round/>
            </a:ln>
            <a:effectLst/>
          </c:spPr>
          <c:marker>
            <c:symbol val="none"/>
          </c:marker>
          <c:cat>
            <c:strRef>
              <c:f>Age!$AC$4:$AJ$4</c:f>
              <c:strCache>
                <c:ptCount val="8"/>
                <c:pt idx="0">
                  <c:v>0–9</c:v>
                </c:pt>
                <c:pt idx="1">
                  <c:v>10–19</c:v>
                </c:pt>
                <c:pt idx="2">
                  <c:v>20–29</c:v>
                </c:pt>
                <c:pt idx="3">
                  <c:v>30–39</c:v>
                </c:pt>
                <c:pt idx="4">
                  <c:v>40–49</c:v>
                </c:pt>
                <c:pt idx="5">
                  <c:v>50–59</c:v>
                </c:pt>
                <c:pt idx="6">
                  <c:v>60–69</c:v>
                </c:pt>
                <c:pt idx="7">
                  <c:v>70+</c:v>
                </c:pt>
              </c:strCache>
            </c:strRef>
          </c:cat>
          <c:val>
            <c:numRef>
              <c:f>Age!$AC$21:$AJ$21</c:f>
              <c:numCache>
                <c:formatCode>0.0</c:formatCode>
                <c:ptCount val="8"/>
                <c:pt idx="0">
                  <c:v>12.241705721009371</c:v>
                </c:pt>
                <c:pt idx="1">
                  <c:v>14.64299958421682</c:v>
                </c:pt>
                <c:pt idx="2">
                  <c:v>8.6420264843923285</c:v>
                </c:pt>
                <c:pt idx="3">
                  <c:v>15.375755890042239</c:v>
                </c:pt>
                <c:pt idx="4">
                  <c:v>17.728497820373192</c:v>
                </c:pt>
                <c:pt idx="5">
                  <c:v>15.540431679357539</c:v>
                </c:pt>
                <c:pt idx="6">
                  <c:v>8.3060562696290372</c:v>
                </c:pt>
                <c:pt idx="7">
                  <c:v>7.5225265509794719</c:v>
                </c:pt>
              </c:numCache>
            </c:numRef>
          </c:val>
          <c:smooth val="0"/>
          <c:extLst>
            <c:ext xmlns:c16="http://schemas.microsoft.com/office/drawing/2014/chart" uri="{C3380CC4-5D6E-409C-BE32-E72D297353CC}">
              <c16:uniqueId val="{00000001-CF91-454D-87EA-40D0F842D047}"/>
            </c:ext>
          </c:extLst>
        </c:ser>
        <c:ser>
          <c:idx val="1"/>
          <c:order val="2"/>
          <c:tx>
            <c:v>Sep-09</c:v>
          </c:tx>
          <c:spPr>
            <a:ln w="28575" cap="rnd">
              <a:solidFill>
                <a:schemeClr val="accent2"/>
              </a:solidFill>
              <a:round/>
            </a:ln>
            <a:effectLst/>
          </c:spPr>
          <c:marker>
            <c:symbol val="none"/>
          </c:marker>
          <c:cat>
            <c:strRef>
              <c:f>Age!$AC$4:$AJ$4</c:f>
              <c:strCache>
                <c:ptCount val="8"/>
                <c:pt idx="0">
                  <c:v>0–9</c:v>
                </c:pt>
                <c:pt idx="1">
                  <c:v>10–19</c:v>
                </c:pt>
                <c:pt idx="2">
                  <c:v>20–29</c:v>
                </c:pt>
                <c:pt idx="3">
                  <c:v>30–39</c:v>
                </c:pt>
                <c:pt idx="4">
                  <c:v>40–49</c:v>
                </c:pt>
                <c:pt idx="5">
                  <c:v>50–59</c:v>
                </c:pt>
                <c:pt idx="6">
                  <c:v>60–69</c:v>
                </c:pt>
                <c:pt idx="7">
                  <c:v>70+</c:v>
                </c:pt>
              </c:strCache>
            </c:strRef>
          </c:cat>
          <c:val>
            <c:numRef>
              <c:f>Age!$AC$53:$AJ$53</c:f>
              <c:numCache>
                <c:formatCode>0.0</c:formatCode>
                <c:ptCount val="8"/>
                <c:pt idx="0">
                  <c:v>11.668560404921594</c:v>
                </c:pt>
                <c:pt idx="1">
                  <c:v>12.65373874232089</c:v>
                </c:pt>
                <c:pt idx="2">
                  <c:v>10.270907241988388</c:v>
                </c:pt>
                <c:pt idx="3">
                  <c:v>13.980227804544219</c:v>
                </c:pt>
                <c:pt idx="4">
                  <c:v>15.26323844209575</c:v>
                </c:pt>
                <c:pt idx="5">
                  <c:v>15.465397843368313</c:v>
                </c:pt>
                <c:pt idx="6">
                  <c:v>11.541739847711472</c:v>
                </c:pt>
                <c:pt idx="7">
                  <c:v>9.1561896730493739</c:v>
                </c:pt>
              </c:numCache>
            </c:numRef>
          </c:val>
          <c:smooth val="0"/>
          <c:extLst>
            <c:ext xmlns:c16="http://schemas.microsoft.com/office/drawing/2014/chart" uri="{C3380CC4-5D6E-409C-BE32-E72D297353CC}">
              <c16:uniqueId val="{00000002-CF91-454D-87EA-40D0F842D047}"/>
            </c:ext>
          </c:extLst>
        </c:ser>
        <c:ser>
          <c:idx val="0"/>
          <c:order val="3"/>
          <c:tx>
            <c:v>Sep-19</c:v>
          </c:tx>
          <c:spPr>
            <a:ln w="28575" cap="rnd">
              <a:solidFill>
                <a:srgbClr val="FFC000"/>
              </a:solidFill>
              <a:round/>
            </a:ln>
            <a:effectLst/>
          </c:spPr>
          <c:marker>
            <c:symbol val="none"/>
          </c:marker>
          <c:cat>
            <c:strRef>
              <c:f>Age!$AC$4:$AJ$4</c:f>
              <c:strCache>
                <c:ptCount val="8"/>
                <c:pt idx="0">
                  <c:v>0–9</c:v>
                </c:pt>
                <c:pt idx="1">
                  <c:v>10–19</c:v>
                </c:pt>
                <c:pt idx="2">
                  <c:v>20–29</c:v>
                </c:pt>
                <c:pt idx="3">
                  <c:v>30–39</c:v>
                </c:pt>
                <c:pt idx="4">
                  <c:v>40–49</c:v>
                </c:pt>
                <c:pt idx="5">
                  <c:v>50–59</c:v>
                </c:pt>
                <c:pt idx="6">
                  <c:v>60–69</c:v>
                </c:pt>
                <c:pt idx="7">
                  <c:v>70+</c:v>
                </c:pt>
              </c:strCache>
            </c:strRef>
          </c:cat>
          <c:val>
            <c:numRef>
              <c:f>Age!$AC$93:$AJ$93</c:f>
              <c:numCache>
                <c:formatCode>0.0</c:formatCode>
                <c:ptCount val="8"/>
                <c:pt idx="0">
                  <c:v>11.336734525060916</c:v>
                </c:pt>
                <c:pt idx="1">
                  <c:v>12.108593591981162</c:v>
                </c:pt>
                <c:pt idx="2">
                  <c:v>8.5761318029097211</c:v>
                </c:pt>
                <c:pt idx="3">
                  <c:v>14.019357938635167</c:v>
                </c:pt>
                <c:pt idx="4">
                  <c:v>14.296799548436919</c:v>
                </c:pt>
                <c:pt idx="5">
                  <c:v>13.926666895555401</c:v>
                </c:pt>
                <c:pt idx="6">
                  <c:v>12.736021495142726</c:v>
                </c:pt>
                <c:pt idx="7">
                  <c:v>12.999694202277988</c:v>
                </c:pt>
              </c:numCache>
            </c:numRef>
          </c:val>
          <c:smooth val="0"/>
          <c:extLst>
            <c:ext xmlns:c16="http://schemas.microsoft.com/office/drawing/2014/chart" uri="{C3380CC4-5D6E-409C-BE32-E72D297353CC}">
              <c16:uniqueId val="{00000003-CF91-454D-87EA-40D0F842D047}"/>
            </c:ext>
          </c:extLst>
        </c:ser>
        <c:dLbls>
          <c:showLegendKey val="0"/>
          <c:showVal val="0"/>
          <c:showCatName val="0"/>
          <c:showSerName val="0"/>
          <c:showPercent val="0"/>
          <c:showBubbleSize val="0"/>
        </c:dLbls>
        <c:smooth val="0"/>
        <c:axId val="749913832"/>
        <c:axId val="749915472"/>
      </c:lineChart>
      <c:catAx>
        <c:axId val="749913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9915472"/>
        <c:crosses val="autoZero"/>
        <c:auto val="1"/>
        <c:lblAlgn val="ctr"/>
        <c:lblOffset val="100"/>
        <c:noMultiLvlLbl val="0"/>
      </c:catAx>
      <c:valAx>
        <c:axId val="749915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of insured persons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99138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2371" ma:contentTypeDescription=" " ma:contentTypeScope="" ma:versionID="70c56e58a7efa92f8b1a56e2e4587d53">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2019FG-108-8301</_dlc_DocId>
    <_dlc_DocIdUrl xmlns="0f563589-9cf9-4143-b1eb-fb0534803d38">
      <Url>http://tweb/sites/fg/bpd/_layouts/15/DocIdRedir.aspx?ID=2019FG-108-8301</Url>
      <Description>2019FG-108-8301</Description>
    </_dlc_DocIdUrl>
    <RoutingTargetPath xmlns="http://schemas.microsoft.com/sharepoint/v3"/>
    <RoutingTargetFolder xmlns="http://schemas.microsoft.com/sharepoint/v3"/>
  </documentManagement>
</p:properties>
</file>

<file path=customXml/itemProps1.xml><?xml version="1.0" encoding="utf-8"?>
<ds:datastoreItem xmlns:ds="http://schemas.openxmlformats.org/officeDocument/2006/customXml" ds:itemID="{F94D51C4-211F-4E34-A08B-2F9511F10332}">
  <ds:schemaRefs>
    <ds:schemaRef ds:uri="http://schemas.openxmlformats.org/officeDocument/2006/bibliography"/>
  </ds:schemaRefs>
</ds:datastoreItem>
</file>

<file path=customXml/itemProps2.xml><?xml version="1.0" encoding="utf-8"?>
<ds:datastoreItem xmlns:ds="http://schemas.openxmlformats.org/officeDocument/2006/customXml" ds:itemID="{C178BD60-2206-477F-A661-CDEA28464C01}"/>
</file>

<file path=customXml/itemProps3.xml><?xml version="1.0" encoding="utf-8"?>
<ds:datastoreItem xmlns:ds="http://schemas.openxmlformats.org/officeDocument/2006/customXml" ds:itemID="{64C947B6-C779-415B-ABE7-337F116650D3}"/>
</file>

<file path=customXml/itemProps4.xml><?xml version="1.0" encoding="utf-8"?>
<ds:datastoreItem xmlns:ds="http://schemas.openxmlformats.org/officeDocument/2006/customXml" ds:itemID="{2AB4843F-1EDF-4C4F-9CE8-B4916FB0ED7A}"/>
</file>

<file path=customXml/itemProps5.xml><?xml version="1.0" encoding="utf-8"?>
<ds:datastoreItem xmlns:ds="http://schemas.openxmlformats.org/officeDocument/2006/customXml" ds:itemID="{605C394B-72FC-4C3E-A42C-2ECF20D56C3A}"/>
</file>

<file path=customXml/itemProps6.xml><?xml version="1.0" encoding="utf-8"?>
<ds:datastoreItem xmlns:ds="http://schemas.openxmlformats.org/officeDocument/2006/customXml" ds:itemID="{22883E3C-9656-484E-8463-A5A75872E8F4}"/>
</file>

<file path=customXml/itemProps7.xml><?xml version="1.0" encoding="utf-8"?>
<ds:datastoreItem xmlns:ds="http://schemas.openxmlformats.org/officeDocument/2006/customXml" ds:itemID="{29836F30-FEA0-4B7A-A293-3677CC2F3834}"/>
</file>

<file path=docProps/app.xml><?xml version="1.0" encoding="utf-8"?>
<Properties xmlns="http://schemas.openxmlformats.org/officeDocument/2006/extended-properties" xmlns:vt="http://schemas.openxmlformats.org/officeDocument/2006/docPropsVTypes">
  <Template>Normal</Template>
  <TotalTime>0</TotalTime>
  <Pages>30</Pages>
  <Words>8262</Words>
  <Characters>47097</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2019-12-19T05:08:00Z</dcterms:created>
  <dcterms:modified xsi:type="dcterms:W3CDTF">2019-12-19T05:09:00Z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0x010100348D01E61E107C4DA4B97E380EA20D470058EB9BF65DAD8C42B8B4A94A1D11A674</vt:lpwstr>
  </property>
  <property fmtid="{D5CDD505-2E9C-101B-9397-08002B2CF9AE}" pid="3" name="_dlc_DocIdItemGuid">
    <vt:lpwstr>7fc62a13-67ea-4f7e-b9ab-cf11de684379</vt:lpwstr>
  </property>
  <property fmtid="{D5CDD505-2E9C-101B-9397-08002B2CF9AE}" pid="4" name="TSYRecordClass">
    <vt:lpwstr>7;#TSY RA-8730 - Retain as national archives|77f958b9-774b-411f-8853-551bb899336c</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{11a07c86-5882-407a-83c1-3607840816f8}</vt:lpwstr>
  </property>
  <property fmtid="{D5CDD505-2E9C-101B-9397-08002B2CF9AE}" pid="8" name="RecordPoint_ActiveItemUniqueId">
    <vt:lpwstr>{7fc62a13-67ea-4f7e-b9ab-cf11de684379}</vt:lpwstr>
  </property>
  <property fmtid="{D5CDD505-2E9C-101B-9397-08002B2CF9AE}" pid="9" name="RecordPoint_ActiveItemWebId">
    <vt:lpwstr>{2af1fd9f-9360-4de3-abf2-ccd65f89a90c}</vt:lpwstr>
  </property>
  <property fmtid="{D5CDD505-2E9C-101B-9397-08002B2CF9AE}" pid="10" name="RecordPoint_RecordNumberSubmitted">
    <vt:lpwstr>R0002182657</vt:lpwstr>
  </property>
  <property fmtid="{D5CDD505-2E9C-101B-9397-08002B2CF9AE}" pid="11" name="RecordPoint_SubmissionCompleted">
    <vt:lpwstr>2019-12-28T18:22:08.9530793+11:00</vt:lpwstr>
  </property>
</Properties>
</file>