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0217DD" w14:textId="77777777" w:rsidR="00045D81" w:rsidRDefault="00045D81" w:rsidP="00045D81">
      <w:pPr>
        <w:jc w:val="center"/>
        <w:rPr>
          <w:b/>
          <w:color w:val="343434"/>
          <w:sz w:val="72"/>
          <w:szCs w:val="72"/>
        </w:rPr>
      </w:pPr>
      <w:bookmarkStart w:id="0" w:name="_GoBack"/>
      <w:bookmarkEnd w:id="0"/>
    </w:p>
    <w:p w14:paraId="635AE9ED" w14:textId="2E52227E" w:rsidR="003615B6" w:rsidRDefault="003615B6" w:rsidP="00045D81">
      <w:pPr>
        <w:jc w:val="center"/>
        <w:rPr>
          <w:b/>
          <w:color w:val="343434"/>
          <w:sz w:val="72"/>
          <w:szCs w:val="72"/>
        </w:rPr>
      </w:pPr>
      <w:r>
        <w:rPr>
          <w:b/>
          <w:noProof/>
          <w:color w:val="343434"/>
          <w:sz w:val="72"/>
          <w:szCs w:val="72"/>
          <w:lang w:val="en-AU" w:eastAsia="en-AU"/>
        </w:rPr>
        <w:drawing>
          <wp:inline distT="0" distB="0" distL="0" distR="0" wp14:anchorId="37B9C3EB" wp14:editId="5D11F24C">
            <wp:extent cx="2058180" cy="1978925"/>
            <wp:effectExtent l="0" t="0" r="0" b="2540"/>
            <wp:docPr id="6" name="Picture 6" title="AFD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Only without words.jpg"/>
                    <pic:cNvPicPr/>
                  </pic:nvPicPr>
                  <pic:blipFill>
                    <a:blip r:embed="rId14">
                      <a:extLst>
                        <a:ext uri="{28A0092B-C50C-407E-A947-70E740481C1C}">
                          <a14:useLocalDpi xmlns:a14="http://schemas.microsoft.com/office/drawing/2010/main" val="0"/>
                        </a:ext>
                      </a:extLst>
                    </a:blip>
                    <a:stretch>
                      <a:fillRect/>
                    </a:stretch>
                  </pic:blipFill>
                  <pic:spPr>
                    <a:xfrm>
                      <a:off x="0" y="0"/>
                      <a:ext cx="2058107" cy="1978855"/>
                    </a:xfrm>
                    <a:prstGeom prst="rect">
                      <a:avLst/>
                    </a:prstGeom>
                  </pic:spPr>
                </pic:pic>
              </a:graphicData>
            </a:graphic>
          </wp:inline>
        </w:drawing>
      </w:r>
    </w:p>
    <w:p w14:paraId="023BD454" w14:textId="77777777" w:rsidR="00045D81" w:rsidRDefault="00045D81" w:rsidP="00045D81">
      <w:pPr>
        <w:jc w:val="center"/>
        <w:rPr>
          <w:b/>
          <w:color w:val="343434"/>
          <w:sz w:val="72"/>
          <w:szCs w:val="72"/>
        </w:rPr>
      </w:pPr>
    </w:p>
    <w:p w14:paraId="36240B52" w14:textId="31CD1260" w:rsidR="006F4CAC" w:rsidRPr="00FD04E6" w:rsidRDefault="0038046D" w:rsidP="00045D81">
      <w:pPr>
        <w:jc w:val="center"/>
        <w:rPr>
          <w:b/>
          <w:color w:val="343434"/>
          <w:sz w:val="72"/>
          <w:szCs w:val="72"/>
        </w:rPr>
      </w:pPr>
      <w:r w:rsidRPr="00FD04E6">
        <w:rPr>
          <w:b/>
          <w:color w:val="343434"/>
          <w:sz w:val="72"/>
          <w:szCs w:val="72"/>
        </w:rPr>
        <w:t>Australian Federation of Disability Organisations</w:t>
      </w:r>
    </w:p>
    <w:p w14:paraId="4C4D4CCB" w14:textId="77777777" w:rsidR="00045D81" w:rsidRDefault="00045D81" w:rsidP="00045D81">
      <w:pPr>
        <w:spacing w:line="240" w:lineRule="auto"/>
        <w:jc w:val="center"/>
        <w:rPr>
          <w:rFonts w:eastAsia="Times New Roman"/>
          <w:b/>
          <w:bCs/>
          <w:color w:val="00767F"/>
          <w:kern w:val="28"/>
          <w:sz w:val="44"/>
          <w:szCs w:val="32"/>
          <w:lang w:val="en-AU"/>
        </w:rPr>
      </w:pPr>
    </w:p>
    <w:p w14:paraId="770CD52B" w14:textId="5D5DDC68" w:rsidR="00045D81" w:rsidRDefault="00C8279C" w:rsidP="00045D81">
      <w:pPr>
        <w:jc w:val="center"/>
        <w:rPr>
          <w:rFonts w:eastAsia="Times New Roman"/>
          <w:b/>
          <w:bCs/>
          <w:color w:val="00767F"/>
          <w:kern w:val="28"/>
          <w:sz w:val="44"/>
          <w:szCs w:val="32"/>
          <w:lang w:val="en-AU"/>
        </w:rPr>
      </w:pPr>
      <w:r>
        <w:rPr>
          <w:rFonts w:eastAsia="Times New Roman"/>
          <w:b/>
          <w:bCs/>
          <w:color w:val="00767F"/>
          <w:kern w:val="28"/>
          <w:sz w:val="44"/>
          <w:szCs w:val="32"/>
          <w:lang w:val="en-AU"/>
        </w:rPr>
        <w:t>Pre Federal Budget Submission</w:t>
      </w:r>
    </w:p>
    <w:p w14:paraId="68D563AD" w14:textId="1327C06F" w:rsidR="00C8279C" w:rsidRDefault="00C8279C" w:rsidP="00045D81">
      <w:pPr>
        <w:jc w:val="center"/>
        <w:rPr>
          <w:sz w:val="28"/>
          <w:szCs w:val="28"/>
          <w:lang w:val="en-AU"/>
        </w:rPr>
      </w:pPr>
      <w:r>
        <w:rPr>
          <w:rFonts w:eastAsia="Times New Roman"/>
          <w:b/>
          <w:bCs/>
          <w:color w:val="00767F"/>
          <w:kern w:val="28"/>
          <w:sz w:val="44"/>
          <w:szCs w:val="32"/>
          <w:lang w:val="en-AU"/>
        </w:rPr>
        <w:t>20</w:t>
      </w:r>
      <w:r w:rsidR="0029191F">
        <w:rPr>
          <w:rFonts w:eastAsia="Times New Roman"/>
          <w:b/>
          <w:bCs/>
          <w:color w:val="00767F"/>
          <w:kern w:val="28"/>
          <w:sz w:val="44"/>
          <w:szCs w:val="32"/>
          <w:lang w:val="en-AU"/>
        </w:rPr>
        <w:t>20 - 2021</w:t>
      </w:r>
    </w:p>
    <w:p w14:paraId="27B63B78" w14:textId="77777777" w:rsidR="00AB40EE" w:rsidRDefault="00AB40EE" w:rsidP="009336E5">
      <w:pPr>
        <w:jc w:val="center"/>
        <w:rPr>
          <w:sz w:val="28"/>
          <w:szCs w:val="28"/>
          <w:lang w:val="en-AU"/>
        </w:rPr>
      </w:pPr>
    </w:p>
    <w:p w14:paraId="18CCBF2C" w14:textId="5ACF47C6" w:rsidR="00336709" w:rsidRDefault="0029191F" w:rsidP="009336E5">
      <w:pPr>
        <w:jc w:val="center"/>
        <w:rPr>
          <w:sz w:val="28"/>
          <w:szCs w:val="28"/>
          <w:lang w:val="en-AU"/>
        </w:rPr>
      </w:pPr>
      <w:r>
        <w:rPr>
          <w:sz w:val="28"/>
          <w:szCs w:val="28"/>
          <w:lang w:val="en-AU"/>
        </w:rPr>
        <w:t>31</w:t>
      </w:r>
      <w:r w:rsidRPr="0029191F">
        <w:rPr>
          <w:sz w:val="28"/>
          <w:szCs w:val="28"/>
          <w:vertAlign w:val="superscript"/>
          <w:lang w:val="en-AU"/>
        </w:rPr>
        <w:t>st</w:t>
      </w:r>
      <w:r>
        <w:rPr>
          <w:sz w:val="28"/>
          <w:szCs w:val="28"/>
          <w:lang w:val="en-AU"/>
        </w:rPr>
        <w:t xml:space="preserve"> January 2020</w:t>
      </w:r>
    </w:p>
    <w:p w14:paraId="6733458C" w14:textId="77777777" w:rsidR="00045D81" w:rsidRDefault="00045D81" w:rsidP="00045D81">
      <w:pPr>
        <w:jc w:val="center"/>
        <w:rPr>
          <w:sz w:val="28"/>
          <w:szCs w:val="28"/>
          <w:lang w:val="en-AU"/>
        </w:rPr>
      </w:pPr>
    </w:p>
    <w:p w14:paraId="34FFFC07" w14:textId="77777777" w:rsidR="00045D81" w:rsidRDefault="00045D81" w:rsidP="00045D81">
      <w:pPr>
        <w:jc w:val="center"/>
        <w:rPr>
          <w:sz w:val="28"/>
          <w:szCs w:val="28"/>
          <w:lang w:val="en-AU"/>
        </w:rPr>
      </w:pPr>
    </w:p>
    <w:p w14:paraId="5B746F29" w14:textId="77777777" w:rsidR="00045D81" w:rsidRDefault="00045D81" w:rsidP="00045D81">
      <w:pPr>
        <w:jc w:val="center"/>
        <w:rPr>
          <w:sz w:val="28"/>
          <w:szCs w:val="28"/>
          <w:lang w:val="en-AU"/>
        </w:rPr>
      </w:pPr>
    </w:p>
    <w:p w14:paraId="32D4AAF7" w14:textId="77777777" w:rsidR="00045D81" w:rsidRPr="00711789" w:rsidRDefault="00045D81" w:rsidP="00045D81">
      <w:pPr>
        <w:jc w:val="center"/>
        <w:rPr>
          <w:lang w:val="en-AU"/>
        </w:rPr>
        <w:sectPr w:rsidR="00045D81" w:rsidRPr="00711789" w:rsidSect="00045D81">
          <w:headerReference w:type="default" r:id="rId15"/>
          <w:footerReference w:type="default" r:id="rId16"/>
          <w:headerReference w:type="first" r:id="rId17"/>
          <w:footerReference w:type="first" r:id="rId18"/>
          <w:pgSz w:w="11900" w:h="16840"/>
          <w:pgMar w:top="-709" w:right="985" w:bottom="1440" w:left="1134" w:header="284" w:footer="790" w:gutter="0"/>
          <w:cols w:space="708"/>
          <w:titlePg/>
        </w:sectPr>
      </w:pPr>
    </w:p>
    <w:p w14:paraId="33C4E0F6" w14:textId="77777777" w:rsidR="00045D81" w:rsidRPr="003A7845" w:rsidRDefault="00045D81" w:rsidP="00045D81">
      <w:pPr>
        <w:pStyle w:val="TOCHeading"/>
        <w:spacing w:after="240"/>
        <w:rPr>
          <w:rStyle w:val="Heading2Char"/>
          <w:rFonts w:eastAsiaTheme="majorEastAsia"/>
          <w:b/>
        </w:rPr>
      </w:pPr>
      <w:bookmarkStart w:id="1" w:name="_Toc525849192"/>
      <w:bookmarkStart w:id="2" w:name="_Toc31571243"/>
      <w:r w:rsidRPr="003A7845">
        <w:rPr>
          <w:rStyle w:val="Heading2Char"/>
          <w:rFonts w:eastAsiaTheme="majorEastAsia"/>
          <w:b/>
        </w:rPr>
        <w:lastRenderedPageBreak/>
        <w:t>Table of Contents</w:t>
      </w:r>
      <w:bookmarkEnd w:id="1"/>
      <w:bookmarkEnd w:id="2"/>
    </w:p>
    <w:p w14:paraId="7B2E83A7" w14:textId="77777777" w:rsidR="001A123E" w:rsidRDefault="00045D81">
      <w:pPr>
        <w:pStyle w:val="TOC2"/>
        <w:tabs>
          <w:tab w:val="right" w:leader="dot" w:pos="9339"/>
        </w:tabs>
        <w:rPr>
          <w:rFonts w:asciiTheme="minorHAnsi" w:eastAsiaTheme="minorEastAsia" w:hAnsiTheme="minorHAnsi" w:cstheme="minorBidi"/>
          <w:noProof/>
          <w:kern w:val="0"/>
          <w:sz w:val="22"/>
          <w:szCs w:val="22"/>
          <w:lang w:val="en-AU" w:eastAsia="en-AU"/>
        </w:rPr>
      </w:pPr>
      <w:r>
        <w:fldChar w:fldCharType="begin"/>
      </w:r>
      <w:r>
        <w:instrText xml:space="preserve"> TOC \o "1-3" \h \z \u </w:instrText>
      </w:r>
      <w:r>
        <w:fldChar w:fldCharType="separate"/>
      </w:r>
      <w:hyperlink w:anchor="_Toc31571243" w:history="1">
        <w:r w:rsidR="001A123E" w:rsidRPr="0060383F">
          <w:rPr>
            <w:rStyle w:val="Hyperlink"/>
            <w:rFonts w:eastAsiaTheme="majorEastAsia" w:cstheme="majorBidi"/>
            <w:noProof/>
          </w:rPr>
          <w:t>Table of Contents</w:t>
        </w:r>
        <w:r w:rsidR="001A123E">
          <w:rPr>
            <w:noProof/>
            <w:webHidden/>
          </w:rPr>
          <w:tab/>
        </w:r>
        <w:r w:rsidR="001A123E">
          <w:rPr>
            <w:noProof/>
            <w:webHidden/>
          </w:rPr>
          <w:fldChar w:fldCharType="begin"/>
        </w:r>
        <w:r w:rsidR="001A123E">
          <w:rPr>
            <w:noProof/>
            <w:webHidden/>
          </w:rPr>
          <w:instrText xml:space="preserve"> PAGEREF _Toc31571243 \h </w:instrText>
        </w:r>
        <w:r w:rsidR="001A123E">
          <w:rPr>
            <w:noProof/>
            <w:webHidden/>
          </w:rPr>
        </w:r>
        <w:r w:rsidR="001A123E">
          <w:rPr>
            <w:noProof/>
            <w:webHidden/>
          </w:rPr>
          <w:fldChar w:fldCharType="separate"/>
        </w:r>
        <w:r w:rsidR="001A123E">
          <w:rPr>
            <w:noProof/>
            <w:webHidden/>
          </w:rPr>
          <w:t>2</w:t>
        </w:r>
        <w:r w:rsidR="001A123E">
          <w:rPr>
            <w:noProof/>
            <w:webHidden/>
          </w:rPr>
          <w:fldChar w:fldCharType="end"/>
        </w:r>
      </w:hyperlink>
    </w:p>
    <w:p w14:paraId="427D89CA" w14:textId="77777777" w:rsidR="001A123E" w:rsidRDefault="00E258B2">
      <w:pPr>
        <w:pStyle w:val="TOC2"/>
        <w:tabs>
          <w:tab w:val="right" w:leader="dot" w:pos="9339"/>
        </w:tabs>
        <w:rPr>
          <w:rFonts w:asciiTheme="minorHAnsi" w:eastAsiaTheme="minorEastAsia" w:hAnsiTheme="minorHAnsi" w:cstheme="minorBidi"/>
          <w:noProof/>
          <w:kern w:val="0"/>
          <w:sz w:val="22"/>
          <w:szCs w:val="22"/>
          <w:lang w:val="en-AU" w:eastAsia="en-AU"/>
        </w:rPr>
      </w:pPr>
      <w:hyperlink w:anchor="_Toc31571244" w:history="1">
        <w:r w:rsidR="001A123E" w:rsidRPr="0060383F">
          <w:rPr>
            <w:rStyle w:val="Hyperlink"/>
            <w:noProof/>
          </w:rPr>
          <w:t>About AFDO</w:t>
        </w:r>
        <w:r w:rsidR="001A123E">
          <w:rPr>
            <w:noProof/>
            <w:webHidden/>
          </w:rPr>
          <w:tab/>
        </w:r>
        <w:r w:rsidR="001A123E">
          <w:rPr>
            <w:noProof/>
            <w:webHidden/>
          </w:rPr>
          <w:fldChar w:fldCharType="begin"/>
        </w:r>
        <w:r w:rsidR="001A123E">
          <w:rPr>
            <w:noProof/>
            <w:webHidden/>
          </w:rPr>
          <w:instrText xml:space="preserve"> PAGEREF _Toc31571244 \h </w:instrText>
        </w:r>
        <w:r w:rsidR="001A123E">
          <w:rPr>
            <w:noProof/>
            <w:webHidden/>
          </w:rPr>
        </w:r>
        <w:r w:rsidR="001A123E">
          <w:rPr>
            <w:noProof/>
            <w:webHidden/>
          </w:rPr>
          <w:fldChar w:fldCharType="separate"/>
        </w:r>
        <w:r w:rsidR="001A123E">
          <w:rPr>
            <w:noProof/>
            <w:webHidden/>
          </w:rPr>
          <w:t>3</w:t>
        </w:r>
        <w:r w:rsidR="001A123E">
          <w:rPr>
            <w:noProof/>
            <w:webHidden/>
          </w:rPr>
          <w:fldChar w:fldCharType="end"/>
        </w:r>
      </w:hyperlink>
    </w:p>
    <w:p w14:paraId="651BE86A" w14:textId="77777777" w:rsidR="001A123E" w:rsidRDefault="00E258B2">
      <w:pPr>
        <w:pStyle w:val="TOC2"/>
        <w:tabs>
          <w:tab w:val="right" w:leader="dot" w:pos="9339"/>
        </w:tabs>
        <w:rPr>
          <w:rFonts w:asciiTheme="minorHAnsi" w:eastAsiaTheme="minorEastAsia" w:hAnsiTheme="minorHAnsi" w:cstheme="minorBidi"/>
          <w:noProof/>
          <w:kern w:val="0"/>
          <w:sz w:val="22"/>
          <w:szCs w:val="22"/>
          <w:lang w:val="en-AU" w:eastAsia="en-AU"/>
        </w:rPr>
      </w:pPr>
      <w:hyperlink w:anchor="_Toc31571245" w:history="1">
        <w:r w:rsidR="001A123E" w:rsidRPr="0060383F">
          <w:rPr>
            <w:rStyle w:val="Hyperlink"/>
            <w:noProof/>
          </w:rPr>
          <w:t>General principles underpinning submission</w:t>
        </w:r>
        <w:r w:rsidR="001A123E">
          <w:rPr>
            <w:noProof/>
            <w:webHidden/>
          </w:rPr>
          <w:tab/>
        </w:r>
        <w:r w:rsidR="001A123E">
          <w:rPr>
            <w:noProof/>
            <w:webHidden/>
          </w:rPr>
          <w:fldChar w:fldCharType="begin"/>
        </w:r>
        <w:r w:rsidR="001A123E">
          <w:rPr>
            <w:noProof/>
            <w:webHidden/>
          </w:rPr>
          <w:instrText xml:space="preserve"> PAGEREF _Toc31571245 \h </w:instrText>
        </w:r>
        <w:r w:rsidR="001A123E">
          <w:rPr>
            <w:noProof/>
            <w:webHidden/>
          </w:rPr>
        </w:r>
        <w:r w:rsidR="001A123E">
          <w:rPr>
            <w:noProof/>
            <w:webHidden/>
          </w:rPr>
          <w:fldChar w:fldCharType="separate"/>
        </w:r>
        <w:r w:rsidR="001A123E">
          <w:rPr>
            <w:noProof/>
            <w:webHidden/>
          </w:rPr>
          <w:t>4</w:t>
        </w:r>
        <w:r w:rsidR="001A123E">
          <w:rPr>
            <w:noProof/>
            <w:webHidden/>
          </w:rPr>
          <w:fldChar w:fldCharType="end"/>
        </w:r>
      </w:hyperlink>
    </w:p>
    <w:p w14:paraId="7AB02922" w14:textId="77777777" w:rsidR="001A123E" w:rsidRDefault="00E258B2">
      <w:pPr>
        <w:pStyle w:val="TOC2"/>
        <w:tabs>
          <w:tab w:val="left" w:pos="720"/>
          <w:tab w:val="right" w:leader="dot" w:pos="9339"/>
        </w:tabs>
        <w:rPr>
          <w:rFonts w:asciiTheme="minorHAnsi" w:eastAsiaTheme="minorEastAsia" w:hAnsiTheme="minorHAnsi" w:cstheme="minorBidi"/>
          <w:noProof/>
          <w:kern w:val="0"/>
          <w:sz w:val="22"/>
          <w:szCs w:val="22"/>
          <w:lang w:val="en-AU" w:eastAsia="en-AU"/>
        </w:rPr>
      </w:pPr>
      <w:hyperlink w:anchor="_Toc31571246" w:history="1">
        <w:r w:rsidR="001A123E" w:rsidRPr="0060383F">
          <w:rPr>
            <w:rStyle w:val="Hyperlink"/>
            <w:noProof/>
          </w:rPr>
          <w:t>1.</w:t>
        </w:r>
        <w:r w:rsidR="001A123E">
          <w:rPr>
            <w:rFonts w:asciiTheme="minorHAnsi" w:eastAsiaTheme="minorEastAsia" w:hAnsiTheme="minorHAnsi" w:cstheme="minorBidi"/>
            <w:noProof/>
            <w:kern w:val="0"/>
            <w:sz w:val="22"/>
            <w:szCs w:val="22"/>
            <w:lang w:val="en-AU" w:eastAsia="en-AU"/>
          </w:rPr>
          <w:tab/>
        </w:r>
        <w:r w:rsidR="001A123E" w:rsidRPr="0060383F">
          <w:rPr>
            <w:rStyle w:val="Hyperlink"/>
            <w:noProof/>
          </w:rPr>
          <w:t>National Disability Strategy and progressive achievement of measurable outcomes at a federal level as well as ensuring this applies to all levels of government.</w:t>
        </w:r>
        <w:r w:rsidR="001A123E">
          <w:rPr>
            <w:noProof/>
            <w:webHidden/>
          </w:rPr>
          <w:tab/>
        </w:r>
        <w:r w:rsidR="001A123E">
          <w:rPr>
            <w:noProof/>
            <w:webHidden/>
          </w:rPr>
          <w:fldChar w:fldCharType="begin"/>
        </w:r>
        <w:r w:rsidR="001A123E">
          <w:rPr>
            <w:noProof/>
            <w:webHidden/>
          </w:rPr>
          <w:instrText xml:space="preserve"> PAGEREF _Toc31571246 \h </w:instrText>
        </w:r>
        <w:r w:rsidR="001A123E">
          <w:rPr>
            <w:noProof/>
            <w:webHidden/>
          </w:rPr>
        </w:r>
        <w:r w:rsidR="001A123E">
          <w:rPr>
            <w:noProof/>
            <w:webHidden/>
          </w:rPr>
          <w:fldChar w:fldCharType="separate"/>
        </w:r>
        <w:r w:rsidR="001A123E">
          <w:rPr>
            <w:noProof/>
            <w:webHidden/>
          </w:rPr>
          <w:t>5</w:t>
        </w:r>
        <w:r w:rsidR="001A123E">
          <w:rPr>
            <w:noProof/>
            <w:webHidden/>
          </w:rPr>
          <w:fldChar w:fldCharType="end"/>
        </w:r>
      </w:hyperlink>
    </w:p>
    <w:p w14:paraId="5326FC81" w14:textId="77777777" w:rsidR="001A123E" w:rsidRDefault="00E258B2">
      <w:pPr>
        <w:pStyle w:val="TOC3"/>
        <w:tabs>
          <w:tab w:val="right" w:leader="dot" w:pos="9339"/>
        </w:tabs>
        <w:rPr>
          <w:rFonts w:asciiTheme="minorHAnsi" w:eastAsiaTheme="minorEastAsia" w:hAnsiTheme="minorHAnsi" w:cstheme="minorBidi"/>
          <w:noProof/>
          <w:kern w:val="0"/>
          <w:sz w:val="22"/>
          <w:szCs w:val="22"/>
          <w:lang w:val="en-AU" w:eastAsia="en-AU"/>
        </w:rPr>
      </w:pPr>
      <w:hyperlink w:anchor="_Toc31571247" w:history="1">
        <w:r w:rsidR="001A123E" w:rsidRPr="0060383F">
          <w:rPr>
            <w:rStyle w:val="Hyperlink"/>
            <w:noProof/>
          </w:rPr>
          <w:t>Recommendation &amp; cost</w:t>
        </w:r>
        <w:r w:rsidR="001A123E">
          <w:rPr>
            <w:noProof/>
            <w:webHidden/>
          </w:rPr>
          <w:tab/>
        </w:r>
        <w:r w:rsidR="001A123E">
          <w:rPr>
            <w:noProof/>
            <w:webHidden/>
          </w:rPr>
          <w:fldChar w:fldCharType="begin"/>
        </w:r>
        <w:r w:rsidR="001A123E">
          <w:rPr>
            <w:noProof/>
            <w:webHidden/>
          </w:rPr>
          <w:instrText xml:space="preserve"> PAGEREF _Toc31571247 \h </w:instrText>
        </w:r>
        <w:r w:rsidR="001A123E">
          <w:rPr>
            <w:noProof/>
            <w:webHidden/>
          </w:rPr>
        </w:r>
        <w:r w:rsidR="001A123E">
          <w:rPr>
            <w:noProof/>
            <w:webHidden/>
          </w:rPr>
          <w:fldChar w:fldCharType="separate"/>
        </w:r>
        <w:r w:rsidR="001A123E">
          <w:rPr>
            <w:noProof/>
            <w:webHidden/>
          </w:rPr>
          <w:t>6</w:t>
        </w:r>
        <w:r w:rsidR="001A123E">
          <w:rPr>
            <w:noProof/>
            <w:webHidden/>
          </w:rPr>
          <w:fldChar w:fldCharType="end"/>
        </w:r>
      </w:hyperlink>
    </w:p>
    <w:p w14:paraId="19B1C425" w14:textId="77777777" w:rsidR="001A123E" w:rsidRDefault="00E258B2">
      <w:pPr>
        <w:pStyle w:val="TOC2"/>
        <w:tabs>
          <w:tab w:val="left" w:pos="720"/>
          <w:tab w:val="right" w:leader="dot" w:pos="9339"/>
        </w:tabs>
        <w:rPr>
          <w:rFonts w:asciiTheme="minorHAnsi" w:eastAsiaTheme="minorEastAsia" w:hAnsiTheme="minorHAnsi" w:cstheme="minorBidi"/>
          <w:noProof/>
          <w:kern w:val="0"/>
          <w:sz w:val="22"/>
          <w:szCs w:val="22"/>
          <w:lang w:val="en-AU" w:eastAsia="en-AU"/>
        </w:rPr>
      </w:pPr>
      <w:hyperlink w:anchor="_Toc31571248" w:history="1">
        <w:r w:rsidR="001A123E" w:rsidRPr="0060383F">
          <w:rPr>
            <w:rStyle w:val="Hyperlink"/>
            <w:noProof/>
          </w:rPr>
          <w:t>2.</w:t>
        </w:r>
        <w:r w:rsidR="001A123E">
          <w:rPr>
            <w:rFonts w:asciiTheme="minorHAnsi" w:eastAsiaTheme="minorEastAsia" w:hAnsiTheme="minorHAnsi" w:cstheme="minorBidi"/>
            <w:noProof/>
            <w:kern w:val="0"/>
            <w:sz w:val="22"/>
            <w:szCs w:val="22"/>
            <w:lang w:val="en-AU" w:eastAsia="en-AU"/>
          </w:rPr>
          <w:tab/>
        </w:r>
        <w:r w:rsidR="001A123E" w:rsidRPr="0060383F">
          <w:rPr>
            <w:rStyle w:val="Hyperlink"/>
            <w:noProof/>
          </w:rPr>
          <w:t>Continued access to services and relevant supports provided at a Federal and State/Territory level through COAG and other agreements or arrangements for people with disability not participating in the NDIS.</w:t>
        </w:r>
        <w:r w:rsidR="001A123E">
          <w:rPr>
            <w:noProof/>
            <w:webHidden/>
          </w:rPr>
          <w:tab/>
        </w:r>
        <w:r w:rsidR="001A123E">
          <w:rPr>
            <w:noProof/>
            <w:webHidden/>
          </w:rPr>
          <w:fldChar w:fldCharType="begin"/>
        </w:r>
        <w:r w:rsidR="001A123E">
          <w:rPr>
            <w:noProof/>
            <w:webHidden/>
          </w:rPr>
          <w:instrText xml:space="preserve"> PAGEREF _Toc31571248 \h </w:instrText>
        </w:r>
        <w:r w:rsidR="001A123E">
          <w:rPr>
            <w:noProof/>
            <w:webHidden/>
          </w:rPr>
        </w:r>
        <w:r w:rsidR="001A123E">
          <w:rPr>
            <w:noProof/>
            <w:webHidden/>
          </w:rPr>
          <w:fldChar w:fldCharType="separate"/>
        </w:r>
        <w:r w:rsidR="001A123E">
          <w:rPr>
            <w:noProof/>
            <w:webHidden/>
          </w:rPr>
          <w:t>7</w:t>
        </w:r>
        <w:r w:rsidR="001A123E">
          <w:rPr>
            <w:noProof/>
            <w:webHidden/>
          </w:rPr>
          <w:fldChar w:fldCharType="end"/>
        </w:r>
      </w:hyperlink>
    </w:p>
    <w:p w14:paraId="53BE8CC4" w14:textId="77777777" w:rsidR="001A123E" w:rsidRDefault="00E258B2">
      <w:pPr>
        <w:pStyle w:val="TOC3"/>
        <w:tabs>
          <w:tab w:val="right" w:leader="dot" w:pos="9339"/>
        </w:tabs>
        <w:rPr>
          <w:rFonts w:asciiTheme="minorHAnsi" w:eastAsiaTheme="minorEastAsia" w:hAnsiTheme="minorHAnsi" w:cstheme="minorBidi"/>
          <w:noProof/>
          <w:kern w:val="0"/>
          <w:sz w:val="22"/>
          <w:szCs w:val="22"/>
          <w:lang w:val="en-AU" w:eastAsia="en-AU"/>
        </w:rPr>
      </w:pPr>
      <w:hyperlink w:anchor="_Toc31571249" w:history="1">
        <w:r w:rsidR="001A123E" w:rsidRPr="0060383F">
          <w:rPr>
            <w:rStyle w:val="Hyperlink"/>
            <w:noProof/>
          </w:rPr>
          <w:t>Recommendation &amp; cost</w:t>
        </w:r>
        <w:r w:rsidR="001A123E">
          <w:rPr>
            <w:noProof/>
            <w:webHidden/>
          </w:rPr>
          <w:tab/>
        </w:r>
        <w:r w:rsidR="001A123E">
          <w:rPr>
            <w:noProof/>
            <w:webHidden/>
          </w:rPr>
          <w:fldChar w:fldCharType="begin"/>
        </w:r>
        <w:r w:rsidR="001A123E">
          <w:rPr>
            <w:noProof/>
            <w:webHidden/>
          </w:rPr>
          <w:instrText xml:space="preserve"> PAGEREF _Toc31571249 \h </w:instrText>
        </w:r>
        <w:r w:rsidR="001A123E">
          <w:rPr>
            <w:noProof/>
            <w:webHidden/>
          </w:rPr>
        </w:r>
        <w:r w:rsidR="001A123E">
          <w:rPr>
            <w:noProof/>
            <w:webHidden/>
          </w:rPr>
          <w:fldChar w:fldCharType="separate"/>
        </w:r>
        <w:r w:rsidR="001A123E">
          <w:rPr>
            <w:noProof/>
            <w:webHidden/>
          </w:rPr>
          <w:t>8</w:t>
        </w:r>
        <w:r w:rsidR="001A123E">
          <w:rPr>
            <w:noProof/>
            <w:webHidden/>
          </w:rPr>
          <w:fldChar w:fldCharType="end"/>
        </w:r>
      </w:hyperlink>
    </w:p>
    <w:p w14:paraId="502B266D" w14:textId="77777777" w:rsidR="001A123E" w:rsidRDefault="00E258B2">
      <w:pPr>
        <w:pStyle w:val="TOC2"/>
        <w:tabs>
          <w:tab w:val="left" w:pos="720"/>
          <w:tab w:val="right" w:leader="dot" w:pos="9339"/>
        </w:tabs>
        <w:rPr>
          <w:rFonts w:asciiTheme="minorHAnsi" w:eastAsiaTheme="minorEastAsia" w:hAnsiTheme="minorHAnsi" w:cstheme="minorBidi"/>
          <w:noProof/>
          <w:kern w:val="0"/>
          <w:sz w:val="22"/>
          <w:szCs w:val="22"/>
          <w:lang w:val="en-AU" w:eastAsia="en-AU"/>
        </w:rPr>
      </w:pPr>
      <w:hyperlink w:anchor="_Toc31571250" w:history="1">
        <w:r w:rsidR="001A123E" w:rsidRPr="0060383F">
          <w:rPr>
            <w:rStyle w:val="Hyperlink"/>
            <w:noProof/>
          </w:rPr>
          <w:t>3.</w:t>
        </w:r>
        <w:r w:rsidR="001A123E">
          <w:rPr>
            <w:rFonts w:asciiTheme="minorHAnsi" w:eastAsiaTheme="minorEastAsia" w:hAnsiTheme="minorHAnsi" w:cstheme="minorBidi"/>
            <w:noProof/>
            <w:kern w:val="0"/>
            <w:sz w:val="22"/>
            <w:szCs w:val="22"/>
            <w:lang w:val="en-AU" w:eastAsia="en-AU"/>
          </w:rPr>
          <w:tab/>
        </w:r>
        <w:r w:rsidR="001A123E" w:rsidRPr="0060383F">
          <w:rPr>
            <w:rStyle w:val="Hyperlink"/>
            <w:noProof/>
          </w:rPr>
          <w:t>Equitable Funding of National Disability Representative Organisations (Systemic Advocacy)</w:t>
        </w:r>
        <w:r w:rsidR="001A123E">
          <w:rPr>
            <w:noProof/>
            <w:webHidden/>
          </w:rPr>
          <w:tab/>
        </w:r>
        <w:r w:rsidR="001A123E">
          <w:rPr>
            <w:noProof/>
            <w:webHidden/>
          </w:rPr>
          <w:fldChar w:fldCharType="begin"/>
        </w:r>
        <w:r w:rsidR="001A123E">
          <w:rPr>
            <w:noProof/>
            <w:webHidden/>
          </w:rPr>
          <w:instrText xml:space="preserve"> PAGEREF _Toc31571250 \h </w:instrText>
        </w:r>
        <w:r w:rsidR="001A123E">
          <w:rPr>
            <w:noProof/>
            <w:webHidden/>
          </w:rPr>
        </w:r>
        <w:r w:rsidR="001A123E">
          <w:rPr>
            <w:noProof/>
            <w:webHidden/>
          </w:rPr>
          <w:fldChar w:fldCharType="separate"/>
        </w:r>
        <w:r w:rsidR="001A123E">
          <w:rPr>
            <w:noProof/>
            <w:webHidden/>
          </w:rPr>
          <w:t>9</w:t>
        </w:r>
        <w:r w:rsidR="001A123E">
          <w:rPr>
            <w:noProof/>
            <w:webHidden/>
          </w:rPr>
          <w:fldChar w:fldCharType="end"/>
        </w:r>
      </w:hyperlink>
    </w:p>
    <w:p w14:paraId="226DFAAB" w14:textId="77777777" w:rsidR="001A123E" w:rsidRDefault="00E258B2">
      <w:pPr>
        <w:pStyle w:val="TOC3"/>
        <w:tabs>
          <w:tab w:val="right" w:leader="dot" w:pos="9339"/>
        </w:tabs>
        <w:rPr>
          <w:rFonts w:asciiTheme="minorHAnsi" w:eastAsiaTheme="minorEastAsia" w:hAnsiTheme="minorHAnsi" w:cstheme="minorBidi"/>
          <w:noProof/>
          <w:kern w:val="0"/>
          <w:sz w:val="22"/>
          <w:szCs w:val="22"/>
          <w:lang w:val="en-AU" w:eastAsia="en-AU"/>
        </w:rPr>
      </w:pPr>
      <w:hyperlink w:anchor="_Toc31571251" w:history="1">
        <w:r w:rsidR="001A123E" w:rsidRPr="0060383F">
          <w:rPr>
            <w:rStyle w:val="Hyperlink"/>
            <w:noProof/>
          </w:rPr>
          <w:t>Recommendation and cost</w:t>
        </w:r>
        <w:r w:rsidR="001A123E">
          <w:rPr>
            <w:noProof/>
            <w:webHidden/>
          </w:rPr>
          <w:tab/>
        </w:r>
        <w:r w:rsidR="001A123E">
          <w:rPr>
            <w:noProof/>
            <w:webHidden/>
          </w:rPr>
          <w:fldChar w:fldCharType="begin"/>
        </w:r>
        <w:r w:rsidR="001A123E">
          <w:rPr>
            <w:noProof/>
            <w:webHidden/>
          </w:rPr>
          <w:instrText xml:space="preserve"> PAGEREF _Toc31571251 \h </w:instrText>
        </w:r>
        <w:r w:rsidR="001A123E">
          <w:rPr>
            <w:noProof/>
            <w:webHidden/>
          </w:rPr>
        </w:r>
        <w:r w:rsidR="001A123E">
          <w:rPr>
            <w:noProof/>
            <w:webHidden/>
          </w:rPr>
          <w:fldChar w:fldCharType="separate"/>
        </w:r>
        <w:r w:rsidR="001A123E">
          <w:rPr>
            <w:noProof/>
            <w:webHidden/>
          </w:rPr>
          <w:t>10</w:t>
        </w:r>
        <w:r w:rsidR="001A123E">
          <w:rPr>
            <w:noProof/>
            <w:webHidden/>
          </w:rPr>
          <w:fldChar w:fldCharType="end"/>
        </w:r>
      </w:hyperlink>
    </w:p>
    <w:p w14:paraId="70362824" w14:textId="77777777" w:rsidR="001A123E" w:rsidRDefault="00E258B2">
      <w:pPr>
        <w:pStyle w:val="TOC2"/>
        <w:tabs>
          <w:tab w:val="left" w:pos="720"/>
          <w:tab w:val="right" w:leader="dot" w:pos="9339"/>
        </w:tabs>
        <w:rPr>
          <w:rFonts w:asciiTheme="minorHAnsi" w:eastAsiaTheme="minorEastAsia" w:hAnsiTheme="minorHAnsi" w:cstheme="minorBidi"/>
          <w:noProof/>
          <w:kern w:val="0"/>
          <w:sz w:val="22"/>
          <w:szCs w:val="22"/>
          <w:lang w:val="en-AU" w:eastAsia="en-AU"/>
        </w:rPr>
      </w:pPr>
      <w:hyperlink w:anchor="_Toc31571252" w:history="1">
        <w:r w:rsidR="001A123E" w:rsidRPr="0060383F">
          <w:rPr>
            <w:rStyle w:val="Hyperlink"/>
            <w:noProof/>
          </w:rPr>
          <w:t>4.</w:t>
        </w:r>
        <w:r w:rsidR="001A123E">
          <w:rPr>
            <w:rFonts w:asciiTheme="minorHAnsi" w:eastAsiaTheme="minorEastAsia" w:hAnsiTheme="minorHAnsi" w:cstheme="minorBidi"/>
            <w:noProof/>
            <w:kern w:val="0"/>
            <w:sz w:val="22"/>
            <w:szCs w:val="22"/>
            <w:lang w:val="en-AU" w:eastAsia="en-AU"/>
          </w:rPr>
          <w:tab/>
        </w:r>
        <w:r w:rsidR="001A123E" w:rsidRPr="0060383F">
          <w:rPr>
            <w:rStyle w:val="Hyperlink"/>
            <w:noProof/>
          </w:rPr>
          <w:t>Funding individual disability advocacy organisations</w:t>
        </w:r>
        <w:r w:rsidR="001A123E">
          <w:rPr>
            <w:noProof/>
            <w:webHidden/>
          </w:rPr>
          <w:tab/>
        </w:r>
        <w:r w:rsidR="001A123E">
          <w:rPr>
            <w:noProof/>
            <w:webHidden/>
          </w:rPr>
          <w:fldChar w:fldCharType="begin"/>
        </w:r>
        <w:r w:rsidR="001A123E">
          <w:rPr>
            <w:noProof/>
            <w:webHidden/>
          </w:rPr>
          <w:instrText xml:space="preserve"> PAGEREF _Toc31571252 \h </w:instrText>
        </w:r>
        <w:r w:rsidR="001A123E">
          <w:rPr>
            <w:noProof/>
            <w:webHidden/>
          </w:rPr>
        </w:r>
        <w:r w:rsidR="001A123E">
          <w:rPr>
            <w:noProof/>
            <w:webHidden/>
          </w:rPr>
          <w:fldChar w:fldCharType="separate"/>
        </w:r>
        <w:r w:rsidR="001A123E">
          <w:rPr>
            <w:noProof/>
            <w:webHidden/>
          </w:rPr>
          <w:t>11</w:t>
        </w:r>
        <w:r w:rsidR="001A123E">
          <w:rPr>
            <w:noProof/>
            <w:webHidden/>
          </w:rPr>
          <w:fldChar w:fldCharType="end"/>
        </w:r>
      </w:hyperlink>
    </w:p>
    <w:p w14:paraId="68AEEBDB" w14:textId="77777777" w:rsidR="001A123E" w:rsidRDefault="00E258B2">
      <w:pPr>
        <w:pStyle w:val="TOC3"/>
        <w:tabs>
          <w:tab w:val="right" w:leader="dot" w:pos="9339"/>
        </w:tabs>
        <w:rPr>
          <w:rFonts w:asciiTheme="minorHAnsi" w:eastAsiaTheme="minorEastAsia" w:hAnsiTheme="minorHAnsi" w:cstheme="minorBidi"/>
          <w:noProof/>
          <w:kern w:val="0"/>
          <w:sz w:val="22"/>
          <w:szCs w:val="22"/>
          <w:lang w:val="en-AU" w:eastAsia="en-AU"/>
        </w:rPr>
      </w:pPr>
      <w:hyperlink w:anchor="_Toc31571253" w:history="1">
        <w:r w:rsidR="001A123E" w:rsidRPr="0060383F">
          <w:rPr>
            <w:rStyle w:val="Hyperlink"/>
            <w:noProof/>
          </w:rPr>
          <w:t>Recommendation and cost</w:t>
        </w:r>
        <w:r w:rsidR="001A123E">
          <w:rPr>
            <w:noProof/>
            <w:webHidden/>
          </w:rPr>
          <w:tab/>
        </w:r>
        <w:r w:rsidR="001A123E">
          <w:rPr>
            <w:noProof/>
            <w:webHidden/>
          </w:rPr>
          <w:fldChar w:fldCharType="begin"/>
        </w:r>
        <w:r w:rsidR="001A123E">
          <w:rPr>
            <w:noProof/>
            <w:webHidden/>
          </w:rPr>
          <w:instrText xml:space="preserve"> PAGEREF _Toc31571253 \h </w:instrText>
        </w:r>
        <w:r w:rsidR="001A123E">
          <w:rPr>
            <w:noProof/>
            <w:webHidden/>
          </w:rPr>
        </w:r>
        <w:r w:rsidR="001A123E">
          <w:rPr>
            <w:noProof/>
            <w:webHidden/>
          </w:rPr>
          <w:fldChar w:fldCharType="separate"/>
        </w:r>
        <w:r w:rsidR="001A123E">
          <w:rPr>
            <w:noProof/>
            <w:webHidden/>
          </w:rPr>
          <w:t>12</w:t>
        </w:r>
        <w:r w:rsidR="001A123E">
          <w:rPr>
            <w:noProof/>
            <w:webHidden/>
          </w:rPr>
          <w:fldChar w:fldCharType="end"/>
        </w:r>
      </w:hyperlink>
    </w:p>
    <w:p w14:paraId="17690A82" w14:textId="77777777" w:rsidR="00045D81" w:rsidRDefault="00045D81">
      <w:pPr>
        <w:spacing w:after="0" w:line="240" w:lineRule="auto"/>
        <w:rPr>
          <w:b/>
          <w:bCs/>
        </w:rPr>
      </w:pPr>
      <w:r>
        <w:fldChar w:fldCharType="end"/>
      </w:r>
      <w:r>
        <w:br w:type="page"/>
      </w:r>
    </w:p>
    <w:p w14:paraId="01CEA878" w14:textId="238A962A" w:rsidR="009F1A6D" w:rsidRPr="00651905" w:rsidRDefault="00045D81" w:rsidP="005B06C9">
      <w:pPr>
        <w:pStyle w:val="Heading2"/>
        <w:spacing w:after="0"/>
      </w:pPr>
      <w:bookmarkStart w:id="3" w:name="_Toc31571244"/>
      <w:r>
        <w:lastRenderedPageBreak/>
        <w:t>About</w:t>
      </w:r>
      <w:r w:rsidR="0038046D">
        <w:t xml:space="preserve"> AFDO</w:t>
      </w:r>
      <w:bookmarkEnd w:id="3"/>
      <w:r w:rsidR="0038046D">
        <w:t xml:space="preserve"> </w:t>
      </w:r>
    </w:p>
    <w:p w14:paraId="375212F8" w14:textId="5D0D4B21" w:rsidR="000B4331" w:rsidRPr="00D50608" w:rsidRDefault="000B4331" w:rsidP="000B4331">
      <w:pPr>
        <w:spacing w:after="0"/>
        <w:rPr>
          <w:sz w:val="23"/>
          <w:szCs w:val="23"/>
        </w:rPr>
      </w:pPr>
      <w:r w:rsidRPr="00D50608">
        <w:rPr>
          <w:sz w:val="23"/>
          <w:szCs w:val="23"/>
        </w:rPr>
        <w:t>Since 2003, the Australian Federation of Disability Organisations (AFDO), a Disabled Peoples Organisation (DPO) and recognised Disability Representative Organisation (DRO), has been the recognised national peak organisation in the disability sector, along with its disability specific members, representing people with disability</w:t>
      </w:r>
      <w:r>
        <w:rPr>
          <w:sz w:val="23"/>
          <w:szCs w:val="23"/>
        </w:rPr>
        <w:t xml:space="preserve"> and their families</w:t>
      </w:r>
      <w:r w:rsidRPr="00D50608">
        <w:rPr>
          <w:sz w:val="23"/>
          <w:szCs w:val="23"/>
        </w:rPr>
        <w:t xml:space="preserve">.  AFDO’s mission is to champion the rights of people with disability in Australia and support them to participate fully in Australian life. </w:t>
      </w:r>
    </w:p>
    <w:p w14:paraId="62AE8BC2" w14:textId="77777777" w:rsidR="000B4331" w:rsidRPr="00D50608" w:rsidRDefault="000B4331" w:rsidP="000B4331">
      <w:pPr>
        <w:spacing w:after="0"/>
        <w:rPr>
          <w:sz w:val="23"/>
          <w:szCs w:val="23"/>
        </w:rPr>
      </w:pPr>
    </w:p>
    <w:p w14:paraId="5D347F3F" w14:textId="77777777" w:rsidR="000B4331" w:rsidRPr="00D50608" w:rsidRDefault="000B4331" w:rsidP="000B4331">
      <w:pPr>
        <w:spacing w:after="0"/>
        <w:rPr>
          <w:sz w:val="23"/>
          <w:szCs w:val="23"/>
        </w:rPr>
      </w:pPr>
      <w:r w:rsidRPr="00D50608">
        <w:rPr>
          <w:sz w:val="23"/>
          <w:szCs w:val="23"/>
        </w:rPr>
        <w:t>As one of the three founding members of the National Disability and Carer Alliance, AFDO played a key role in the campaign for the introduction of the National Disability Insurance Scheme (NDIS) through its “Every Australian Counts” campaign.  As the NDIS has moved through the trial phase and begun the transition to full scheme, AFDO and its members have continued to work constructively with the National Disability Insurance Agency (NDIA) as well as Commonwealth, State and Territory governments to provide critical feedback and address implementation issues as they arise.</w:t>
      </w:r>
    </w:p>
    <w:p w14:paraId="420271B2" w14:textId="77777777" w:rsidR="000B4331" w:rsidRPr="00D50608" w:rsidRDefault="000B4331" w:rsidP="000B4331">
      <w:pPr>
        <w:spacing w:after="0"/>
        <w:rPr>
          <w:sz w:val="23"/>
          <w:szCs w:val="23"/>
        </w:rPr>
      </w:pPr>
    </w:p>
    <w:p w14:paraId="313001D0" w14:textId="478F336C" w:rsidR="005B06C9" w:rsidRPr="000B4331" w:rsidRDefault="000B4331" w:rsidP="000B4331">
      <w:pPr>
        <w:spacing w:after="0"/>
        <w:rPr>
          <w:b/>
          <w:sz w:val="23"/>
          <w:szCs w:val="23"/>
        </w:rPr>
      </w:pPr>
      <w:r w:rsidRPr="000B4331">
        <w:rPr>
          <w:b/>
          <w:sz w:val="23"/>
          <w:szCs w:val="23"/>
        </w:rPr>
        <w:t>Our member organisations represent disability specific communities nationally with a total reach of over 2,800,000 Australians.</w:t>
      </w:r>
    </w:p>
    <w:p w14:paraId="08A111A0" w14:textId="77777777" w:rsidR="00816F20" w:rsidRPr="00816F20" w:rsidRDefault="00816F20" w:rsidP="005B06C9">
      <w:pPr>
        <w:spacing w:after="0" w:line="240" w:lineRule="auto"/>
        <w:rPr>
          <w:sz w:val="16"/>
        </w:rPr>
      </w:pPr>
    </w:p>
    <w:p w14:paraId="2AF30C6A" w14:textId="77777777" w:rsidR="005B06C9" w:rsidRDefault="005B06C9" w:rsidP="005B06C9">
      <w:pPr>
        <w:spacing w:after="0" w:line="240" w:lineRule="auto"/>
      </w:pPr>
      <w:r>
        <w:t>AFDO continues to provide a strong, trusted, independent voice for the disability sector on national policy, inquiries, submissions, systemic advocacy and advisory on government initiatives with the Federal and State/Territory governments.</w:t>
      </w:r>
    </w:p>
    <w:p w14:paraId="50013B1B" w14:textId="77777777" w:rsidR="005B06C9" w:rsidRPr="00816F20" w:rsidRDefault="005B06C9" w:rsidP="005B06C9">
      <w:pPr>
        <w:spacing w:after="0" w:line="240" w:lineRule="auto"/>
        <w:rPr>
          <w:sz w:val="16"/>
        </w:rPr>
      </w:pPr>
    </w:p>
    <w:p w14:paraId="789CE20F" w14:textId="77777777" w:rsidR="005B06C9" w:rsidRPr="005B06C9" w:rsidRDefault="005B06C9" w:rsidP="005B06C9">
      <w:pPr>
        <w:spacing w:after="0" w:line="240" w:lineRule="auto"/>
        <w:rPr>
          <w:sz w:val="8"/>
          <w:szCs w:val="8"/>
        </w:rPr>
      </w:pPr>
    </w:p>
    <w:p w14:paraId="5A4557B8" w14:textId="77777777" w:rsidR="005B06C9" w:rsidRPr="00816F20" w:rsidRDefault="0038046D" w:rsidP="005B06C9">
      <w:pPr>
        <w:spacing w:after="0" w:line="240" w:lineRule="auto"/>
        <w:rPr>
          <w:b/>
          <w:sz w:val="22"/>
        </w:rPr>
      </w:pPr>
      <w:r w:rsidRPr="00816F20">
        <w:rPr>
          <w:b/>
          <w:sz w:val="22"/>
        </w:rPr>
        <w:t>AFDO’s members include:</w:t>
      </w:r>
    </w:p>
    <w:p w14:paraId="59F18E45" w14:textId="314310AD" w:rsidR="0038046D" w:rsidRPr="000B4331" w:rsidRDefault="0038046D" w:rsidP="005B06C9">
      <w:pPr>
        <w:spacing w:after="0" w:line="240" w:lineRule="auto"/>
        <w:rPr>
          <w:b/>
          <w:sz w:val="12"/>
        </w:rPr>
      </w:pPr>
      <w:r w:rsidRPr="000B4331">
        <w:rPr>
          <w:b/>
          <w:sz w:val="12"/>
        </w:rPr>
        <w:t xml:space="preserve"> </w:t>
      </w:r>
    </w:p>
    <w:p w14:paraId="7C4840DE" w14:textId="77777777" w:rsidR="008278AF" w:rsidRPr="000B4331" w:rsidRDefault="008278AF" w:rsidP="00592BFE">
      <w:pPr>
        <w:rPr>
          <w:color w:val="000000"/>
          <w:sz w:val="2"/>
          <w:shd w:val="clear" w:color="auto" w:fill="FFFFFF"/>
        </w:rPr>
        <w:sectPr w:rsidR="008278AF" w:rsidRPr="000B4331" w:rsidSect="00816F20">
          <w:headerReference w:type="even" r:id="rId19"/>
          <w:headerReference w:type="default" r:id="rId20"/>
          <w:footerReference w:type="even" r:id="rId21"/>
          <w:headerReference w:type="first" r:id="rId22"/>
          <w:footerReference w:type="first" r:id="rId23"/>
          <w:pgSz w:w="11901" w:h="16817"/>
          <w:pgMar w:top="426" w:right="1134" w:bottom="1474" w:left="1418" w:header="709" w:footer="963" w:gutter="0"/>
          <w:cols w:space="708"/>
          <w:docGrid w:linePitch="326"/>
        </w:sectPr>
      </w:pPr>
    </w:p>
    <w:p w14:paraId="22EBDAB0" w14:textId="072046C9" w:rsidR="0038046D" w:rsidRPr="00816F20" w:rsidRDefault="0038046D" w:rsidP="005B06C9">
      <w:pPr>
        <w:spacing w:after="0"/>
        <w:rPr>
          <w:color w:val="000000"/>
          <w:sz w:val="22"/>
          <w:shd w:val="clear" w:color="auto" w:fill="FFFFFF"/>
        </w:rPr>
      </w:pPr>
      <w:r w:rsidRPr="00816F20">
        <w:rPr>
          <w:color w:val="000000"/>
          <w:sz w:val="22"/>
          <w:shd w:val="clear" w:color="auto" w:fill="FFFFFF"/>
        </w:rPr>
        <w:t>Blind Citizens Australia</w:t>
      </w:r>
    </w:p>
    <w:p w14:paraId="4D3161D0" w14:textId="77777777" w:rsidR="0038046D" w:rsidRPr="00816F20" w:rsidRDefault="0038046D" w:rsidP="005B06C9">
      <w:pPr>
        <w:spacing w:after="0"/>
        <w:rPr>
          <w:color w:val="000000"/>
          <w:sz w:val="22"/>
          <w:shd w:val="clear" w:color="auto" w:fill="FFFFFF"/>
        </w:rPr>
      </w:pPr>
      <w:r w:rsidRPr="00816F20">
        <w:rPr>
          <w:color w:val="000000"/>
          <w:sz w:val="22"/>
          <w:shd w:val="clear" w:color="auto" w:fill="FFFFFF"/>
        </w:rPr>
        <w:t>Brain Injury Australia</w:t>
      </w:r>
    </w:p>
    <w:p w14:paraId="7A823429" w14:textId="77777777" w:rsidR="0038046D" w:rsidRPr="00816F20" w:rsidRDefault="0038046D" w:rsidP="005B06C9">
      <w:pPr>
        <w:spacing w:after="0"/>
        <w:rPr>
          <w:color w:val="000000"/>
          <w:sz w:val="22"/>
          <w:shd w:val="clear" w:color="auto" w:fill="FFFFFF"/>
        </w:rPr>
      </w:pPr>
      <w:r w:rsidRPr="00816F20">
        <w:rPr>
          <w:color w:val="000000"/>
          <w:sz w:val="22"/>
          <w:shd w:val="clear" w:color="auto" w:fill="FFFFFF"/>
        </w:rPr>
        <w:t>Deaf Australia</w:t>
      </w:r>
    </w:p>
    <w:p w14:paraId="701813A9" w14:textId="77777777" w:rsidR="0038046D" w:rsidRPr="00816F20" w:rsidRDefault="0038046D" w:rsidP="005B06C9">
      <w:pPr>
        <w:spacing w:after="0"/>
        <w:rPr>
          <w:color w:val="000000"/>
          <w:sz w:val="22"/>
          <w:shd w:val="clear" w:color="auto" w:fill="FFFFFF"/>
        </w:rPr>
      </w:pPr>
      <w:r w:rsidRPr="00816F20">
        <w:rPr>
          <w:color w:val="000000"/>
          <w:sz w:val="22"/>
          <w:shd w:val="clear" w:color="auto" w:fill="FFFFFF"/>
        </w:rPr>
        <w:t>Deafblind Australia</w:t>
      </w:r>
    </w:p>
    <w:p w14:paraId="66B72384" w14:textId="77777777" w:rsidR="0038046D" w:rsidRPr="00816F20" w:rsidRDefault="0038046D" w:rsidP="005B06C9">
      <w:pPr>
        <w:spacing w:after="0"/>
        <w:rPr>
          <w:rFonts w:ascii="Times" w:hAnsi="Times"/>
          <w:sz w:val="22"/>
        </w:rPr>
      </w:pPr>
      <w:r w:rsidRPr="00816F20">
        <w:rPr>
          <w:color w:val="000000"/>
          <w:sz w:val="22"/>
          <w:shd w:val="clear" w:color="auto" w:fill="FFFFFF"/>
        </w:rPr>
        <w:t>Autism Aspergers Advocacy Australia</w:t>
      </w:r>
    </w:p>
    <w:p w14:paraId="1ADA792A" w14:textId="77777777" w:rsidR="0038046D" w:rsidRPr="00816F20" w:rsidRDefault="0038046D" w:rsidP="005B06C9">
      <w:pPr>
        <w:spacing w:after="0"/>
        <w:rPr>
          <w:color w:val="000000"/>
          <w:sz w:val="22"/>
          <w:shd w:val="clear" w:color="auto" w:fill="FFFFFF"/>
        </w:rPr>
      </w:pPr>
      <w:r w:rsidRPr="00816F20">
        <w:rPr>
          <w:color w:val="000000"/>
          <w:sz w:val="22"/>
          <w:shd w:val="clear" w:color="auto" w:fill="FFFFFF"/>
        </w:rPr>
        <w:t>Down Syndrome Australia</w:t>
      </w:r>
    </w:p>
    <w:p w14:paraId="4A66FD8D" w14:textId="77777777" w:rsidR="0038046D" w:rsidRPr="00816F20" w:rsidRDefault="0038046D" w:rsidP="005B06C9">
      <w:pPr>
        <w:spacing w:after="0"/>
        <w:rPr>
          <w:color w:val="000000"/>
          <w:sz w:val="22"/>
          <w:shd w:val="clear" w:color="auto" w:fill="FFFFFF"/>
        </w:rPr>
      </w:pPr>
      <w:r w:rsidRPr="00816F20">
        <w:rPr>
          <w:color w:val="000000"/>
          <w:sz w:val="22"/>
          <w:shd w:val="clear" w:color="auto" w:fill="FFFFFF"/>
        </w:rPr>
        <w:t>Physical Disability Australia</w:t>
      </w:r>
    </w:p>
    <w:p w14:paraId="6C19D406" w14:textId="77777777" w:rsidR="0038046D" w:rsidRPr="00816F20" w:rsidRDefault="0038046D" w:rsidP="005B06C9">
      <w:pPr>
        <w:spacing w:after="0"/>
        <w:rPr>
          <w:color w:val="000000"/>
          <w:sz w:val="22"/>
          <w:shd w:val="clear" w:color="auto" w:fill="FFFFFF"/>
        </w:rPr>
      </w:pPr>
      <w:r w:rsidRPr="00816F20">
        <w:rPr>
          <w:color w:val="000000"/>
          <w:sz w:val="22"/>
          <w:shd w:val="clear" w:color="auto" w:fill="FFFFFF"/>
        </w:rPr>
        <w:t>Disability Advocacy Network Australia</w:t>
      </w:r>
    </w:p>
    <w:p w14:paraId="35E7E729" w14:textId="4131FDE3" w:rsidR="0038046D" w:rsidRPr="00816F20" w:rsidRDefault="0038046D" w:rsidP="005B06C9">
      <w:pPr>
        <w:spacing w:after="0"/>
        <w:rPr>
          <w:color w:val="000000"/>
          <w:sz w:val="22"/>
          <w:shd w:val="clear" w:color="auto" w:fill="FFFFFF"/>
        </w:rPr>
      </w:pPr>
      <w:r w:rsidRPr="00816F20">
        <w:rPr>
          <w:color w:val="000000"/>
          <w:sz w:val="22"/>
          <w:shd w:val="clear" w:color="auto" w:fill="FFFFFF"/>
        </w:rPr>
        <w:t>Disability Justice Advocacy</w:t>
      </w:r>
      <w:r w:rsidR="000B4331">
        <w:rPr>
          <w:color w:val="000000"/>
          <w:sz w:val="22"/>
          <w:shd w:val="clear" w:color="auto" w:fill="FFFFFF"/>
        </w:rPr>
        <w:tab/>
      </w:r>
      <w:r w:rsidR="000B4331">
        <w:rPr>
          <w:color w:val="000000"/>
          <w:sz w:val="22"/>
          <w:shd w:val="clear" w:color="auto" w:fill="FFFFFF"/>
        </w:rPr>
        <w:tab/>
      </w:r>
      <w:r w:rsidR="000B4331">
        <w:rPr>
          <w:color w:val="000000"/>
          <w:sz w:val="22"/>
          <w:shd w:val="clear" w:color="auto" w:fill="FFFFFF"/>
        </w:rPr>
        <w:tab/>
      </w:r>
    </w:p>
    <w:p w14:paraId="7E00690E" w14:textId="70CB379E" w:rsidR="008278AF" w:rsidRPr="00816F20" w:rsidRDefault="008278AF" w:rsidP="005B06C9">
      <w:pPr>
        <w:spacing w:after="0"/>
        <w:rPr>
          <w:color w:val="000000"/>
          <w:sz w:val="22"/>
          <w:shd w:val="clear" w:color="auto" w:fill="FFFFFF"/>
        </w:rPr>
      </w:pPr>
      <w:r w:rsidRPr="00816F20">
        <w:rPr>
          <w:color w:val="000000"/>
          <w:sz w:val="22"/>
          <w:shd w:val="clear" w:color="auto" w:fill="FFFFFF"/>
        </w:rPr>
        <w:t>People with Disability WA</w:t>
      </w:r>
    </w:p>
    <w:p w14:paraId="1C9BE8D6" w14:textId="77777777" w:rsidR="0038046D" w:rsidRPr="00816F20" w:rsidRDefault="0038046D" w:rsidP="005B06C9">
      <w:pPr>
        <w:spacing w:after="0"/>
        <w:rPr>
          <w:color w:val="000000"/>
          <w:sz w:val="22"/>
          <w:shd w:val="clear" w:color="auto" w:fill="FFFFFF"/>
        </w:rPr>
      </w:pPr>
      <w:r w:rsidRPr="00816F20">
        <w:rPr>
          <w:color w:val="000000"/>
          <w:sz w:val="22"/>
          <w:shd w:val="clear" w:color="auto" w:fill="FFFFFF"/>
        </w:rPr>
        <w:t>Disability Resources Centre</w:t>
      </w:r>
    </w:p>
    <w:p w14:paraId="70446549" w14:textId="77777777" w:rsidR="002A789C" w:rsidRPr="00816F20" w:rsidRDefault="002A789C" w:rsidP="005B06C9">
      <w:pPr>
        <w:spacing w:after="0"/>
        <w:rPr>
          <w:color w:val="000000"/>
          <w:sz w:val="22"/>
          <w:shd w:val="clear" w:color="auto" w:fill="FFFFFF"/>
        </w:rPr>
      </w:pPr>
      <w:r w:rsidRPr="00816F20">
        <w:rPr>
          <w:color w:val="000000"/>
          <w:sz w:val="22"/>
          <w:shd w:val="clear" w:color="auto" w:fill="FFFFFF"/>
        </w:rPr>
        <w:t>Inclusion Australia (NCID)</w:t>
      </w:r>
    </w:p>
    <w:p w14:paraId="24402486" w14:textId="0AEE8FF8" w:rsidR="0038046D" w:rsidRPr="00816F20" w:rsidRDefault="005D1E2A" w:rsidP="005B06C9">
      <w:pPr>
        <w:spacing w:after="0"/>
        <w:rPr>
          <w:color w:val="000000"/>
          <w:sz w:val="22"/>
          <w:shd w:val="clear" w:color="auto" w:fill="FFFFFF"/>
        </w:rPr>
      </w:pPr>
      <w:r w:rsidRPr="00816F20">
        <w:rPr>
          <w:color w:val="000000"/>
          <w:sz w:val="22"/>
          <w:shd w:val="clear" w:color="auto" w:fill="FFFFFF"/>
        </w:rPr>
        <w:t>People with Disabilities</w:t>
      </w:r>
      <w:r w:rsidR="0052531C" w:rsidRPr="00816F20">
        <w:rPr>
          <w:color w:val="000000"/>
          <w:sz w:val="22"/>
          <w:shd w:val="clear" w:color="auto" w:fill="FFFFFF"/>
        </w:rPr>
        <w:t xml:space="preserve"> </w:t>
      </w:r>
      <w:r w:rsidR="0038046D" w:rsidRPr="00816F20">
        <w:rPr>
          <w:color w:val="000000"/>
          <w:sz w:val="22"/>
          <w:shd w:val="clear" w:color="auto" w:fill="FFFFFF"/>
        </w:rPr>
        <w:t xml:space="preserve">ACT </w:t>
      </w:r>
    </w:p>
    <w:p w14:paraId="33C2339A" w14:textId="77777777" w:rsidR="003615B6" w:rsidRPr="00816F20" w:rsidRDefault="003615B6" w:rsidP="005B06C9">
      <w:pPr>
        <w:spacing w:after="0"/>
        <w:rPr>
          <w:color w:val="000000"/>
          <w:sz w:val="22"/>
          <w:shd w:val="clear" w:color="auto" w:fill="FFFFFF"/>
        </w:rPr>
      </w:pPr>
      <w:r w:rsidRPr="00816F20">
        <w:rPr>
          <w:color w:val="000000"/>
          <w:sz w:val="22"/>
          <w:shd w:val="clear" w:color="auto" w:fill="FFFFFF"/>
        </w:rPr>
        <w:t>Women with Disabilities Victoria</w:t>
      </w:r>
    </w:p>
    <w:p w14:paraId="4BC5E6CB" w14:textId="3C42693F" w:rsidR="0038046D" w:rsidRPr="00816F20" w:rsidRDefault="0038046D" w:rsidP="005B06C9">
      <w:pPr>
        <w:spacing w:after="0"/>
        <w:rPr>
          <w:color w:val="000000"/>
          <w:sz w:val="22"/>
          <w:shd w:val="clear" w:color="auto" w:fill="FFFFFF"/>
        </w:rPr>
      </w:pPr>
      <w:r w:rsidRPr="00816F20">
        <w:rPr>
          <w:color w:val="000000"/>
          <w:sz w:val="22"/>
          <w:shd w:val="clear" w:color="auto" w:fill="FFFFFF"/>
        </w:rPr>
        <w:t>Enhanced Lifestyles</w:t>
      </w:r>
    </w:p>
    <w:p w14:paraId="3A6902F4" w14:textId="719CD559" w:rsidR="00CC4314" w:rsidRPr="00816F20" w:rsidRDefault="00CC4314" w:rsidP="005B06C9">
      <w:pPr>
        <w:spacing w:after="0"/>
        <w:rPr>
          <w:color w:val="000000"/>
          <w:sz w:val="22"/>
          <w:shd w:val="clear" w:color="auto" w:fill="FFFFFF"/>
        </w:rPr>
      </w:pPr>
      <w:r w:rsidRPr="00816F20">
        <w:rPr>
          <w:color w:val="000000"/>
          <w:sz w:val="22"/>
          <w:shd w:val="clear" w:color="auto" w:fill="FFFFFF"/>
        </w:rPr>
        <w:t>Deafness Forum</w:t>
      </w:r>
      <w:r w:rsidR="003365FD" w:rsidRPr="00816F20">
        <w:rPr>
          <w:color w:val="000000"/>
          <w:sz w:val="22"/>
          <w:shd w:val="clear" w:color="auto" w:fill="FFFFFF"/>
        </w:rPr>
        <w:t xml:space="preserve"> of Australia</w:t>
      </w:r>
    </w:p>
    <w:p w14:paraId="35E5C415" w14:textId="7EC0D5D0" w:rsidR="000B4331" w:rsidRDefault="00EC1E5C" w:rsidP="000B4331">
      <w:pPr>
        <w:spacing w:after="0"/>
        <w:rPr>
          <w:color w:val="000000"/>
          <w:sz w:val="22"/>
          <w:shd w:val="clear" w:color="auto" w:fill="FFFFFF"/>
        </w:rPr>
      </w:pPr>
      <w:r w:rsidRPr="00816F20">
        <w:rPr>
          <w:color w:val="000000"/>
          <w:sz w:val="22"/>
          <w:shd w:val="clear" w:color="auto" w:fill="FFFFFF"/>
        </w:rPr>
        <w:t>Women with Disabilities ACT</w:t>
      </w:r>
    </w:p>
    <w:p w14:paraId="3AE87612" w14:textId="77777777" w:rsidR="000B4331" w:rsidRDefault="000B4331" w:rsidP="000B4331">
      <w:pPr>
        <w:spacing w:after="0"/>
        <w:rPr>
          <w:color w:val="000000"/>
          <w:sz w:val="22"/>
          <w:shd w:val="clear" w:color="auto" w:fill="FFFFFF"/>
        </w:rPr>
      </w:pPr>
      <w:r>
        <w:rPr>
          <w:color w:val="000000"/>
          <w:sz w:val="22"/>
          <w:shd w:val="clear" w:color="auto" w:fill="FFFFFF"/>
        </w:rPr>
        <w:t xml:space="preserve">National  Mental Health Consumer &amp; </w:t>
      </w:r>
    </w:p>
    <w:p w14:paraId="402D29D0" w14:textId="77777777" w:rsidR="009E54F3" w:rsidRPr="00D50608" w:rsidRDefault="000B4331" w:rsidP="009E54F3">
      <w:pPr>
        <w:spacing w:after="0"/>
        <w:rPr>
          <w:color w:val="000000"/>
          <w:sz w:val="23"/>
          <w:szCs w:val="23"/>
          <w:shd w:val="clear" w:color="auto" w:fill="FFFFFF"/>
        </w:rPr>
      </w:pPr>
      <w:r>
        <w:rPr>
          <w:color w:val="000000"/>
          <w:sz w:val="22"/>
          <w:shd w:val="clear" w:color="auto" w:fill="FFFFFF"/>
        </w:rPr>
        <w:t>Carer Forum</w:t>
      </w:r>
      <w:r w:rsidR="009E54F3">
        <w:rPr>
          <w:color w:val="000000"/>
          <w:sz w:val="22"/>
          <w:shd w:val="clear" w:color="auto" w:fill="FFFFFF"/>
        </w:rPr>
        <w:t xml:space="preserve"> </w:t>
      </w:r>
      <w:r w:rsidR="009E54F3" w:rsidRPr="00D50608">
        <w:rPr>
          <w:color w:val="000000"/>
          <w:sz w:val="23"/>
          <w:szCs w:val="23"/>
          <w:shd w:val="clear" w:color="auto" w:fill="FFFFFF"/>
        </w:rPr>
        <w:t>(NMHCCF)</w:t>
      </w:r>
    </w:p>
    <w:p w14:paraId="46D79768" w14:textId="41B7B87B" w:rsidR="000B4331" w:rsidRPr="00816F20" w:rsidRDefault="000B4331" w:rsidP="000B4331">
      <w:pPr>
        <w:spacing w:after="0"/>
        <w:rPr>
          <w:color w:val="000000"/>
          <w:sz w:val="22"/>
          <w:shd w:val="clear" w:color="auto" w:fill="FFFFFF"/>
        </w:rPr>
        <w:sectPr w:rsidR="000B4331" w:rsidRPr="00816F20" w:rsidSect="008278AF">
          <w:type w:val="continuous"/>
          <w:pgSz w:w="11901" w:h="16817"/>
          <w:pgMar w:top="851" w:right="1134" w:bottom="1474" w:left="1418" w:header="709" w:footer="963" w:gutter="0"/>
          <w:cols w:num="2" w:space="708"/>
          <w:titlePg/>
        </w:sectPr>
      </w:pPr>
    </w:p>
    <w:p w14:paraId="401B2164" w14:textId="437258B9" w:rsidR="006259F7" w:rsidRDefault="000B4331" w:rsidP="005B06C9">
      <w:pPr>
        <w:ind w:hanging="426"/>
        <w:jc w:val="center"/>
        <w:rPr>
          <w:color w:val="000000"/>
          <w:shd w:val="clear" w:color="auto" w:fill="FFFFFF"/>
        </w:rPr>
      </w:pPr>
      <w:r>
        <w:rPr>
          <w:noProof/>
          <w:color w:val="000000"/>
          <w:shd w:val="clear" w:color="auto" w:fill="FFFFFF"/>
          <w:lang w:val="en-AU" w:eastAsia="en-AU"/>
        </w:rPr>
        <w:drawing>
          <wp:inline distT="0" distB="0" distL="0" distR="0" wp14:anchorId="284870BE" wp14:editId="74ED01FE">
            <wp:extent cx="6010910" cy="2487295"/>
            <wp:effectExtent l="0" t="0" r="889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010910" cy="2487295"/>
                    </a:xfrm>
                    <a:prstGeom prst="rect">
                      <a:avLst/>
                    </a:prstGeom>
                    <a:noFill/>
                  </pic:spPr>
                </pic:pic>
              </a:graphicData>
            </a:graphic>
          </wp:inline>
        </w:drawing>
      </w:r>
    </w:p>
    <w:p w14:paraId="327287B6" w14:textId="77777777" w:rsidR="00C8279C" w:rsidRPr="00A85B09" w:rsidRDefault="00C8279C" w:rsidP="00C8279C">
      <w:pPr>
        <w:pStyle w:val="Heading2"/>
        <w:spacing w:after="0"/>
        <w:rPr>
          <w:sz w:val="28"/>
        </w:rPr>
      </w:pPr>
      <w:bookmarkStart w:id="4" w:name="_Toc31571245"/>
      <w:r w:rsidRPr="00A85B09">
        <w:rPr>
          <w:sz w:val="28"/>
        </w:rPr>
        <w:t>General principles underpinning submission</w:t>
      </w:r>
      <w:bookmarkEnd w:id="4"/>
    </w:p>
    <w:p w14:paraId="6ECD13CD" w14:textId="77777777" w:rsidR="00C8279C" w:rsidRDefault="00C8279C" w:rsidP="00C8279C">
      <w:pPr>
        <w:spacing w:after="0"/>
      </w:pPr>
    </w:p>
    <w:p w14:paraId="4C7D92A3" w14:textId="77777777" w:rsidR="00C8279C" w:rsidRDefault="00C8279C" w:rsidP="00C8279C">
      <w:pPr>
        <w:spacing w:after="0"/>
      </w:pPr>
      <w:r w:rsidRPr="008C7201">
        <w:t>Government funding should adh</w:t>
      </w:r>
      <w:r>
        <w:t>ere to the principles of the UN</w:t>
      </w:r>
      <w:r w:rsidRPr="008C7201">
        <w:t>CRPD. As such, it should:</w:t>
      </w:r>
    </w:p>
    <w:p w14:paraId="086F581A" w14:textId="77777777" w:rsidR="00C8279C" w:rsidRPr="008C7201" w:rsidRDefault="00C8279C" w:rsidP="00C8279C">
      <w:pPr>
        <w:spacing w:after="0"/>
      </w:pPr>
    </w:p>
    <w:p w14:paraId="32938B9A" w14:textId="77777777" w:rsidR="00C8279C" w:rsidRPr="008C7201" w:rsidRDefault="00C8279C" w:rsidP="00C8279C">
      <w:pPr>
        <w:pStyle w:val="ListParagraph"/>
        <w:numPr>
          <w:ilvl w:val="0"/>
          <w:numId w:val="26"/>
        </w:numPr>
        <w:spacing w:before="0" w:after="0"/>
      </w:pPr>
      <w:r w:rsidRPr="008C7201">
        <w:t>Identify appropriate areas for ‘mainstreaming’ disability issues within broader government programs;</w:t>
      </w:r>
    </w:p>
    <w:p w14:paraId="615F6896" w14:textId="77777777" w:rsidR="00C8279C" w:rsidRDefault="00C8279C" w:rsidP="00C8279C">
      <w:pPr>
        <w:pStyle w:val="ListParagraph"/>
        <w:spacing w:before="0" w:after="0"/>
      </w:pPr>
    </w:p>
    <w:p w14:paraId="243C33F0" w14:textId="77777777" w:rsidR="00C8279C" w:rsidRPr="008C7201" w:rsidRDefault="00C8279C" w:rsidP="00C8279C">
      <w:pPr>
        <w:pStyle w:val="ListParagraph"/>
        <w:numPr>
          <w:ilvl w:val="0"/>
          <w:numId w:val="26"/>
        </w:numPr>
        <w:spacing w:before="0" w:after="0"/>
      </w:pPr>
      <w:r>
        <w:t xml:space="preserve">Where appropriate </w:t>
      </w:r>
      <w:r w:rsidRPr="008C7201">
        <w:t>develop specialized programs for people with disability which focus on increasing community participation and social inclusion (for example, strengthening specialist open employment services for people with disability);</w:t>
      </w:r>
    </w:p>
    <w:p w14:paraId="34A131D0" w14:textId="77777777" w:rsidR="00C8279C" w:rsidRDefault="00C8279C" w:rsidP="00C8279C">
      <w:pPr>
        <w:pStyle w:val="ListParagraph"/>
        <w:spacing w:before="0" w:after="0"/>
      </w:pPr>
    </w:p>
    <w:p w14:paraId="2700D82C" w14:textId="77777777" w:rsidR="00C8279C" w:rsidRDefault="00C8279C" w:rsidP="00C8279C">
      <w:pPr>
        <w:pStyle w:val="ListParagraph"/>
        <w:numPr>
          <w:ilvl w:val="0"/>
          <w:numId w:val="26"/>
        </w:numPr>
        <w:spacing w:before="0" w:after="0"/>
      </w:pPr>
      <w:r w:rsidRPr="008C7201">
        <w:t xml:space="preserve">Work in </w:t>
      </w:r>
      <w:r>
        <w:t xml:space="preserve">collaborative </w:t>
      </w:r>
      <w:r w:rsidRPr="008C7201">
        <w:t xml:space="preserve">partnership with people with disability and their </w:t>
      </w:r>
      <w:r>
        <w:t xml:space="preserve">representative </w:t>
      </w:r>
      <w:r w:rsidRPr="008C7201">
        <w:t>organisations</w:t>
      </w:r>
    </w:p>
    <w:p w14:paraId="6671E121" w14:textId="77777777" w:rsidR="00C8279C" w:rsidRPr="008C7201" w:rsidRDefault="00C8279C" w:rsidP="00C8279C">
      <w:pPr>
        <w:pStyle w:val="ListParagraph"/>
        <w:spacing w:before="0" w:after="0"/>
      </w:pPr>
    </w:p>
    <w:p w14:paraId="39D6A454" w14:textId="77777777" w:rsidR="00C8279C" w:rsidRDefault="00C8279C" w:rsidP="00C8279C">
      <w:pPr>
        <w:spacing w:after="0"/>
      </w:pPr>
      <w:r w:rsidRPr="008C7201">
        <w:t xml:space="preserve">This submission takes it as </w:t>
      </w:r>
      <w:r>
        <w:t xml:space="preserve">a </w:t>
      </w:r>
      <w:r w:rsidRPr="008C7201">
        <w:t xml:space="preserve">given that the government will work to appropriately implement recommendations upheld through disability related inquiries, such as those on hearing health, access to electronic media, migration laws and disability. It is particularly important that the introduction of any recommended programs is </w:t>
      </w:r>
      <w:r>
        <w:t>undertaken</w:t>
      </w:r>
      <w:r w:rsidRPr="008C7201">
        <w:t xml:space="preserve"> in consultation with </w:t>
      </w:r>
      <w:r>
        <w:t xml:space="preserve">people with disability and their </w:t>
      </w:r>
      <w:r w:rsidRPr="008C7201">
        <w:t xml:space="preserve">representative disabled person’s </w:t>
      </w:r>
      <w:r>
        <w:t>organisations</w:t>
      </w:r>
      <w:r w:rsidRPr="008C7201">
        <w:t>.</w:t>
      </w:r>
    </w:p>
    <w:p w14:paraId="7A6AEF39" w14:textId="77777777" w:rsidR="00C8279C" w:rsidRPr="008C7201" w:rsidRDefault="00C8279C" w:rsidP="00C8279C">
      <w:pPr>
        <w:spacing w:after="0"/>
      </w:pPr>
    </w:p>
    <w:p w14:paraId="4E9937CC" w14:textId="2B500AF8" w:rsidR="0029191F" w:rsidRPr="008C7201" w:rsidRDefault="00C8279C" w:rsidP="00C8279C">
      <w:pPr>
        <w:spacing w:after="0"/>
      </w:pPr>
      <w:r w:rsidRPr="008C7201">
        <w:t xml:space="preserve">AFDO expects people with disability and their </w:t>
      </w:r>
      <w:r>
        <w:t>organisations</w:t>
      </w:r>
      <w:r w:rsidRPr="008C7201">
        <w:t xml:space="preserve"> to be consulted during the roll out process of the National Disability Strategy</w:t>
      </w:r>
      <w:r>
        <w:t xml:space="preserve"> and any reform of the National Disability Agreements</w:t>
      </w:r>
      <w:r w:rsidRPr="008C7201">
        <w:t>, a lack of Key Performance Indicators and a short term implementation plan make budget</w:t>
      </w:r>
      <w:r w:rsidR="0029191F">
        <w:t xml:space="preserve"> submission requests difficult.</w:t>
      </w:r>
    </w:p>
    <w:p w14:paraId="768C2490" w14:textId="77777777" w:rsidR="0029191F" w:rsidRDefault="0029191F" w:rsidP="00C8279C">
      <w:pPr>
        <w:spacing w:after="0"/>
      </w:pPr>
    </w:p>
    <w:p w14:paraId="03668229" w14:textId="4EA82C7D" w:rsidR="00C8279C" w:rsidRDefault="00DF5082" w:rsidP="00C8279C">
      <w:pPr>
        <w:spacing w:after="0"/>
        <w:rPr>
          <w:rFonts w:eastAsia="Times New Roman"/>
          <w:b/>
          <w:bCs/>
          <w:color w:val="00767F"/>
          <w:kern w:val="28"/>
          <w:sz w:val="44"/>
          <w:szCs w:val="44"/>
          <w:lang w:val="en-AU"/>
        </w:rPr>
      </w:pPr>
      <w:r w:rsidRPr="00DF5082">
        <w:t xml:space="preserve">AFDO and its national members have been funded </w:t>
      </w:r>
      <w:r>
        <w:t xml:space="preserve">through the Department of Social Services, </w:t>
      </w:r>
      <w:r w:rsidRPr="00DF5082">
        <w:t xml:space="preserve">to undertake systemic advocacy, information and feedback </w:t>
      </w:r>
      <w:r>
        <w:t>for the Disability Royal C</w:t>
      </w:r>
      <w:r w:rsidR="0029191F" w:rsidRPr="00DF5082">
        <w:t>ommission</w:t>
      </w:r>
      <w:r>
        <w:t xml:space="preserve"> over three years for the period 2019/2020 – 2020/2021 and 2021/2022.</w:t>
      </w:r>
    </w:p>
    <w:p w14:paraId="4F259B48" w14:textId="274837CF" w:rsidR="00C8279C" w:rsidRPr="00DF5082" w:rsidRDefault="00C8279C" w:rsidP="00DF5082">
      <w:pPr>
        <w:pStyle w:val="Heading2"/>
        <w:numPr>
          <w:ilvl w:val="0"/>
          <w:numId w:val="40"/>
        </w:numPr>
        <w:rPr>
          <w:sz w:val="20"/>
        </w:rPr>
      </w:pPr>
      <w:bookmarkStart w:id="5" w:name="_Toc31571246"/>
      <w:r w:rsidRPr="00DF5082">
        <w:rPr>
          <w:sz w:val="28"/>
        </w:rPr>
        <w:t>National Disability Strategy and progressive achievement of measurable outcomes at a federal level as well as ensuring this applies to all levels of government.</w:t>
      </w:r>
      <w:bookmarkEnd w:id="5"/>
    </w:p>
    <w:p w14:paraId="04D3B113" w14:textId="77777777" w:rsidR="00C8279C" w:rsidRPr="00DF5082" w:rsidRDefault="00C8279C" w:rsidP="00C8279C">
      <w:pPr>
        <w:spacing w:after="0"/>
        <w:rPr>
          <w:rFonts w:cs="Arial"/>
        </w:rPr>
      </w:pPr>
      <w:r w:rsidRPr="00DF5082">
        <w:rPr>
          <w:rFonts w:cs="Arial"/>
        </w:rPr>
        <w:t xml:space="preserve">The National Disability Strategy </w:t>
      </w:r>
      <w:r w:rsidRPr="00DF5082">
        <w:rPr>
          <w:rFonts w:cs="Arial"/>
          <w:noProof/>
        </w:rPr>
        <w:t>was agreed</w:t>
      </w:r>
      <w:r w:rsidRPr="00DF5082">
        <w:rPr>
          <w:rFonts w:cs="Arial"/>
        </w:rPr>
        <w:t xml:space="preserve"> to by the federal and state/territory governments in 2008. The Strategy is a </w:t>
      </w:r>
      <w:r w:rsidRPr="00DF5082">
        <w:rPr>
          <w:rFonts w:cs="Arial"/>
          <w:noProof/>
        </w:rPr>
        <w:t>well-developed</w:t>
      </w:r>
      <w:r w:rsidRPr="00DF5082">
        <w:rPr>
          <w:rFonts w:cs="Arial"/>
        </w:rPr>
        <w:t xml:space="preserve"> document with key </w:t>
      </w:r>
      <w:r w:rsidRPr="00DF5082">
        <w:rPr>
          <w:rFonts w:cs="Arial"/>
          <w:noProof/>
        </w:rPr>
        <w:t>strategies</w:t>
      </w:r>
      <w:r w:rsidRPr="00DF5082">
        <w:rPr>
          <w:rFonts w:cs="Arial"/>
        </w:rPr>
        <w:t xml:space="preserve"> to deliver on Australia’s commitment under the UNCRPD under six main areas;</w:t>
      </w:r>
    </w:p>
    <w:p w14:paraId="483CE810" w14:textId="77777777" w:rsidR="00C8279C" w:rsidRPr="00DF5082" w:rsidRDefault="00C8279C" w:rsidP="00C8279C">
      <w:pPr>
        <w:spacing w:after="0"/>
        <w:ind w:left="644"/>
        <w:rPr>
          <w:rFonts w:cs="Arial"/>
          <w:sz w:val="10"/>
        </w:rPr>
      </w:pPr>
      <w:r w:rsidRPr="00DF5082">
        <w:rPr>
          <w:rFonts w:cs="Arial"/>
        </w:rPr>
        <w:t xml:space="preserve"> </w:t>
      </w:r>
    </w:p>
    <w:p w14:paraId="639F968F" w14:textId="77777777" w:rsidR="00C8279C" w:rsidRPr="00DF5082" w:rsidRDefault="00C8279C" w:rsidP="00C8279C">
      <w:pPr>
        <w:spacing w:after="0"/>
        <w:rPr>
          <w:rFonts w:cs="Arial"/>
          <w:sz w:val="20"/>
        </w:rPr>
      </w:pPr>
      <w:r w:rsidRPr="00DF5082">
        <w:rPr>
          <w:rFonts w:cs="Arial"/>
          <w:b/>
          <w:sz w:val="20"/>
        </w:rPr>
        <w:t>Inclusive and accessible communities</w:t>
      </w:r>
      <w:r w:rsidRPr="00DF5082">
        <w:rPr>
          <w:rFonts w:cs="Arial"/>
          <w:sz w:val="20"/>
        </w:rPr>
        <w:t xml:space="preserve">—the physical environment including public transport; parks, buildings and housing; digital information and communications technologies; civic life including social, sporting, recreational and cultural life. </w:t>
      </w:r>
    </w:p>
    <w:p w14:paraId="7C5FE99A" w14:textId="77777777" w:rsidR="00C8279C" w:rsidRPr="00DF5082" w:rsidRDefault="00C8279C" w:rsidP="00C8279C">
      <w:pPr>
        <w:spacing w:after="0"/>
        <w:rPr>
          <w:rFonts w:cs="Arial"/>
          <w:b/>
          <w:sz w:val="20"/>
        </w:rPr>
      </w:pPr>
    </w:p>
    <w:p w14:paraId="0691AA3E" w14:textId="77777777" w:rsidR="00C8279C" w:rsidRPr="00E71AA7" w:rsidRDefault="00C8279C" w:rsidP="00C8279C">
      <w:pPr>
        <w:spacing w:after="0"/>
        <w:rPr>
          <w:rFonts w:cs="Arial"/>
          <w:sz w:val="20"/>
        </w:rPr>
      </w:pPr>
      <w:r w:rsidRPr="00DF5082">
        <w:rPr>
          <w:rFonts w:cs="Arial"/>
          <w:b/>
          <w:sz w:val="20"/>
        </w:rPr>
        <w:t>Rights protection, justice and legislation</w:t>
      </w:r>
      <w:r w:rsidRPr="00DF5082">
        <w:rPr>
          <w:rFonts w:cs="Arial"/>
          <w:sz w:val="20"/>
        </w:rPr>
        <w:t>—statutory protections such as anti-discrimination measures, complaints mechanisms, advocacy, the electoral and justice systems.</w:t>
      </w:r>
      <w:r w:rsidRPr="00E71AA7">
        <w:rPr>
          <w:rFonts w:cs="Arial"/>
          <w:sz w:val="20"/>
        </w:rPr>
        <w:t xml:space="preserve"> </w:t>
      </w:r>
    </w:p>
    <w:p w14:paraId="1D3CB237" w14:textId="77777777" w:rsidR="00C8279C" w:rsidRDefault="00C8279C" w:rsidP="00C8279C">
      <w:pPr>
        <w:spacing w:after="0"/>
        <w:rPr>
          <w:rFonts w:cs="Arial"/>
          <w:b/>
          <w:sz w:val="20"/>
        </w:rPr>
      </w:pPr>
    </w:p>
    <w:p w14:paraId="3C8DA978" w14:textId="77777777" w:rsidR="00C8279C" w:rsidRPr="00E71AA7" w:rsidRDefault="00C8279C" w:rsidP="00C8279C">
      <w:pPr>
        <w:spacing w:after="0"/>
        <w:rPr>
          <w:rFonts w:cs="Arial"/>
          <w:sz w:val="20"/>
        </w:rPr>
      </w:pPr>
      <w:r w:rsidRPr="00E71AA7">
        <w:rPr>
          <w:rFonts w:cs="Arial"/>
          <w:b/>
          <w:sz w:val="20"/>
        </w:rPr>
        <w:t>Economic security</w:t>
      </w:r>
      <w:r w:rsidRPr="00E71AA7">
        <w:rPr>
          <w:rFonts w:cs="Arial"/>
          <w:sz w:val="20"/>
        </w:rPr>
        <w:t>—jobs, business opportunities, financial independence, adequate income support for those not able to work, and housing.</w:t>
      </w:r>
    </w:p>
    <w:p w14:paraId="21AB30FE" w14:textId="77777777" w:rsidR="00C8279C" w:rsidRDefault="00C8279C" w:rsidP="00C8279C">
      <w:pPr>
        <w:spacing w:after="0"/>
        <w:rPr>
          <w:rFonts w:cs="Arial"/>
          <w:b/>
          <w:sz w:val="20"/>
        </w:rPr>
      </w:pPr>
    </w:p>
    <w:p w14:paraId="3F83564B" w14:textId="77777777" w:rsidR="00C8279C" w:rsidRPr="00E71AA7" w:rsidRDefault="00C8279C" w:rsidP="00C8279C">
      <w:pPr>
        <w:spacing w:after="0"/>
        <w:rPr>
          <w:rFonts w:cs="Arial"/>
          <w:sz w:val="20"/>
        </w:rPr>
      </w:pPr>
      <w:r w:rsidRPr="00E71AA7">
        <w:rPr>
          <w:rFonts w:cs="Arial"/>
          <w:b/>
          <w:sz w:val="20"/>
        </w:rPr>
        <w:t>Personal and community support</w:t>
      </w:r>
      <w:r w:rsidRPr="00E71AA7">
        <w:rPr>
          <w:rFonts w:cs="Arial"/>
          <w:sz w:val="20"/>
        </w:rPr>
        <w:t>—inclusion and participation in the community, person-centred care and support provided by specialist disability services and mainstream services; informal care and support.</w:t>
      </w:r>
    </w:p>
    <w:p w14:paraId="2C9242CE" w14:textId="77777777" w:rsidR="00C8279C" w:rsidRDefault="00C8279C" w:rsidP="00C8279C">
      <w:pPr>
        <w:spacing w:after="0"/>
        <w:rPr>
          <w:rFonts w:cs="Arial"/>
          <w:b/>
          <w:sz w:val="20"/>
        </w:rPr>
      </w:pPr>
    </w:p>
    <w:p w14:paraId="02199E39" w14:textId="77777777" w:rsidR="00C8279C" w:rsidRPr="00E71AA7" w:rsidRDefault="00C8279C" w:rsidP="00C8279C">
      <w:pPr>
        <w:spacing w:after="0"/>
        <w:rPr>
          <w:rFonts w:cs="Arial"/>
          <w:sz w:val="20"/>
        </w:rPr>
      </w:pPr>
      <w:r w:rsidRPr="00E71AA7">
        <w:rPr>
          <w:rFonts w:cs="Arial"/>
          <w:b/>
          <w:sz w:val="20"/>
        </w:rPr>
        <w:t>Learning and skills</w:t>
      </w:r>
      <w:r w:rsidRPr="00E71AA7">
        <w:rPr>
          <w:rFonts w:cs="Arial"/>
          <w:sz w:val="20"/>
        </w:rPr>
        <w:t>—early childhood education and care, schools, further education, vocational education; transitions from education to employment; life-long learning.</w:t>
      </w:r>
    </w:p>
    <w:p w14:paraId="2BD7ABD4" w14:textId="77777777" w:rsidR="00C8279C" w:rsidRDefault="00C8279C" w:rsidP="00C8279C">
      <w:pPr>
        <w:spacing w:after="0"/>
        <w:rPr>
          <w:rFonts w:cs="Arial"/>
          <w:b/>
          <w:sz w:val="20"/>
        </w:rPr>
      </w:pPr>
    </w:p>
    <w:p w14:paraId="0BE7A390" w14:textId="77777777" w:rsidR="00C8279C" w:rsidRPr="00E71AA7" w:rsidRDefault="00C8279C" w:rsidP="00C8279C">
      <w:pPr>
        <w:spacing w:after="0"/>
        <w:rPr>
          <w:rFonts w:cs="Arial"/>
          <w:sz w:val="20"/>
        </w:rPr>
      </w:pPr>
      <w:r w:rsidRPr="00E71AA7">
        <w:rPr>
          <w:rFonts w:cs="Arial"/>
          <w:b/>
          <w:sz w:val="20"/>
        </w:rPr>
        <w:t>Health and wellbeing</w:t>
      </w:r>
      <w:r w:rsidRPr="00E71AA7">
        <w:rPr>
          <w:rFonts w:cs="Arial"/>
          <w:sz w:val="20"/>
        </w:rPr>
        <w:t>—health services, health promotion and the interaction between health and disability systems; wellbeing and enjoyment of life.</w:t>
      </w:r>
    </w:p>
    <w:p w14:paraId="507A70A0" w14:textId="77777777" w:rsidR="00C8279C" w:rsidRDefault="00C8279C" w:rsidP="00C8279C">
      <w:pPr>
        <w:spacing w:after="0"/>
        <w:rPr>
          <w:rFonts w:eastAsiaTheme="minorHAnsi" w:cs="Arial"/>
          <w:sz w:val="12"/>
          <w:lang w:val="en-AU"/>
        </w:rPr>
      </w:pPr>
    </w:p>
    <w:p w14:paraId="4AC49037" w14:textId="77777777" w:rsidR="00DF5082" w:rsidRDefault="00DF5082" w:rsidP="00C8279C">
      <w:pPr>
        <w:spacing w:after="0"/>
        <w:rPr>
          <w:rFonts w:eastAsiaTheme="minorHAnsi" w:cs="Arial"/>
          <w:sz w:val="12"/>
          <w:lang w:val="en-AU"/>
        </w:rPr>
      </w:pPr>
    </w:p>
    <w:p w14:paraId="043F9580" w14:textId="77777777" w:rsidR="00C8279C" w:rsidRPr="00C14348" w:rsidRDefault="00C8279C" w:rsidP="00C8279C">
      <w:pPr>
        <w:spacing w:after="0"/>
        <w:rPr>
          <w:rFonts w:cs="Arial"/>
        </w:rPr>
      </w:pPr>
      <w:r w:rsidRPr="00C14348">
        <w:rPr>
          <w:rFonts w:cs="Arial"/>
        </w:rPr>
        <w:t xml:space="preserve">Whilst, </w:t>
      </w:r>
      <w:r w:rsidRPr="00C14348">
        <w:rPr>
          <w:rFonts w:cs="Arial"/>
          <w:noProof/>
        </w:rPr>
        <w:t>the document’s aims and strategies</w:t>
      </w:r>
      <w:r w:rsidRPr="00C14348">
        <w:rPr>
          <w:rFonts w:cs="Arial"/>
        </w:rPr>
        <w:t xml:space="preserve"> are supported there has been </w:t>
      </w:r>
      <w:r w:rsidRPr="00C14348">
        <w:rPr>
          <w:rFonts w:cs="Arial"/>
          <w:noProof/>
        </w:rPr>
        <w:t>little</w:t>
      </w:r>
      <w:r w:rsidRPr="00C14348">
        <w:rPr>
          <w:rFonts w:cs="Arial"/>
        </w:rPr>
        <w:t xml:space="preserve"> financial or relevant other commitment at any level of government and it lacks agreed outcome measures to ensure that the objectives are progressively reached. </w:t>
      </w:r>
    </w:p>
    <w:p w14:paraId="71DD5905" w14:textId="77777777" w:rsidR="00DF5082" w:rsidRDefault="00DF5082" w:rsidP="00C8279C">
      <w:pPr>
        <w:spacing w:after="0"/>
        <w:rPr>
          <w:rFonts w:cs="Arial"/>
        </w:rPr>
      </w:pPr>
    </w:p>
    <w:p w14:paraId="16570E25" w14:textId="540A9D69" w:rsidR="00C8279C" w:rsidRDefault="00C8279C" w:rsidP="00C8279C">
      <w:pPr>
        <w:spacing w:after="0"/>
        <w:rPr>
          <w:rFonts w:cs="Arial"/>
        </w:rPr>
      </w:pPr>
      <w:r>
        <w:rPr>
          <w:rFonts w:cs="Arial"/>
        </w:rPr>
        <w:t>The main deliverable under the strategy over recent time has been the implementation and roll out of the NDIS, which is an importa</w:t>
      </w:r>
      <w:r w:rsidR="00DF5082">
        <w:rPr>
          <w:rFonts w:cs="Arial"/>
        </w:rPr>
        <w:t xml:space="preserve">nt achievement, but is only an </w:t>
      </w:r>
      <w:r>
        <w:rPr>
          <w:rFonts w:cs="Arial"/>
        </w:rPr>
        <w:t xml:space="preserve">element </w:t>
      </w:r>
      <w:r w:rsidR="00DF5082">
        <w:rPr>
          <w:rFonts w:cs="Arial"/>
        </w:rPr>
        <w:t xml:space="preserve">or part of one of the six </w:t>
      </w:r>
      <w:r>
        <w:rPr>
          <w:rFonts w:cs="Arial"/>
        </w:rPr>
        <w:t>strategic areas.</w:t>
      </w:r>
    </w:p>
    <w:p w14:paraId="24C64F39" w14:textId="77777777" w:rsidR="00C8279C" w:rsidRPr="008670EB" w:rsidRDefault="00C8279C" w:rsidP="00C8279C">
      <w:pPr>
        <w:spacing w:after="0"/>
        <w:ind w:left="644"/>
        <w:rPr>
          <w:rFonts w:cs="Arial"/>
          <w:sz w:val="14"/>
        </w:rPr>
      </w:pPr>
    </w:p>
    <w:p w14:paraId="66DA16DF" w14:textId="77777777" w:rsidR="00C8279C" w:rsidRDefault="00C8279C" w:rsidP="00C8279C">
      <w:pPr>
        <w:spacing w:after="0"/>
        <w:rPr>
          <w:rFonts w:cs="Arial"/>
        </w:rPr>
      </w:pPr>
      <w:r>
        <w:rPr>
          <w:rFonts w:cs="Arial"/>
        </w:rPr>
        <w:t xml:space="preserve">The </w:t>
      </w:r>
      <w:r w:rsidRPr="00C14348">
        <w:rPr>
          <w:rFonts w:cs="Arial"/>
        </w:rPr>
        <w:t>United Nations Convention on the Rights of Persons with Disabilities</w:t>
      </w:r>
      <w:r>
        <w:rPr>
          <w:rFonts w:cs="Arial"/>
        </w:rPr>
        <w:t xml:space="preserve"> (UNCRPD) of which Australia ratified and is a signatory, as well as a signatory to the Optional Protocol. O</w:t>
      </w:r>
      <w:r w:rsidRPr="00C14348">
        <w:rPr>
          <w:rFonts w:cs="Arial"/>
        </w:rPr>
        <w:t>nce a country ratifies this means that the country is legally bound to implement the core 33 articles and must report on their progress in writing to the United Nations on a periodic basis.</w:t>
      </w:r>
    </w:p>
    <w:p w14:paraId="57AC48B2" w14:textId="77777777" w:rsidR="00C8279C" w:rsidRPr="008670EB" w:rsidRDefault="00C8279C" w:rsidP="00C8279C">
      <w:pPr>
        <w:spacing w:after="0"/>
        <w:ind w:left="644"/>
        <w:rPr>
          <w:rFonts w:cs="Arial"/>
          <w:sz w:val="14"/>
        </w:rPr>
      </w:pPr>
    </w:p>
    <w:p w14:paraId="076DACC9" w14:textId="29CE25C1" w:rsidR="00C8279C" w:rsidRDefault="00C8279C" w:rsidP="00C8279C">
      <w:pPr>
        <w:spacing w:after="0"/>
        <w:rPr>
          <w:rFonts w:cs="Arial"/>
          <w:bCs/>
        </w:rPr>
      </w:pPr>
      <w:r>
        <w:rPr>
          <w:rFonts w:cs="Arial"/>
        </w:rPr>
        <w:t xml:space="preserve">Australia has also ratified and signed to the UN Sustainability Goals. </w:t>
      </w:r>
      <w:r w:rsidRPr="00C14348">
        <w:rPr>
          <w:rFonts w:cs="Arial"/>
          <w:bCs/>
        </w:rPr>
        <w:t>The</w:t>
      </w:r>
      <w:r>
        <w:rPr>
          <w:rFonts w:cs="Arial"/>
          <w:bCs/>
        </w:rPr>
        <w:t>se 17 Goals are intrinsically linked with the UNCRPD and requirements for the rights of people with disability. These two international requirements mean that Australia must deliver measureable outcomes in meeting its obligations under both</w:t>
      </w:r>
      <w:r w:rsidR="00DF5082">
        <w:rPr>
          <w:rFonts w:cs="Arial"/>
          <w:bCs/>
        </w:rPr>
        <w:t>.</w:t>
      </w:r>
    </w:p>
    <w:p w14:paraId="3645AB6C" w14:textId="77777777" w:rsidR="00DF5082" w:rsidRDefault="00DF5082" w:rsidP="00C8279C">
      <w:pPr>
        <w:spacing w:after="0"/>
        <w:rPr>
          <w:rFonts w:cs="Arial"/>
          <w:bCs/>
        </w:rPr>
      </w:pPr>
    </w:p>
    <w:p w14:paraId="401E3775" w14:textId="77777777" w:rsidR="00C8279C" w:rsidRPr="00C8279C" w:rsidRDefault="00C8279C" w:rsidP="00C8279C">
      <w:pPr>
        <w:pStyle w:val="Heading3"/>
      </w:pPr>
      <w:bookmarkStart w:id="6" w:name="_Toc31571247"/>
      <w:r w:rsidRPr="00C8279C">
        <w:t>Recommendation &amp; cost</w:t>
      </w:r>
      <w:bookmarkEnd w:id="6"/>
    </w:p>
    <w:p w14:paraId="6242539A" w14:textId="77777777" w:rsidR="00C8279C" w:rsidRPr="006D6258" w:rsidRDefault="00C8279C" w:rsidP="00C8279C">
      <w:pPr>
        <w:pStyle w:val="NoSpacing"/>
        <w:spacing w:line="276" w:lineRule="auto"/>
        <w:ind w:left="720"/>
        <w:rPr>
          <w:rFonts w:ascii="Arial" w:hAnsi="Arial" w:cs="Arial"/>
          <w:b/>
          <w:sz w:val="24"/>
          <w:szCs w:val="24"/>
        </w:rPr>
      </w:pPr>
    </w:p>
    <w:p w14:paraId="258E1B74" w14:textId="77777777" w:rsidR="00C8279C" w:rsidRDefault="00C8279C" w:rsidP="00C8279C">
      <w:pPr>
        <w:pStyle w:val="NoSpacing"/>
        <w:numPr>
          <w:ilvl w:val="0"/>
          <w:numId w:val="29"/>
        </w:numPr>
        <w:spacing w:line="276" w:lineRule="auto"/>
        <w:rPr>
          <w:rFonts w:ascii="Arial" w:hAnsi="Arial" w:cs="Arial"/>
          <w:color w:val="000000" w:themeColor="text1"/>
          <w:sz w:val="24"/>
          <w:szCs w:val="24"/>
        </w:rPr>
      </w:pPr>
      <w:r w:rsidRPr="006D6258">
        <w:rPr>
          <w:rFonts w:ascii="Arial" w:hAnsi="Arial" w:cs="Arial"/>
          <w:color w:val="000000" w:themeColor="text1"/>
          <w:sz w:val="24"/>
          <w:szCs w:val="24"/>
        </w:rPr>
        <w:t xml:space="preserve">Funding for Evaluation and Benchmarking of current National Disability Strategy for 2020 </w:t>
      </w:r>
      <w:r>
        <w:rPr>
          <w:rFonts w:ascii="Arial" w:hAnsi="Arial" w:cs="Arial"/>
          <w:color w:val="000000" w:themeColor="text1"/>
          <w:sz w:val="24"/>
          <w:szCs w:val="24"/>
        </w:rPr>
        <w:t>–</w:t>
      </w:r>
      <w:r w:rsidRPr="006D6258">
        <w:rPr>
          <w:rFonts w:ascii="Arial" w:hAnsi="Arial" w:cs="Arial"/>
          <w:color w:val="000000" w:themeColor="text1"/>
          <w:sz w:val="24"/>
          <w:szCs w:val="24"/>
        </w:rPr>
        <w:t xml:space="preserve"> 2030</w:t>
      </w:r>
    </w:p>
    <w:p w14:paraId="57C0092E" w14:textId="77777777" w:rsidR="00C8279C" w:rsidRPr="006D6258" w:rsidRDefault="00C8279C" w:rsidP="00C8279C">
      <w:pPr>
        <w:pStyle w:val="NoSpacing"/>
        <w:spacing w:line="276" w:lineRule="auto"/>
        <w:ind w:left="720"/>
        <w:rPr>
          <w:rFonts w:ascii="Arial" w:hAnsi="Arial" w:cs="Arial"/>
          <w:color w:val="000000" w:themeColor="text1"/>
          <w:sz w:val="24"/>
          <w:szCs w:val="24"/>
        </w:rPr>
      </w:pPr>
    </w:p>
    <w:p w14:paraId="7D2D13F5" w14:textId="77777777" w:rsidR="00C8279C" w:rsidRPr="006D6258" w:rsidRDefault="00C8279C" w:rsidP="00C8279C">
      <w:pPr>
        <w:pStyle w:val="NoSpacing"/>
        <w:numPr>
          <w:ilvl w:val="0"/>
          <w:numId w:val="29"/>
        </w:numPr>
        <w:spacing w:line="276" w:lineRule="auto"/>
        <w:rPr>
          <w:rFonts w:ascii="Arial" w:hAnsi="Arial" w:cs="Arial"/>
          <w:color w:val="000000" w:themeColor="text1"/>
          <w:sz w:val="24"/>
          <w:szCs w:val="24"/>
        </w:rPr>
      </w:pPr>
      <w:r w:rsidRPr="006D6258">
        <w:rPr>
          <w:rFonts w:ascii="Arial" w:hAnsi="Arial" w:cs="Arial"/>
          <w:color w:val="000000" w:themeColor="text1"/>
          <w:sz w:val="24"/>
          <w:szCs w:val="24"/>
        </w:rPr>
        <w:t xml:space="preserve">Funding for the development of appropriate targets, outcomes and measurement tools for the National Disability Strategy </w:t>
      </w:r>
    </w:p>
    <w:p w14:paraId="45638D92" w14:textId="77777777" w:rsidR="00C8279C" w:rsidRDefault="00C8279C" w:rsidP="00C8279C">
      <w:pPr>
        <w:pStyle w:val="NoSpacing"/>
        <w:spacing w:line="276" w:lineRule="auto"/>
        <w:ind w:left="720"/>
        <w:rPr>
          <w:rFonts w:ascii="Arial" w:hAnsi="Arial" w:cs="Arial"/>
          <w:color w:val="000000" w:themeColor="text1"/>
          <w:sz w:val="24"/>
          <w:szCs w:val="24"/>
        </w:rPr>
      </w:pPr>
    </w:p>
    <w:p w14:paraId="173B05B7" w14:textId="77777777" w:rsidR="00C8279C" w:rsidRPr="006D6258" w:rsidRDefault="00C8279C" w:rsidP="00C8279C">
      <w:pPr>
        <w:pStyle w:val="NoSpacing"/>
        <w:numPr>
          <w:ilvl w:val="0"/>
          <w:numId w:val="29"/>
        </w:numPr>
        <w:spacing w:line="276" w:lineRule="auto"/>
        <w:rPr>
          <w:rFonts w:ascii="Arial" w:hAnsi="Arial" w:cs="Arial"/>
          <w:color w:val="000000" w:themeColor="text1"/>
          <w:sz w:val="24"/>
          <w:szCs w:val="24"/>
        </w:rPr>
      </w:pPr>
      <w:r w:rsidRPr="006D6258">
        <w:rPr>
          <w:rFonts w:ascii="Arial" w:hAnsi="Arial" w:cs="Arial"/>
          <w:color w:val="000000" w:themeColor="text1"/>
          <w:sz w:val="24"/>
          <w:szCs w:val="24"/>
        </w:rPr>
        <w:t xml:space="preserve">Funding for appropriate consultation and co-design as part of any development </w:t>
      </w:r>
      <w:r>
        <w:rPr>
          <w:rFonts w:ascii="Arial" w:hAnsi="Arial" w:cs="Arial"/>
          <w:color w:val="000000" w:themeColor="text1"/>
          <w:sz w:val="24"/>
          <w:szCs w:val="24"/>
        </w:rPr>
        <w:t>of</w:t>
      </w:r>
      <w:r w:rsidRPr="006D6258">
        <w:rPr>
          <w:rFonts w:ascii="Arial" w:hAnsi="Arial" w:cs="Arial"/>
          <w:color w:val="000000" w:themeColor="text1"/>
          <w:sz w:val="24"/>
          <w:szCs w:val="24"/>
        </w:rPr>
        <w:t xml:space="preserve"> the National Disability Strategy.</w:t>
      </w:r>
    </w:p>
    <w:p w14:paraId="4E56F1A1" w14:textId="77777777" w:rsidR="00C8279C" w:rsidRDefault="00C8279C" w:rsidP="00C8279C">
      <w:pPr>
        <w:spacing w:after="0"/>
      </w:pPr>
    </w:p>
    <w:p w14:paraId="78809782" w14:textId="77777777" w:rsidR="00C8279C" w:rsidRDefault="00C8279C" w:rsidP="00C8279C">
      <w:pPr>
        <w:spacing w:after="0"/>
      </w:pPr>
    </w:p>
    <w:tbl>
      <w:tblPr>
        <w:tblStyle w:val="TableGrid"/>
        <w:tblW w:w="0" w:type="auto"/>
        <w:tblInd w:w="392" w:type="dxa"/>
        <w:tblLook w:val="04A0" w:firstRow="1" w:lastRow="0" w:firstColumn="1" w:lastColumn="0" w:noHBand="0" w:noVBand="1"/>
      </w:tblPr>
      <w:tblGrid>
        <w:gridCol w:w="1843"/>
        <w:gridCol w:w="4536"/>
        <w:gridCol w:w="2471"/>
      </w:tblGrid>
      <w:tr w:rsidR="00C8279C" w:rsidRPr="000F18DE" w14:paraId="207B01B5" w14:textId="77777777" w:rsidTr="00C53787">
        <w:trPr>
          <w:trHeight w:val="608"/>
        </w:trPr>
        <w:tc>
          <w:tcPr>
            <w:tcW w:w="1843" w:type="dxa"/>
            <w:shd w:val="clear" w:color="auto" w:fill="2F5496" w:themeFill="accent5" w:themeFillShade="BF"/>
            <w:vAlign w:val="center"/>
          </w:tcPr>
          <w:p w14:paraId="78415740" w14:textId="77777777" w:rsidR="00C8279C" w:rsidRPr="000F18DE" w:rsidRDefault="00C8279C" w:rsidP="00C53787">
            <w:pPr>
              <w:spacing w:after="0"/>
              <w:jc w:val="center"/>
              <w:rPr>
                <w:rFonts w:cs="Arial"/>
                <w:b/>
                <w:color w:val="FFFFFF" w:themeColor="background1"/>
              </w:rPr>
            </w:pPr>
            <w:r w:rsidRPr="000F18DE">
              <w:rPr>
                <w:rFonts w:cs="Arial"/>
                <w:b/>
                <w:color w:val="FFFFFF" w:themeColor="background1"/>
              </w:rPr>
              <w:t>Year</w:t>
            </w:r>
          </w:p>
        </w:tc>
        <w:tc>
          <w:tcPr>
            <w:tcW w:w="4536" w:type="dxa"/>
            <w:shd w:val="clear" w:color="auto" w:fill="2F5496" w:themeFill="accent5" w:themeFillShade="BF"/>
            <w:vAlign w:val="center"/>
          </w:tcPr>
          <w:p w14:paraId="7DBD2A5B" w14:textId="77777777" w:rsidR="00C8279C" w:rsidRPr="000F18DE" w:rsidRDefault="00C8279C" w:rsidP="00C53787">
            <w:pPr>
              <w:spacing w:after="0"/>
              <w:jc w:val="center"/>
              <w:rPr>
                <w:rFonts w:cs="Arial"/>
                <w:b/>
                <w:color w:val="FFFFFF" w:themeColor="background1"/>
              </w:rPr>
            </w:pPr>
            <w:r w:rsidRPr="000F18DE">
              <w:rPr>
                <w:rFonts w:cs="Arial"/>
                <w:b/>
                <w:color w:val="FFFFFF" w:themeColor="background1"/>
              </w:rPr>
              <w:t>Activity</w:t>
            </w:r>
          </w:p>
        </w:tc>
        <w:tc>
          <w:tcPr>
            <w:tcW w:w="2471" w:type="dxa"/>
            <w:shd w:val="clear" w:color="auto" w:fill="2F5496" w:themeFill="accent5" w:themeFillShade="BF"/>
            <w:vAlign w:val="center"/>
          </w:tcPr>
          <w:p w14:paraId="5D0EEBDA" w14:textId="77777777" w:rsidR="00C8279C" w:rsidRPr="000F18DE" w:rsidRDefault="00C8279C" w:rsidP="00C53787">
            <w:pPr>
              <w:spacing w:after="0"/>
              <w:jc w:val="center"/>
              <w:rPr>
                <w:rFonts w:cs="Arial"/>
                <w:b/>
                <w:color w:val="FFFFFF" w:themeColor="background1"/>
              </w:rPr>
            </w:pPr>
            <w:r w:rsidRPr="000F18DE">
              <w:rPr>
                <w:rFonts w:cs="Arial"/>
                <w:b/>
                <w:color w:val="FFFFFF" w:themeColor="background1"/>
              </w:rPr>
              <w:t>Amount</w:t>
            </w:r>
          </w:p>
        </w:tc>
      </w:tr>
      <w:tr w:rsidR="00C8279C" w:rsidRPr="006D6258" w14:paraId="7AA89957" w14:textId="77777777" w:rsidTr="00C53787">
        <w:tc>
          <w:tcPr>
            <w:tcW w:w="1843" w:type="dxa"/>
            <w:shd w:val="clear" w:color="auto" w:fill="DEEAF6" w:themeFill="accent1" w:themeFillTint="33"/>
          </w:tcPr>
          <w:p w14:paraId="29FD4BBB" w14:textId="77777777" w:rsidR="00C8279C" w:rsidRPr="00E86D9A" w:rsidRDefault="00C8279C" w:rsidP="00C53787">
            <w:pPr>
              <w:spacing w:after="0"/>
              <w:jc w:val="center"/>
              <w:rPr>
                <w:rFonts w:cs="Arial"/>
                <w:b/>
              </w:rPr>
            </w:pPr>
          </w:p>
          <w:p w14:paraId="754F09A4" w14:textId="2A066B38" w:rsidR="00C8279C" w:rsidRPr="00E86D9A" w:rsidRDefault="00DF5082" w:rsidP="00C53787">
            <w:pPr>
              <w:spacing w:after="0"/>
              <w:jc w:val="center"/>
              <w:rPr>
                <w:rFonts w:cs="Arial"/>
                <w:b/>
              </w:rPr>
            </w:pPr>
            <w:r>
              <w:rPr>
                <w:rFonts w:cs="Arial"/>
                <w:b/>
              </w:rPr>
              <w:t xml:space="preserve">2020 </w:t>
            </w:r>
            <w:r w:rsidR="00C8279C" w:rsidRPr="00E86D9A">
              <w:rPr>
                <w:rFonts w:cs="Arial"/>
                <w:b/>
              </w:rPr>
              <w:t>– 20</w:t>
            </w:r>
            <w:r>
              <w:rPr>
                <w:rFonts w:cs="Arial"/>
                <w:b/>
              </w:rPr>
              <w:t>21</w:t>
            </w:r>
          </w:p>
          <w:p w14:paraId="7431C812" w14:textId="77777777" w:rsidR="00C8279C" w:rsidRPr="00E86D9A" w:rsidRDefault="00C8279C" w:rsidP="00C53787">
            <w:pPr>
              <w:spacing w:after="0"/>
              <w:jc w:val="center"/>
              <w:rPr>
                <w:rFonts w:cs="Arial"/>
                <w:b/>
              </w:rPr>
            </w:pPr>
          </w:p>
        </w:tc>
        <w:tc>
          <w:tcPr>
            <w:tcW w:w="4536" w:type="dxa"/>
            <w:shd w:val="clear" w:color="auto" w:fill="DEEAF6" w:themeFill="accent1" w:themeFillTint="33"/>
          </w:tcPr>
          <w:p w14:paraId="34D53F2B" w14:textId="77777777" w:rsidR="00C8279C" w:rsidRPr="00E86D9A" w:rsidRDefault="00C8279C" w:rsidP="00C53787">
            <w:pPr>
              <w:spacing w:after="0"/>
              <w:jc w:val="center"/>
              <w:rPr>
                <w:rFonts w:cs="Arial"/>
              </w:rPr>
            </w:pPr>
          </w:p>
          <w:p w14:paraId="73E52C5C" w14:textId="6B8E4BDB" w:rsidR="00C8279C" w:rsidRPr="00E86D9A" w:rsidRDefault="00C8279C" w:rsidP="00C53787">
            <w:pPr>
              <w:spacing w:after="0"/>
              <w:jc w:val="center"/>
              <w:rPr>
                <w:rFonts w:cs="Arial"/>
              </w:rPr>
            </w:pPr>
            <w:r w:rsidRPr="00E86D9A">
              <w:rPr>
                <w:rFonts w:cs="Arial"/>
              </w:rPr>
              <w:t>Evaluation and Benchmarking</w:t>
            </w:r>
            <w:r w:rsidR="00C8709B">
              <w:rPr>
                <w:rFonts w:cs="Arial"/>
              </w:rPr>
              <w:t xml:space="preserve"> - NDS</w:t>
            </w:r>
          </w:p>
          <w:p w14:paraId="39E3BA29" w14:textId="77777777" w:rsidR="00C8279C" w:rsidRPr="00E86D9A" w:rsidRDefault="00C8279C" w:rsidP="00C53787">
            <w:pPr>
              <w:spacing w:after="0"/>
              <w:jc w:val="center"/>
              <w:rPr>
                <w:rFonts w:cs="Arial"/>
              </w:rPr>
            </w:pPr>
            <w:r w:rsidRPr="00E86D9A">
              <w:rPr>
                <w:rFonts w:cs="Arial"/>
              </w:rPr>
              <w:t>$430,000</w:t>
            </w:r>
          </w:p>
          <w:p w14:paraId="30D5FCA2" w14:textId="534BFC83" w:rsidR="00C8279C" w:rsidRPr="00E86D9A" w:rsidRDefault="00C8279C" w:rsidP="00C53787">
            <w:pPr>
              <w:spacing w:after="0"/>
              <w:jc w:val="center"/>
              <w:rPr>
                <w:rFonts w:cs="Arial"/>
              </w:rPr>
            </w:pPr>
          </w:p>
        </w:tc>
        <w:tc>
          <w:tcPr>
            <w:tcW w:w="2471" w:type="dxa"/>
            <w:shd w:val="clear" w:color="auto" w:fill="DEEAF6" w:themeFill="accent1" w:themeFillTint="33"/>
          </w:tcPr>
          <w:p w14:paraId="1C49AF04" w14:textId="77777777" w:rsidR="00C8279C" w:rsidRPr="00E86D9A" w:rsidRDefault="00C8279C" w:rsidP="00C53787">
            <w:pPr>
              <w:spacing w:after="0"/>
              <w:jc w:val="center"/>
              <w:rPr>
                <w:rFonts w:cs="Arial"/>
              </w:rPr>
            </w:pPr>
          </w:p>
          <w:p w14:paraId="51CBEFF6" w14:textId="113AED1D" w:rsidR="00C8279C" w:rsidRPr="00E86D9A" w:rsidRDefault="00DF5082" w:rsidP="00C53787">
            <w:pPr>
              <w:spacing w:after="0"/>
              <w:jc w:val="center"/>
              <w:rPr>
                <w:rFonts w:cs="Arial"/>
              </w:rPr>
            </w:pPr>
            <w:r>
              <w:rPr>
                <w:rFonts w:cs="Arial"/>
              </w:rPr>
              <w:t>$43</w:t>
            </w:r>
            <w:r w:rsidR="00C8279C" w:rsidRPr="00E86D9A">
              <w:rPr>
                <w:rFonts w:cs="Arial"/>
              </w:rPr>
              <w:t>0,000</w:t>
            </w:r>
          </w:p>
          <w:p w14:paraId="17C1A376" w14:textId="77777777" w:rsidR="00C8279C" w:rsidRPr="00E86D9A" w:rsidRDefault="00C8279C" w:rsidP="00C53787">
            <w:pPr>
              <w:spacing w:after="0"/>
              <w:jc w:val="center"/>
              <w:rPr>
                <w:rFonts w:cs="Arial"/>
              </w:rPr>
            </w:pPr>
          </w:p>
        </w:tc>
      </w:tr>
      <w:tr w:rsidR="00C8279C" w14:paraId="31276D90" w14:textId="77777777" w:rsidTr="00C53787">
        <w:tc>
          <w:tcPr>
            <w:tcW w:w="1843" w:type="dxa"/>
            <w:shd w:val="clear" w:color="auto" w:fill="FFFFFF" w:themeFill="background1"/>
          </w:tcPr>
          <w:p w14:paraId="310F96A4" w14:textId="77777777" w:rsidR="00C8279C" w:rsidRPr="00E86D9A" w:rsidRDefault="00C8279C" w:rsidP="00C53787">
            <w:pPr>
              <w:spacing w:after="0"/>
              <w:jc w:val="center"/>
              <w:rPr>
                <w:rFonts w:cs="Arial"/>
                <w:b/>
              </w:rPr>
            </w:pPr>
          </w:p>
          <w:p w14:paraId="3E12EB1E" w14:textId="57098A4F" w:rsidR="00C8279C" w:rsidRPr="00E86D9A" w:rsidRDefault="00C8279C" w:rsidP="00C53787">
            <w:pPr>
              <w:spacing w:after="0"/>
              <w:jc w:val="center"/>
              <w:rPr>
                <w:rFonts w:cs="Arial"/>
                <w:b/>
              </w:rPr>
            </w:pPr>
            <w:r w:rsidRPr="00E86D9A">
              <w:rPr>
                <w:rFonts w:cs="Arial"/>
                <w:b/>
              </w:rPr>
              <w:t>20</w:t>
            </w:r>
            <w:r>
              <w:rPr>
                <w:rFonts w:cs="Arial"/>
                <w:b/>
              </w:rPr>
              <w:t>20</w:t>
            </w:r>
            <w:r w:rsidRPr="00E86D9A">
              <w:rPr>
                <w:rFonts w:cs="Arial"/>
                <w:b/>
              </w:rPr>
              <w:t xml:space="preserve"> – 202</w:t>
            </w:r>
            <w:r w:rsidR="00DF5082">
              <w:rPr>
                <w:rFonts w:cs="Arial"/>
                <w:b/>
              </w:rPr>
              <w:t>2</w:t>
            </w:r>
          </w:p>
          <w:p w14:paraId="76D2BA0F" w14:textId="77777777" w:rsidR="00C8279C" w:rsidRPr="00E86D9A" w:rsidRDefault="00C8279C" w:rsidP="00C53787">
            <w:pPr>
              <w:spacing w:after="0"/>
              <w:jc w:val="center"/>
              <w:rPr>
                <w:rFonts w:cs="Arial"/>
                <w:b/>
              </w:rPr>
            </w:pPr>
          </w:p>
        </w:tc>
        <w:tc>
          <w:tcPr>
            <w:tcW w:w="4536" w:type="dxa"/>
            <w:shd w:val="clear" w:color="auto" w:fill="FFFFFF" w:themeFill="background1"/>
          </w:tcPr>
          <w:p w14:paraId="0D38BB54" w14:textId="77777777" w:rsidR="00C8279C" w:rsidRPr="00E86D9A" w:rsidRDefault="00C8279C" w:rsidP="00C53787">
            <w:pPr>
              <w:spacing w:after="0"/>
              <w:jc w:val="center"/>
              <w:rPr>
                <w:rFonts w:cs="Arial"/>
              </w:rPr>
            </w:pPr>
          </w:p>
          <w:p w14:paraId="54772BF4" w14:textId="1F382E8D" w:rsidR="00C8279C" w:rsidRPr="00E86D9A" w:rsidRDefault="00DF5082" w:rsidP="00C53787">
            <w:pPr>
              <w:spacing w:after="0"/>
              <w:jc w:val="center"/>
              <w:rPr>
                <w:rFonts w:cs="Arial"/>
              </w:rPr>
            </w:pPr>
            <w:r>
              <w:rPr>
                <w:rFonts w:cs="Arial"/>
              </w:rPr>
              <w:t>6 Projects proposed on each of the Strategic Goals, Targets, Outcomes and Measurements established</w:t>
            </w:r>
          </w:p>
          <w:p w14:paraId="76D0EE2B" w14:textId="77777777" w:rsidR="00DF5082" w:rsidRDefault="00DF5082" w:rsidP="00C53787">
            <w:pPr>
              <w:spacing w:after="0"/>
              <w:jc w:val="center"/>
              <w:rPr>
                <w:rFonts w:cs="Arial"/>
              </w:rPr>
            </w:pPr>
            <w:r>
              <w:rPr>
                <w:rFonts w:cs="Arial"/>
              </w:rPr>
              <w:t xml:space="preserve">@ $450,000 per </w:t>
            </w:r>
            <w:r w:rsidR="00C8279C" w:rsidRPr="00E86D9A">
              <w:rPr>
                <w:rFonts w:cs="Arial"/>
              </w:rPr>
              <w:t>project</w:t>
            </w:r>
          </w:p>
          <w:p w14:paraId="7ADE1072" w14:textId="2595CF92" w:rsidR="00C8279C" w:rsidRPr="00E86D9A" w:rsidRDefault="00DF5082" w:rsidP="00C53787">
            <w:pPr>
              <w:spacing w:after="0"/>
              <w:jc w:val="center"/>
              <w:rPr>
                <w:rFonts w:cs="Arial"/>
              </w:rPr>
            </w:pPr>
            <w:r>
              <w:rPr>
                <w:rFonts w:cs="Arial"/>
              </w:rPr>
              <w:t>Focus of each on multi jurisdictions being Federal/State/Territory &amp; Local Governments and how they are aligning reporting with goals, targets, etc.</w:t>
            </w:r>
          </w:p>
          <w:p w14:paraId="3429D954" w14:textId="77777777" w:rsidR="00C8279C" w:rsidRPr="00E86D9A" w:rsidRDefault="00C8279C" w:rsidP="00C53787">
            <w:pPr>
              <w:spacing w:after="0"/>
              <w:jc w:val="center"/>
              <w:rPr>
                <w:rFonts w:cs="Arial"/>
              </w:rPr>
            </w:pPr>
          </w:p>
          <w:p w14:paraId="7B0885BA" w14:textId="0536461F" w:rsidR="00C8279C" w:rsidRPr="00E86D9A" w:rsidRDefault="00C8279C" w:rsidP="00C53787">
            <w:pPr>
              <w:spacing w:after="0"/>
              <w:jc w:val="center"/>
              <w:rPr>
                <w:rFonts w:cs="Arial"/>
              </w:rPr>
            </w:pPr>
          </w:p>
        </w:tc>
        <w:tc>
          <w:tcPr>
            <w:tcW w:w="2471" w:type="dxa"/>
            <w:shd w:val="clear" w:color="auto" w:fill="FFFFFF" w:themeFill="background1"/>
          </w:tcPr>
          <w:p w14:paraId="10FF3054" w14:textId="77777777" w:rsidR="00C8279C" w:rsidRPr="00E86D9A" w:rsidRDefault="00C8279C" w:rsidP="00C53787">
            <w:pPr>
              <w:spacing w:after="0"/>
              <w:jc w:val="center"/>
              <w:rPr>
                <w:rFonts w:cs="Arial"/>
              </w:rPr>
            </w:pPr>
          </w:p>
          <w:p w14:paraId="28EDAE74" w14:textId="293FC06A" w:rsidR="00C8279C" w:rsidRPr="00E86D9A" w:rsidRDefault="00DF5082" w:rsidP="00C53787">
            <w:pPr>
              <w:spacing w:after="0"/>
              <w:jc w:val="center"/>
              <w:rPr>
                <w:rFonts w:cs="Arial"/>
              </w:rPr>
            </w:pPr>
            <w:r>
              <w:rPr>
                <w:rFonts w:cs="Arial"/>
              </w:rPr>
              <w:t>$2.70</w:t>
            </w:r>
            <w:r w:rsidR="00C8279C" w:rsidRPr="00E86D9A">
              <w:rPr>
                <w:rFonts w:cs="Arial"/>
              </w:rPr>
              <w:t xml:space="preserve"> million</w:t>
            </w:r>
          </w:p>
          <w:p w14:paraId="414A6ADD" w14:textId="77777777" w:rsidR="00C8279C" w:rsidRPr="00E86D9A" w:rsidRDefault="00C8279C" w:rsidP="00C53787">
            <w:pPr>
              <w:spacing w:after="0"/>
              <w:jc w:val="center"/>
              <w:rPr>
                <w:rFonts w:cs="Arial"/>
              </w:rPr>
            </w:pPr>
          </w:p>
          <w:p w14:paraId="5EF26824" w14:textId="77777777" w:rsidR="00C8279C" w:rsidRPr="00E86D9A" w:rsidRDefault="00C8279C" w:rsidP="00C53787">
            <w:pPr>
              <w:spacing w:after="0"/>
              <w:jc w:val="center"/>
              <w:rPr>
                <w:rFonts w:cs="Arial"/>
              </w:rPr>
            </w:pPr>
          </w:p>
          <w:p w14:paraId="14920E57" w14:textId="77777777" w:rsidR="00C8279C" w:rsidRPr="00E86D9A" w:rsidRDefault="00C8279C" w:rsidP="00C53787">
            <w:pPr>
              <w:spacing w:after="0"/>
              <w:jc w:val="center"/>
              <w:rPr>
                <w:rFonts w:cs="Arial"/>
              </w:rPr>
            </w:pPr>
          </w:p>
          <w:p w14:paraId="423CCA3D" w14:textId="77777777" w:rsidR="00C8279C" w:rsidRPr="00E86D9A" w:rsidRDefault="00C8279C" w:rsidP="00C53787">
            <w:pPr>
              <w:spacing w:after="0"/>
              <w:jc w:val="center"/>
              <w:rPr>
                <w:rFonts w:cs="Arial"/>
              </w:rPr>
            </w:pPr>
          </w:p>
        </w:tc>
      </w:tr>
      <w:tr w:rsidR="00C8279C" w:rsidRPr="00E81F2E" w14:paraId="5C574433" w14:textId="77777777" w:rsidTr="00C53787">
        <w:tc>
          <w:tcPr>
            <w:tcW w:w="1843" w:type="dxa"/>
          </w:tcPr>
          <w:p w14:paraId="50A2FA43" w14:textId="77777777" w:rsidR="00C8279C" w:rsidRPr="00E86D9A" w:rsidRDefault="00C8279C" w:rsidP="00C53787">
            <w:pPr>
              <w:spacing w:after="0"/>
              <w:jc w:val="center"/>
              <w:rPr>
                <w:rFonts w:cs="Arial"/>
                <w:b/>
              </w:rPr>
            </w:pPr>
          </w:p>
        </w:tc>
        <w:tc>
          <w:tcPr>
            <w:tcW w:w="4536" w:type="dxa"/>
          </w:tcPr>
          <w:p w14:paraId="1767CB16" w14:textId="77777777" w:rsidR="00C8279C" w:rsidRPr="00E86D9A" w:rsidRDefault="00C8279C" w:rsidP="00C53787">
            <w:pPr>
              <w:spacing w:after="0"/>
              <w:jc w:val="center"/>
              <w:rPr>
                <w:rFonts w:cs="Arial"/>
                <w:b/>
              </w:rPr>
            </w:pPr>
          </w:p>
          <w:p w14:paraId="03E6D04E" w14:textId="77777777" w:rsidR="00C8279C" w:rsidRPr="00E86D9A" w:rsidRDefault="00C8279C" w:rsidP="00C53787">
            <w:pPr>
              <w:spacing w:after="0"/>
              <w:jc w:val="center"/>
              <w:rPr>
                <w:rFonts w:cs="Arial"/>
                <w:b/>
              </w:rPr>
            </w:pPr>
            <w:r w:rsidRPr="00E86D9A">
              <w:rPr>
                <w:rFonts w:cs="Arial"/>
                <w:b/>
              </w:rPr>
              <w:t>Total over 2 financial years</w:t>
            </w:r>
          </w:p>
        </w:tc>
        <w:tc>
          <w:tcPr>
            <w:tcW w:w="2471" w:type="dxa"/>
          </w:tcPr>
          <w:p w14:paraId="48D1F47C" w14:textId="77777777" w:rsidR="00C8279C" w:rsidRPr="00E86D9A" w:rsidRDefault="00C8279C" w:rsidP="00C53787">
            <w:pPr>
              <w:spacing w:after="0"/>
              <w:jc w:val="center"/>
              <w:rPr>
                <w:rFonts w:cs="Arial"/>
                <w:b/>
              </w:rPr>
            </w:pPr>
          </w:p>
          <w:p w14:paraId="399D2312" w14:textId="6BC1B9B1" w:rsidR="00C8279C" w:rsidRPr="00E86D9A" w:rsidRDefault="00DF5082" w:rsidP="00C53787">
            <w:pPr>
              <w:spacing w:after="0"/>
              <w:jc w:val="center"/>
              <w:rPr>
                <w:rFonts w:cs="Arial"/>
                <w:b/>
              </w:rPr>
            </w:pPr>
            <w:r>
              <w:rPr>
                <w:rFonts w:cs="Arial"/>
                <w:b/>
              </w:rPr>
              <w:t>$3.1</w:t>
            </w:r>
            <w:r w:rsidR="00C8279C" w:rsidRPr="00E86D9A">
              <w:rPr>
                <w:rFonts w:cs="Arial"/>
                <w:b/>
              </w:rPr>
              <w:t>3 million</w:t>
            </w:r>
          </w:p>
        </w:tc>
      </w:tr>
    </w:tbl>
    <w:p w14:paraId="2A7C9DD5" w14:textId="0113B4BA" w:rsidR="00C8279C" w:rsidRDefault="00C8279C" w:rsidP="00C8279C">
      <w:pPr>
        <w:spacing w:after="160" w:line="259" w:lineRule="auto"/>
        <w:rPr>
          <w:rFonts w:eastAsia="Times New Roman"/>
          <w:b/>
          <w:bCs/>
          <w:color w:val="00767F"/>
          <w:kern w:val="28"/>
          <w:sz w:val="44"/>
          <w:szCs w:val="44"/>
          <w:lang w:val="en-AU"/>
        </w:rPr>
      </w:pPr>
    </w:p>
    <w:p w14:paraId="0B1D70B5" w14:textId="08A6626A" w:rsidR="00EF79CE" w:rsidRPr="00EF79CE" w:rsidRDefault="00EF79CE" w:rsidP="00C8709B">
      <w:pPr>
        <w:pStyle w:val="Heading2"/>
        <w:numPr>
          <w:ilvl w:val="0"/>
          <w:numId w:val="40"/>
        </w:numPr>
        <w:rPr>
          <w:sz w:val="28"/>
        </w:rPr>
      </w:pPr>
      <w:bookmarkStart w:id="7" w:name="_Toc31571248"/>
      <w:r>
        <w:rPr>
          <w:sz w:val="28"/>
        </w:rPr>
        <w:t>C</w:t>
      </w:r>
      <w:r w:rsidRPr="00EF79CE">
        <w:rPr>
          <w:sz w:val="28"/>
        </w:rPr>
        <w:t>ontinued access to services and relevant supports provided at a Federal and State/Territory level through COAG and other agreements or arrangements</w:t>
      </w:r>
      <w:r>
        <w:rPr>
          <w:sz w:val="28"/>
        </w:rPr>
        <w:t xml:space="preserve"> for people with disability not participating in the NDIS</w:t>
      </w:r>
      <w:r w:rsidRPr="00EF79CE">
        <w:rPr>
          <w:sz w:val="28"/>
        </w:rPr>
        <w:t>.</w:t>
      </w:r>
      <w:bookmarkEnd w:id="7"/>
      <w:r w:rsidRPr="00EF79CE">
        <w:rPr>
          <w:sz w:val="28"/>
        </w:rPr>
        <w:t xml:space="preserve"> </w:t>
      </w:r>
    </w:p>
    <w:p w14:paraId="0379882E" w14:textId="77777777" w:rsidR="00EF79CE" w:rsidRPr="00C14348" w:rsidRDefault="00EF79CE" w:rsidP="00EF79CE">
      <w:pPr>
        <w:spacing w:after="0"/>
        <w:ind w:left="709"/>
        <w:rPr>
          <w:rFonts w:cs="Arial"/>
          <w:sz w:val="16"/>
        </w:rPr>
      </w:pPr>
    </w:p>
    <w:p w14:paraId="6869F791" w14:textId="77777777" w:rsidR="00EF79CE" w:rsidRDefault="00EF79CE" w:rsidP="00EF79CE">
      <w:pPr>
        <w:spacing w:after="0"/>
        <w:rPr>
          <w:rFonts w:cs="Arial"/>
        </w:rPr>
      </w:pPr>
      <w:r>
        <w:rPr>
          <w:rFonts w:cs="Arial"/>
        </w:rPr>
        <w:t>One in five Australians are people with a disability, that’s over 5 Million of our current population. You are also more likely to acquire a disability as you age, we are living longer, and the projected age of Australians as a proportion of the population is rapidly rising with this to significantly increase over the next five to ten years.</w:t>
      </w:r>
    </w:p>
    <w:p w14:paraId="444B71FB" w14:textId="77777777" w:rsidR="00EF79CE" w:rsidRDefault="00EF79CE" w:rsidP="00EF79CE">
      <w:pPr>
        <w:spacing w:after="0"/>
        <w:rPr>
          <w:rFonts w:cs="Arial"/>
        </w:rPr>
      </w:pPr>
    </w:p>
    <w:p w14:paraId="1D609123" w14:textId="77777777" w:rsidR="00EF79CE" w:rsidRDefault="00EF79CE" w:rsidP="00EF79CE">
      <w:pPr>
        <w:spacing w:after="0"/>
        <w:rPr>
          <w:rFonts w:cs="Arial"/>
        </w:rPr>
      </w:pPr>
      <w:r>
        <w:rPr>
          <w:rFonts w:cs="Arial"/>
        </w:rPr>
        <w:t xml:space="preserve">The NDIS is welcomed and fully supported by AFDO however, the scheme will only cover 460,000 Australians with disability at full roll-out. That leaves over four and half million Australians living with disability who are not part of the scheme. </w:t>
      </w:r>
    </w:p>
    <w:p w14:paraId="1CACB539" w14:textId="77777777" w:rsidR="00EF79CE" w:rsidRPr="008670EB" w:rsidRDefault="00EF79CE" w:rsidP="00EF79CE">
      <w:pPr>
        <w:spacing w:after="0"/>
        <w:rPr>
          <w:rFonts w:cs="Arial"/>
          <w:sz w:val="16"/>
        </w:rPr>
      </w:pPr>
    </w:p>
    <w:p w14:paraId="28B10674" w14:textId="77777777" w:rsidR="00EF79CE" w:rsidRDefault="00EF79CE" w:rsidP="00EF79CE">
      <w:pPr>
        <w:spacing w:after="0"/>
        <w:rPr>
          <w:rFonts w:cs="Arial"/>
        </w:rPr>
      </w:pPr>
      <w:r>
        <w:rPr>
          <w:rFonts w:cs="Arial"/>
        </w:rPr>
        <w:t>AFDO is concerned that some levels of government are failing in their obligations and duty to these Australians by reducing or removing services and supports that were previously in place, or that may be required following the implementation of the NDIS.</w:t>
      </w:r>
    </w:p>
    <w:p w14:paraId="2A515334" w14:textId="77777777" w:rsidR="00EF79CE" w:rsidRDefault="00EF79CE" w:rsidP="00EF79CE">
      <w:pPr>
        <w:spacing w:after="0"/>
        <w:rPr>
          <w:rFonts w:cs="Arial"/>
        </w:rPr>
      </w:pPr>
    </w:p>
    <w:p w14:paraId="0CF1BB2D" w14:textId="09CBF552" w:rsidR="00EF79CE" w:rsidRDefault="00EF79CE" w:rsidP="00EF79CE">
      <w:pPr>
        <w:spacing w:after="0"/>
        <w:rPr>
          <w:rFonts w:cs="Arial"/>
        </w:rPr>
      </w:pPr>
      <w:r>
        <w:rPr>
          <w:rFonts w:cs="Arial"/>
        </w:rPr>
        <w:t>Mainstream service systems such as hospitals, the courts, the child protection system and schools also have agreed responsibility to meet the needs of people with disability using those services.  People with disability are being caught between the reduction or removal of some services and the limited availability of disability support from mainstream services.</w:t>
      </w:r>
    </w:p>
    <w:p w14:paraId="30A65330" w14:textId="77777777" w:rsidR="00EF79CE" w:rsidRDefault="00EF79CE" w:rsidP="00EF79CE">
      <w:pPr>
        <w:spacing w:after="0"/>
        <w:ind w:left="709"/>
        <w:rPr>
          <w:rFonts w:cs="Arial"/>
        </w:rPr>
      </w:pPr>
    </w:p>
    <w:p w14:paraId="77D227DC" w14:textId="77777777" w:rsidR="00EF79CE" w:rsidRPr="00C14348" w:rsidRDefault="00EF79CE" w:rsidP="00EF79CE">
      <w:pPr>
        <w:spacing w:after="0"/>
        <w:rPr>
          <w:rFonts w:cs="Arial"/>
          <w:sz w:val="16"/>
        </w:rPr>
      </w:pPr>
      <w:r w:rsidRPr="00C62080">
        <w:rPr>
          <w:rFonts w:cs="Arial"/>
        </w:rPr>
        <w:t xml:space="preserve">The Disability Support Pension is another example of where there is concern that Government is failing in its obligations; in this case to social protection and economic participation.  </w:t>
      </w:r>
      <w:r w:rsidRPr="00C53787">
        <w:rPr>
          <w:rFonts w:cs="Arial"/>
        </w:rPr>
        <w:t>The Australian Federation of Disability Organisations (AFDO) is concerned that changes to the Disability Support Pension and wider social security system in recent decades have led to the exclusion of many persons with disabilities from access to essential social security.</w:t>
      </w:r>
    </w:p>
    <w:p w14:paraId="708EF92B" w14:textId="77777777" w:rsidR="00EF79CE" w:rsidRDefault="00EF79CE" w:rsidP="00EF79CE">
      <w:pPr>
        <w:spacing w:after="0"/>
        <w:rPr>
          <w:rFonts w:cs="Arial"/>
        </w:rPr>
      </w:pPr>
    </w:p>
    <w:p w14:paraId="54501171" w14:textId="77777777" w:rsidR="00EF79CE" w:rsidRDefault="00EF79CE" w:rsidP="00EF79CE">
      <w:pPr>
        <w:spacing w:after="0"/>
        <w:rPr>
          <w:rFonts w:cs="Arial"/>
        </w:rPr>
      </w:pPr>
      <w:r>
        <w:rPr>
          <w:rFonts w:cs="Arial"/>
        </w:rPr>
        <w:t xml:space="preserve">Another key concern is for those people with disability who are not part of the NDIS and are over sixty five years of age and in the aged care system. </w:t>
      </w:r>
    </w:p>
    <w:p w14:paraId="1EB9F2E5" w14:textId="77777777" w:rsidR="00EF79CE" w:rsidRPr="008670EB" w:rsidRDefault="00EF79CE" w:rsidP="00EF79CE">
      <w:pPr>
        <w:spacing w:after="0"/>
        <w:ind w:left="709"/>
        <w:rPr>
          <w:rFonts w:cs="Arial"/>
          <w:sz w:val="16"/>
        </w:rPr>
      </w:pPr>
    </w:p>
    <w:p w14:paraId="5EA802AC" w14:textId="77777777" w:rsidR="00EF79CE" w:rsidRDefault="00EF79CE" w:rsidP="00EF79CE">
      <w:pPr>
        <w:spacing w:after="0"/>
        <w:rPr>
          <w:rFonts w:cs="Arial"/>
        </w:rPr>
      </w:pPr>
      <w:r>
        <w:rPr>
          <w:rFonts w:cs="Arial"/>
        </w:rPr>
        <w:t xml:space="preserve">These Australians also require a commitment to continued access to services and supports to ensure they remain well and in their homes for as long as possible or that aged care providers are required to meet these requirements. </w:t>
      </w:r>
    </w:p>
    <w:p w14:paraId="6E7B6543" w14:textId="77777777" w:rsidR="00EF79CE" w:rsidRPr="00C14348" w:rsidRDefault="00EF79CE" w:rsidP="00EF79CE">
      <w:pPr>
        <w:spacing w:after="0"/>
        <w:ind w:left="709"/>
        <w:rPr>
          <w:rFonts w:cs="Arial"/>
          <w:sz w:val="16"/>
        </w:rPr>
      </w:pPr>
    </w:p>
    <w:p w14:paraId="0EE8A0F2" w14:textId="37F9D12C" w:rsidR="00EF79CE" w:rsidRDefault="00EF79CE" w:rsidP="00EF79CE">
      <w:pPr>
        <w:spacing w:after="0"/>
        <w:rPr>
          <w:rFonts w:cs="Arial"/>
        </w:rPr>
      </w:pPr>
      <w:r>
        <w:rPr>
          <w:rFonts w:cs="Arial"/>
        </w:rPr>
        <w:t>The Federal Government and all levels of government have a responsibility to ensure that those Australians who are not part of the NDIS as outlined above, continue to have access to essential services and relevant supports.</w:t>
      </w:r>
    </w:p>
    <w:p w14:paraId="0D732315" w14:textId="77777777" w:rsidR="00EF79CE" w:rsidRPr="00C14348" w:rsidRDefault="00EF79CE" w:rsidP="00EF79CE">
      <w:pPr>
        <w:spacing w:after="0"/>
        <w:ind w:left="709"/>
        <w:rPr>
          <w:rFonts w:cs="Arial"/>
          <w:sz w:val="16"/>
        </w:rPr>
      </w:pPr>
    </w:p>
    <w:p w14:paraId="151594D4" w14:textId="77777777" w:rsidR="00EF79CE" w:rsidRDefault="00EF79CE" w:rsidP="00EF79CE">
      <w:pPr>
        <w:spacing w:after="0"/>
        <w:rPr>
          <w:rFonts w:cs="Arial"/>
        </w:rPr>
      </w:pPr>
      <w:r>
        <w:rPr>
          <w:rFonts w:cs="Arial"/>
        </w:rPr>
        <w:t>AFDO calls for this commitment from the federal level and this is also a key component outlined in COAG or any other agreements or arrangements with other levels of government.</w:t>
      </w:r>
    </w:p>
    <w:p w14:paraId="65BA2227" w14:textId="77777777" w:rsidR="00EF79CE" w:rsidRPr="006A706F" w:rsidRDefault="00EF79CE" w:rsidP="00EF79CE">
      <w:pPr>
        <w:pStyle w:val="Heading3"/>
      </w:pPr>
      <w:bookmarkStart w:id="8" w:name="_Toc31571249"/>
      <w:r w:rsidRPr="006A706F">
        <w:t>Recommendation &amp; cost</w:t>
      </w:r>
      <w:bookmarkEnd w:id="8"/>
    </w:p>
    <w:p w14:paraId="62BB8B4F" w14:textId="26AD16F0" w:rsidR="00EF79CE" w:rsidRPr="00EF79CE" w:rsidRDefault="00EF79CE" w:rsidP="00EF79CE">
      <w:pPr>
        <w:pStyle w:val="ListParagraph"/>
        <w:numPr>
          <w:ilvl w:val="0"/>
          <w:numId w:val="38"/>
        </w:numPr>
        <w:spacing w:after="0"/>
        <w:rPr>
          <w:rFonts w:cs="Arial"/>
        </w:rPr>
      </w:pPr>
      <w:r>
        <w:rPr>
          <w:rFonts w:cs="Arial"/>
        </w:rPr>
        <w:t xml:space="preserve">Federal Government to negotiate for </w:t>
      </w:r>
      <w:r w:rsidRPr="00EF79CE">
        <w:rPr>
          <w:rFonts w:cs="Arial"/>
        </w:rPr>
        <w:t>people with disability who are not part of the NDIS of all ages including those within the aged care system for continued access to services and relevant supports provided at a Federal and State/Territory level through COAG and other agreements or arrangements.</w:t>
      </w:r>
    </w:p>
    <w:p w14:paraId="2D0AEB92" w14:textId="77777777" w:rsidR="00EF79CE" w:rsidRPr="00D04F72" w:rsidRDefault="00EF79CE" w:rsidP="00EF79CE">
      <w:pPr>
        <w:pStyle w:val="NoSpacing"/>
        <w:spacing w:line="276" w:lineRule="auto"/>
        <w:ind w:left="720"/>
        <w:rPr>
          <w:rFonts w:ascii="Arial" w:hAnsi="Arial" w:cs="Arial"/>
          <w:color w:val="000000" w:themeColor="text1"/>
          <w:sz w:val="24"/>
          <w:szCs w:val="24"/>
        </w:rPr>
      </w:pPr>
    </w:p>
    <w:tbl>
      <w:tblPr>
        <w:tblStyle w:val="TableGrid"/>
        <w:tblW w:w="0" w:type="auto"/>
        <w:tblInd w:w="392" w:type="dxa"/>
        <w:tblLook w:val="04A0" w:firstRow="1" w:lastRow="0" w:firstColumn="1" w:lastColumn="0" w:noHBand="0" w:noVBand="1"/>
      </w:tblPr>
      <w:tblGrid>
        <w:gridCol w:w="1812"/>
        <w:gridCol w:w="4401"/>
        <w:gridCol w:w="2411"/>
      </w:tblGrid>
      <w:tr w:rsidR="00EF79CE" w:rsidRPr="000F18DE" w14:paraId="2110D533" w14:textId="77777777" w:rsidTr="00C53787">
        <w:trPr>
          <w:trHeight w:val="608"/>
        </w:trPr>
        <w:tc>
          <w:tcPr>
            <w:tcW w:w="1812" w:type="dxa"/>
            <w:shd w:val="clear" w:color="auto" w:fill="2F5496" w:themeFill="accent5" w:themeFillShade="BF"/>
            <w:vAlign w:val="center"/>
          </w:tcPr>
          <w:p w14:paraId="16FC19F5" w14:textId="77777777" w:rsidR="00EF79CE" w:rsidRPr="000F18DE" w:rsidRDefault="00EF79CE" w:rsidP="00C53787">
            <w:pPr>
              <w:spacing w:after="0"/>
              <w:jc w:val="center"/>
              <w:rPr>
                <w:rFonts w:cs="Arial"/>
                <w:b/>
                <w:color w:val="FFFFFF" w:themeColor="background1"/>
              </w:rPr>
            </w:pPr>
            <w:r w:rsidRPr="000F18DE">
              <w:rPr>
                <w:rFonts w:cs="Arial"/>
                <w:b/>
                <w:color w:val="FFFFFF" w:themeColor="background1"/>
              </w:rPr>
              <w:t>Year</w:t>
            </w:r>
          </w:p>
        </w:tc>
        <w:tc>
          <w:tcPr>
            <w:tcW w:w="4401" w:type="dxa"/>
            <w:shd w:val="clear" w:color="auto" w:fill="2F5496" w:themeFill="accent5" w:themeFillShade="BF"/>
            <w:vAlign w:val="center"/>
          </w:tcPr>
          <w:p w14:paraId="607C7E47" w14:textId="77777777" w:rsidR="00EF79CE" w:rsidRPr="000F18DE" w:rsidRDefault="00EF79CE" w:rsidP="00C53787">
            <w:pPr>
              <w:spacing w:after="0"/>
              <w:jc w:val="center"/>
              <w:rPr>
                <w:rFonts w:cs="Arial"/>
                <w:b/>
                <w:color w:val="FFFFFF" w:themeColor="background1"/>
              </w:rPr>
            </w:pPr>
            <w:r w:rsidRPr="000F18DE">
              <w:rPr>
                <w:rFonts w:cs="Arial"/>
                <w:b/>
                <w:color w:val="FFFFFF" w:themeColor="background1"/>
              </w:rPr>
              <w:t>Activity</w:t>
            </w:r>
          </w:p>
        </w:tc>
        <w:tc>
          <w:tcPr>
            <w:tcW w:w="2411" w:type="dxa"/>
            <w:shd w:val="clear" w:color="auto" w:fill="2F5496" w:themeFill="accent5" w:themeFillShade="BF"/>
            <w:vAlign w:val="center"/>
          </w:tcPr>
          <w:p w14:paraId="2305656D" w14:textId="77777777" w:rsidR="00EF79CE" w:rsidRPr="000F18DE" w:rsidRDefault="00EF79CE" w:rsidP="00C53787">
            <w:pPr>
              <w:spacing w:after="0"/>
              <w:jc w:val="center"/>
              <w:rPr>
                <w:rFonts w:cs="Arial"/>
                <w:b/>
                <w:color w:val="FFFFFF" w:themeColor="background1"/>
              </w:rPr>
            </w:pPr>
            <w:r w:rsidRPr="000F18DE">
              <w:rPr>
                <w:rFonts w:cs="Arial"/>
                <w:b/>
                <w:color w:val="FFFFFF" w:themeColor="background1"/>
              </w:rPr>
              <w:t>Amount</w:t>
            </w:r>
          </w:p>
        </w:tc>
      </w:tr>
      <w:tr w:rsidR="00EF79CE" w:rsidRPr="006D6258" w14:paraId="1469C4C3" w14:textId="77777777" w:rsidTr="00C53787">
        <w:tc>
          <w:tcPr>
            <w:tcW w:w="1812" w:type="dxa"/>
            <w:shd w:val="clear" w:color="auto" w:fill="DEEAF6" w:themeFill="accent1" w:themeFillTint="33"/>
          </w:tcPr>
          <w:p w14:paraId="1DCFCDC3" w14:textId="77777777" w:rsidR="00EF79CE" w:rsidRPr="00E86D9A" w:rsidRDefault="00EF79CE" w:rsidP="00C53787">
            <w:pPr>
              <w:spacing w:after="0"/>
              <w:jc w:val="center"/>
              <w:rPr>
                <w:rFonts w:cs="Arial"/>
                <w:b/>
              </w:rPr>
            </w:pPr>
          </w:p>
          <w:p w14:paraId="48156936" w14:textId="3551014B" w:rsidR="00EF79CE" w:rsidRPr="00E86D9A" w:rsidRDefault="00C8709B" w:rsidP="00C53787">
            <w:pPr>
              <w:spacing w:after="0"/>
              <w:jc w:val="center"/>
              <w:rPr>
                <w:rFonts w:cs="Arial"/>
                <w:b/>
              </w:rPr>
            </w:pPr>
            <w:r>
              <w:rPr>
                <w:rFonts w:cs="Arial"/>
                <w:b/>
              </w:rPr>
              <w:t>2020</w:t>
            </w:r>
            <w:r w:rsidR="00EF79CE" w:rsidRPr="00E86D9A">
              <w:rPr>
                <w:rFonts w:cs="Arial"/>
                <w:b/>
              </w:rPr>
              <w:t xml:space="preserve"> – 20</w:t>
            </w:r>
            <w:r>
              <w:rPr>
                <w:rFonts w:cs="Arial"/>
                <w:b/>
              </w:rPr>
              <w:t>21</w:t>
            </w:r>
          </w:p>
          <w:p w14:paraId="78721F5F" w14:textId="77777777" w:rsidR="00EF79CE" w:rsidRPr="00E86D9A" w:rsidRDefault="00EF79CE" w:rsidP="00C53787">
            <w:pPr>
              <w:spacing w:after="0"/>
              <w:jc w:val="center"/>
              <w:rPr>
                <w:rFonts w:cs="Arial"/>
                <w:b/>
              </w:rPr>
            </w:pPr>
          </w:p>
        </w:tc>
        <w:tc>
          <w:tcPr>
            <w:tcW w:w="4401" w:type="dxa"/>
            <w:shd w:val="clear" w:color="auto" w:fill="DEEAF6" w:themeFill="accent1" w:themeFillTint="33"/>
          </w:tcPr>
          <w:p w14:paraId="5D1FD7FF" w14:textId="77777777" w:rsidR="00EF79CE" w:rsidRDefault="00EF79CE" w:rsidP="00EF79CE">
            <w:pPr>
              <w:spacing w:after="0"/>
              <w:rPr>
                <w:rFonts w:cs="Arial"/>
              </w:rPr>
            </w:pPr>
          </w:p>
          <w:p w14:paraId="58DE3BE2" w14:textId="49042A0B" w:rsidR="00EF79CE" w:rsidRPr="00E86D9A" w:rsidRDefault="00EF79CE" w:rsidP="00EF79CE">
            <w:pPr>
              <w:spacing w:after="0"/>
              <w:rPr>
                <w:rFonts w:cs="Arial"/>
              </w:rPr>
            </w:pPr>
            <w:r>
              <w:rPr>
                <w:rFonts w:cs="Arial"/>
              </w:rPr>
              <w:t>Negotiation at Federal level and included in agreement(s) with all States/Territories to ensure services and supports outside of those for NDIS participants are continued to be provided to PwD as per any other Australian</w:t>
            </w:r>
          </w:p>
        </w:tc>
        <w:tc>
          <w:tcPr>
            <w:tcW w:w="2411" w:type="dxa"/>
            <w:shd w:val="clear" w:color="auto" w:fill="DEEAF6" w:themeFill="accent1" w:themeFillTint="33"/>
          </w:tcPr>
          <w:p w14:paraId="60AC3E04" w14:textId="77777777" w:rsidR="00EF79CE" w:rsidRPr="00E86D9A" w:rsidRDefault="00EF79CE" w:rsidP="00C53787">
            <w:pPr>
              <w:spacing w:after="0"/>
              <w:jc w:val="center"/>
              <w:rPr>
                <w:rFonts w:cs="Arial"/>
              </w:rPr>
            </w:pPr>
          </w:p>
          <w:p w14:paraId="4AD41564" w14:textId="77777777" w:rsidR="00EF79CE" w:rsidRPr="00E86D9A" w:rsidRDefault="00EF79CE" w:rsidP="00C53787">
            <w:pPr>
              <w:spacing w:after="0"/>
              <w:jc w:val="center"/>
              <w:rPr>
                <w:rFonts w:cs="Arial"/>
              </w:rPr>
            </w:pPr>
            <w:r w:rsidRPr="00E86D9A">
              <w:rPr>
                <w:rFonts w:cs="Arial"/>
              </w:rPr>
              <w:t>$7</w:t>
            </w:r>
            <w:r>
              <w:rPr>
                <w:rFonts w:cs="Arial"/>
              </w:rPr>
              <w:t>5</w:t>
            </w:r>
            <w:r w:rsidRPr="00E86D9A">
              <w:rPr>
                <w:rFonts w:cs="Arial"/>
              </w:rPr>
              <w:t>0,000</w:t>
            </w:r>
          </w:p>
          <w:p w14:paraId="4545736C" w14:textId="77777777" w:rsidR="00EF79CE" w:rsidRPr="00E86D9A" w:rsidRDefault="00EF79CE" w:rsidP="00C53787">
            <w:pPr>
              <w:spacing w:after="0"/>
              <w:jc w:val="center"/>
              <w:rPr>
                <w:rFonts w:cs="Arial"/>
              </w:rPr>
            </w:pPr>
          </w:p>
        </w:tc>
      </w:tr>
      <w:tr w:rsidR="00EF79CE" w14:paraId="5C805ED9" w14:textId="77777777" w:rsidTr="00C53787">
        <w:tc>
          <w:tcPr>
            <w:tcW w:w="1812" w:type="dxa"/>
            <w:shd w:val="clear" w:color="auto" w:fill="FFFFFF" w:themeFill="background1"/>
          </w:tcPr>
          <w:p w14:paraId="38AE2E1A" w14:textId="77777777" w:rsidR="00EF79CE" w:rsidRPr="00E86D9A" w:rsidRDefault="00EF79CE" w:rsidP="00C53787">
            <w:pPr>
              <w:spacing w:after="0"/>
              <w:jc w:val="center"/>
              <w:rPr>
                <w:rFonts w:cs="Arial"/>
                <w:b/>
              </w:rPr>
            </w:pPr>
          </w:p>
          <w:p w14:paraId="0D2B7D4E" w14:textId="3E95DA24" w:rsidR="00EF79CE" w:rsidRPr="00E86D9A" w:rsidRDefault="00EF79CE" w:rsidP="00C53787">
            <w:pPr>
              <w:spacing w:after="0"/>
              <w:jc w:val="center"/>
              <w:rPr>
                <w:rFonts w:cs="Arial"/>
                <w:b/>
              </w:rPr>
            </w:pPr>
            <w:r w:rsidRPr="00E86D9A">
              <w:rPr>
                <w:rFonts w:cs="Arial"/>
                <w:b/>
              </w:rPr>
              <w:t>20</w:t>
            </w:r>
            <w:r w:rsidR="00C8709B">
              <w:rPr>
                <w:rFonts w:cs="Arial"/>
                <w:b/>
              </w:rPr>
              <w:t>22</w:t>
            </w:r>
            <w:r w:rsidRPr="00E86D9A">
              <w:rPr>
                <w:rFonts w:cs="Arial"/>
                <w:b/>
              </w:rPr>
              <w:t xml:space="preserve"> – </w:t>
            </w:r>
            <w:r>
              <w:rPr>
                <w:rFonts w:cs="Arial"/>
                <w:b/>
              </w:rPr>
              <w:t>onwards</w:t>
            </w:r>
          </w:p>
          <w:p w14:paraId="5872D55A" w14:textId="77777777" w:rsidR="00EF79CE" w:rsidRPr="00E86D9A" w:rsidRDefault="00EF79CE" w:rsidP="00C53787">
            <w:pPr>
              <w:spacing w:after="0"/>
              <w:jc w:val="center"/>
              <w:rPr>
                <w:rFonts w:cs="Arial"/>
                <w:b/>
              </w:rPr>
            </w:pPr>
          </w:p>
        </w:tc>
        <w:tc>
          <w:tcPr>
            <w:tcW w:w="4401" w:type="dxa"/>
            <w:shd w:val="clear" w:color="auto" w:fill="FFFFFF" w:themeFill="background1"/>
          </w:tcPr>
          <w:p w14:paraId="486FCA7E" w14:textId="77777777" w:rsidR="00EF79CE" w:rsidRPr="00E86D9A" w:rsidRDefault="00EF79CE" w:rsidP="00C53787">
            <w:pPr>
              <w:spacing w:after="0"/>
              <w:jc w:val="center"/>
              <w:rPr>
                <w:rFonts w:cs="Arial"/>
              </w:rPr>
            </w:pPr>
          </w:p>
          <w:p w14:paraId="03B813BA" w14:textId="55720AD1" w:rsidR="00EF79CE" w:rsidRPr="00E86D9A" w:rsidRDefault="00EF79CE" w:rsidP="00C53787">
            <w:pPr>
              <w:spacing w:after="0"/>
              <w:jc w:val="center"/>
              <w:rPr>
                <w:rFonts w:cs="Arial"/>
              </w:rPr>
            </w:pPr>
            <w:r>
              <w:rPr>
                <w:rFonts w:cs="Arial"/>
              </w:rPr>
              <w:t xml:space="preserve">Ongoing service and supports for PwD outside of NDIS participants provided by all States/Territories as per any Australian </w:t>
            </w:r>
          </w:p>
          <w:p w14:paraId="47D972C7" w14:textId="77777777" w:rsidR="00EF79CE" w:rsidRPr="00E86D9A" w:rsidRDefault="00EF79CE" w:rsidP="00C53787">
            <w:pPr>
              <w:spacing w:after="0"/>
              <w:jc w:val="center"/>
              <w:rPr>
                <w:rFonts w:cs="Arial"/>
              </w:rPr>
            </w:pPr>
          </w:p>
        </w:tc>
        <w:tc>
          <w:tcPr>
            <w:tcW w:w="2411" w:type="dxa"/>
            <w:shd w:val="clear" w:color="auto" w:fill="FFFFFF" w:themeFill="background1"/>
          </w:tcPr>
          <w:p w14:paraId="7C151C93" w14:textId="77777777" w:rsidR="00EF79CE" w:rsidRPr="00E86D9A" w:rsidRDefault="00EF79CE" w:rsidP="00C53787">
            <w:pPr>
              <w:spacing w:after="0"/>
              <w:jc w:val="center"/>
              <w:rPr>
                <w:rFonts w:cs="Arial"/>
              </w:rPr>
            </w:pPr>
          </w:p>
          <w:p w14:paraId="50F61CE7" w14:textId="5955C2BD" w:rsidR="00EF79CE" w:rsidRDefault="00EF79CE" w:rsidP="00C53787">
            <w:pPr>
              <w:spacing w:after="0"/>
              <w:jc w:val="center"/>
              <w:rPr>
                <w:rFonts w:cs="Arial"/>
              </w:rPr>
            </w:pPr>
            <w:r>
              <w:rPr>
                <w:rFonts w:cs="Arial"/>
              </w:rPr>
              <w:t>Federal cost not known</w:t>
            </w:r>
          </w:p>
          <w:p w14:paraId="3898E470" w14:textId="3DE7F930" w:rsidR="00EF79CE" w:rsidRPr="00E86D9A" w:rsidRDefault="00EF79CE" w:rsidP="00EF79CE">
            <w:pPr>
              <w:spacing w:after="0"/>
              <w:jc w:val="center"/>
              <w:rPr>
                <w:rFonts w:cs="Arial"/>
              </w:rPr>
            </w:pPr>
            <w:r>
              <w:rPr>
                <w:rFonts w:cs="Arial"/>
              </w:rPr>
              <w:t>State/Territory Costs subject to negotiation</w:t>
            </w:r>
          </w:p>
        </w:tc>
      </w:tr>
    </w:tbl>
    <w:p w14:paraId="022F2564" w14:textId="48296E4D" w:rsidR="00EF79CE" w:rsidRDefault="00EF79CE" w:rsidP="00EF79CE">
      <w:pPr>
        <w:spacing w:after="0"/>
        <w:rPr>
          <w:rFonts w:cs="Arial"/>
        </w:rPr>
      </w:pPr>
    </w:p>
    <w:p w14:paraId="77FB4554" w14:textId="77777777" w:rsidR="00EF79CE" w:rsidRPr="00C14348" w:rsidRDefault="00EF79CE" w:rsidP="00EF79CE">
      <w:pPr>
        <w:spacing w:after="0"/>
        <w:ind w:left="709"/>
        <w:rPr>
          <w:rFonts w:cs="Arial"/>
          <w:sz w:val="16"/>
        </w:rPr>
      </w:pPr>
    </w:p>
    <w:p w14:paraId="72E9D163" w14:textId="77777777" w:rsidR="00C8279C" w:rsidRDefault="00C8279C" w:rsidP="00C8279C">
      <w:pPr>
        <w:spacing w:after="0"/>
        <w:contextualSpacing/>
        <w:rPr>
          <w:rFonts w:cs="Arial"/>
          <w:sz w:val="16"/>
        </w:rPr>
      </w:pPr>
    </w:p>
    <w:p w14:paraId="3F8D9C7C" w14:textId="091E9052" w:rsidR="00C8279C" w:rsidRPr="00A85B09" w:rsidRDefault="00C8279C" w:rsidP="00C8709B">
      <w:pPr>
        <w:pStyle w:val="Heading2"/>
        <w:numPr>
          <w:ilvl w:val="0"/>
          <w:numId w:val="40"/>
        </w:numPr>
        <w:tabs>
          <w:tab w:val="left" w:pos="7524"/>
        </w:tabs>
        <w:spacing w:after="0"/>
      </w:pPr>
      <w:bookmarkStart w:id="9" w:name="_Toc31571250"/>
      <w:r w:rsidRPr="00A85B09">
        <w:rPr>
          <w:sz w:val="28"/>
        </w:rPr>
        <w:t>Equitable Funding of National Disability Representative Organisations</w:t>
      </w:r>
      <w:r w:rsidR="00C8709B">
        <w:rPr>
          <w:sz w:val="28"/>
        </w:rPr>
        <w:t xml:space="preserve"> (Systemic Advocacy)</w:t>
      </w:r>
      <w:bookmarkEnd w:id="9"/>
    </w:p>
    <w:p w14:paraId="36B9272D" w14:textId="77777777" w:rsidR="00C8279C" w:rsidRPr="00C14348" w:rsidRDefault="00C8279C" w:rsidP="00C8279C">
      <w:pPr>
        <w:spacing w:after="0"/>
        <w:ind w:left="644"/>
        <w:rPr>
          <w:rFonts w:cs="Arial"/>
          <w:sz w:val="16"/>
        </w:rPr>
      </w:pPr>
    </w:p>
    <w:p w14:paraId="7820B2ED" w14:textId="3C4C99A4" w:rsidR="00C8279C" w:rsidRPr="00577F25" w:rsidRDefault="00C8279C" w:rsidP="00C8279C">
      <w:pPr>
        <w:spacing w:after="0"/>
        <w:rPr>
          <w:rFonts w:cs="Arial"/>
        </w:rPr>
      </w:pPr>
      <w:r>
        <w:rPr>
          <w:rFonts w:cs="Arial"/>
        </w:rPr>
        <w:t>We require a commitment to i</w:t>
      </w:r>
      <w:r w:rsidRPr="00577F25">
        <w:rPr>
          <w:rFonts w:cs="Arial"/>
        </w:rPr>
        <w:t>ncreased, ongoing, adequate and equitable funding to Disability Representative Organisations (DROs) that u</w:t>
      </w:r>
      <w:r w:rsidR="00C8709B">
        <w:rPr>
          <w:rFonts w:cs="Arial"/>
        </w:rPr>
        <w:t xml:space="preserve">ndertake systemic </w:t>
      </w:r>
      <w:r w:rsidRPr="00577F25">
        <w:rPr>
          <w:rFonts w:cs="Arial"/>
        </w:rPr>
        <w:t>advocacy, including specialist people with disability organisations that know and are experts of their communities</w:t>
      </w:r>
    </w:p>
    <w:p w14:paraId="197D162D" w14:textId="77777777" w:rsidR="00C8279C" w:rsidRPr="00C14348" w:rsidRDefault="00C8279C" w:rsidP="00C8279C">
      <w:pPr>
        <w:spacing w:after="0"/>
        <w:ind w:left="644"/>
        <w:rPr>
          <w:rFonts w:cs="Arial"/>
          <w:b/>
          <w:sz w:val="16"/>
        </w:rPr>
      </w:pPr>
    </w:p>
    <w:p w14:paraId="6EC87B5C" w14:textId="77777777" w:rsidR="00C8279C" w:rsidRDefault="00C8279C" w:rsidP="00C8279C">
      <w:pPr>
        <w:spacing w:after="0"/>
        <w:rPr>
          <w:rFonts w:cs="Arial"/>
        </w:rPr>
      </w:pPr>
      <w:r w:rsidRPr="000B01D0">
        <w:rPr>
          <w:rFonts w:cs="Arial"/>
        </w:rPr>
        <w:t xml:space="preserve">Disability is diverse, meaning that there is a significant difference between the needs of people </w:t>
      </w:r>
      <w:r>
        <w:rPr>
          <w:rFonts w:cs="Arial"/>
        </w:rPr>
        <w:t>and that o</w:t>
      </w:r>
      <w:r w:rsidRPr="000B01D0">
        <w:rPr>
          <w:rFonts w:cs="Arial"/>
        </w:rPr>
        <w:t>rganisations that connect to their own communities and provide information and peer support are essential as we move to</w:t>
      </w:r>
      <w:r>
        <w:rPr>
          <w:rFonts w:cs="Arial"/>
        </w:rPr>
        <w:t xml:space="preserve"> full roll-out of the </w:t>
      </w:r>
      <w:r w:rsidRPr="000B01D0">
        <w:rPr>
          <w:rFonts w:cs="Arial"/>
        </w:rPr>
        <w:t>NDIS</w:t>
      </w:r>
      <w:r>
        <w:rPr>
          <w:rFonts w:cs="Arial"/>
        </w:rPr>
        <w:t>, the priority of a renewed National Disability Strategy 2020 – 2030,</w:t>
      </w:r>
      <w:r w:rsidRPr="000B01D0">
        <w:rPr>
          <w:rFonts w:cs="Arial"/>
        </w:rPr>
        <w:t xml:space="preserve"> and build the capacity of communities to become more welcoming and accessible.</w:t>
      </w:r>
      <w:r>
        <w:rPr>
          <w:rFonts w:cs="Arial"/>
        </w:rPr>
        <w:t xml:space="preserve"> </w:t>
      </w:r>
    </w:p>
    <w:p w14:paraId="1C316F69" w14:textId="77777777" w:rsidR="00C8279C" w:rsidRPr="00C14348" w:rsidRDefault="00C8279C" w:rsidP="00C8279C">
      <w:pPr>
        <w:spacing w:after="0"/>
        <w:ind w:left="709"/>
        <w:rPr>
          <w:rFonts w:cs="Arial"/>
          <w:sz w:val="16"/>
        </w:rPr>
      </w:pPr>
    </w:p>
    <w:p w14:paraId="2F8BD3B5" w14:textId="0AE8AFA9" w:rsidR="00C8279C" w:rsidRDefault="00C8279C" w:rsidP="00C8279C">
      <w:pPr>
        <w:spacing w:after="0"/>
        <w:rPr>
          <w:rFonts w:cs="Arial"/>
        </w:rPr>
      </w:pPr>
      <w:r>
        <w:rPr>
          <w:rFonts w:cs="Arial"/>
        </w:rPr>
        <w:t xml:space="preserve">Funding of DRO’s has been reduced and in the case of the AFDO led Consortium </w:t>
      </w:r>
      <w:r w:rsidR="00C8709B">
        <w:rPr>
          <w:rFonts w:cs="Arial"/>
        </w:rPr>
        <w:t xml:space="preserve">      </w:t>
      </w:r>
      <w:r>
        <w:rPr>
          <w:rFonts w:cs="Arial"/>
        </w:rPr>
        <w:t xml:space="preserve">(11 </w:t>
      </w:r>
      <w:r w:rsidR="00C8709B">
        <w:rPr>
          <w:rFonts w:cs="Arial"/>
        </w:rPr>
        <w:t xml:space="preserve">national </w:t>
      </w:r>
      <w:r>
        <w:rPr>
          <w:rFonts w:cs="Arial"/>
        </w:rPr>
        <w:t>members) bid resulted in a totally inadequate funding amount being awarded by the Department of Social Services of just over $27K per annum for each organisation to undertake this work</w:t>
      </w:r>
      <w:r w:rsidR="00C8709B">
        <w:rPr>
          <w:rFonts w:cs="Arial"/>
        </w:rPr>
        <w:t xml:space="preserve"> per annum</w:t>
      </w:r>
      <w:r>
        <w:rPr>
          <w:rFonts w:cs="Arial"/>
        </w:rPr>
        <w:t xml:space="preserve">! </w:t>
      </w:r>
      <w:r w:rsidR="00C8709B">
        <w:rPr>
          <w:rFonts w:cs="Arial"/>
        </w:rPr>
        <w:t>The Deapartment could have awarded a Consortium $1.5 million in its own right? Other DRO’s receive</w:t>
      </w:r>
      <w:r>
        <w:rPr>
          <w:rFonts w:cs="Arial"/>
        </w:rPr>
        <w:t xml:space="preserve"> $300K each per annum in their own right? </w:t>
      </w:r>
      <w:r w:rsidR="00C8709B">
        <w:rPr>
          <w:rFonts w:cs="Arial"/>
        </w:rPr>
        <w:t>This is totally inequitable and unacceptable.</w:t>
      </w:r>
    </w:p>
    <w:p w14:paraId="5F970DC9" w14:textId="4C64816F" w:rsidR="00C8279C" w:rsidRDefault="00C8279C" w:rsidP="00C8279C">
      <w:pPr>
        <w:spacing w:after="0"/>
        <w:rPr>
          <w:rFonts w:cs="Arial"/>
        </w:rPr>
      </w:pPr>
    </w:p>
    <w:p w14:paraId="1A85B5DC" w14:textId="3FBACBAB" w:rsidR="00C8709B" w:rsidRDefault="00C8709B" w:rsidP="00C8279C">
      <w:pPr>
        <w:spacing w:after="0"/>
        <w:rPr>
          <w:rFonts w:cs="Arial"/>
        </w:rPr>
      </w:pPr>
      <w:r>
        <w:rPr>
          <w:rFonts w:cs="Arial"/>
        </w:rPr>
        <w:t>We require equitable funding to be provided to all DRO’s as we all have exactly the same Funding Agreement, contract and conditions, no difference in requirements should mean no difference in $ funded.</w:t>
      </w:r>
    </w:p>
    <w:p w14:paraId="58328565" w14:textId="77777777" w:rsidR="00C8709B" w:rsidRDefault="00C8709B" w:rsidP="00C8279C">
      <w:pPr>
        <w:spacing w:after="0"/>
        <w:rPr>
          <w:rFonts w:cs="Arial"/>
        </w:rPr>
      </w:pPr>
    </w:p>
    <w:p w14:paraId="12DB3BDD" w14:textId="77777777" w:rsidR="00C8709B" w:rsidRDefault="00C8709B" w:rsidP="00C8279C">
      <w:pPr>
        <w:spacing w:after="0"/>
        <w:rPr>
          <w:rFonts w:cs="Arial"/>
        </w:rPr>
      </w:pPr>
      <w:r>
        <w:rPr>
          <w:rFonts w:cs="Arial"/>
        </w:rPr>
        <w:t xml:space="preserve">We were informed, by the Minister for Families &amp; Social Services, in late Decemebr 2019, that the current DRO funding Agreement will be extended for a further year at the same rates, whilst the Department of Social Services undertakes a review of the program.  This will be the second review within the last four years! </w:t>
      </w:r>
    </w:p>
    <w:p w14:paraId="7728F7A1" w14:textId="77777777" w:rsidR="00C8709B" w:rsidRDefault="00C8709B" w:rsidP="00C8279C">
      <w:pPr>
        <w:spacing w:after="0"/>
        <w:rPr>
          <w:rFonts w:cs="Arial"/>
        </w:rPr>
      </w:pPr>
    </w:p>
    <w:p w14:paraId="0304FCC5" w14:textId="77777777" w:rsidR="00C8709B" w:rsidRDefault="00C8709B" w:rsidP="00C8279C">
      <w:pPr>
        <w:spacing w:after="0"/>
        <w:rPr>
          <w:rFonts w:cs="Arial"/>
        </w:rPr>
      </w:pPr>
      <w:r>
        <w:rPr>
          <w:rFonts w:cs="Arial"/>
        </w:rPr>
        <w:t xml:space="preserve">We outlined that this is not acceptable to AFDO and our 10 natioanl member organisations and we will be commencing a national funding equity campaign involving our reach with over 2.8 million Australians including peoepl with disability if our budget request is not adopted. </w:t>
      </w:r>
    </w:p>
    <w:p w14:paraId="50D67164" w14:textId="77777777" w:rsidR="00C8709B" w:rsidRDefault="00C8709B" w:rsidP="00C8279C">
      <w:pPr>
        <w:spacing w:after="0"/>
        <w:rPr>
          <w:rFonts w:cs="Arial"/>
        </w:rPr>
      </w:pPr>
    </w:p>
    <w:p w14:paraId="46C6508C" w14:textId="7D91CB79" w:rsidR="00C8709B" w:rsidRDefault="00C8709B" w:rsidP="00C8279C">
      <w:pPr>
        <w:spacing w:after="0"/>
        <w:rPr>
          <w:rFonts w:cs="Arial"/>
        </w:rPr>
      </w:pPr>
      <w:r>
        <w:rPr>
          <w:rFonts w:cs="Arial"/>
        </w:rPr>
        <w:t>AFDO has 10 national members funded as recognised DRO’s as evidenced on the DSS website, one of these is Disability Advocacy Network Australia (DANA) which is taken out of this funding stream, as it is more appropriate to fund DANA from the National Disability Advocacy Program (NDAP), than through the DRO funding. DANA is included under the recommendation for individual advocacy funding organisations.</w:t>
      </w:r>
    </w:p>
    <w:p w14:paraId="40F8AEF0" w14:textId="77777777" w:rsidR="00C8279C" w:rsidRDefault="00C8279C" w:rsidP="00C8279C">
      <w:pPr>
        <w:spacing w:after="0"/>
        <w:rPr>
          <w:rFonts w:cs="Arial"/>
        </w:rPr>
      </w:pPr>
    </w:p>
    <w:p w14:paraId="4D00F3D7" w14:textId="77777777" w:rsidR="00C8709B" w:rsidRDefault="00C8709B" w:rsidP="00C8279C">
      <w:pPr>
        <w:spacing w:after="0"/>
        <w:rPr>
          <w:rFonts w:cs="Arial"/>
        </w:rPr>
      </w:pPr>
    </w:p>
    <w:p w14:paraId="38974C82" w14:textId="77777777" w:rsidR="00C8709B" w:rsidRDefault="00C8709B" w:rsidP="00C8279C">
      <w:pPr>
        <w:spacing w:after="0"/>
        <w:rPr>
          <w:rFonts w:cs="Arial"/>
        </w:rPr>
      </w:pPr>
    </w:p>
    <w:p w14:paraId="1F5BFBA4" w14:textId="77777777" w:rsidR="00C8279C" w:rsidRPr="00FE2355" w:rsidRDefault="00C8279C" w:rsidP="00C8279C">
      <w:pPr>
        <w:pStyle w:val="Heading3"/>
      </w:pPr>
      <w:bookmarkStart w:id="10" w:name="_Toc31571251"/>
      <w:r w:rsidRPr="00FE2355">
        <w:t xml:space="preserve">Recommendation and </w:t>
      </w:r>
      <w:r>
        <w:t>c</w:t>
      </w:r>
      <w:r w:rsidRPr="00FE2355">
        <w:t>ost</w:t>
      </w:r>
      <w:bookmarkEnd w:id="10"/>
      <w:r w:rsidRPr="00FE2355">
        <w:t xml:space="preserve"> </w:t>
      </w:r>
    </w:p>
    <w:p w14:paraId="26D17CE0" w14:textId="77777777" w:rsidR="00C8279C" w:rsidRPr="00FE2355" w:rsidRDefault="00C8279C" w:rsidP="00C8279C">
      <w:pPr>
        <w:pStyle w:val="ListParagraph"/>
        <w:spacing w:before="0" w:after="0"/>
        <w:ind w:left="1080"/>
        <w:rPr>
          <w:rFonts w:cs="Arial"/>
          <w:sz w:val="20"/>
        </w:rPr>
      </w:pPr>
    </w:p>
    <w:p w14:paraId="4DB05CFD" w14:textId="3BB2ED30" w:rsidR="00C8279C" w:rsidRPr="00FE2355" w:rsidRDefault="00C8279C" w:rsidP="00C8279C">
      <w:pPr>
        <w:pStyle w:val="ListParagraph"/>
        <w:numPr>
          <w:ilvl w:val="1"/>
          <w:numId w:val="30"/>
        </w:numPr>
        <w:spacing w:after="0"/>
        <w:ind w:left="1080"/>
        <w:rPr>
          <w:rFonts w:cs="Arial"/>
        </w:rPr>
      </w:pPr>
      <w:r>
        <w:rPr>
          <w:rFonts w:cs="Arial"/>
        </w:rPr>
        <w:t xml:space="preserve">Fund </w:t>
      </w:r>
      <w:r w:rsidRPr="00FE2355">
        <w:rPr>
          <w:rFonts w:cs="Arial"/>
        </w:rPr>
        <w:t xml:space="preserve">AFDO as a </w:t>
      </w:r>
      <w:r>
        <w:rPr>
          <w:rFonts w:cs="Arial"/>
        </w:rPr>
        <w:t>Disability Representative Organisation (</w:t>
      </w:r>
      <w:r w:rsidRPr="00FE2355">
        <w:rPr>
          <w:rFonts w:cs="Arial"/>
        </w:rPr>
        <w:t>DRO</w:t>
      </w:r>
      <w:r>
        <w:rPr>
          <w:rFonts w:cs="Arial"/>
        </w:rPr>
        <w:t>)</w:t>
      </w:r>
      <w:r w:rsidRPr="00FE2355">
        <w:rPr>
          <w:rFonts w:cs="Arial"/>
        </w:rPr>
        <w:t xml:space="preserve"> </w:t>
      </w:r>
      <w:r>
        <w:rPr>
          <w:rFonts w:cs="Arial"/>
        </w:rPr>
        <w:t>from $27K+ per annum (current AFDO Consortium split), to</w:t>
      </w:r>
      <w:r w:rsidRPr="00FE2355">
        <w:rPr>
          <w:rFonts w:cs="Arial"/>
        </w:rPr>
        <w:t xml:space="preserve"> $300,000 per annum</w:t>
      </w:r>
      <w:r>
        <w:rPr>
          <w:rFonts w:cs="Arial"/>
        </w:rPr>
        <w:t xml:space="preserve"> in its own right,</w:t>
      </w:r>
      <w:r w:rsidRPr="00FE2355">
        <w:rPr>
          <w:rFonts w:cs="Arial"/>
        </w:rPr>
        <w:t xml:space="preserve"> in line with the </w:t>
      </w:r>
      <w:r w:rsidR="00C8709B">
        <w:rPr>
          <w:rFonts w:cs="Arial"/>
        </w:rPr>
        <w:t xml:space="preserve">current </w:t>
      </w:r>
      <w:r w:rsidRPr="00FE2355">
        <w:rPr>
          <w:rFonts w:cs="Arial"/>
        </w:rPr>
        <w:t>funding to other funded DRO’s</w:t>
      </w:r>
      <w:r>
        <w:rPr>
          <w:rFonts w:cs="Arial"/>
        </w:rPr>
        <w:t>, representing no additional budget cost. Current funding of DRO’s including AFDO totals $2.1million per annum, there would be no change to the current budget amount.</w:t>
      </w:r>
    </w:p>
    <w:p w14:paraId="01EC37EC" w14:textId="77777777" w:rsidR="00C8279C" w:rsidRPr="00FE2355" w:rsidRDefault="00C8279C" w:rsidP="00C8279C">
      <w:pPr>
        <w:pStyle w:val="ListParagraph"/>
        <w:spacing w:before="0" w:after="0"/>
        <w:rPr>
          <w:rFonts w:cs="Arial"/>
          <w:sz w:val="20"/>
        </w:rPr>
      </w:pPr>
    </w:p>
    <w:p w14:paraId="5E29FC53" w14:textId="2CE847CA" w:rsidR="00C8279C" w:rsidRDefault="00C8709B" w:rsidP="00C8279C">
      <w:pPr>
        <w:pStyle w:val="ListParagraph"/>
        <w:numPr>
          <w:ilvl w:val="1"/>
          <w:numId w:val="30"/>
        </w:numPr>
        <w:spacing w:after="0"/>
        <w:ind w:left="1080"/>
        <w:rPr>
          <w:rFonts w:cs="Arial"/>
        </w:rPr>
      </w:pPr>
      <w:r>
        <w:rPr>
          <w:rFonts w:cs="Arial"/>
        </w:rPr>
        <w:t xml:space="preserve">Provide new </w:t>
      </w:r>
      <w:r w:rsidR="00C8279C">
        <w:rPr>
          <w:rFonts w:cs="Arial"/>
        </w:rPr>
        <w:t>funding to the AFDO Na</w:t>
      </w:r>
      <w:r>
        <w:rPr>
          <w:rFonts w:cs="Arial"/>
        </w:rPr>
        <w:t>tional member organisations (x9</w:t>
      </w:r>
      <w:r w:rsidR="00C8279C">
        <w:rPr>
          <w:rFonts w:cs="Arial"/>
        </w:rPr>
        <w:t xml:space="preserve">) that are all currently recognised as DRO’s by the Federal Government (but only receive $27K </w:t>
      </w:r>
      <w:r>
        <w:rPr>
          <w:rFonts w:cs="Arial"/>
        </w:rPr>
        <w:t xml:space="preserve">each per annum, </w:t>
      </w:r>
      <w:r w:rsidR="00C8279C">
        <w:rPr>
          <w:rFonts w:cs="Arial"/>
        </w:rPr>
        <w:t xml:space="preserve">from AFDO led Consortium), increased to $220,000 </w:t>
      </w:r>
      <w:r w:rsidR="00C8279C" w:rsidRPr="00FE2355">
        <w:rPr>
          <w:rFonts w:cs="Arial"/>
        </w:rPr>
        <w:t>per organisation</w:t>
      </w:r>
      <w:r w:rsidR="00C8279C">
        <w:rPr>
          <w:rFonts w:cs="Arial"/>
        </w:rPr>
        <w:t xml:space="preserve"> per annum</w:t>
      </w:r>
      <w:r w:rsidR="00C8279C" w:rsidRPr="00FE2355">
        <w:rPr>
          <w:rFonts w:cs="Arial"/>
        </w:rPr>
        <w:t xml:space="preserve"> = $</w:t>
      </w:r>
      <w:r>
        <w:rPr>
          <w:rFonts w:cs="Arial"/>
        </w:rPr>
        <w:t>1.98</w:t>
      </w:r>
      <w:r w:rsidR="00C8279C" w:rsidRPr="00FE2355">
        <w:rPr>
          <w:rFonts w:cs="Arial"/>
        </w:rPr>
        <w:t xml:space="preserve"> million per annum</w:t>
      </w:r>
      <w:r w:rsidR="00C8279C">
        <w:rPr>
          <w:rFonts w:cs="Arial"/>
        </w:rPr>
        <w:t xml:space="preserve"> additional funding required.</w:t>
      </w:r>
    </w:p>
    <w:p w14:paraId="0BC1E0B6" w14:textId="77777777" w:rsidR="00C8279C" w:rsidRPr="00D04F72" w:rsidRDefault="00C8279C" w:rsidP="00C8279C">
      <w:pPr>
        <w:pStyle w:val="ListParagraph"/>
        <w:rPr>
          <w:rFonts w:cs="Arial"/>
        </w:rPr>
      </w:pPr>
    </w:p>
    <w:p w14:paraId="27D66775" w14:textId="77777777" w:rsidR="00C8279C" w:rsidRDefault="00C8279C" w:rsidP="00C8279C">
      <w:pPr>
        <w:pStyle w:val="ListParagraph"/>
        <w:numPr>
          <w:ilvl w:val="1"/>
          <w:numId w:val="30"/>
        </w:numPr>
        <w:spacing w:after="0"/>
        <w:ind w:left="1080"/>
        <w:rPr>
          <w:rFonts w:cs="Arial"/>
        </w:rPr>
      </w:pPr>
      <w:r>
        <w:rPr>
          <w:rFonts w:cs="Arial"/>
        </w:rPr>
        <w:t xml:space="preserve">Revise the amount of funds and the term of the current Disability Representative Organisation’s Funding Agreement to make this for a further 4 year term. </w:t>
      </w:r>
    </w:p>
    <w:p w14:paraId="674BB5F7" w14:textId="77777777" w:rsidR="00C8279C" w:rsidRPr="00A85B09" w:rsidRDefault="00C8279C" w:rsidP="00C8279C">
      <w:pPr>
        <w:pStyle w:val="ListParagraph"/>
        <w:rPr>
          <w:rFonts w:cs="Arial"/>
        </w:rPr>
      </w:pPr>
    </w:p>
    <w:p w14:paraId="5E90A2FD" w14:textId="77777777" w:rsidR="00C8279C" w:rsidRDefault="00C8279C" w:rsidP="00C8279C">
      <w:pPr>
        <w:pStyle w:val="ListParagraph"/>
        <w:numPr>
          <w:ilvl w:val="1"/>
          <w:numId w:val="30"/>
        </w:numPr>
        <w:spacing w:after="0"/>
        <w:ind w:left="1080"/>
        <w:rPr>
          <w:rFonts w:cs="Arial"/>
        </w:rPr>
      </w:pPr>
      <w:r>
        <w:rPr>
          <w:rFonts w:cs="Arial"/>
        </w:rPr>
        <w:t>Allow for an indexation review and adjustment on funded amounts every two years to ensure funding reflects increases in CPI or other costs to maintain organisations sustainability.</w:t>
      </w:r>
    </w:p>
    <w:p w14:paraId="6DC9B114" w14:textId="77777777" w:rsidR="00C8279C" w:rsidRDefault="00C8279C" w:rsidP="00C8279C">
      <w:pPr>
        <w:pStyle w:val="ListParagraph"/>
        <w:spacing w:after="0"/>
        <w:ind w:left="1080"/>
        <w:rPr>
          <w:rFonts w:cs="Arial"/>
        </w:rPr>
      </w:pPr>
    </w:p>
    <w:tbl>
      <w:tblPr>
        <w:tblStyle w:val="TableGrid"/>
        <w:tblW w:w="0" w:type="auto"/>
        <w:tblInd w:w="534" w:type="dxa"/>
        <w:tblLook w:val="04A0" w:firstRow="1" w:lastRow="0" w:firstColumn="1" w:lastColumn="0" w:noHBand="0" w:noVBand="1"/>
      </w:tblPr>
      <w:tblGrid>
        <w:gridCol w:w="1850"/>
        <w:gridCol w:w="4489"/>
        <w:gridCol w:w="2143"/>
      </w:tblGrid>
      <w:tr w:rsidR="00C8279C" w:rsidRPr="000F18DE" w14:paraId="26824599" w14:textId="77777777" w:rsidTr="00C53787">
        <w:trPr>
          <w:trHeight w:val="676"/>
        </w:trPr>
        <w:tc>
          <w:tcPr>
            <w:tcW w:w="1850" w:type="dxa"/>
            <w:shd w:val="clear" w:color="auto" w:fill="2F5496" w:themeFill="accent5" w:themeFillShade="BF"/>
            <w:vAlign w:val="center"/>
          </w:tcPr>
          <w:p w14:paraId="6D9B3F0E" w14:textId="77777777" w:rsidR="00C8279C" w:rsidRPr="000F18DE" w:rsidRDefault="00C8279C" w:rsidP="00C53787">
            <w:pPr>
              <w:spacing w:after="0"/>
              <w:jc w:val="center"/>
              <w:rPr>
                <w:rFonts w:cs="Arial"/>
                <w:b/>
                <w:color w:val="FFFFFF" w:themeColor="background1"/>
              </w:rPr>
            </w:pPr>
            <w:r w:rsidRPr="000F18DE">
              <w:rPr>
                <w:rFonts w:cs="Arial"/>
                <w:b/>
                <w:color w:val="FFFFFF" w:themeColor="background1"/>
              </w:rPr>
              <w:t>Year</w:t>
            </w:r>
          </w:p>
        </w:tc>
        <w:tc>
          <w:tcPr>
            <w:tcW w:w="4489" w:type="dxa"/>
            <w:shd w:val="clear" w:color="auto" w:fill="2F5496" w:themeFill="accent5" w:themeFillShade="BF"/>
            <w:vAlign w:val="center"/>
          </w:tcPr>
          <w:p w14:paraId="77CEE069" w14:textId="77777777" w:rsidR="00C8279C" w:rsidRPr="000F18DE" w:rsidRDefault="00C8279C" w:rsidP="00C53787">
            <w:pPr>
              <w:spacing w:after="0"/>
              <w:jc w:val="center"/>
              <w:rPr>
                <w:rFonts w:cs="Arial"/>
                <w:b/>
                <w:color w:val="FFFFFF" w:themeColor="background1"/>
              </w:rPr>
            </w:pPr>
            <w:r w:rsidRPr="000F18DE">
              <w:rPr>
                <w:rFonts w:cs="Arial"/>
                <w:b/>
                <w:color w:val="FFFFFF" w:themeColor="background1"/>
              </w:rPr>
              <w:t>Activity</w:t>
            </w:r>
          </w:p>
        </w:tc>
        <w:tc>
          <w:tcPr>
            <w:tcW w:w="2143" w:type="dxa"/>
            <w:shd w:val="clear" w:color="auto" w:fill="2F5496" w:themeFill="accent5" w:themeFillShade="BF"/>
            <w:vAlign w:val="center"/>
          </w:tcPr>
          <w:p w14:paraId="568424BD" w14:textId="77777777" w:rsidR="00C8279C" w:rsidRPr="000F18DE" w:rsidRDefault="00C8279C" w:rsidP="00C53787">
            <w:pPr>
              <w:spacing w:after="0"/>
              <w:jc w:val="center"/>
              <w:rPr>
                <w:rFonts w:cs="Arial"/>
                <w:b/>
                <w:color w:val="FFFFFF" w:themeColor="background1"/>
                <w:highlight w:val="yellow"/>
              </w:rPr>
            </w:pPr>
            <w:r w:rsidRPr="000F18DE">
              <w:rPr>
                <w:rFonts w:cs="Arial"/>
                <w:b/>
                <w:color w:val="FFFFFF" w:themeColor="background1"/>
              </w:rPr>
              <w:t>Amount</w:t>
            </w:r>
          </w:p>
        </w:tc>
      </w:tr>
      <w:tr w:rsidR="00C8279C" w:rsidRPr="00757760" w14:paraId="2BBFDB09" w14:textId="77777777" w:rsidTr="00C53787">
        <w:trPr>
          <w:trHeight w:val="764"/>
        </w:trPr>
        <w:tc>
          <w:tcPr>
            <w:tcW w:w="1850" w:type="dxa"/>
            <w:shd w:val="clear" w:color="auto" w:fill="DEEAF6" w:themeFill="accent1" w:themeFillTint="33"/>
            <w:vAlign w:val="center"/>
          </w:tcPr>
          <w:p w14:paraId="6EB4B760" w14:textId="1BFDCE31" w:rsidR="00C8279C" w:rsidRPr="004439C2" w:rsidRDefault="00C8709B" w:rsidP="00C53787">
            <w:pPr>
              <w:spacing w:after="0"/>
              <w:jc w:val="center"/>
              <w:rPr>
                <w:rFonts w:cs="Arial"/>
                <w:b/>
              </w:rPr>
            </w:pPr>
            <w:r>
              <w:rPr>
                <w:rFonts w:cs="Arial"/>
                <w:b/>
              </w:rPr>
              <w:t>2020 – 2021</w:t>
            </w:r>
          </w:p>
        </w:tc>
        <w:tc>
          <w:tcPr>
            <w:tcW w:w="4489" w:type="dxa"/>
            <w:shd w:val="clear" w:color="auto" w:fill="DEEAF6" w:themeFill="accent1" w:themeFillTint="33"/>
            <w:vAlign w:val="center"/>
          </w:tcPr>
          <w:p w14:paraId="25EBD1F1" w14:textId="77777777" w:rsidR="00C8279C" w:rsidRDefault="00C8279C" w:rsidP="00C53787">
            <w:pPr>
              <w:spacing w:after="0"/>
              <w:jc w:val="center"/>
              <w:rPr>
                <w:rFonts w:cs="Arial"/>
              </w:rPr>
            </w:pPr>
            <w:r w:rsidRPr="00757760">
              <w:rPr>
                <w:rFonts w:cs="Arial"/>
              </w:rPr>
              <w:t xml:space="preserve">DRO </w:t>
            </w:r>
            <w:r>
              <w:rPr>
                <w:rFonts w:cs="Arial"/>
              </w:rPr>
              <w:t xml:space="preserve">Additional </w:t>
            </w:r>
            <w:r w:rsidRPr="00757760">
              <w:rPr>
                <w:rFonts w:cs="Arial"/>
              </w:rPr>
              <w:t>Funding</w:t>
            </w:r>
          </w:p>
          <w:p w14:paraId="62E1CBF6" w14:textId="14CEA4CB" w:rsidR="00C8279C" w:rsidRPr="00757760" w:rsidRDefault="00C8709B" w:rsidP="00C53787">
            <w:pPr>
              <w:spacing w:after="0"/>
              <w:jc w:val="center"/>
              <w:rPr>
                <w:rFonts w:cs="Arial"/>
              </w:rPr>
            </w:pPr>
            <w:r>
              <w:rPr>
                <w:rFonts w:cs="Arial"/>
              </w:rPr>
              <w:t>(9</w:t>
            </w:r>
            <w:r w:rsidR="00C8279C" w:rsidRPr="00757760">
              <w:rPr>
                <w:rFonts w:cs="Arial"/>
              </w:rPr>
              <w:t xml:space="preserve"> </w:t>
            </w:r>
            <w:r w:rsidR="00C8279C">
              <w:rPr>
                <w:rFonts w:cs="Arial"/>
              </w:rPr>
              <w:t xml:space="preserve">DRO recognised AFDO National </w:t>
            </w:r>
            <w:r w:rsidR="00C8279C" w:rsidRPr="00757760">
              <w:rPr>
                <w:rFonts w:cs="Arial"/>
              </w:rPr>
              <w:t>Organisations)</w:t>
            </w:r>
          </w:p>
        </w:tc>
        <w:tc>
          <w:tcPr>
            <w:tcW w:w="2143" w:type="dxa"/>
            <w:shd w:val="clear" w:color="auto" w:fill="DEEAF6" w:themeFill="accent1" w:themeFillTint="33"/>
            <w:vAlign w:val="center"/>
          </w:tcPr>
          <w:p w14:paraId="0B5A8C2A" w14:textId="77777777" w:rsidR="00C8279C" w:rsidRPr="00757760" w:rsidRDefault="00C8279C" w:rsidP="00C53787">
            <w:pPr>
              <w:spacing w:after="0"/>
              <w:jc w:val="center"/>
              <w:rPr>
                <w:rFonts w:cs="Arial"/>
              </w:rPr>
            </w:pPr>
            <w:r w:rsidRPr="00757760">
              <w:rPr>
                <w:rFonts w:cs="Arial"/>
              </w:rPr>
              <w:t>$</w:t>
            </w:r>
            <w:r>
              <w:rPr>
                <w:rFonts w:cs="Arial"/>
              </w:rPr>
              <w:t>1.98</w:t>
            </w:r>
            <w:r w:rsidRPr="00757760">
              <w:rPr>
                <w:rFonts w:cs="Arial"/>
              </w:rPr>
              <w:t xml:space="preserve"> million</w:t>
            </w:r>
          </w:p>
        </w:tc>
      </w:tr>
      <w:tr w:rsidR="00C8279C" w:rsidRPr="00757760" w14:paraId="78FDC39A" w14:textId="77777777" w:rsidTr="00C53787">
        <w:trPr>
          <w:trHeight w:val="549"/>
        </w:trPr>
        <w:tc>
          <w:tcPr>
            <w:tcW w:w="1850" w:type="dxa"/>
            <w:shd w:val="clear" w:color="auto" w:fill="FFFFFF" w:themeFill="background1"/>
            <w:vAlign w:val="center"/>
          </w:tcPr>
          <w:p w14:paraId="7A42AF73" w14:textId="5D45DC0E" w:rsidR="00C8279C" w:rsidRPr="000E7230" w:rsidRDefault="00C8279C" w:rsidP="00C53787">
            <w:pPr>
              <w:spacing w:after="0"/>
              <w:jc w:val="center"/>
              <w:rPr>
                <w:rFonts w:cs="Arial"/>
                <w:b/>
              </w:rPr>
            </w:pPr>
            <w:r w:rsidRPr="000E7230">
              <w:rPr>
                <w:rFonts w:cs="Arial"/>
                <w:b/>
              </w:rPr>
              <w:t>20</w:t>
            </w:r>
            <w:r w:rsidR="00C8709B">
              <w:rPr>
                <w:rFonts w:cs="Arial"/>
                <w:b/>
              </w:rPr>
              <w:t>21</w:t>
            </w:r>
            <w:r w:rsidRPr="000E7230">
              <w:rPr>
                <w:rFonts w:cs="Arial"/>
                <w:b/>
              </w:rPr>
              <w:t xml:space="preserve"> – 202</w:t>
            </w:r>
            <w:r w:rsidR="00C8709B">
              <w:rPr>
                <w:rFonts w:cs="Arial"/>
                <w:b/>
              </w:rPr>
              <w:t>4</w:t>
            </w:r>
          </w:p>
        </w:tc>
        <w:tc>
          <w:tcPr>
            <w:tcW w:w="4489" w:type="dxa"/>
            <w:shd w:val="clear" w:color="auto" w:fill="FFFFFF" w:themeFill="background1"/>
            <w:vAlign w:val="center"/>
          </w:tcPr>
          <w:p w14:paraId="6B51BE0B" w14:textId="5694AF1A" w:rsidR="00C8279C" w:rsidRPr="00757760" w:rsidRDefault="00C8279C" w:rsidP="00C53787">
            <w:pPr>
              <w:spacing w:after="0"/>
              <w:jc w:val="center"/>
              <w:rPr>
                <w:rFonts w:cs="Arial"/>
              </w:rPr>
            </w:pPr>
            <w:r>
              <w:rPr>
                <w:rFonts w:cs="Arial"/>
              </w:rPr>
              <w:t xml:space="preserve">DRO Additional Funding </w:t>
            </w:r>
            <w:r w:rsidR="00C8709B">
              <w:rPr>
                <w:rFonts w:cs="Arial"/>
              </w:rPr>
              <w:t xml:space="preserve">over 3 years </w:t>
            </w:r>
          </w:p>
        </w:tc>
        <w:tc>
          <w:tcPr>
            <w:tcW w:w="2143" w:type="dxa"/>
            <w:shd w:val="clear" w:color="auto" w:fill="FFFFFF" w:themeFill="background1"/>
            <w:vAlign w:val="center"/>
          </w:tcPr>
          <w:p w14:paraId="39F4A229" w14:textId="77777777" w:rsidR="00C8279C" w:rsidRPr="00757760" w:rsidRDefault="00C8279C" w:rsidP="00C53787">
            <w:pPr>
              <w:spacing w:after="0"/>
              <w:jc w:val="center"/>
              <w:rPr>
                <w:rFonts w:cs="Arial"/>
              </w:rPr>
            </w:pPr>
            <w:r w:rsidRPr="00757760">
              <w:rPr>
                <w:rFonts w:cs="Arial"/>
              </w:rPr>
              <w:t>$</w:t>
            </w:r>
            <w:r>
              <w:rPr>
                <w:rFonts w:cs="Arial"/>
              </w:rPr>
              <w:t>5.94</w:t>
            </w:r>
            <w:r w:rsidRPr="00757760">
              <w:rPr>
                <w:rFonts w:cs="Arial"/>
              </w:rPr>
              <w:t xml:space="preserve"> million</w:t>
            </w:r>
          </w:p>
        </w:tc>
      </w:tr>
      <w:tr w:rsidR="00C8279C" w:rsidRPr="00757760" w14:paraId="16A9F770" w14:textId="77777777" w:rsidTr="00C53787">
        <w:trPr>
          <w:trHeight w:val="571"/>
        </w:trPr>
        <w:tc>
          <w:tcPr>
            <w:tcW w:w="1850" w:type="dxa"/>
            <w:vAlign w:val="center"/>
          </w:tcPr>
          <w:p w14:paraId="3A45DA70" w14:textId="77777777" w:rsidR="00C8279C" w:rsidRPr="00757760" w:rsidRDefault="00C8279C" w:rsidP="00C53787">
            <w:pPr>
              <w:spacing w:after="0"/>
              <w:jc w:val="center"/>
              <w:rPr>
                <w:rFonts w:cs="Arial"/>
                <w:b/>
              </w:rPr>
            </w:pPr>
            <w:r>
              <w:rPr>
                <w:rFonts w:cs="Arial"/>
                <w:b/>
              </w:rPr>
              <w:t>2022 – 2023</w:t>
            </w:r>
          </w:p>
        </w:tc>
        <w:tc>
          <w:tcPr>
            <w:tcW w:w="4489" w:type="dxa"/>
            <w:vAlign w:val="center"/>
          </w:tcPr>
          <w:p w14:paraId="24D9DF51" w14:textId="77777777" w:rsidR="00C8279C" w:rsidRPr="00A85B09" w:rsidRDefault="00C8279C" w:rsidP="00C53787">
            <w:pPr>
              <w:spacing w:after="0"/>
              <w:jc w:val="center"/>
              <w:rPr>
                <w:rFonts w:cs="Arial"/>
              </w:rPr>
            </w:pPr>
            <w:r w:rsidRPr="00A85B09">
              <w:rPr>
                <w:rFonts w:cs="Arial"/>
              </w:rPr>
              <w:t>Indexation review and adjustment</w:t>
            </w:r>
            <w:r>
              <w:rPr>
                <w:rFonts w:cs="Arial"/>
              </w:rPr>
              <w:t xml:space="preserve"> on total DRO funding $4.08 million</w:t>
            </w:r>
          </w:p>
          <w:p w14:paraId="5558FE17" w14:textId="77777777" w:rsidR="00C8279C" w:rsidRPr="00757760" w:rsidRDefault="00C8279C" w:rsidP="00C53787">
            <w:pPr>
              <w:spacing w:after="0"/>
              <w:jc w:val="center"/>
              <w:rPr>
                <w:rFonts w:cs="Arial"/>
                <w:b/>
              </w:rPr>
            </w:pPr>
            <w:r>
              <w:rPr>
                <w:rFonts w:cs="Arial"/>
              </w:rPr>
              <w:t xml:space="preserve">projection of </w:t>
            </w:r>
            <w:r w:rsidRPr="00A85B09">
              <w:rPr>
                <w:rFonts w:cs="Arial"/>
              </w:rPr>
              <w:t>3%</w:t>
            </w:r>
          </w:p>
        </w:tc>
        <w:tc>
          <w:tcPr>
            <w:tcW w:w="2143" w:type="dxa"/>
            <w:vAlign w:val="center"/>
          </w:tcPr>
          <w:p w14:paraId="5218A620" w14:textId="77777777" w:rsidR="00C8279C" w:rsidRPr="00A85B09" w:rsidRDefault="00C8279C" w:rsidP="00C53787">
            <w:pPr>
              <w:spacing w:after="0"/>
              <w:jc w:val="center"/>
              <w:rPr>
                <w:rFonts w:cs="Arial"/>
              </w:rPr>
            </w:pPr>
            <w:r w:rsidRPr="00A85B09">
              <w:rPr>
                <w:rFonts w:cs="Arial"/>
              </w:rPr>
              <w:t>$</w:t>
            </w:r>
            <w:r>
              <w:rPr>
                <w:rFonts w:cs="Arial"/>
              </w:rPr>
              <w:t>144</w:t>
            </w:r>
            <w:r w:rsidRPr="00A85B09">
              <w:rPr>
                <w:rFonts w:cs="Arial"/>
              </w:rPr>
              <w:t>K</w:t>
            </w:r>
          </w:p>
        </w:tc>
      </w:tr>
      <w:tr w:rsidR="00C8279C" w:rsidRPr="00757760" w14:paraId="568B9837" w14:textId="77777777" w:rsidTr="00C53787">
        <w:trPr>
          <w:trHeight w:val="571"/>
        </w:trPr>
        <w:tc>
          <w:tcPr>
            <w:tcW w:w="1850" w:type="dxa"/>
            <w:vAlign w:val="center"/>
          </w:tcPr>
          <w:p w14:paraId="1186470D" w14:textId="77777777" w:rsidR="00C8279C" w:rsidRPr="00757760" w:rsidRDefault="00C8279C" w:rsidP="00C53787">
            <w:pPr>
              <w:spacing w:after="0"/>
              <w:jc w:val="center"/>
              <w:rPr>
                <w:rFonts w:cs="Arial"/>
                <w:b/>
              </w:rPr>
            </w:pPr>
          </w:p>
        </w:tc>
        <w:tc>
          <w:tcPr>
            <w:tcW w:w="4489" w:type="dxa"/>
            <w:vAlign w:val="center"/>
          </w:tcPr>
          <w:p w14:paraId="67607C83" w14:textId="77777777" w:rsidR="00C8279C" w:rsidRDefault="00C8279C" w:rsidP="00C53787">
            <w:pPr>
              <w:spacing w:after="0"/>
              <w:jc w:val="center"/>
              <w:rPr>
                <w:rFonts w:cs="Arial"/>
                <w:b/>
              </w:rPr>
            </w:pPr>
            <w:r w:rsidRPr="00757760">
              <w:rPr>
                <w:rFonts w:cs="Arial"/>
                <w:b/>
              </w:rPr>
              <w:t xml:space="preserve">Total </w:t>
            </w:r>
            <w:r>
              <w:rPr>
                <w:rFonts w:cs="Arial"/>
                <w:b/>
              </w:rPr>
              <w:t xml:space="preserve">additional DRO Funding </w:t>
            </w:r>
          </w:p>
          <w:p w14:paraId="7B958FAB" w14:textId="77777777" w:rsidR="00C8279C" w:rsidRPr="00757760" w:rsidRDefault="00C8279C" w:rsidP="00C53787">
            <w:pPr>
              <w:spacing w:after="0"/>
              <w:jc w:val="center"/>
              <w:rPr>
                <w:rFonts w:cs="Arial"/>
                <w:b/>
              </w:rPr>
            </w:pPr>
            <w:r w:rsidRPr="00C8709B">
              <w:rPr>
                <w:rFonts w:cs="Arial"/>
                <w:b/>
                <w:highlight w:val="yellow"/>
              </w:rPr>
              <w:t>over 4 financial years</w:t>
            </w:r>
          </w:p>
        </w:tc>
        <w:tc>
          <w:tcPr>
            <w:tcW w:w="2143" w:type="dxa"/>
            <w:vAlign w:val="center"/>
          </w:tcPr>
          <w:p w14:paraId="33B58A68" w14:textId="77777777" w:rsidR="00C8279C" w:rsidRPr="00757760" w:rsidRDefault="00C8279C" w:rsidP="00C53787">
            <w:pPr>
              <w:spacing w:after="0"/>
              <w:jc w:val="center"/>
              <w:rPr>
                <w:rFonts w:cs="Arial"/>
                <w:b/>
              </w:rPr>
            </w:pPr>
            <w:r w:rsidRPr="00757760">
              <w:rPr>
                <w:rFonts w:cs="Arial"/>
                <w:b/>
              </w:rPr>
              <w:t>$</w:t>
            </w:r>
            <w:r>
              <w:rPr>
                <w:rFonts w:cs="Arial"/>
                <w:b/>
              </w:rPr>
              <w:t xml:space="preserve">8.064 </w:t>
            </w:r>
            <w:r w:rsidRPr="00757760">
              <w:rPr>
                <w:rFonts w:cs="Arial"/>
                <w:b/>
              </w:rPr>
              <w:t>million</w:t>
            </w:r>
          </w:p>
        </w:tc>
      </w:tr>
    </w:tbl>
    <w:p w14:paraId="445B470E" w14:textId="77777777" w:rsidR="00C8279C" w:rsidRPr="00757760" w:rsidRDefault="00C8279C" w:rsidP="00C8279C">
      <w:pPr>
        <w:spacing w:after="0"/>
        <w:rPr>
          <w:rFonts w:cs="Arial"/>
          <w:b/>
        </w:rPr>
      </w:pPr>
    </w:p>
    <w:p w14:paraId="7CC1AC17" w14:textId="77777777" w:rsidR="00C8279C" w:rsidRDefault="00C8279C" w:rsidP="00C8279C">
      <w:pPr>
        <w:spacing w:after="160" w:line="259" w:lineRule="auto"/>
        <w:rPr>
          <w:rFonts w:eastAsia="Times New Roman"/>
          <w:b/>
          <w:bCs/>
          <w:color w:val="00767F"/>
          <w:kern w:val="28"/>
          <w:sz w:val="44"/>
          <w:szCs w:val="44"/>
          <w:lang w:val="en-AU"/>
        </w:rPr>
      </w:pPr>
      <w:bookmarkStart w:id="11" w:name="_Toc505098312"/>
      <w:bookmarkStart w:id="12" w:name="_Toc505126859"/>
      <w:bookmarkStart w:id="13" w:name="_Toc505181061"/>
      <w:r>
        <w:br w:type="page"/>
      </w:r>
    </w:p>
    <w:p w14:paraId="2CF3DD8D" w14:textId="7585A98C" w:rsidR="00C8279C" w:rsidRPr="00A85B09" w:rsidRDefault="00C8279C" w:rsidP="00C8709B">
      <w:pPr>
        <w:pStyle w:val="Heading2"/>
        <w:numPr>
          <w:ilvl w:val="0"/>
          <w:numId w:val="40"/>
        </w:numPr>
        <w:tabs>
          <w:tab w:val="left" w:pos="7524"/>
        </w:tabs>
        <w:spacing w:after="0"/>
        <w:ind w:left="0"/>
        <w:rPr>
          <w:sz w:val="28"/>
        </w:rPr>
      </w:pPr>
      <w:bookmarkStart w:id="14" w:name="_Toc31571252"/>
      <w:r w:rsidRPr="00A85B09">
        <w:rPr>
          <w:sz w:val="28"/>
        </w:rPr>
        <w:t xml:space="preserve">Funding </w:t>
      </w:r>
      <w:r w:rsidR="00C8709B">
        <w:rPr>
          <w:sz w:val="28"/>
        </w:rPr>
        <w:t xml:space="preserve">individual </w:t>
      </w:r>
      <w:r w:rsidRPr="00A85B09">
        <w:rPr>
          <w:sz w:val="28"/>
        </w:rPr>
        <w:t>disability advocacy</w:t>
      </w:r>
      <w:bookmarkEnd w:id="11"/>
      <w:bookmarkEnd w:id="12"/>
      <w:bookmarkEnd w:id="13"/>
      <w:r w:rsidR="00C8709B">
        <w:rPr>
          <w:sz w:val="28"/>
        </w:rPr>
        <w:t xml:space="preserve"> organisations</w:t>
      </w:r>
      <w:bookmarkEnd w:id="14"/>
      <w:r w:rsidRPr="00A85B09">
        <w:rPr>
          <w:sz w:val="28"/>
        </w:rPr>
        <w:t xml:space="preserve"> </w:t>
      </w:r>
      <w:r w:rsidRPr="00A85B09">
        <w:rPr>
          <w:sz w:val="28"/>
        </w:rPr>
        <w:tab/>
      </w:r>
    </w:p>
    <w:p w14:paraId="228732FB" w14:textId="77777777" w:rsidR="00C8279C" w:rsidRDefault="00C8279C" w:rsidP="00C8279C">
      <w:pPr>
        <w:spacing w:after="0"/>
        <w:rPr>
          <w:rFonts w:cs="Arial"/>
          <w:lang w:val="en-AU"/>
        </w:rPr>
      </w:pPr>
    </w:p>
    <w:p w14:paraId="37BB88F9" w14:textId="7018AD6A" w:rsidR="00C8279C" w:rsidRDefault="00C8709B" w:rsidP="00C8279C">
      <w:pPr>
        <w:spacing w:after="0"/>
        <w:rPr>
          <w:rFonts w:cs="Arial"/>
          <w:lang w:val="en-AU"/>
        </w:rPr>
      </w:pPr>
      <w:r>
        <w:rPr>
          <w:rFonts w:cs="Arial"/>
          <w:lang w:val="en-AU"/>
        </w:rPr>
        <w:t>As with previously mentioned, systemic advocacy organisations (DRO’s), individual disability s</w:t>
      </w:r>
      <w:r w:rsidR="00C8279C" w:rsidRPr="006D6258">
        <w:rPr>
          <w:rFonts w:cs="Arial"/>
          <w:lang w:val="en-AU"/>
        </w:rPr>
        <w:t xml:space="preserve">dvocacy </w:t>
      </w:r>
      <w:r>
        <w:rPr>
          <w:rFonts w:cs="Arial"/>
          <w:lang w:val="en-AU"/>
        </w:rPr>
        <w:t>organisations are equally a</w:t>
      </w:r>
      <w:r w:rsidR="00C8279C" w:rsidRPr="006D6258">
        <w:rPr>
          <w:rFonts w:cs="Arial"/>
          <w:lang w:val="en-AU"/>
        </w:rPr>
        <w:t xml:space="preserve">s vital to protecting and advancing the rights and interests of Australians with disabilities and contributing to the ongoing quality assurance and improvement of service systems. </w:t>
      </w:r>
    </w:p>
    <w:p w14:paraId="30827E5E" w14:textId="77777777" w:rsidR="00C8279C" w:rsidRPr="006D6258" w:rsidRDefault="00C8279C" w:rsidP="00C8279C">
      <w:pPr>
        <w:spacing w:after="0"/>
        <w:rPr>
          <w:rFonts w:cs="Arial"/>
          <w:lang w:val="en-AU"/>
        </w:rPr>
      </w:pPr>
    </w:p>
    <w:p w14:paraId="1936A1AF" w14:textId="77777777" w:rsidR="00C8279C" w:rsidRDefault="00C8279C" w:rsidP="00C8279C">
      <w:pPr>
        <w:spacing w:after="0"/>
        <w:rPr>
          <w:rFonts w:cs="Arial"/>
          <w:lang w:val="en-AU"/>
        </w:rPr>
      </w:pPr>
      <w:r w:rsidRPr="006D6258">
        <w:rPr>
          <w:rFonts w:cs="Arial"/>
          <w:lang w:val="en-AU"/>
        </w:rPr>
        <w:t>The Productivity Commission recognised the critical role of indepen</w:t>
      </w:r>
      <w:r>
        <w:rPr>
          <w:rFonts w:cs="Arial"/>
          <w:lang w:val="en-AU"/>
        </w:rPr>
        <w:t xml:space="preserve">dent advocacy to the NDIS. </w:t>
      </w:r>
      <w:r w:rsidRPr="006D6258">
        <w:rPr>
          <w:rFonts w:cs="Arial"/>
          <w:lang w:val="en-AU"/>
        </w:rPr>
        <w:t xml:space="preserve">Advocates will play a crucial role in </w:t>
      </w:r>
      <w:r>
        <w:rPr>
          <w:rFonts w:cs="Arial"/>
          <w:lang w:val="en-AU"/>
        </w:rPr>
        <w:t xml:space="preserve">not only </w:t>
      </w:r>
      <w:r w:rsidRPr="006D6258">
        <w:rPr>
          <w:rFonts w:cs="Arial"/>
          <w:lang w:val="en-AU"/>
        </w:rPr>
        <w:t>protecting the rights of individuals</w:t>
      </w:r>
      <w:r>
        <w:rPr>
          <w:rFonts w:cs="Arial"/>
          <w:lang w:val="en-AU"/>
        </w:rPr>
        <w:t xml:space="preserve"> but in </w:t>
      </w:r>
      <w:r w:rsidRPr="006D6258">
        <w:rPr>
          <w:rFonts w:cs="Arial"/>
          <w:lang w:val="en-AU"/>
        </w:rPr>
        <w:t xml:space="preserve">contributing to systemic improvement of the NDIS. </w:t>
      </w:r>
    </w:p>
    <w:p w14:paraId="5FE57FA1" w14:textId="77777777" w:rsidR="00C8279C" w:rsidRDefault="00C8279C" w:rsidP="00C8279C">
      <w:pPr>
        <w:spacing w:after="0"/>
        <w:rPr>
          <w:rFonts w:cs="Arial"/>
          <w:lang w:val="en-AU"/>
        </w:rPr>
      </w:pPr>
    </w:p>
    <w:p w14:paraId="025E2127" w14:textId="77777777" w:rsidR="00C8279C" w:rsidRDefault="00C8279C" w:rsidP="00C8279C">
      <w:pPr>
        <w:spacing w:after="0"/>
        <w:rPr>
          <w:rFonts w:cs="Arial"/>
          <w:lang w:val="en-AU"/>
        </w:rPr>
      </w:pPr>
      <w:r w:rsidRPr="006D6258">
        <w:rPr>
          <w:rFonts w:cs="Arial"/>
          <w:lang w:val="en-AU"/>
        </w:rPr>
        <w:t xml:space="preserve">In addition, independent advocacy remains instrumental in addressing the inequities and injustices experienced by people with disabilities in other service systems and domains, for instance education, health, justice and housing, and thereby optimising the intended ripple effects of the NDIS in the lives of people with disabilities. </w:t>
      </w:r>
    </w:p>
    <w:p w14:paraId="702A8A97" w14:textId="77777777" w:rsidR="00C8279C" w:rsidRPr="006D6258" w:rsidRDefault="00C8279C" w:rsidP="00C8279C">
      <w:pPr>
        <w:spacing w:after="0"/>
        <w:rPr>
          <w:rFonts w:cs="Arial"/>
          <w:lang w:val="en-AU"/>
        </w:rPr>
      </w:pPr>
    </w:p>
    <w:p w14:paraId="261D22E2" w14:textId="12777669" w:rsidR="00C8709B" w:rsidRDefault="00C8709B" w:rsidP="00C8279C">
      <w:pPr>
        <w:spacing w:after="0"/>
        <w:rPr>
          <w:rFonts w:cs="Arial"/>
          <w:lang w:val="en-AU"/>
        </w:rPr>
      </w:pPr>
      <w:r>
        <w:rPr>
          <w:rFonts w:cs="Arial"/>
          <w:lang w:val="en-AU"/>
        </w:rPr>
        <w:t>Disability Advocacy Network Australia (</w:t>
      </w:r>
      <w:r w:rsidR="00C8279C" w:rsidRPr="006D6258">
        <w:rPr>
          <w:rFonts w:cs="Arial"/>
          <w:lang w:val="en-AU"/>
        </w:rPr>
        <w:t>DANA</w:t>
      </w:r>
      <w:r>
        <w:rPr>
          <w:rFonts w:cs="Arial"/>
          <w:lang w:val="en-AU"/>
        </w:rPr>
        <w:t xml:space="preserve">) is a national peak body, a key AFDO member and represents the voice of individual advocacy agencies operated through the National Disability Advocacy Program (NDAP) across Australia. </w:t>
      </w:r>
    </w:p>
    <w:p w14:paraId="353C3405" w14:textId="77777777" w:rsidR="00C8709B" w:rsidRDefault="00C8709B" w:rsidP="00C8279C">
      <w:pPr>
        <w:spacing w:after="0"/>
        <w:rPr>
          <w:rFonts w:cs="Arial"/>
          <w:lang w:val="en-AU"/>
        </w:rPr>
      </w:pPr>
    </w:p>
    <w:p w14:paraId="2B13B041" w14:textId="46D00427" w:rsidR="00C8279C" w:rsidRDefault="00C8709B" w:rsidP="00C8279C">
      <w:pPr>
        <w:spacing w:after="0"/>
        <w:rPr>
          <w:rFonts w:cs="Arial"/>
          <w:lang w:val="en-AU"/>
        </w:rPr>
      </w:pPr>
      <w:r>
        <w:rPr>
          <w:rFonts w:cs="Arial"/>
          <w:lang w:val="en-AU"/>
        </w:rPr>
        <w:t>DANA</w:t>
      </w:r>
      <w:r w:rsidR="00C8279C" w:rsidRPr="006D6258">
        <w:rPr>
          <w:rFonts w:cs="Arial"/>
          <w:lang w:val="en-AU"/>
        </w:rPr>
        <w:t xml:space="preserve"> strongly argues that advocacy should be funded proportionally to disability service delivery expenditure and through a model that values independence and accessibility. To reap the benefits of a strong and healthy advocacy sector, the sector should be represented, supported and strengthened nationally.</w:t>
      </w:r>
    </w:p>
    <w:p w14:paraId="2D5D7FA9" w14:textId="77777777" w:rsidR="00C8279C" w:rsidRPr="006D6258" w:rsidRDefault="00C8279C" w:rsidP="00C8279C">
      <w:pPr>
        <w:spacing w:after="0"/>
        <w:rPr>
          <w:rFonts w:cs="Arial"/>
          <w:lang w:val="en-AU"/>
        </w:rPr>
      </w:pPr>
    </w:p>
    <w:p w14:paraId="76F74C42" w14:textId="2C87B4AE" w:rsidR="00C8279C" w:rsidRDefault="00C8709B" w:rsidP="00C8279C">
      <w:pPr>
        <w:spacing w:after="0"/>
        <w:rPr>
          <w:rFonts w:cs="Arial"/>
          <w:lang w:val="en-AU"/>
        </w:rPr>
      </w:pPr>
      <w:r>
        <w:rPr>
          <w:rFonts w:cs="Arial"/>
          <w:lang w:val="en-AU"/>
        </w:rPr>
        <w:t>T</w:t>
      </w:r>
      <w:r w:rsidR="00C8279C" w:rsidRPr="006D6258">
        <w:rPr>
          <w:rFonts w:cs="Arial"/>
          <w:lang w:val="en-AU"/>
        </w:rPr>
        <w:t xml:space="preserve">he Commonwealth’s contribution to disability advocacy via the NDAP is falling in percentage terms relative to its contribution to service delivery, and in recent years also in real terms due to indexation failing to even meet the costs of maintaining operations at existing levels. </w:t>
      </w:r>
    </w:p>
    <w:p w14:paraId="08358654" w14:textId="77777777" w:rsidR="00C8279C" w:rsidRDefault="00C8279C" w:rsidP="00C8279C">
      <w:pPr>
        <w:spacing w:after="0"/>
        <w:rPr>
          <w:rFonts w:cs="Arial"/>
          <w:lang w:val="en-AU"/>
        </w:rPr>
      </w:pPr>
    </w:p>
    <w:p w14:paraId="086EEBDB" w14:textId="77777777" w:rsidR="00C8279C" w:rsidRDefault="00C8279C" w:rsidP="00C8279C">
      <w:pPr>
        <w:spacing w:after="0"/>
        <w:rPr>
          <w:rFonts w:cs="Arial"/>
          <w:lang w:val="en-AU"/>
        </w:rPr>
      </w:pPr>
      <w:r w:rsidRPr="006D6258">
        <w:rPr>
          <w:rFonts w:cs="Arial"/>
          <w:lang w:val="en-AU"/>
        </w:rPr>
        <w:t>The Productivity Commission has identified that funding for advocacy, information and print disability organisations has previously represented roughly 1.3% of direct service delivery costs across all Commonwealth and State disability services (</w:t>
      </w:r>
      <w:r w:rsidRPr="006D6258">
        <w:rPr>
          <w:rStyle w:val="EndnoteTextChar"/>
          <w:rFonts w:cs="Arial"/>
          <w:lang w:val="en-AU"/>
        </w:rPr>
        <w:t>Productivity Commission (2009) Report on Government Services 2009 Canberra, Table 14A.5 and 14A.6.  During the period examined by the Productivity Commission, the percentage accounted for by advocacy, information and print disability ranged from 1.26% through to 1.35%)</w:t>
      </w:r>
      <w:r w:rsidRPr="006D6258">
        <w:rPr>
          <w:rFonts w:cs="Arial"/>
          <w:lang w:val="en-AU"/>
        </w:rPr>
        <w:t>. As a minimum benchmark, funding must be returned to this level. Beyond that a methodical review of actual need and demand should be undertaken to establish the basis for a new funding model for disability advocacy across the Commonwealth, States and Territories.</w:t>
      </w:r>
    </w:p>
    <w:p w14:paraId="225AF1E6" w14:textId="77777777" w:rsidR="00C8279C" w:rsidRPr="006A706F" w:rsidRDefault="00C8279C" w:rsidP="00C8279C">
      <w:pPr>
        <w:spacing w:after="0"/>
        <w:rPr>
          <w:rFonts w:cs="Arial"/>
          <w:b/>
          <w:lang w:val="en-AU"/>
        </w:rPr>
      </w:pPr>
    </w:p>
    <w:p w14:paraId="67F7881F" w14:textId="30A35EFA" w:rsidR="00C8279C" w:rsidRDefault="00C8279C" w:rsidP="00C8279C">
      <w:pPr>
        <w:spacing w:after="0"/>
        <w:rPr>
          <w:rFonts w:cs="Arial"/>
          <w:lang w:val="en-AU"/>
        </w:rPr>
      </w:pPr>
      <w:r w:rsidRPr="006D6258">
        <w:rPr>
          <w:rFonts w:cs="Arial"/>
          <w:lang w:val="en-AU"/>
        </w:rPr>
        <w:t>The independence of advocacy from service provision is crucial to avoid conflicts of interest.</w:t>
      </w:r>
      <w:r>
        <w:rPr>
          <w:rFonts w:cs="Arial"/>
          <w:lang w:val="en-AU"/>
        </w:rPr>
        <w:t xml:space="preserve"> </w:t>
      </w:r>
      <w:r w:rsidRPr="006D6258">
        <w:rPr>
          <w:rFonts w:cs="Arial"/>
          <w:lang w:val="en-AU"/>
        </w:rPr>
        <w:t>Only truly independent advocates can safeguard and promote the rights and interests of vulnerable people and adequate funding for independent advocacy organisations, such as provided through NDAP and state and territory advocacy programs, is essential to ensuring independent advocacy is accessible for the most vulnerable people with disability.</w:t>
      </w:r>
      <w:r w:rsidR="00C8709B">
        <w:rPr>
          <w:rFonts w:cs="Arial"/>
          <w:lang w:val="en-AU"/>
        </w:rPr>
        <w:t xml:space="preserve"> </w:t>
      </w:r>
    </w:p>
    <w:p w14:paraId="6623BC4F" w14:textId="77777777" w:rsidR="00C8279C" w:rsidRDefault="00C8279C" w:rsidP="00C8279C">
      <w:pPr>
        <w:spacing w:after="0"/>
        <w:rPr>
          <w:rFonts w:cs="Arial"/>
          <w:lang w:val="en-AU"/>
        </w:rPr>
      </w:pPr>
    </w:p>
    <w:p w14:paraId="03FC0708" w14:textId="33A89486" w:rsidR="00C8279C" w:rsidRDefault="00C8279C" w:rsidP="00C8279C">
      <w:pPr>
        <w:spacing w:after="0"/>
        <w:rPr>
          <w:rFonts w:cs="Arial"/>
          <w:lang w:val="en-AU"/>
        </w:rPr>
      </w:pPr>
      <w:r>
        <w:rPr>
          <w:rFonts w:cs="Arial"/>
          <w:lang w:val="en-AU"/>
        </w:rPr>
        <w:t>Coordinating the focus across the disability advocacy sector is the work of the s</w:t>
      </w:r>
      <w:r w:rsidRPr="006D6258">
        <w:rPr>
          <w:rFonts w:cs="Arial"/>
          <w:lang w:val="en-AU"/>
        </w:rPr>
        <w:t xml:space="preserve">ector’s </w:t>
      </w:r>
      <w:r>
        <w:rPr>
          <w:rFonts w:cs="Arial"/>
          <w:lang w:val="en-AU"/>
        </w:rPr>
        <w:t xml:space="preserve">national </w:t>
      </w:r>
      <w:r w:rsidRPr="006D6258">
        <w:rPr>
          <w:rFonts w:cs="Arial"/>
          <w:lang w:val="en-AU"/>
        </w:rPr>
        <w:t xml:space="preserve">peak body, </w:t>
      </w:r>
      <w:r>
        <w:rPr>
          <w:rFonts w:cs="Arial"/>
          <w:lang w:val="en-AU"/>
        </w:rPr>
        <w:t xml:space="preserve">Disability Advocacy Network Australia (DANA). Largely unfunded DANA has been supported </w:t>
      </w:r>
      <w:r w:rsidR="00C8709B">
        <w:rPr>
          <w:rFonts w:cs="Arial"/>
          <w:lang w:val="en-AU"/>
        </w:rPr>
        <w:t xml:space="preserve">since 2014 </w:t>
      </w:r>
      <w:r>
        <w:rPr>
          <w:rFonts w:cs="Arial"/>
          <w:lang w:val="en-AU"/>
        </w:rPr>
        <w:t xml:space="preserve">via AFDO and its membership. As the national advocacy peak DANA should be appropriately funded via NDAP along with </w:t>
      </w:r>
      <w:r w:rsidR="00C8709B">
        <w:rPr>
          <w:rFonts w:cs="Arial"/>
          <w:lang w:val="en-AU"/>
        </w:rPr>
        <w:t xml:space="preserve">all of </w:t>
      </w:r>
      <w:r>
        <w:rPr>
          <w:rFonts w:cs="Arial"/>
          <w:lang w:val="en-AU"/>
        </w:rPr>
        <w:t xml:space="preserve">its advocacy members. </w:t>
      </w:r>
      <w:r w:rsidR="00C8709B">
        <w:rPr>
          <w:rFonts w:cs="Arial"/>
          <w:lang w:val="en-AU"/>
        </w:rPr>
        <w:t>AFDO strongly supports this funding necessity and approach.</w:t>
      </w:r>
    </w:p>
    <w:p w14:paraId="76A679B2" w14:textId="77777777" w:rsidR="00C8279C" w:rsidRDefault="00C8279C" w:rsidP="00C8279C">
      <w:pPr>
        <w:spacing w:after="0"/>
        <w:rPr>
          <w:rFonts w:cs="Arial"/>
          <w:lang w:val="en-AU"/>
        </w:rPr>
      </w:pPr>
    </w:p>
    <w:p w14:paraId="6B979FEA" w14:textId="602E14DA" w:rsidR="00C8279C" w:rsidRDefault="00C8279C" w:rsidP="00C8279C">
      <w:pPr>
        <w:spacing w:after="0"/>
        <w:rPr>
          <w:rFonts w:cs="Arial"/>
          <w:lang w:val="en-AU"/>
        </w:rPr>
      </w:pPr>
      <w:r>
        <w:rPr>
          <w:rFonts w:cs="Arial"/>
          <w:lang w:val="en-AU"/>
        </w:rPr>
        <w:t xml:space="preserve">DANA undertakes; </w:t>
      </w:r>
      <w:r w:rsidRPr="006D6258">
        <w:rPr>
          <w:rFonts w:cs="Arial"/>
          <w:lang w:val="en-AU"/>
        </w:rPr>
        <w:t>facilitat</w:t>
      </w:r>
      <w:r>
        <w:rPr>
          <w:rFonts w:cs="Arial"/>
          <w:lang w:val="en-AU"/>
        </w:rPr>
        <w:t>ing</w:t>
      </w:r>
      <w:r w:rsidRPr="006D6258">
        <w:rPr>
          <w:rFonts w:cs="Arial"/>
          <w:lang w:val="en-AU"/>
        </w:rPr>
        <w:t xml:space="preserve"> </w:t>
      </w:r>
      <w:r>
        <w:rPr>
          <w:rFonts w:cs="Arial"/>
          <w:lang w:val="en-AU"/>
        </w:rPr>
        <w:t xml:space="preserve">sector </w:t>
      </w:r>
      <w:r w:rsidRPr="006D6258">
        <w:rPr>
          <w:rFonts w:cs="Arial"/>
          <w:lang w:val="en-AU"/>
        </w:rPr>
        <w:t>collaboration, coordinat</w:t>
      </w:r>
      <w:r>
        <w:rPr>
          <w:rFonts w:cs="Arial"/>
          <w:lang w:val="en-AU"/>
        </w:rPr>
        <w:t>ing</w:t>
      </w:r>
      <w:r w:rsidRPr="006D6258">
        <w:rPr>
          <w:rFonts w:cs="Arial"/>
          <w:lang w:val="en-AU"/>
        </w:rPr>
        <w:t xml:space="preserve"> information collection, </w:t>
      </w:r>
      <w:r>
        <w:rPr>
          <w:rFonts w:cs="Arial"/>
          <w:lang w:val="en-AU"/>
        </w:rPr>
        <w:t xml:space="preserve">providing systemic issues and policy advice on a national basis based with member input and reporting as well as </w:t>
      </w:r>
      <w:r w:rsidRPr="006D6258">
        <w:rPr>
          <w:rFonts w:cs="Arial"/>
          <w:lang w:val="en-AU"/>
        </w:rPr>
        <w:t>implement</w:t>
      </w:r>
      <w:r>
        <w:rPr>
          <w:rFonts w:cs="Arial"/>
          <w:lang w:val="en-AU"/>
        </w:rPr>
        <w:t>ing</w:t>
      </w:r>
      <w:r w:rsidRPr="006D6258">
        <w:rPr>
          <w:rFonts w:cs="Arial"/>
          <w:lang w:val="en-AU"/>
        </w:rPr>
        <w:t xml:space="preserve"> a comprehensive sector development program</w:t>
      </w:r>
      <w:r w:rsidR="00C8709B">
        <w:rPr>
          <w:rFonts w:cs="Arial"/>
          <w:lang w:val="en-AU"/>
        </w:rPr>
        <w:t>.</w:t>
      </w:r>
    </w:p>
    <w:p w14:paraId="46F92C87" w14:textId="77777777" w:rsidR="00C8709B" w:rsidRDefault="00C8709B" w:rsidP="00C8279C">
      <w:pPr>
        <w:spacing w:after="0"/>
        <w:rPr>
          <w:rFonts w:cs="Arial"/>
          <w:lang w:val="en-AU"/>
        </w:rPr>
      </w:pPr>
    </w:p>
    <w:p w14:paraId="29E1A8F8" w14:textId="77777777" w:rsidR="00C8279C" w:rsidRPr="006A706F" w:rsidRDefault="00C8279C" w:rsidP="00C8279C">
      <w:pPr>
        <w:pStyle w:val="Heading3"/>
      </w:pPr>
      <w:bookmarkStart w:id="15" w:name="_Toc31571253"/>
      <w:r w:rsidRPr="006A706F">
        <w:t>Recommendation and cost</w:t>
      </w:r>
      <w:bookmarkEnd w:id="15"/>
    </w:p>
    <w:p w14:paraId="393CA171" w14:textId="77777777" w:rsidR="00C8279C" w:rsidRDefault="00C8279C" w:rsidP="00C8279C">
      <w:pPr>
        <w:pStyle w:val="ListParagraph"/>
        <w:numPr>
          <w:ilvl w:val="0"/>
          <w:numId w:val="31"/>
        </w:numPr>
        <w:spacing w:before="0" w:after="0"/>
        <w:rPr>
          <w:rFonts w:cs="Arial"/>
        </w:rPr>
      </w:pPr>
      <w:r>
        <w:rPr>
          <w:rFonts w:cs="Arial"/>
        </w:rPr>
        <w:t>Increase NDAP funding to cater for the support of the national advocacy peak DANA</w:t>
      </w:r>
    </w:p>
    <w:p w14:paraId="660A3388" w14:textId="77777777" w:rsidR="00C8279C" w:rsidRDefault="00C8279C" w:rsidP="00C8279C">
      <w:pPr>
        <w:pStyle w:val="ListParagraph"/>
        <w:spacing w:before="0" w:after="0"/>
        <w:rPr>
          <w:rFonts w:cs="Arial"/>
        </w:rPr>
      </w:pPr>
    </w:p>
    <w:p w14:paraId="3067CD30" w14:textId="77777777" w:rsidR="00C8279C" w:rsidRPr="006D6258" w:rsidRDefault="00C8279C" w:rsidP="00C8279C">
      <w:pPr>
        <w:pStyle w:val="ListParagraph"/>
        <w:numPr>
          <w:ilvl w:val="0"/>
          <w:numId w:val="31"/>
        </w:numPr>
        <w:spacing w:before="0" w:after="0"/>
        <w:rPr>
          <w:rFonts w:cs="Arial"/>
        </w:rPr>
      </w:pPr>
      <w:r w:rsidRPr="006D6258">
        <w:rPr>
          <w:rFonts w:cs="Arial"/>
        </w:rPr>
        <w:t xml:space="preserve">Increase funding for disability advocacy to 1.3% of service delivery expenditure </w:t>
      </w:r>
    </w:p>
    <w:p w14:paraId="193769AE" w14:textId="77777777" w:rsidR="00C8279C" w:rsidRDefault="00C8279C" w:rsidP="00C8279C">
      <w:pPr>
        <w:pStyle w:val="ListParagraph"/>
        <w:spacing w:before="0" w:after="0"/>
        <w:rPr>
          <w:rFonts w:cs="Arial"/>
        </w:rPr>
      </w:pPr>
    </w:p>
    <w:p w14:paraId="7DDDF75F" w14:textId="77777777" w:rsidR="00C8279C" w:rsidRDefault="00C8279C" w:rsidP="00C8279C">
      <w:pPr>
        <w:pStyle w:val="ListParagraph"/>
        <w:numPr>
          <w:ilvl w:val="0"/>
          <w:numId w:val="31"/>
        </w:numPr>
        <w:spacing w:before="0" w:after="0"/>
        <w:rPr>
          <w:rFonts w:cs="Arial"/>
        </w:rPr>
      </w:pPr>
      <w:r w:rsidRPr="006D6258">
        <w:rPr>
          <w:rFonts w:cs="Arial"/>
        </w:rPr>
        <w:t>Undertake a review of need and demand for disability advocacy and establish a</w:t>
      </w:r>
      <w:r>
        <w:rPr>
          <w:rFonts w:cs="Arial"/>
        </w:rPr>
        <w:t xml:space="preserve"> new funding model for advocacy</w:t>
      </w:r>
    </w:p>
    <w:p w14:paraId="4767FC6F" w14:textId="77777777" w:rsidR="00C8279C" w:rsidRDefault="00C8279C" w:rsidP="00C8279C">
      <w:pPr>
        <w:pStyle w:val="ListParagraph"/>
        <w:spacing w:before="0" w:after="0"/>
        <w:rPr>
          <w:rFonts w:cs="Arial"/>
        </w:rPr>
      </w:pPr>
    </w:p>
    <w:p w14:paraId="7B4C1127" w14:textId="77777777" w:rsidR="00C8279C" w:rsidRDefault="00C8279C" w:rsidP="00C8279C">
      <w:pPr>
        <w:pStyle w:val="ListParagraph"/>
        <w:numPr>
          <w:ilvl w:val="0"/>
          <w:numId w:val="31"/>
        </w:numPr>
        <w:spacing w:before="0" w:after="0"/>
        <w:rPr>
          <w:rFonts w:cs="Arial"/>
        </w:rPr>
      </w:pPr>
      <w:r w:rsidRPr="00FE2355">
        <w:rPr>
          <w:rFonts w:cs="Arial"/>
        </w:rPr>
        <w:t>Retain i</w:t>
      </w:r>
      <w:r>
        <w:rPr>
          <w:rFonts w:cs="Arial"/>
        </w:rPr>
        <w:t>ndependence in advocacy funding</w:t>
      </w:r>
    </w:p>
    <w:p w14:paraId="303AF569" w14:textId="77777777" w:rsidR="00C8279C" w:rsidRPr="006A706F" w:rsidRDefault="00C8279C" w:rsidP="00C8279C">
      <w:pPr>
        <w:spacing w:after="0"/>
        <w:rPr>
          <w:rFonts w:cs="Arial"/>
        </w:rPr>
      </w:pPr>
    </w:p>
    <w:tbl>
      <w:tblPr>
        <w:tblStyle w:val="TableGrid"/>
        <w:tblW w:w="0" w:type="auto"/>
        <w:tblLook w:val="04A0" w:firstRow="1" w:lastRow="0" w:firstColumn="1" w:lastColumn="0" w:noHBand="0" w:noVBand="1"/>
      </w:tblPr>
      <w:tblGrid>
        <w:gridCol w:w="1807"/>
        <w:gridCol w:w="5266"/>
        <w:gridCol w:w="2266"/>
      </w:tblGrid>
      <w:tr w:rsidR="00C8279C" w:rsidRPr="000F18DE" w14:paraId="05D25912" w14:textId="77777777" w:rsidTr="00C53787">
        <w:trPr>
          <w:trHeight w:val="569"/>
        </w:trPr>
        <w:tc>
          <w:tcPr>
            <w:tcW w:w="1809" w:type="dxa"/>
            <w:shd w:val="clear" w:color="auto" w:fill="2F5496" w:themeFill="accent5" w:themeFillShade="BF"/>
            <w:vAlign w:val="center"/>
          </w:tcPr>
          <w:p w14:paraId="60E59AE1" w14:textId="77777777" w:rsidR="00C8279C" w:rsidRPr="000F18DE" w:rsidRDefault="00C8279C" w:rsidP="00C53787">
            <w:pPr>
              <w:spacing w:after="0"/>
              <w:jc w:val="center"/>
              <w:rPr>
                <w:rFonts w:cs="Arial"/>
                <w:b/>
                <w:color w:val="FFFFFF" w:themeColor="background1"/>
              </w:rPr>
            </w:pPr>
            <w:r w:rsidRPr="000F18DE">
              <w:rPr>
                <w:rFonts w:cs="Arial"/>
                <w:b/>
                <w:color w:val="FFFFFF" w:themeColor="background1"/>
              </w:rPr>
              <w:t>Year</w:t>
            </w:r>
          </w:p>
        </w:tc>
        <w:tc>
          <w:tcPr>
            <w:tcW w:w="5274" w:type="dxa"/>
            <w:shd w:val="clear" w:color="auto" w:fill="2F5496" w:themeFill="accent5" w:themeFillShade="BF"/>
            <w:vAlign w:val="center"/>
          </w:tcPr>
          <w:p w14:paraId="63738C7E" w14:textId="77777777" w:rsidR="00C8279C" w:rsidRPr="000F18DE" w:rsidRDefault="00C8279C" w:rsidP="00C53787">
            <w:pPr>
              <w:spacing w:after="0"/>
              <w:jc w:val="center"/>
              <w:rPr>
                <w:rFonts w:cs="Arial"/>
                <w:b/>
                <w:color w:val="FFFFFF" w:themeColor="background1"/>
              </w:rPr>
            </w:pPr>
            <w:r w:rsidRPr="000F18DE">
              <w:rPr>
                <w:rFonts w:cs="Arial"/>
                <w:b/>
                <w:color w:val="FFFFFF" w:themeColor="background1"/>
              </w:rPr>
              <w:t>Activity</w:t>
            </w:r>
          </w:p>
        </w:tc>
        <w:tc>
          <w:tcPr>
            <w:tcW w:w="2268" w:type="dxa"/>
            <w:shd w:val="clear" w:color="auto" w:fill="2F5496" w:themeFill="accent5" w:themeFillShade="BF"/>
            <w:vAlign w:val="center"/>
          </w:tcPr>
          <w:p w14:paraId="62E1A70C" w14:textId="77777777" w:rsidR="00C8279C" w:rsidRPr="000F18DE" w:rsidRDefault="00C8279C" w:rsidP="00C53787">
            <w:pPr>
              <w:spacing w:after="0"/>
              <w:jc w:val="center"/>
              <w:rPr>
                <w:rFonts w:cs="Arial"/>
                <w:b/>
                <w:color w:val="FFFFFF" w:themeColor="background1"/>
                <w:highlight w:val="yellow"/>
              </w:rPr>
            </w:pPr>
            <w:r w:rsidRPr="000F18DE">
              <w:rPr>
                <w:rFonts w:cs="Arial"/>
                <w:b/>
                <w:color w:val="FFFFFF" w:themeColor="background1"/>
              </w:rPr>
              <w:t>Amount</w:t>
            </w:r>
          </w:p>
        </w:tc>
      </w:tr>
      <w:tr w:rsidR="00C8279C" w:rsidRPr="006D6258" w14:paraId="3F9233E5" w14:textId="77777777" w:rsidTr="00C53787">
        <w:trPr>
          <w:trHeight w:val="1341"/>
        </w:trPr>
        <w:tc>
          <w:tcPr>
            <w:tcW w:w="1809" w:type="dxa"/>
            <w:shd w:val="clear" w:color="auto" w:fill="BDD6EE" w:themeFill="accent1" w:themeFillTint="66"/>
            <w:vAlign w:val="center"/>
          </w:tcPr>
          <w:p w14:paraId="71AFB59E" w14:textId="56C01680" w:rsidR="00C8279C" w:rsidRDefault="00C8709B" w:rsidP="00C53787">
            <w:pPr>
              <w:spacing w:after="0"/>
              <w:jc w:val="center"/>
              <w:rPr>
                <w:rFonts w:cs="Arial"/>
                <w:b/>
              </w:rPr>
            </w:pPr>
            <w:r>
              <w:rPr>
                <w:rFonts w:cs="Arial"/>
                <w:b/>
              </w:rPr>
              <w:t>2020 - 2021</w:t>
            </w:r>
          </w:p>
        </w:tc>
        <w:tc>
          <w:tcPr>
            <w:tcW w:w="5274" w:type="dxa"/>
            <w:shd w:val="clear" w:color="auto" w:fill="BDD6EE" w:themeFill="accent1" w:themeFillTint="66"/>
            <w:vAlign w:val="center"/>
          </w:tcPr>
          <w:p w14:paraId="7CD7636F" w14:textId="77777777" w:rsidR="00C8279C" w:rsidRDefault="00C8279C" w:rsidP="00C53787">
            <w:pPr>
              <w:spacing w:after="0"/>
              <w:rPr>
                <w:rFonts w:cs="Arial"/>
                <w:lang w:val="en-AU"/>
              </w:rPr>
            </w:pPr>
            <w:r>
              <w:rPr>
                <w:rFonts w:cs="Arial"/>
                <w:lang w:val="en-AU"/>
              </w:rPr>
              <w:t xml:space="preserve">Additional funding of NDAP for </w:t>
            </w:r>
            <w:r w:rsidRPr="006D6258">
              <w:rPr>
                <w:rFonts w:cs="Arial"/>
                <w:lang w:val="en-AU"/>
              </w:rPr>
              <w:t>DANA</w:t>
            </w:r>
            <w:r>
              <w:rPr>
                <w:rFonts w:cs="Arial"/>
                <w:lang w:val="en-AU"/>
              </w:rPr>
              <w:t xml:space="preserve"> operation</w:t>
            </w:r>
          </w:p>
        </w:tc>
        <w:tc>
          <w:tcPr>
            <w:tcW w:w="2268" w:type="dxa"/>
            <w:shd w:val="clear" w:color="auto" w:fill="BDD6EE" w:themeFill="accent1" w:themeFillTint="66"/>
            <w:vAlign w:val="center"/>
          </w:tcPr>
          <w:p w14:paraId="6E0E8F09" w14:textId="77777777" w:rsidR="00C8279C" w:rsidRDefault="00C8279C" w:rsidP="00C53787">
            <w:pPr>
              <w:spacing w:after="0"/>
              <w:jc w:val="center"/>
              <w:rPr>
                <w:rFonts w:cs="Arial"/>
              </w:rPr>
            </w:pPr>
            <w:r>
              <w:rPr>
                <w:rFonts w:cs="Arial"/>
              </w:rPr>
              <w:t>$300,000 pa</w:t>
            </w:r>
          </w:p>
        </w:tc>
      </w:tr>
      <w:tr w:rsidR="00C8279C" w:rsidRPr="006D6258" w14:paraId="7BEBE04E" w14:textId="77777777" w:rsidTr="00C53787">
        <w:trPr>
          <w:trHeight w:val="1177"/>
        </w:trPr>
        <w:tc>
          <w:tcPr>
            <w:tcW w:w="1809" w:type="dxa"/>
            <w:shd w:val="clear" w:color="auto" w:fill="BDD6EE" w:themeFill="accent1" w:themeFillTint="66"/>
            <w:vAlign w:val="center"/>
          </w:tcPr>
          <w:p w14:paraId="66DDBA1F" w14:textId="3B602ADC" w:rsidR="00C8279C" w:rsidRDefault="00C8709B" w:rsidP="00C53787">
            <w:pPr>
              <w:spacing w:after="0"/>
              <w:jc w:val="center"/>
              <w:rPr>
                <w:rFonts w:cs="Arial"/>
                <w:b/>
              </w:rPr>
            </w:pPr>
            <w:r>
              <w:rPr>
                <w:rFonts w:cs="Arial"/>
                <w:b/>
              </w:rPr>
              <w:t>2020</w:t>
            </w:r>
            <w:r w:rsidR="00C8279C">
              <w:rPr>
                <w:rFonts w:cs="Arial"/>
                <w:b/>
              </w:rPr>
              <w:t xml:space="preserve"> - </w:t>
            </w:r>
            <w:r>
              <w:rPr>
                <w:rFonts w:cs="Arial"/>
                <w:b/>
              </w:rPr>
              <w:t>2021</w:t>
            </w:r>
          </w:p>
        </w:tc>
        <w:tc>
          <w:tcPr>
            <w:tcW w:w="5274" w:type="dxa"/>
            <w:shd w:val="clear" w:color="auto" w:fill="BDD6EE" w:themeFill="accent1" w:themeFillTint="66"/>
            <w:vAlign w:val="center"/>
          </w:tcPr>
          <w:p w14:paraId="633A209C" w14:textId="77777777" w:rsidR="00C8279C" w:rsidRDefault="00C8279C" w:rsidP="00C53787">
            <w:pPr>
              <w:spacing w:after="0"/>
              <w:jc w:val="center"/>
              <w:rPr>
                <w:rFonts w:cs="Arial"/>
              </w:rPr>
            </w:pPr>
            <w:r>
              <w:rPr>
                <w:rFonts w:cs="Arial"/>
                <w:lang w:val="en-AU"/>
              </w:rPr>
              <w:t xml:space="preserve">Adjust </w:t>
            </w:r>
            <w:r w:rsidRPr="006D6258">
              <w:rPr>
                <w:rFonts w:cs="Arial"/>
              </w:rPr>
              <w:t xml:space="preserve">funding for </w:t>
            </w:r>
            <w:r>
              <w:rPr>
                <w:rFonts w:cs="Arial"/>
              </w:rPr>
              <w:t>dis</w:t>
            </w:r>
            <w:r w:rsidRPr="006D6258">
              <w:rPr>
                <w:rFonts w:cs="Arial"/>
              </w:rPr>
              <w:t>ability advocacy</w:t>
            </w:r>
            <w:r>
              <w:rPr>
                <w:rFonts w:cs="Arial"/>
              </w:rPr>
              <w:t>,</w:t>
            </w:r>
            <w:r w:rsidRPr="006D6258">
              <w:rPr>
                <w:rFonts w:cs="Arial"/>
              </w:rPr>
              <w:t xml:space="preserve"> </w:t>
            </w:r>
            <w:r>
              <w:rPr>
                <w:rFonts w:cs="Arial"/>
              </w:rPr>
              <w:t>NDAP,</w:t>
            </w:r>
          </w:p>
          <w:p w14:paraId="4801E959" w14:textId="77777777" w:rsidR="00C8279C" w:rsidRDefault="00C8279C" w:rsidP="00C53787">
            <w:pPr>
              <w:spacing w:after="0"/>
              <w:jc w:val="center"/>
              <w:rPr>
                <w:rFonts w:cs="Arial"/>
              </w:rPr>
            </w:pPr>
            <w:r>
              <w:rPr>
                <w:rFonts w:cs="Arial"/>
              </w:rPr>
              <w:t xml:space="preserve">match </w:t>
            </w:r>
            <w:r w:rsidRPr="006D6258">
              <w:rPr>
                <w:rFonts w:cs="Arial"/>
              </w:rPr>
              <w:t xml:space="preserve">1.3% of </w:t>
            </w:r>
            <w:r>
              <w:rPr>
                <w:rFonts w:cs="Arial"/>
              </w:rPr>
              <w:t xml:space="preserve">the </w:t>
            </w:r>
            <w:r w:rsidRPr="006D6258">
              <w:rPr>
                <w:rFonts w:cs="Arial"/>
              </w:rPr>
              <w:t>service</w:t>
            </w:r>
            <w:r>
              <w:rPr>
                <w:rFonts w:cs="Arial"/>
              </w:rPr>
              <w:t xml:space="preserve"> </w:t>
            </w:r>
            <w:r w:rsidRPr="006D6258">
              <w:rPr>
                <w:rFonts w:cs="Arial"/>
              </w:rPr>
              <w:t>delivery expenditure</w:t>
            </w:r>
          </w:p>
          <w:p w14:paraId="0C61CBA9" w14:textId="77777777" w:rsidR="00C8279C" w:rsidRDefault="00C8279C" w:rsidP="00C53787">
            <w:pPr>
              <w:spacing w:after="0"/>
              <w:jc w:val="center"/>
              <w:rPr>
                <w:rFonts w:cs="Arial"/>
                <w:lang w:val="en-AU"/>
              </w:rPr>
            </w:pPr>
            <w:r>
              <w:rPr>
                <w:rFonts w:cs="Arial"/>
              </w:rPr>
              <w:t>(SDE)</w:t>
            </w:r>
            <w:r>
              <w:rPr>
                <w:rFonts w:cs="Arial"/>
                <w:lang w:val="en-AU"/>
              </w:rPr>
              <w:t xml:space="preserve"> </w:t>
            </w:r>
          </w:p>
        </w:tc>
        <w:tc>
          <w:tcPr>
            <w:tcW w:w="2268" w:type="dxa"/>
            <w:shd w:val="clear" w:color="auto" w:fill="BDD6EE" w:themeFill="accent1" w:themeFillTint="66"/>
            <w:vAlign w:val="center"/>
          </w:tcPr>
          <w:p w14:paraId="1ECEBB15" w14:textId="77777777" w:rsidR="00C8279C" w:rsidRDefault="00C8279C" w:rsidP="00C53787">
            <w:pPr>
              <w:spacing w:after="0"/>
              <w:jc w:val="center"/>
              <w:rPr>
                <w:rFonts w:cs="Arial"/>
              </w:rPr>
            </w:pPr>
            <w:r>
              <w:rPr>
                <w:rFonts w:cs="Arial"/>
              </w:rPr>
              <w:t>NDAP funding adjust to 1.3% of service delivery expenditure</w:t>
            </w:r>
          </w:p>
        </w:tc>
      </w:tr>
      <w:tr w:rsidR="00C8279C" w:rsidRPr="006D6258" w14:paraId="2445CC25" w14:textId="77777777" w:rsidTr="00C53787">
        <w:trPr>
          <w:trHeight w:val="1341"/>
        </w:trPr>
        <w:tc>
          <w:tcPr>
            <w:tcW w:w="1809" w:type="dxa"/>
            <w:shd w:val="clear" w:color="auto" w:fill="FFFFFF" w:themeFill="background1"/>
            <w:vAlign w:val="center"/>
          </w:tcPr>
          <w:p w14:paraId="2308FBB6" w14:textId="1453BD35" w:rsidR="00C8279C" w:rsidRPr="006D6258" w:rsidRDefault="00C8709B" w:rsidP="00C53787">
            <w:pPr>
              <w:spacing w:after="0"/>
              <w:jc w:val="center"/>
              <w:rPr>
                <w:rFonts w:cs="Arial"/>
                <w:b/>
              </w:rPr>
            </w:pPr>
            <w:r>
              <w:rPr>
                <w:rFonts w:cs="Arial"/>
                <w:b/>
              </w:rPr>
              <w:t>2021 - 2024</w:t>
            </w:r>
          </w:p>
        </w:tc>
        <w:tc>
          <w:tcPr>
            <w:tcW w:w="5274" w:type="dxa"/>
            <w:shd w:val="clear" w:color="auto" w:fill="FFFFFF" w:themeFill="background1"/>
            <w:vAlign w:val="center"/>
          </w:tcPr>
          <w:p w14:paraId="2AAD33D5" w14:textId="77777777" w:rsidR="00C8279C" w:rsidRDefault="00C8279C" w:rsidP="00C53787">
            <w:pPr>
              <w:spacing w:after="0"/>
              <w:jc w:val="center"/>
              <w:rPr>
                <w:rFonts w:cs="Arial"/>
                <w:lang w:val="en-AU"/>
              </w:rPr>
            </w:pPr>
            <w:r>
              <w:rPr>
                <w:rFonts w:cs="Arial"/>
                <w:lang w:val="en-AU"/>
              </w:rPr>
              <w:t>NDAP additional funding for DANA national peak over 3 financial years</w:t>
            </w:r>
          </w:p>
          <w:p w14:paraId="51AA4D7E" w14:textId="77777777" w:rsidR="00C8279C" w:rsidRPr="007E52A2" w:rsidRDefault="00C8279C" w:rsidP="00C53787">
            <w:pPr>
              <w:spacing w:after="0"/>
              <w:jc w:val="center"/>
              <w:rPr>
                <w:rFonts w:cs="Arial"/>
                <w:lang w:val="en-AU"/>
              </w:rPr>
            </w:pPr>
            <w:r>
              <w:rPr>
                <w:rFonts w:cs="Arial"/>
                <w:lang w:val="en-AU"/>
              </w:rPr>
              <w:t>NDAP funding adjustment; min 1.3% of the service delivery expenditure</w:t>
            </w:r>
          </w:p>
        </w:tc>
        <w:tc>
          <w:tcPr>
            <w:tcW w:w="2268" w:type="dxa"/>
            <w:shd w:val="clear" w:color="auto" w:fill="FFFFFF" w:themeFill="background1"/>
            <w:vAlign w:val="center"/>
          </w:tcPr>
          <w:p w14:paraId="0D6BAFD2" w14:textId="77777777" w:rsidR="00C8279C" w:rsidRPr="00A85B09" w:rsidRDefault="00C8279C" w:rsidP="00C53787">
            <w:pPr>
              <w:spacing w:after="0"/>
              <w:rPr>
                <w:rFonts w:cs="Arial"/>
                <w:lang w:eastAsia="en-AU"/>
              </w:rPr>
            </w:pPr>
            <w:r w:rsidRPr="00A85B09">
              <w:rPr>
                <w:rFonts w:cs="Arial"/>
                <w:lang w:eastAsia="en-AU"/>
              </w:rPr>
              <w:t xml:space="preserve">DANA </w:t>
            </w:r>
            <w:r>
              <w:rPr>
                <w:rFonts w:cs="Arial"/>
              </w:rPr>
              <w:t xml:space="preserve">=  </w:t>
            </w:r>
            <w:r w:rsidRPr="00A85B09">
              <w:rPr>
                <w:rFonts w:cs="Arial"/>
                <w:lang w:eastAsia="en-AU"/>
              </w:rPr>
              <w:t>$900,000</w:t>
            </w:r>
          </w:p>
          <w:p w14:paraId="7744C4FB" w14:textId="77777777" w:rsidR="00C8279C" w:rsidRPr="006D6258" w:rsidRDefault="00C8279C" w:rsidP="00C53787">
            <w:pPr>
              <w:spacing w:after="0"/>
              <w:rPr>
                <w:rFonts w:cs="Arial"/>
              </w:rPr>
            </w:pPr>
            <w:r>
              <w:rPr>
                <w:rFonts w:cs="Arial"/>
              </w:rPr>
              <w:t>NDAP funding = 1.3% of SDE</w:t>
            </w:r>
          </w:p>
        </w:tc>
      </w:tr>
      <w:tr w:rsidR="00C8279C" w:rsidRPr="00757760" w14:paraId="3DEDA302" w14:textId="77777777" w:rsidTr="00C53787">
        <w:trPr>
          <w:trHeight w:val="571"/>
        </w:trPr>
        <w:tc>
          <w:tcPr>
            <w:tcW w:w="1809" w:type="dxa"/>
            <w:vAlign w:val="center"/>
          </w:tcPr>
          <w:p w14:paraId="24B55DC4" w14:textId="77777777" w:rsidR="00C8279C" w:rsidRPr="00757760" w:rsidRDefault="00C8279C" w:rsidP="00C53787">
            <w:pPr>
              <w:spacing w:after="0"/>
              <w:jc w:val="center"/>
              <w:rPr>
                <w:rFonts w:cs="Arial"/>
                <w:b/>
              </w:rPr>
            </w:pPr>
          </w:p>
        </w:tc>
        <w:tc>
          <w:tcPr>
            <w:tcW w:w="5274" w:type="dxa"/>
            <w:vAlign w:val="center"/>
          </w:tcPr>
          <w:p w14:paraId="5CDAF621" w14:textId="77777777" w:rsidR="00C8279C" w:rsidRDefault="00C8279C" w:rsidP="00C53787">
            <w:pPr>
              <w:spacing w:after="0"/>
              <w:jc w:val="center"/>
              <w:rPr>
                <w:rFonts w:cs="Arial"/>
                <w:b/>
              </w:rPr>
            </w:pPr>
            <w:r w:rsidRPr="00757760">
              <w:rPr>
                <w:rFonts w:cs="Arial"/>
                <w:b/>
              </w:rPr>
              <w:t xml:space="preserve">Total </w:t>
            </w:r>
            <w:r>
              <w:rPr>
                <w:rFonts w:cs="Arial"/>
                <w:b/>
              </w:rPr>
              <w:t xml:space="preserve">additional Funding </w:t>
            </w:r>
          </w:p>
          <w:p w14:paraId="5721263B" w14:textId="77777777" w:rsidR="00C8279C" w:rsidRPr="00757760" w:rsidRDefault="00C8279C" w:rsidP="00C53787">
            <w:pPr>
              <w:spacing w:after="0"/>
              <w:jc w:val="center"/>
              <w:rPr>
                <w:rFonts w:cs="Arial"/>
                <w:b/>
              </w:rPr>
            </w:pPr>
            <w:r w:rsidRPr="00C8709B">
              <w:rPr>
                <w:rFonts w:cs="Arial"/>
                <w:b/>
                <w:highlight w:val="yellow"/>
              </w:rPr>
              <w:t>over 4 financial years</w:t>
            </w:r>
          </w:p>
        </w:tc>
        <w:tc>
          <w:tcPr>
            <w:tcW w:w="2268" w:type="dxa"/>
            <w:vAlign w:val="center"/>
          </w:tcPr>
          <w:p w14:paraId="2DC481E6" w14:textId="77777777" w:rsidR="00C8279C" w:rsidRDefault="00C8279C" w:rsidP="00C53787">
            <w:pPr>
              <w:spacing w:after="0"/>
              <w:jc w:val="center"/>
              <w:rPr>
                <w:rFonts w:cs="Arial"/>
                <w:b/>
              </w:rPr>
            </w:pPr>
            <w:r w:rsidRPr="00757760">
              <w:rPr>
                <w:rFonts w:cs="Arial"/>
                <w:b/>
              </w:rPr>
              <w:t>$</w:t>
            </w:r>
            <w:r>
              <w:rPr>
                <w:rFonts w:cs="Arial"/>
                <w:b/>
              </w:rPr>
              <w:t xml:space="preserve">1.2 </w:t>
            </w:r>
            <w:r w:rsidRPr="00757760">
              <w:rPr>
                <w:rFonts w:cs="Arial"/>
                <w:b/>
              </w:rPr>
              <w:t>million</w:t>
            </w:r>
            <w:r>
              <w:rPr>
                <w:rFonts w:cs="Arial"/>
                <w:b/>
              </w:rPr>
              <w:t xml:space="preserve"> DANA</w:t>
            </w:r>
          </w:p>
          <w:p w14:paraId="66B80D93" w14:textId="77777777" w:rsidR="00C8279C" w:rsidRPr="00757760" w:rsidRDefault="00C8279C" w:rsidP="00C53787">
            <w:pPr>
              <w:spacing w:after="0"/>
              <w:jc w:val="center"/>
              <w:rPr>
                <w:rFonts w:cs="Arial"/>
                <w:b/>
              </w:rPr>
            </w:pPr>
            <w:r>
              <w:rPr>
                <w:rFonts w:cs="Arial"/>
                <w:b/>
              </w:rPr>
              <w:t>1.3% of SDE</w:t>
            </w:r>
          </w:p>
        </w:tc>
      </w:tr>
    </w:tbl>
    <w:p w14:paraId="05EC5B89" w14:textId="77777777" w:rsidR="00C8279C" w:rsidRPr="00C8279C" w:rsidRDefault="00C8279C" w:rsidP="00C8279C">
      <w:pPr>
        <w:rPr>
          <w:lang w:val="en-AU"/>
        </w:rPr>
      </w:pPr>
    </w:p>
    <w:sectPr w:rsidR="00C8279C" w:rsidRPr="00C8279C" w:rsidSect="008278AF">
      <w:type w:val="continuous"/>
      <w:pgSz w:w="11901" w:h="16817"/>
      <w:pgMar w:top="851" w:right="1134" w:bottom="1474" w:left="1418" w:header="709" w:footer="963"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C57AB8" w14:textId="77777777" w:rsidR="00942A9F" w:rsidRDefault="00942A9F">
      <w:pPr>
        <w:spacing w:after="0"/>
      </w:pPr>
      <w:r>
        <w:separator/>
      </w:r>
    </w:p>
  </w:endnote>
  <w:endnote w:type="continuationSeparator" w:id="0">
    <w:p w14:paraId="10E89B22" w14:textId="77777777" w:rsidR="00942A9F" w:rsidRDefault="00942A9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Lucida Grande">
    <w:altName w:val="Times New Roman"/>
    <w:charset w:val="00"/>
    <w:family w:val="auto"/>
    <w:pitch w:val="variable"/>
    <w:sig w:usb0="00000000" w:usb1="5000A1FF" w:usb2="00000000" w:usb3="00000000" w:csb0="000001BF" w:csb1="00000000"/>
  </w:font>
  <w:font w:name="MS Mincho">
    <w:altName w:val="Yu Gothic UI"/>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E3D986" w14:textId="272951A0" w:rsidR="00942A9F" w:rsidRPr="00523362" w:rsidRDefault="00942A9F" w:rsidP="00523362">
    <w:pPr>
      <w:pStyle w:val="Footer"/>
      <w:spacing w:line="240" w:lineRule="auto"/>
      <w:jc w:val="center"/>
      <w:rPr>
        <w:noProof/>
      </w:rPr>
    </w:pPr>
    <w:r>
      <w:rPr>
        <w:noProof/>
        <w:lang w:val="en-AU" w:eastAsia="en-AU"/>
      </w:rPr>
      <mc:AlternateContent>
        <mc:Choice Requires="wps">
          <w:drawing>
            <wp:anchor distT="0" distB="0" distL="114300" distR="114300" simplePos="0" relativeHeight="251673600" behindDoc="0" locked="0" layoutInCell="1" allowOverlap="1" wp14:anchorId="772D1CD8" wp14:editId="581C7EA3">
              <wp:simplePos x="0" y="0"/>
              <wp:positionH relativeFrom="column">
                <wp:posOffset>-948138</wp:posOffset>
              </wp:positionH>
              <wp:positionV relativeFrom="paragraph">
                <wp:posOffset>126613</wp:posOffset>
              </wp:positionV>
              <wp:extent cx="8093075" cy="272167"/>
              <wp:effectExtent l="0" t="0" r="3175" b="0"/>
              <wp:wrapNone/>
              <wp:docPr id="15" name="Rectangle 12" descr="Decorative element"/>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93075" cy="272167"/>
                      </a:xfrm>
                      <a:prstGeom prst="rect">
                        <a:avLst/>
                      </a:prstGeom>
                      <a:solidFill>
                        <a:srgbClr val="41190B"/>
                      </a:solidFill>
                      <a:ln>
                        <a:noFill/>
                      </a:ln>
                      <a:extLst/>
                    </wps:spPr>
                    <wps:txbx>
                      <w:txbxContent>
                        <w:p w14:paraId="61341C2A" w14:textId="411AC967" w:rsidR="00942A9F" w:rsidRPr="00EE0521" w:rsidRDefault="00942A9F" w:rsidP="00EE0521">
                          <w:pPr>
                            <w:tabs>
                              <w:tab w:val="left" w:pos="11766"/>
                            </w:tabs>
                            <w:ind w:right="681"/>
                            <w:jc w:val="center"/>
                            <w:rPr>
                              <w:sz w:val="20"/>
                              <w:szCs w:val="20"/>
                            </w:rPr>
                          </w:pPr>
                          <w:r w:rsidRPr="00EE0521">
                            <w:rPr>
                              <w:sz w:val="20"/>
                              <w:szCs w:val="20"/>
                            </w:rPr>
                            <w:t xml:space="preserve">Page </w:t>
                          </w:r>
                          <w:r w:rsidRPr="00EE0521">
                            <w:rPr>
                              <w:sz w:val="20"/>
                              <w:szCs w:val="20"/>
                            </w:rPr>
                            <w:fldChar w:fldCharType="begin"/>
                          </w:r>
                          <w:r w:rsidRPr="00EE0521">
                            <w:rPr>
                              <w:sz w:val="20"/>
                              <w:szCs w:val="20"/>
                            </w:rPr>
                            <w:instrText xml:space="preserve"> PAGE   \* MERGEFORMAT </w:instrText>
                          </w:r>
                          <w:r w:rsidRPr="00EE0521">
                            <w:rPr>
                              <w:sz w:val="20"/>
                              <w:szCs w:val="20"/>
                            </w:rPr>
                            <w:fldChar w:fldCharType="separate"/>
                          </w:r>
                          <w:r w:rsidR="00E258B2">
                            <w:rPr>
                              <w:noProof/>
                              <w:sz w:val="20"/>
                              <w:szCs w:val="20"/>
                            </w:rPr>
                            <w:t>12</w:t>
                          </w:r>
                          <w:r w:rsidRPr="00EE0521">
                            <w:rPr>
                              <w:noProof/>
                              <w:sz w:val="20"/>
                              <w:szCs w:val="20"/>
                            </w:rPr>
                            <w:fldChar w:fldCharType="end"/>
                          </w:r>
                          <w:r w:rsidRPr="00EE0521">
                            <w:rPr>
                              <w:noProof/>
                              <w:sz w:val="20"/>
                              <w:szCs w:val="20"/>
                            </w:rPr>
                            <w:t xml:space="preserve"> of </w:t>
                          </w:r>
                          <w:r w:rsidRPr="00EE0521">
                            <w:rPr>
                              <w:noProof/>
                              <w:sz w:val="20"/>
                              <w:szCs w:val="20"/>
                            </w:rPr>
                            <w:fldChar w:fldCharType="begin"/>
                          </w:r>
                          <w:r w:rsidRPr="00EE0521">
                            <w:rPr>
                              <w:noProof/>
                              <w:sz w:val="20"/>
                              <w:szCs w:val="20"/>
                            </w:rPr>
                            <w:instrText xml:space="preserve"> NUMPAGES   \* MERGEFORMAT </w:instrText>
                          </w:r>
                          <w:r w:rsidRPr="00EE0521">
                            <w:rPr>
                              <w:noProof/>
                              <w:sz w:val="20"/>
                              <w:szCs w:val="20"/>
                            </w:rPr>
                            <w:fldChar w:fldCharType="separate"/>
                          </w:r>
                          <w:r w:rsidR="00E258B2">
                            <w:rPr>
                              <w:noProof/>
                              <w:sz w:val="20"/>
                              <w:szCs w:val="20"/>
                            </w:rPr>
                            <w:t>12</w:t>
                          </w:r>
                          <w:r w:rsidRPr="00EE0521">
                            <w:rPr>
                              <w:noProof/>
                              <w:sz w:val="20"/>
                              <w:szCs w:val="20"/>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2D1CD8" id="Rectangle 12" o:spid="_x0000_s1026" alt="Decorative element" style="position:absolute;left:0;text-align:left;margin-left:-74.65pt;margin-top:9.95pt;width:637.25pt;height:21.4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" fillcolor="#41190b" stroked="f">
              <v:textbox>
                <w:txbxContent>
                  <w:p w14:paraId="61341C2A" w14:textId="411AC967" w:rsidR="00942A9F" w:rsidRPr="00EE0521" w:rsidRDefault="00942A9F" w:rsidP="00EE0521">
                    <w:pPr>
                      <w:tabs>
                        <w:tab w:val="left" w:pos="11766"/>
                      </w:tabs>
                      <w:ind w:right="681"/>
                      <w:jc w:val="center"/>
                      <w:rPr>
                        <w:sz w:val="20"/>
                        <w:szCs w:val="20"/>
                      </w:rPr>
                    </w:pPr>
                    <w:r w:rsidRPr="00EE0521">
                      <w:rPr>
                        <w:sz w:val="20"/>
                        <w:szCs w:val="20"/>
                      </w:rPr>
                      <w:t xml:space="preserve">Page </w:t>
                    </w:r>
                    <w:r w:rsidRPr="00EE0521">
                      <w:rPr>
                        <w:sz w:val="20"/>
                        <w:szCs w:val="20"/>
                      </w:rPr>
                      <w:fldChar w:fldCharType="begin"/>
                    </w:r>
                    <w:r w:rsidRPr="00EE0521">
                      <w:rPr>
                        <w:sz w:val="20"/>
                        <w:szCs w:val="20"/>
                      </w:rPr>
                      <w:instrText xml:space="preserve"> PAGE   \* MERGEFORMAT </w:instrText>
                    </w:r>
                    <w:r w:rsidRPr="00EE0521">
                      <w:rPr>
                        <w:sz w:val="20"/>
                        <w:szCs w:val="20"/>
                      </w:rPr>
                      <w:fldChar w:fldCharType="separate"/>
                    </w:r>
                    <w:r w:rsidR="00E258B2">
                      <w:rPr>
                        <w:noProof/>
                        <w:sz w:val="20"/>
                        <w:szCs w:val="20"/>
                      </w:rPr>
                      <w:t>12</w:t>
                    </w:r>
                    <w:r w:rsidRPr="00EE0521">
                      <w:rPr>
                        <w:noProof/>
                        <w:sz w:val="20"/>
                        <w:szCs w:val="20"/>
                      </w:rPr>
                      <w:fldChar w:fldCharType="end"/>
                    </w:r>
                    <w:r w:rsidRPr="00EE0521">
                      <w:rPr>
                        <w:noProof/>
                        <w:sz w:val="20"/>
                        <w:szCs w:val="20"/>
                      </w:rPr>
                      <w:t xml:space="preserve"> of </w:t>
                    </w:r>
                    <w:r w:rsidRPr="00EE0521">
                      <w:rPr>
                        <w:noProof/>
                        <w:sz w:val="20"/>
                        <w:szCs w:val="20"/>
                      </w:rPr>
                      <w:fldChar w:fldCharType="begin"/>
                    </w:r>
                    <w:r w:rsidRPr="00EE0521">
                      <w:rPr>
                        <w:noProof/>
                        <w:sz w:val="20"/>
                        <w:szCs w:val="20"/>
                      </w:rPr>
                      <w:instrText xml:space="preserve"> NUMPAGES   \* MERGEFORMAT </w:instrText>
                    </w:r>
                    <w:r w:rsidRPr="00EE0521">
                      <w:rPr>
                        <w:noProof/>
                        <w:sz w:val="20"/>
                        <w:szCs w:val="20"/>
                      </w:rPr>
                      <w:fldChar w:fldCharType="separate"/>
                    </w:r>
                    <w:r w:rsidR="00E258B2">
                      <w:rPr>
                        <w:noProof/>
                        <w:sz w:val="20"/>
                        <w:szCs w:val="20"/>
                      </w:rPr>
                      <w:t>12</w:t>
                    </w:r>
                    <w:r w:rsidRPr="00EE0521">
                      <w:rPr>
                        <w:noProof/>
                        <w:sz w:val="20"/>
                        <w:szCs w:val="20"/>
                      </w:rPr>
                      <w:fldChar w:fldCharType="end"/>
                    </w:r>
                  </w:p>
                </w:txbxContent>
              </v:textbox>
            </v:rect>
          </w:pict>
        </mc:Fallback>
      </mc:AlternateContent>
    </w:r>
    <w:r>
      <w:rPr>
        <w:noProof/>
        <w:lang w:val="en-AU" w:eastAsia="en-AU"/>
      </w:rPr>
      <mc:AlternateContent>
        <mc:Choice Requires="wps">
          <w:drawing>
            <wp:anchor distT="0" distB="0" distL="114300" distR="114300" simplePos="0" relativeHeight="251665408" behindDoc="0" locked="0" layoutInCell="1" allowOverlap="1" wp14:anchorId="22A5A3A9" wp14:editId="34E8BDC2">
              <wp:simplePos x="0" y="0"/>
              <wp:positionH relativeFrom="column">
                <wp:posOffset>-948055</wp:posOffset>
              </wp:positionH>
              <wp:positionV relativeFrom="paragraph">
                <wp:posOffset>388620</wp:posOffset>
              </wp:positionV>
              <wp:extent cx="8093075" cy="864870"/>
              <wp:effectExtent l="0" t="0" r="3175" b="0"/>
              <wp:wrapNone/>
              <wp:docPr id="14" name="Rectangle 11" descr="Decorative element"/>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93075" cy="864870"/>
                      </a:xfrm>
                      <a:prstGeom prst="rect">
                        <a:avLst/>
                      </a:prstGeom>
                      <a:solidFill>
                        <a:srgbClr val="00969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6D09E7" w14:textId="0BC7879E" w:rsidR="00942A9F" w:rsidRDefault="00816F20" w:rsidP="00C8279C">
                          <w:pPr>
                            <w:spacing w:after="0" w:line="240" w:lineRule="auto"/>
                            <w:ind w:left="720" w:right="1390" w:firstLine="720"/>
                          </w:pPr>
                          <w:r>
                            <w:rPr>
                              <w:color w:val="FFFFFF" w:themeColor="background1"/>
                              <w:sz w:val="20"/>
                            </w:rPr>
                            <w:t xml:space="preserve">AFDO – </w:t>
                          </w:r>
                          <w:r w:rsidR="00C8279C">
                            <w:rPr>
                              <w:color w:val="FFFFFF" w:themeColor="background1"/>
                              <w:sz w:val="20"/>
                            </w:rPr>
                            <w:t>Pre Federal Budget Submission – 20</w:t>
                          </w:r>
                          <w:r w:rsidR="000B4331">
                            <w:rPr>
                              <w:color w:val="FFFFFF" w:themeColor="background1"/>
                              <w:sz w:val="20"/>
                            </w:rPr>
                            <w:t>20 - 2021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A5A3A9" id="Rectangle 11" o:spid="_x0000_s1027" alt="Decorative element" style="position:absolute;left:0;text-align:left;margin-left:-74.65pt;margin-top:30.6pt;width:637.25pt;height:68.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" fillcolor="#009690" stroked="f">
              <v:textbox>
                <w:txbxContent>
                  <w:p w14:paraId="3C6D09E7" w14:textId="0BC7879E" w:rsidR="00942A9F" w:rsidRDefault="00816F20" w:rsidP="00C8279C">
                    <w:pPr>
                      <w:spacing w:after="0" w:line="240" w:lineRule="auto"/>
                      <w:ind w:left="720" w:right="1390" w:firstLine="720"/>
                    </w:pPr>
                    <w:r>
                      <w:rPr>
                        <w:color w:val="FFFFFF" w:themeColor="background1"/>
                        <w:sz w:val="20"/>
                      </w:rPr>
                      <w:t xml:space="preserve">AFDO – </w:t>
                    </w:r>
                    <w:r w:rsidR="00C8279C">
                      <w:rPr>
                        <w:color w:val="FFFFFF" w:themeColor="background1"/>
                        <w:sz w:val="20"/>
                      </w:rPr>
                      <w:t>Pre Federal Budget Submission – 20</w:t>
                    </w:r>
                    <w:r w:rsidR="000B4331">
                      <w:rPr>
                        <w:color w:val="FFFFFF" w:themeColor="background1"/>
                        <w:sz w:val="20"/>
                      </w:rPr>
                      <w:t>20 - 2021</w:t>
                    </w:r>
                  </w:p>
                </w:txbxContent>
              </v:textbox>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A55919" w14:textId="3153E3E1" w:rsidR="00942A9F" w:rsidRDefault="00A2736D" w:rsidP="00A2736D">
    <w:pPr>
      <w:spacing w:after="0" w:line="240" w:lineRule="auto"/>
      <w:ind w:right="1390"/>
    </w:pPr>
    <w:r>
      <w:rPr>
        <w:noProof/>
        <w:lang w:val="en-AU" w:eastAsia="en-AU"/>
      </w:rPr>
      <mc:AlternateContent>
        <mc:Choice Requires="wps">
          <w:drawing>
            <wp:anchor distT="0" distB="0" distL="114300" distR="114300" simplePos="0" relativeHeight="251677696" behindDoc="0" locked="0" layoutInCell="1" allowOverlap="1" wp14:anchorId="7A5A0DD2" wp14:editId="6BFF384A">
              <wp:simplePos x="0" y="0"/>
              <wp:positionH relativeFrom="page">
                <wp:align>left</wp:align>
              </wp:positionH>
              <wp:positionV relativeFrom="paragraph">
                <wp:posOffset>209550</wp:posOffset>
              </wp:positionV>
              <wp:extent cx="8093075" cy="777875"/>
              <wp:effectExtent l="0" t="0" r="3175" b="3175"/>
              <wp:wrapNone/>
              <wp:docPr id="10" name="Rectangle 10" descr="Decorative element"/>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93075" cy="777875"/>
                      </a:xfrm>
                      <a:prstGeom prst="rect">
                        <a:avLst/>
                      </a:prstGeom>
                      <a:solidFill>
                        <a:srgbClr val="00969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C1C342" id="Rectangle 10" o:spid="_x0000_s1026" alt="Decorative element" style="position:absolute;margin-left:0;margin-top:16.5pt;width:637.25pt;height:61.25pt;z-index:251677696;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" fillcolor="#009690" stroked="f">
              <w10:wrap anchorx="page"/>
            </v:rect>
          </w:pict>
        </mc:Fallback>
      </mc:AlternateContent>
    </w:r>
    <w:r>
      <w:rPr>
        <w:noProof/>
        <w:lang w:val="en-AU" w:eastAsia="en-AU"/>
      </w:rPr>
      <mc:AlternateContent>
        <mc:Choice Requires="wps">
          <w:drawing>
            <wp:anchor distT="0" distB="0" distL="114300" distR="114300" simplePos="0" relativeHeight="251675648" behindDoc="0" locked="0" layoutInCell="1" allowOverlap="1" wp14:anchorId="4B326CA5" wp14:editId="2034B256">
              <wp:simplePos x="0" y="0"/>
              <wp:positionH relativeFrom="page">
                <wp:align>left</wp:align>
              </wp:positionH>
              <wp:positionV relativeFrom="paragraph">
                <wp:posOffset>-9525</wp:posOffset>
              </wp:positionV>
              <wp:extent cx="8093075" cy="240030"/>
              <wp:effectExtent l="0" t="0" r="3175" b="7620"/>
              <wp:wrapNone/>
              <wp:docPr id="13" name="Rectangle 13" descr="Decorative element"/>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93075" cy="240030"/>
                      </a:xfrm>
                      <a:prstGeom prst="rect">
                        <a:avLst/>
                      </a:prstGeom>
                      <a:solidFill>
                        <a:srgbClr val="41190B"/>
                      </a:solidFill>
                      <a:ln>
                        <a:noFill/>
                      </a:ln>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A613B7" id="Rectangle 13" o:spid="_x0000_s1026" alt="Decorative element" style="position:absolute;margin-left:0;margin-top:-.75pt;width:637.25pt;height:18.9pt;z-index:251675648;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" fillcolor="#41190b" stroked="f">
              <w10:wrap anchorx="page"/>
            </v:rect>
          </w:pict>
        </mc:Fallback>
      </mc:AlternateContent>
    </w:r>
    <w:r w:rsidR="00942A9F">
      <w:rPr>
        <w:noProof/>
        <w:lang w:val="en-AU" w:eastAsia="en-AU"/>
      </w:rPr>
      <w:drawing>
        <wp:anchor distT="0" distB="2667" distL="114300" distR="114300" simplePos="0" relativeHeight="251655168" behindDoc="0" locked="0" layoutInCell="1" allowOverlap="1" wp14:anchorId="73CF56D4" wp14:editId="5D930BBE">
          <wp:simplePos x="0" y="0"/>
          <wp:positionH relativeFrom="column">
            <wp:posOffset>6486525</wp:posOffset>
          </wp:positionH>
          <wp:positionV relativeFrom="paragraph">
            <wp:posOffset>9852025</wp:posOffset>
          </wp:positionV>
          <wp:extent cx="867410" cy="618998"/>
          <wp:effectExtent l="0" t="0" r="8890" b="0"/>
          <wp:wrapNone/>
          <wp:docPr id="2" name="Picture 5" descr="AFDo logo" title="AFD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FDo logo" title="AFDO logo"/>
                  <pic:cNvPicPr/>
                </pic:nvPicPr>
                <pic:blipFill>
                  <a:blip r:embed="rId1" cstate="print">
                    <a:extLst>
                      <a:ext uri="{28A0092B-C50C-407E-A947-70E740481C1C}">
                        <a14:useLocalDpi xmlns:a14="http://schemas.microsoft.com/office/drawing/2010/main" val="0"/>
                      </a:ext>
                    </a:extLst>
                  </a:blip>
                  <a:stretch>
                    <a:fillRect/>
                  </a:stretch>
                </pic:blipFill>
                <pic:spPr>
                  <a:xfrm>
                    <a:off x="0" y="0"/>
                    <a:ext cx="867410" cy="618490"/>
                  </a:xfrm>
                  <a:prstGeom prst="rect">
                    <a:avLst/>
                  </a:prstGeom>
                </pic:spPr>
              </pic:pic>
            </a:graphicData>
          </a:graphic>
          <wp14:sizeRelH relativeFrom="margin">
            <wp14:pctWidth>0</wp14:pctWidth>
          </wp14:sizeRelH>
          <wp14:sizeRelV relativeFrom="margin">
            <wp14:pctHeight>0</wp14:pctHeight>
          </wp14:sizeRelV>
        </wp:anchor>
      </w:drawing>
    </w:r>
    <w:r w:rsidR="00942A9F">
      <w:rPr>
        <w:noProof/>
        <w:lang w:val="en-AU" w:eastAsia="en-AU"/>
      </w:rPr>
      <w:drawing>
        <wp:anchor distT="0" distB="2667" distL="114300" distR="114300" simplePos="0" relativeHeight="251657216" behindDoc="0" locked="0" layoutInCell="1" allowOverlap="1" wp14:anchorId="481361C8" wp14:editId="2A9B1D49">
          <wp:simplePos x="0" y="0"/>
          <wp:positionH relativeFrom="column">
            <wp:posOffset>5095875</wp:posOffset>
          </wp:positionH>
          <wp:positionV relativeFrom="paragraph">
            <wp:posOffset>10243820</wp:posOffset>
          </wp:positionV>
          <wp:extent cx="1343025" cy="222758"/>
          <wp:effectExtent l="0" t="0" r="9525" b="6350"/>
          <wp:wrapNone/>
          <wp:docPr id="3" name="Picture 7" descr="An Australian Federation of Desability Organisations project" title="An Australian Federation of Desability Organisations pro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n Australian Federation of Desability Organisations project" title="An Australian Federation of Desability Organisations project"/>
                  <pic:cNvPicPr/>
                </pic:nvPicPr>
                <pic:blipFill>
                  <a:blip r:embed="rId2" cstate="print">
                    <a:extLst>
                      <a:ext uri="{28A0092B-C50C-407E-A947-70E740481C1C}">
                        <a14:useLocalDpi xmlns:a14="http://schemas.microsoft.com/office/drawing/2010/main" val="0"/>
                      </a:ext>
                    </a:extLst>
                  </a:blip>
                  <a:stretch>
                    <a:fillRect/>
                  </a:stretch>
                </pic:blipFill>
                <pic:spPr>
                  <a:xfrm>
                    <a:off x="0" y="0"/>
                    <a:ext cx="1343025" cy="222250"/>
                  </a:xfrm>
                  <a:prstGeom prst="rect">
                    <a:avLst/>
                  </a:prstGeom>
                </pic:spPr>
              </pic:pic>
            </a:graphicData>
          </a:graphic>
          <wp14:sizeRelH relativeFrom="margin">
            <wp14:pctWidth>0</wp14:pctWidth>
          </wp14:sizeRelH>
          <wp14:sizeRelV relativeFrom="margin">
            <wp14:pctHeight>0</wp14:pctHeight>
          </wp14:sizeRelV>
        </wp:anchor>
      </w:drawing>
    </w:r>
    <w:r w:rsidR="00942A9F">
      <w:rPr>
        <w:noProof/>
        <w:lang w:val="en-AU" w:eastAsia="en-AU"/>
      </w:rPr>
      <w:drawing>
        <wp:anchor distT="0" distB="2667" distL="114300" distR="114300" simplePos="0" relativeHeight="251654144" behindDoc="0" locked="0" layoutInCell="1" allowOverlap="1" wp14:anchorId="1BBF3504" wp14:editId="11619679">
          <wp:simplePos x="0" y="0"/>
          <wp:positionH relativeFrom="column">
            <wp:posOffset>6486525</wp:posOffset>
          </wp:positionH>
          <wp:positionV relativeFrom="paragraph">
            <wp:posOffset>9852025</wp:posOffset>
          </wp:positionV>
          <wp:extent cx="867410" cy="618998"/>
          <wp:effectExtent l="0" t="0" r="8890" b="0"/>
          <wp:wrapNone/>
          <wp:docPr id="4" name="Picture 5" descr="AFDo logo" title="AFD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FDo logo" title="AFDO logo"/>
                  <pic:cNvPicPr/>
                </pic:nvPicPr>
                <pic:blipFill>
                  <a:blip r:embed="rId1" cstate="print">
                    <a:extLst>
                      <a:ext uri="{28A0092B-C50C-407E-A947-70E740481C1C}">
                        <a14:useLocalDpi xmlns:a14="http://schemas.microsoft.com/office/drawing/2010/main" val="0"/>
                      </a:ext>
                    </a:extLst>
                  </a:blip>
                  <a:stretch>
                    <a:fillRect/>
                  </a:stretch>
                </pic:blipFill>
                <pic:spPr>
                  <a:xfrm>
                    <a:off x="0" y="0"/>
                    <a:ext cx="867410" cy="61849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043636" w14:textId="77777777" w:rsidR="00942A9F" w:rsidRDefault="00942A9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08942070"/>
      <w:docPartObj>
        <w:docPartGallery w:val="Page Numbers (Bottom of Page)"/>
        <w:docPartUnique/>
      </w:docPartObj>
    </w:sdtPr>
    <w:sdtEndPr>
      <w:rPr>
        <w:noProof/>
        <w:sz w:val="28"/>
        <w:szCs w:val="28"/>
      </w:rPr>
    </w:sdtEndPr>
    <w:sdtContent>
      <w:p w14:paraId="33771DDE" w14:textId="77777777" w:rsidR="00942A9F" w:rsidRPr="009F1A6D" w:rsidRDefault="00942A9F">
        <w:pPr>
          <w:pStyle w:val="Footer"/>
          <w:jc w:val="center"/>
          <w:rPr>
            <w:sz w:val="28"/>
            <w:szCs w:val="28"/>
          </w:rPr>
        </w:pPr>
        <w:r w:rsidRPr="009F1A6D">
          <w:rPr>
            <w:sz w:val="28"/>
            <w:szCs w:val="28"/>
          </w:rPr>
          <w:fldChar w:fldCharType="begin"/>
        </w:r>
        <w:r w:rsidRPr="009F1A6D">
          <w:rPr>
            <w:sz w:val="28"/>
            <w:szCs w:val="28"/>
          </w:rPr>
          <w:instrText xml:space="preserve"> PAGE   \* MERGEFORMAT </w:instrText>
        </w:r>
        <w:r w:rsidRPr="009F1A6D">
          <w:rPr>
            <w:sz w:val="28"/>
            <w:szCs w:val="28"/>
          </w:rPr>
          <w:fldChar w:fldCharType="separate"/>
        </w:r>
        <w:r w:rsidR="000B4331">
          <w:rPr>
            <w:noProof/>
            <w:sz w:val="28"/>
            <w:szCs w:val="28"/>
          </w:rPr>
          <w:t>4</w:t>
        </w:r>
        <w:r w:rsidRPr="009F1A6D">
          <w:rPr>
            <w:noProof/>
            <w:sz w:val="28"/>
            <w:szCs w:val="28"/>
          </w:rPr>
          <w:fldChar w:fldCharType="end"/>
        </w:r>
      </w:p>
    </w:sdtContent>
  </w:sdt>
  <w:p w14:paraId="7BC1AB75" w14:textId="77777777" w:rsidR="00942A9F" w:rsidRDefault="00942A9F" w:rsidP="004D6D08">
    <w:pPr>
      <w:pStyle w:val="Footer"/>
      <w:tabs>
        <w:tab w:val="clear" w:pos="8640"/>
        <w:tab w:val="right" w:pos="9639"/>
      </w:tabs>
    </w:pPr>
    <w:r>
      <w:rPr>
        <w:noProof/>
        <w:lang w:val="en-AU" w:eastAsia="en-AU"/>
      </w:rPr>
      <mc:AlternateContent>
        <mc:Choice Requires="wps">
          <w:drawing>
            <wp:anchor distT="0" distB="0" distL="114300" distR="114300" simplePos="0" relativeHeight="251661312" behindDoc="0" locked="0" layoutInCell="1" allowOverlap="1" wp14:anchorId="67D66663" wp14:editId="2722DA47">
              <wp:simplePos x="0" y="0"/>
              <wp:positionH relativeFrom="column">
                <wp:posOffset>-1099820</wp:posOffset>
              </wp:positionH>
              <wp:positionV relativeFrom="paragraph">
                <wp:posOffset>409575</wp:posOffset>
              </wp:positionV>
              <wp:extent cx="8093075" cy="777875"/>
              <wp:effectExtent l="0" t="0" r="3175" b="3175"/>
              <wp:wrapNone/>
              <wp:docPr id="11" name="Rectangle 11" descr="Decorative element"/>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93075" cy="777875"/>
                      </a:xfrm>
                      <a:prstGeom prst="rect">
                        <a:avLst/>
                      </a:prstGeom>
                      <a:solidFill>
                        <a:srgbClr val="00969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4F7F16" id="Rectangle 11" o:spid="_x0000_s1026" alt="Decorative element" style="position:absolute;margin-left:-86.6pt;margin-top:32.25pt;width:637.25pt;height:6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" fillcolor="#009690" stroked="f"/>
          </w:pict>
        </mc:Fallback>
      </mc:AlternateContent>
    </w:r>
    <w:r>
      <w:rPr>
        <w:noProof/>
        <w:lang w:val="en-AU" w:eastAsia="en-AU"/>
      </w:rPr>
      <mc:AlternateContent>
        <mc:Choice Requires="wps">
          <w:drawing>
            <wp:anchor distT="0" distB="0" distL="114300" distR="114300" simplePos="0" relativeHeight="251663360" behindDoc="0" locked="0" layoutInCell="1" allowOverlap="1" wp14:anchorId="7F1CA85C" wp14:editId="3E2E4136">
              <wp:simplePos x="0" y="0"/>
              <wp:positionH relativeFrom="column">
                <wp:posOffset>-1101090</wp:posOffset>
              </wp:positionH>
              <wp:positionV relativeFrom="paragraph">
                <wp:posOffset>238760</wp:posOffset>
              </wp:positionV>
              <wp:extent cx="8093075" cy="240030"/>
              <wp:effectExtent l="0" t="0" r="3175" b="7620"/>
              <wp:wrapNone/>
              <wp:docPr id="12" name="Rectangle 12" descr="Decorative element"/>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93075" cy="240030"/>
                      </a:xfrm>
                      <a:prstGeom prst="rect">
                        <a:avLst/>
                      </a:prstGeom>
                      <a:solidFill>
                        <a:srgbClr val="41190B"/>
                      </a:solidFill>
                      <a:ln>
                        <a:noFill/>
                      </a:ln>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CBD955" id="Rectangle 12" o:spid="_x0000_s1026" alt="Decorative element" style="position:absolute;margin-left:-86.7pt;margin-top:18.8pt;width:637.25pt;height:18.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" fillcolor="#41190b" stroked="f"/>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0E61D3" w14:textId="77777777" w:rsidR="00942A9F" w:rsidRDefault="00942A9F">
      <w:pPr>
        <w:spacing w:after="0"/>
      </w:pPr>
      <w:r>
        <w:separator/>
      </w:r>
    </w:p>
  </w:footnote>
  <w:footnote w:type="continuationSeparator" w:id="0">
    <w:p w14:paraId="0FD9AFAA" w14:textId="77777777" w:rsidR="00942A9F" w:rsidRDefault="00942A9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FE4BE4" w14:textId="77777777" w:rsidR="00942A9F" w:rsidRPr="00990CB1" w:rsidRDefault="00942A9F" w:rsidP="004D6D08">
    <w:pPr>
      <w:pStyle w:val="Header"/>
    </w:pPr>
    <w:r>
      <w:tab/>
    </w:r>
    <w:r>
      <w:tab/>
    </w:r>
    <w:r>
      <w:tab/>
    </w:r>
    <w: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183064" w14:textId="77777777" w:rsidR="00942A9F" w:rsidRDefault="00942A9F">
    <w:pPr>
      <w:pStyle w:val="Header"/>
    </w:pPr>
  </w:p>
  <w:p w14:paraId="620559B9" w14:textId="725AE03F" w:rsidR="00942A9F" w:rsidRDefault="00942A9F"/>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426ED2" w14:textId="77777777" w:rsidR="00942A9F" w:rsidRDefault="00942A9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B98F1D" w14:textId="77777777" w:rsidR="00942A9F" w:rsidRPr="00990CB1" w:rsidRDefault="00942A9F" w:rsidP="004D6D08">
    <w:pPr>
      <w:pStyle w:val="Header"/>
    </w:pPr>
    <w:r>
      <w:tab/>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49B730" w14:textId="77777777" w:rsidR="00942A9F" w:rsidRDefault="00942A9F">
    <w:pPr>
      <w:pStyle w:val="Header"/>
    </w:pPr>
  </w:p>
  <w:p w14:paraId="7905AF2F" w14:textId="77777777" w:rsidR="00942A9F" w:rsidRDefault="00942A9F"/>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01F9A"/>
    <w:multiLevelType w:val="hybridMultilevel"/>
    <w:tmpl w:val="09F2FE7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2DA205F"/>
    <w:multiLevelType w:val="hybridMultilevel"/>
    <w:tmpl w:val="04D845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CA07C11"/>
    <w:multiLevelType w:val="hybridMultilevel"/>
    <w:tmpl w:val="DF08EE72"/>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1FD48BD"/>
    <w:multiLevelType w:val="hybridMultilevel"/>
    <w:tmpl w:val="C804C9AE"/>
    <w:lvl w:ilvl="0" w:tplc="7B643738">
      <w:numFmt w:val="bullet"/>
      <w:lvlText w:val="•"/>
      <w:lvlJc w:val="left"/>
      <w:pPr>
        <w:ind w:left="1080" w:hanging="720"/>
      </w:pPr>
      <w:rPr>
        <w:rFonts w:ascii="Arial" w:eastAsia="Cambria"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5936BEC"/>
    <w:multiLevelType w:val="hybridMultilevel"/>
    <w:tmpl w:val="3BBE596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6FE4EF7"/>
    <w:multiLevelType w:val="hybridMultilevel"/>
    <w:tmpl w:val="A4140BEE"/>
    <w:lvl w:ilvl="0" w:tplc="0C090001">
      <w:start w:val="1"/>
      <w:numFmt w:val="bullet"/>
      <w:lvlText w:val=""/>
      <w:lvlJc w:val="left"/>
      <w:pPr>
        <w:ind w:left="360" w:hanging="360"/>
      </w:pPr>
      <w:rPr>
        <w:rFonts w:ascii="Symbol" w:hAnsi="Symbol" w:hint="default"/>
      </w:rPr>
    </w:lvl>
    <w:lvl w:ilvl="1" w:tplc="3FDC3102">
      <w:numFmt w:val="bullet"/>
      <w:lvlText w:val="•"/>
      <w:lvlJc w:val="left"/>
      <w:pPr>
        <w:ind w:left="1440" w:hanging="720"/>
      </w:pPr>
      <w:rPr>
        <w:rFonts w:ascii="Calibri" w:eastAsiaTheme="minorHAnsi" w:hAnsi="Calibri" w:cs="Calibri"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18912B8C"/>
    <w:multiLevelType w:val="hybridMultilevel"/>
    <w:tmpl w:val="67A80B44"/>
    <w:lvl w:ilvl="0" w:tplc="01963FAE">
      <w:start w:val="1"/>
      <w:numFmt w:val="decimal"/>
      <w:lvlText w:val="%1."/>
      <w:lvlJc w:val="left"/>
      <w:pPr>
        <w:ind w:left="360" w:hanging="360"/>
      </w:pPr>
      <w:rPr>
        <w:rFonts w:hint="default"/>
        <w:sz w:val="28"/>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1C4A6BE4"/>
    <w:multiLevelType w:val="hybridMultilevel"/>
    <w:tmpl w:val="D2B4E6E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239F4D7F"/>
    <w:multiLevelType w:val="hybridMultilevel"/>
    <w:tmpl w:val="7EB8DD1C"/>
    <w:lvl w:ilvl="0" w:tplc="0C090001">
      <w:start w:val="1"/>
      <w:numFmt w:val="bullet"/>
      <w:lvlText w:val=""/>
      <w:lvlJc w:val="left"/>
      <w:pPr>
        <w:ind w:left="1080" w:hanging="72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B836B0A"/>
    <w:multiLevelType w:val="hybridMultilevel"/>
    <w:tmpl w:val="351853C4"/>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FC25630"/>
    <w:multiLevelType w:val="hybridMultilevel"/>
    <w:tmpl w:val="8EC49C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1054D60"/>
    <w:multiLevelType w:val="hybridMultilevel"/>
    <w:tmpl w:val="154EB3AA"/>
    <w:lvl w:ilvl="0" w:tplc="0CB25278">
      <w:start w:val="1"/>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26335C1"/>
    <w:multiLevelType w:val="hybridMultilevel"/>
    <w:tmpl w:val="F7E0D68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3601491"/>
    <w:multiLevelType w:val="hybridMultilevel"/>
    <w:tmpl w:val="515C8D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6824875"/>
    <w:multiLevelType w:val="hybridMultilevel"/>
    <w:tmpl w:val="DDF49816"/>
    <w:lvl w:ilvl="0" w:tplc="0C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B9865E5"/>
    <w:multiLevelType w:val="hybridMultilevel"/>
    <w:tmpl w:val="1A94FCB4"/>
    <w:lvl w:ilvl="0" w:tplc="52CA84DA">
      <w:numFmt w:val="bullet"/>
      <w:lvlText w:val="•"/>
      <w:lvlJc w:val="left"/>
      <w:pPr>
        <w:ind w:left="1080" w:hanging="720"/>
      </w:pPr>
      <w:rPr>
        <w:rFonts w:ascii="Arial" w:eastAsia="Cambria"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DB87B63"/>
    <w:multiLevelType w:val="hybridMultilevel"/>
    <w:tmpl w:val="80083992"/>
    <w:lvl w:ilvl="0" w:tplc="2AC632C8">
      <w:numFmt w:val="bullet"/>
      <w:lvlText w:val="•"/>
      <w:lvlJc w:val="left"/>
      <w:pPr>
        <w:ind w:left="1080" w:hanging="720"/>
      </w:pPr>
      <w:rPr>
        <w:rFonts w:ascii="Arial" w:eastAsia="Cambria"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05C577E"/>
    <w:multiLevelType w:val="hybridMultilevel"/>
    <w:tmpl w:val="7870D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0F12FF8"/>
    <w:multiLevelType w:val="hybridMultilevel"/>
    <w:tmpl w:val="F6385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2171CF8"/>
    <w:multiLevelType w:val="hybridMultilevel"/>
    <w:tmpl w:val="31FAB94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43C34101"/>
    <w:multiLevelType w:val="hybridMultilevel"/>
    <w:tmpl w:val="74B82BA6"/>
    <w:lvl w:ilvl="0" w:tplc="0C090017">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929708C"/>
    <w:multiLevelType w:val="hybridMultilevel"/>
    <w:tmpl w:val="F000F3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A3751C4"/>
    <w:multiLevelType w:val="hybridMultilevel"/>
    <w:tmpl w:val="20D86B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D032376"/>
    <w:multiLevelType w:val="hybridMultilevel"/>
    <w:tmpl w:val="43D0EB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E86340E"/>
    <w:multiLevelType w:val="hybridMultilevel"/>
    <w:tmpl w:val="54EC44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0D65F05"/>
    <w:multiLevelType w:val="hybridMultilevel"/>
    <w:tmpl w:val="DF00821C"/>
    <w:lvl w:ilvl="0" w:tplc="6C64A06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2414C85"/>
    <w:multiLevelType w:val="hybridMultilevel"/>
    <w:tmpl w:val="84B0CEA4"/>
    <w:lvl w:ilvl="0" w:tplc="0C090001">
      <w:start w:val="1"/>
      <w:numFmt w:val="bullet"/>
      <w:lvlText w:val=""/>
      <w:lvlJc w:val="left"/>
      <w:pPr>
        <w:ind w:left="1080" w:hanging="72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272199F"/>
    <w:multiLevelType w:val="hybridMultilevel"/>
    <w:tmpl w:val="4D504C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FA86CFA"/>
    <w:multiLevelType w:val="hybridMultilevel"/>
    <w:tmpl w:val="44F6FB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00273A9"/>
    <w:multiLevelType w:val="hybridMultilevel"/>
    <w:tmpl w:val="74B82BA6"/>
    <w:lvl w:ilvl="0" w:tplc="0C090017">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3AE6161"/>
    <w:multiLevelType w:val="hybridMultilevel"/>
    <w:tmpl w:val="322E8C30"/>
    <w:lvl w:ilvl="0" w:tplc="0C090001">
      <w:start w:val="1"/>
      <w:numFmt w:val="bullet"/>
      <w:lvlText w:val=""/>
      <w:lvlJc w:val="left"/>
      <w:pPr>
        <w:ind w:left="1125" w:hanging="360"/>
      </w:pPr>
      <w:rPr>
        <w:rFonts w:ascii="Symbol" w:hAnsi="Symbol" w:hint="default"/>
      </w:rPr>
    </w:lvl>
    <w:lvl w:ilvl="1" w:tplc="0C090003" w:tentative="1">
      <w:start w:val="1"/>
      <w:numFmt w:val="bullet"/>
      <w:lvlText w:val="o"/>
      <w:lvlJc w:val="left"/>
      <w:pPr>
        <w:ind w:left="1845" w:hanging="360"/>
      </w:pPr>
      <w:rPr>
        <w:rFonts w:ascii="Courier New" w:hAnsi="Courier New" w:cs="Courier New" w:hint="default"/>
      </w:rPr>
    </w:lvl>
    <w:lvl w:ilvl="2" w:tplc="0C090005" w:tentative="1">
      <w:start w:val="1"/>
      <w:numFmt w:val="bullet"/>
      <w:lvlText w:val=""/>
      <w:lvlJc w:val="left"/>
      <w:pPr>
        <w:ind w:left="2565" w:hanging="360"/>
      </w:pPr>
      <w:rPr>
        <w:rFonts w:ascii="Wingdings" w:hAnsi="Wingdings" w:hint="default"/>
      </w:rPr>
    </w:lvl>
    <w:lvl w:ilvl="3" w:tplc="0C090001" w:tentative="1">
      <w:start w:val="1"/>
      <w:numFmt w:val="bullet"/>
      <w:lvlText w:val=""/>
      <w:lvlJc w:val="left"/>
      <w:pPr>
        <w:ind w:left="3285" w:hanging="360"/>
      </w:pPr>
      <w:rPr>
        <w:rFonts w:ascii="Symbol" w:hAnsi="Symbol" w:hint="default"/>
      </w:rPr>
    </w:lvl>
    <w:lvl w:ilvl="4" w:tplc="0C090003" w:tentative="1">
      <w:start w:val="1"/>
      <w:numFmt w:val="bullet"/>
      <w:lvlText w:val="o"/>
      <w:lvlJc w:val="left"/>
      <w:pPr>
        <w:ind w:left="4005" w:hanging="360"/>
      </w:pPr>
      <w:rPr>
        <w:rFonts w:ascii="Courier New" w:hAnsi="Courier New" w:cs="Courier New" w:hint="default"/>
      </w:rPr>
    </w:lvl>
    <w:lvl w:ilvl="5" w:tplc="0C090005" w:tentative="1">
      <w:start w:val="1"/>
      <w:numFmt w:val="bullet"/>
      <w:lvlText w:val=""/>
      <w:lvlJc w:val="left"/>
      <w:pPr>
        <w:ind w:left="4725" w:hanging="360"/>
      </w:pPr>
      <w:rPr>
        <w:rFonts w:ascii="Wingdings" w:hAnsi="Wingdings" w:hint="default"/>
      </w:rPr>
    </w:lvl>
    <w:lvl w:ilvl="6" w:tplc="0C090001" w:tentative="1">
      <w:start w:val="1"/>
      <w:numFmt w:val="bullet"/>
      <w:lvlText w:val=""/>
      <w:lvlJc w:val="left"/>
      <w:pPr>
        <w:ind w:left="5445" w:hanging="360"/>
      </w:pPr>
      <w:rPr>
        <w:rFonts w:ascii="Symbol" w:hAnsi="Symbol" w:hint="default"/>
      </w:rPr>
    </w:lvl>
    <w:lvl w:ilvl="7" w:tplc="0C090003" w:tentative="1">
      <w:start w:val="1"/>
      <w:numFmt w:val="bullet"/>
      <w:lvlText w:val="o"/>
      <w:lvlJc w:val="left"/>
      <w:pPr>
        <w:ind w:left="6165" w:hanging="360"/>
      </w:pPr>
      <w:rPr>
        <w:rFonts w:ascii="Courier New" w:hAnsi="Courier New" w:cs="Courier New" w:hint="default"/>
      </w:rPr>
    </w:lvl>
    <w:lvl w:ilvl="8" w:tplc="0C090005" w:tentative="1">
      <w:start w:val="1"/>
      <w:numFmt w:val="bullet"/>
      <w:lvlText w:val=""/>
      <w:lvlJc w:val="left"/>
      <w:pPr>
        <w:ind w:left="6885" w:hanging="360"/>
      </w:pPr>
      <w:rPr>
        <w:rFonts w:ascii="Wingdings" w:hAnsi="Wingdings" w:hint="default"/>
      </w:rPr>
    </w:lvl>
  </w:abstractNum>
  <w:abstractNum w:abstractNumId="31" w15:restartNumberingAfterBreak="0">
    <w:nsid w:val="65844F9F"/>
    <w:multiLevelType w:val="hybridMultilevel"/>
    <w:tmpl w:val="C6729938"/>
    <w:lvl w:ilvl="0" w:tplc="0C090001">
      <w:start w:val="1"/>
      <w:numFmt w:val="bullet"/>
      <w:lvlText w:val=""/>
      <w:lvlJc w:val="left"/>
      <w:pPr>
        <w:ind w:left="1080" w:hanging="720"/>
      </w:pPr>
      <w:rPr>
        <w:rFonts w:ascii="Symbol" w:hAnsi="Symbol" w:hint="default"/>
      </w:rPr>
    </w:lvl>
    <w:lvl w:ilvl="1" w:tplc="7048F070">
      <w:numFmt w:val="bullet"/>
      <w:lvlText w:val="•"/>
      <w:lvlJc w:val="left"/>
      <w:pPr>
        <w:ind w:left="1800" w:hanging="720"/>
      </w:pPr>
      <w:rPr>
        <w:rFonts w:ascii="Arial" w:eastAsia="Cambria"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6B2775A"/>
    <w:multiLevelType w:val="hybridMultilevel"/>
    <w:tmpl w:val="EE500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89D1AF0"/>
    <w:multiLevelType w:val="hybridMultilevel"/>
    <w:tmpl w:val="26D4F00E"/>
    <w:lvl w:ilvl="0" w:tplc="0C090017">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A7269D1"/>
    <w:multiLevelType w:val="hybridMultilevel"/>
    <w:tmpl w:val="74B82BA6"/>
    <w:lvl w:ilvl="0" w:tplc="0C090017">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BD0613E"/>
    <w:multiLevelType w:val="hybridMultilevel"/>
    <w:tmpl w:val="FFFC18B8"/>
    <w:lvl w:ilvl="0" w:tplc="0C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2033D6E"/>
    <w:multiLevelType w:val="hybridMultilevel"/>
    <w:tmpl w:val="44FE38C8"/>
    <w:lvl w:ilvl="0" w:tplc="DF80B612">
      <w:start w:val="3"/>
      <w:numFmt w:val="decimal"/>
      <w:lvlText w:val="%1."/>
      <w:lvlJc w:val="left"/>
      <w:pPr>
        <w:ind w:left="720" w:hanging="360"/>
      </w:pPr>
      <w:rPr>
        <w:rFonts w:hint="default"/>
        <w:sz w:val="2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720D27CE"/>
    <w:multiLevelType w:val="hybridMultilevel"/>
    <w:tmpl w:val="7D1AAA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BFA7D75"/>
    <w:multiLevelType w:val="singleLevel"/>
    <w:tmpl w:val="B4C476FC"/>
    <w:lvl w:ilvl="0">
      <w:start w:val="1"/>
      <w:numFmt w:val="bullet"/>
      <w:pStyle w:val="RecBullet"/>
      <w:lvlText w:val=""/>
      <w:lvlJc w:val="left"/>
      <w:pPr>
        <w:tabs>
          <w:tab w:val="num" w:pos="340"/>
        </w:tabs>
        <w:ind w:left="340" w:hanging="340"/>
      </w:pPr>
      <w:rPr>
        <w:rFonts w:ascii="Symbol" w:hAnsi="Symbol" w:hint="default"/>
        <w:b w:val="0"/>
        <w:i w:val="0"/>
        <w:sz w:val="18"/>
      </w:rPr>
    </w:lvl>
  </w:abstractNum>
  <w:abstractNum w:abstractNumId="39" w15:restartNumberingAfterBreak="0">
    <w:nsid w:val="7D656E94"/>
    <w:multiLevelType w:val="hybridMultilevel"/>
    <w:tmpl w:val="694CE896"/>
    <w:lvl w:ilvl="0" w:tplc="8CEE04CC">
      <w:start w:val="1"/>
      <w:numFmt w:val="lowerLetter"/>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8"/>
  </w:num>
  <w:num w:numId="2">
    <w:abstractNumId w:val="12"/>
  </w:num>
  <w:num w:numId="3">
    <w:abstractNumId w:val="4"/>
  </w:num>
  <w:num w:numId="4">
    <w:abstractNumId w:val="38"/>
  </w:num>
  <w:num w:numId="5">
    <w:abstractNumId w:val="19"/>
  </w:num>
  <w:num w:numId="6">
    <w:abstractNumId w:val="2"/>
  </w:num>
  <w:num w:numId="7">
    <w:abstractNumId w:val="22"/>
  </w:num>
  <w:num w:numId="8">
    <w:abstractNumId w:val="21"/>
  </w:num>
  <w:num w:numId="9">
    <w:abstractNumId w:val="32"/>
  </w:num>
  <w:num w:numId="10">
    <w:abstractNumId w:val="18"/>
  </w:num>
  <w:num w:numId="11">
    <w:abstractNumId w:val="13"/>
  </w:num>
  <w:num w:numId="12">
    <w:abstractNumId w:val="10"/>
  </w:num>
  <w:num w:numId="13">
    <w:abstractNumId w:val="25"/>
  </w:num>
  <w:num w:numId="14">
    <w:abstractNumId w:val="17"/>
  </w:num>
  <w:num w:numId="15">
    <w:abstractNumId w:val="23"/>
  </w:num>
  <w:num w:numId="16">
    <w:abstractNumId w:val="5"/>
  </w:num>
  <w:num w:numId="17">
    <w:abstractNumId w:val="1"/>
  </w:num>
  <w:num w:numId="18">
    <w:abstractNumId w:val="16"/>
  </w:num>
  <w:num w:numId="19">
    <w:abstractNumId w:val="31"/>
  </w:num>
  <w:num w:numId="20">
    <w:abstractNumId w:val="27"/>
  </w:num>
  <w:num w:numId="21">
    <w:abstractNumId w:val="3"/>
  </w:num>
  <w:num w:numId="22">
    <w:abstractNumId w:val="26"/>
  </w:num>
  <w:num w:numId="23">
    <w:abstractNumId w:val="37"/>
  </w:num>
  <w:num w:numId="24">
    <w:abstractNumId w:val="15"/>
  </w:num>
  <w:num w:numId="25">
    <w:abstractNumId w:val="8"/>
  </w:num>
  <w:num w:numId="26">
    <w:abstractNumId w:val="35"/>
  </w:num>
  <w:num w:numId="27">
    <w:abstractNumId w:val="24"/>
  </w:num>
  <w:num w:numId="28">
    <w:abstractNumId w:val="33"/>
  </w:num>
  <w:num w:numId="29">
    <w:abstractNumId w:val="34"/>
  </w:num>
  <w:num w:numId="30">
    <w:abstractNumId w:val="9"/>
  </w:num>
  <w:num w:numId="31">
    <w:abstractNumId w:val="14"/>
  </w:num>
  <w:num w:numId="32">
    <w:abstractNumId w:val="29"/>
  </w:num>
  <w:num w:numId="33">
    <w:abstractNumId w:val="0"/>
  </w:num>
  <w:num w:numId="34">
    <w:abstractNumId w:val="36"/>
  </w:num>
  <w:num w:numId="35">
    <w:abstractNumId w:val="30"/>
  </w:num>
  <w:num w:numId="36">
    <w:abstractNumId w:val="11"/>
  </w:num>
  <w:num w:numId="37">
    <w:abstractNumId w:val="20"/>
  </w:num>
  <w:num w:numId="38">
    <w:abstractNumId w:val="39"/>
  </w:num>
  <w:num w:numId="39">
    <w:abstractNumId w:val="7"/>
  </w:num>
  <w:num w:numId="4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stylePaneSortMethod w:val="0000"/>
  <w:defaultTabStop w:val="720"/>
  <w:drawingGridHorizontalSpacing w:val="360"/>
  <w:drawingGridVerticalSpacing w:val="360"/>
  <w:displayHorizontalDrawingGridEvery w:val="0"/>
  <w:displayVerticalDrawingGridEvery w:val="0"/>
  <w:characterSpacingControl w:val="doNotCompress"/>
  <w:hdrShapeDefaults>
    <o:shapedefaults v:ext="edit" spidmax="57345">
      <o:colormru v:ext="edit" colors="#af1685"/>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jW2MLM0MLcwMjMwNTFU0lEKTi0uzszPAykwMqwFAD2wf18tAAAA"/>
  </w:docVars>
  <w:rsids>
    <w:rsidRoot w:val="00990CB1"/>
    <w:rsid w:val="00002CD0"/>
    <w:rsid w:val="0001024A"/>
    <w:rsid w:val="00016F40"/>
    <w:rsid w:val="0003483B"/>
    <w:rsid w:val="00035CC5"/>
    <w:rsid w:val="00037048"/>
    <w:rsid w:val="000413D5"/>
    <w:rsid w:val="0004409F"/>
    <w:rsid w:val="00045D81"/>
    <w:rsid w:val="000B4331"/>
    <w:rsid w:val="000B6263"/>
    <w:rsid w:val="000D531D"/>
    <w:rsid w:val="000F0758"/>
    <w:rsid w:val="000F63C5"/>
    <w:rsid w:val="000F7E41"/>
    <w:rsid w:val="00110A2F"/>
    <w:rsid w:val="001339BA"/>
    <w:rsid w:val="00135C72"/>
    <w:rsid w:val="001437BF"/>
    <w:rsid w:val="00160F24"/>
    <w:rsid w:val="00162198"/>
    <w:rsid w:val="001A123E"/>
    <w:rsid w:val="001D0459"/>
    <w:rsid w:val="001D3719"/>
    <w:rsid w:val="00217507"/>
    <w:rsid w:val="00234C33"/>
    <w:rsid w:val="00234D0F"/>
    <w:rsid w:val="00237EFA"/>
    <w:rsid w:val="002675D2"/>
    <w:rsid w:val="0029191F"/>
    <w:rsid w:val="002A789C"/>
    <w:rsid w:val="002B5378"/>
    <w:rsid w:val="002E1922"/>
    <w:rsid w:val="002E44C0"/>
    <w:rsid w:val="002E558B"/>
    <w:rsid w:val="002F0797"/>
    <w:rsid w:val="00300B46"/>
    <w:rsid w:val="00304B05"/>
    <w:rsid w:val="003365FD"/>
    <w:rsid w:val="00336709"/>
    <w:rsid w:val="003615B6"/>
    <w:rsid w:val="0036167E"/>
    <w:rsid w:val="00362890"/>
    <w:rsid w:val="00362DD8"/>
    <w:rsid w:val="003641CE"/>
    <w:rsid w:val="00370AFA"/>
    <w:rsid w:val="0038046D"/>
    <w:rsid w:val="00386983"/>
    <w:rsid w:val="003A13C7"/>
    <w:rsid w:val="003A4D29"/>
    <w:rsid w:val="003A7845"/>
    <w:rsid w:val="003C0C89"/>
    <w:rsid w:val="003C5F51"/>
    <w:rsid w:val="003E7F6E"/>
    <w:rsid w:val="00424A0A"/>
    <w:rsid w:val="00431A90"/>
    <w:rsid w:val="00445F89"/>
    <w:rsid w:val="004512BE"/>
    <w:rsid w:val="00460436"/>
    <w:rsid w:val="00476254"/>
    <w:rsid w:val="00495415"/>
    <w:rsid w:val="004B2569"/>
    <w:rsid w:val="004B2DC1"/>
    <w:rsid w:val="004B3D3F"/>
    <w:rsid w:val="004B420D"/>
    <w:rsid w:val="004D6D08"/>
    <w:rsid w:val="00523362"/>
    <w:rsid w:val="0052531C"/>
    <w:rsid w:val="00572966"/>
    <w:rsid w:val="00592BFE"/>
    <w:rsid w:val="005A06DC"/>
    <w:rsid w:val="005B06C9"/>
    <w:rsid w:val="005C28F2"/>
    <w:rsid w:val="005D1E2A"/>
    <w:rsid w:val="005E1818"/>
    <w:rsid w:val="005E3D2C"/>
    <w:rsid w:val="005E5911"/>
    <w:rsid w:val="005F3E74"/>
    <w:rsid w:val="006259F7"/>
    <w:rsid w:val="00631B7B"/>
    <w:rsid w:val="0064578C"/>
    <w:rsid w:val="00651905"/>
    <w:rsid w:val="00683FF2"/>
    <w:rsid w:val="00684792"/>
    <w:rsid w:val="006926E4"/>
    <w:rsid w:val="0069363D"/>
    <w:rsid w:val="006B277B"/>
    <w:rsid w:val="006B7B0E"/>
    <w:rsid w:val="006D6D77"/>
    <w:rsid w:val="006F4CAC"/>
    <w:rsid w:val="00711789"/>
    <w:rsid w:val="00723C6F"/>
    <w:rsid w:val="007278E3"/>
    <w:rsid w:val="00760D64"/>
    <w:rsid w:val="0077394C"/>
    <w:rsid w:val="00794803"/>
    <w:rsid w:val="007A1CC9"/>
    <w:rsid w:val="007A44BB"/>
    <w:rsid w:val="007B00D1"/>
    <w:rsid w:val="008016F4"/>
    <w:rsid w:val="00802B27"/>
    <w:rsid w:val="00816F20"/>
    <w:rsid w:val="00825715"/>
    <w:rsid w:val="008278AF"/>
    <w:rsid w:val="00856F3F"/>
    <w:rsid w:val="00865289"/>
    <w:rsid w:val="00881553"/>
    <w:rsid w:val="00896831"/>
    <w:rsid w:val="008A4AF0"/>
    <w:rsid w:val="008B0405"/>
    <w:rsid w:val="008B4E32"/>
    <w:rsid w:val="008B6B64"/>
    <w:rsid w:val="008C21BB"/>
    <w:rsid w:val="008C587D"/>
    <w:rsid w:val="008D73BD"/>
    <w:rsid w:val="008E4649"/>
    <w:rsid w:val="009336E5"/>
    <w:rsid w:val="00937B5E"/>
    <w:rsid w:val="00942A9F"/>
    <w:rsid w:val="00974A67"/>
    <w:rsid w:val="00987378"/>
    <w:rsid w:val="00987564"/>
    <w:rsid w:val="00990CB1"/>
    <w:rsid w:val="0099374D"/>
    <w:rsid w:val="00997FAA"/>
    <w:rsid w:val="009B0BD9"/>
    <w:rsid w:val="009D3427"/>
    <w:rsid w:val="009E28C7"/>
    <w:rsid w:val="009E54F3"/>
    <w:rsid w:val="009F1A6D"/>
    <w:rsid w:val="00A1093C"/>
    <w:rsid w:val="00A16D64"/>
    <w:rsid w:val="00A268C0"/>
    <w:rsid w:val="00A2736D"/>
    <w:rsid w:val="00A42210"/>
    <w:rsid w:val="00A66A22"/>
    <w:rsid w:val="00A67D1A"/>
    <w:rsid w:val="00A81922"/>
    <w:rsid w:val="00A846F6"/>
    <w:rsid w:val="00A909F3"/>
    <w:rsid w:val="00A94BD3"/>
    <w:rsid w:val="00AA0766"/>
    <w:rsid w:val="00AB40EE"/>
    <w:rsid w:val="00AC5CA2"/>
    <w:rsid w:val="00AE312F"/>
    <w:rsid w:val="00AF5C51"/>
    <w:rsid w:val="00B0479B"/>
    <w:rsid w:val="00B42608"/>
    <w:rsid w:val="00B4673C"/>
    <w:rsid w:val="00B50355"/>
    <w:rsid w:val="00B70353"/>
    <w:rsid w:val="00B82E96"/>
    <w:rsid w:val="00BA1AF8"/>
    <w:rsid w:val="00BD723F"/>
    <w:rsid w:val="00BF30C0"/>
    <w:rsid w:val="00BF650A"/>
    <w:rsid w:val="00C104F1"/>
    <w:rsid w:val="00C200DB"/>
    <w:rsid w:val="00C276D0"/>
    <w:rsid w:val="00C8279C"/>
    <w:rsid w:val="00C8709B"/>
    <w:rsid w:val="00C90CA2"/>
    <w:rsid w:val="00CC4314"/>
    <w:rsid w:val="00D2126D"/>
    <w:rsid w:val="00D21FC4"/>
    <w:rsid w:val="00D32DEB"/>
    <w:rsid w:val="00D4396B"/>
    <w:rsid w:val="00D52945"/>
    <w:rsid w:val="00D62EB6"/>
    <w:rsid w:val="00D71E35"/>
    <w:rsid w:val="00D90348"/>
    <w:rsid w:val="00D968D1"/>
    <w:rsid w:val="00DB7565"/>
    <w:rsid w:val="00DF5082"/>
    <w:rsid w:val="00E00AF5"/>
    <w:rsid w:val="00E103AB"/>
    <w:rsid w:val="00E22000"/>
    <w:rsid w:val="00E258B2"/>
    <w:rsid w:val="00E37C2E"/>
    <w:rsid w:val="00E412A7"/>
    <w:rsid w:val="00E47779"/>
    <w:rsid w:val="00E658B5"/>
    <w:rsid w:val="00E94E8F"/>
    <w:rsid w:val="00E95952"/>
    <w:rsid w:val="00EA4FB9"/>
    <w:rsid w:val="00EA7BCC"/>
    <w:rsid w:val="00EB2276"/>
    <w:rsid w:val="00EC159E"/>
    <w:rsid w:val="00EC1E5C"/>
    <w:rsid w:val="00EE0521"/>
    <w:rsid w:val="00EF79CE"/>
    <w:rsid w:val="00F12953"/>
    <w:rsid w:val="00F23C52"/>
    <w:rsid w:val="00F26DC5"/>
    <w:rsid w:val="00F54F37"/>
    <w:rsid w:val="00FA1850"/>
    <w:rsid w:val="00FB63A7"/>
    <w:rsid w:val="00FD04E6"/>
    <w:rsid w:val="00FD3DC0"/>
  </w:rsids>
  <m:mathPr>
    <m:mathFont m:val="Cambria Math"/>
    <m:brkBin m:val="before"/>
    <m:brkBinSub m:val="--"/>
    <m:smallFrac m:val="0"/>
    <m:dispDef m:val="0"/>
    <m:lMargin m:val="0"/>
    <m:rMargin m:val="0"/>
    <m:defJc m:val="centerGroup"/>
    <m:wrapRight/>
    <m:intLim m:val="subSup"/>
    <m:naryLim m:val="subSup"/>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7345">
      <o:colormru v:ext="edit" colors="#af1685"/>
    </o:shapedefaults>
    <o:shapelayout v:ext="edit">
      <o:idmap v:ext="edit" data="1"/>
    </o:shapelayout>
  </w:shapeDefaults>
  <w:decimalSymbol w:val="."/>
  <w:listSeparator w:val=","/>
  <w14:docId w14:val="5591B5F7"/>
  <w15:docId w15:val="{9F48D6DC-F2CC-4809-A3CE-6550DD8AC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Cambria" w:hAnsi="Cambria"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1905"/>
    <w:pPr>
      <w:spacing w:after="200" w:line="276" w:lineRule="auto"/>
    </w:pPr>
    <w:rPr>
      <w:rFonts w:ascii="Arial" w:hAnsi="Arial"/>
      <w:kern w:val="24"/>
      <w:sz w:val="24"/>
      <w:szCs w:val="24"/>
      <w:lang w:val="en-US" w:eastAsia="en-US"/>
    </w:rPr>
  </w:style>
  <w:style w:type="paragraph" w:styleId="Heading1">
    <w:name w:val="heading 1"/>
    <w:basedOn w:val="Normal"/>
    <w:next w:val="Normal"/>
    <w:link w:val="Heading1Char"/>
    <w:uiPriority w:val="9"/>
    <w:qFormat/>
    <w:rsid w:val="00B42608"/>
    <w:pPr>
      <w:keepNext/>
      <w:spacing w:before="240" w:after="60"/>
      <w:outlineLvl w:val="0"/>
    </w:pPr>
    <w:rPr>
      <w:rFonts w:eastAsia="Times New Roman"/>
      <w:b/>
      <w:bCs/>
      <w:color w:val="404040"/>
      <w:kern w:val="32"/>
      <w:sz w:val="72"/>
      <w:szCs w:val="32"/>
    </w:rPr>
  </w:style>
  <w:style w:type="paragraph" w:styleId="Heading2">
    <w:name w:val="heading 2"/>
    <w:next w:val="Normal"/>
    <w:link w:val="Heading2Char"/>
    <w:uiPriority w:val="9"/>
    <w:unhideWhenUsed/>
    <w:qFormat/>
    <w:rsid w:val="00592BFE"/>
    <w:pPr>
      <w:keepNext/>
      <w:pageBreakBefore/>
      <w:spacing w:after="240" w:line="276" w:lineRule="auto"/>
      <w:outlineLvl w:val="1"/>
    </w:pPr>
    <w:rPr>
      <w:rFonts w:ascii="Arial" w:eastAsia="Times New Roman" w:hAnsi="Arial"/>
      <w:b/>
      <w:bCs/>
      <w:color w:val="00767F"/>
      <w:kern w:val="28"/>
      <w:sz w:val="44"/>
      <w:szCs w:val="44"/>
      <w:lang w:eastAsia="en-US"/>
    </w:rPr>
  </w:style>
  <w:style w:type="paragraph" w:styleId="Heading3">
    <w:name w:val="heading 3"/>
    <w:next w:val="Normal"/>
    <w:link w:val="Heading3Char"/>
    <w:autoRedefine/>
    <w:uiPriority w:val="9"/>
    <w:unhideWhenUsed/>
    <w:qFormat/>
    <w:rsid w:val="00C8279C"/>
    <w:pPr>
      <w:keepNext/>
      <w:keepLines/>
      <w:spacing w:before="240" w:after="240"/>
      <w:outlineLvl w:val="2"/>
    </w:pPr>
    <w:rPr>
      <w:rFonts w:ascii="Arial" w:eastAsia="Times New Roman" w:hAnsi="Arial" w:cs="Arial"/>
      <w:b/>
      <w:bCs/>
      <w:color w:val="000000" w:themeColor="text1"/>
      <w:sz w:val="28"/>
      <w:szCs w:val="32"/>
      <w:lang w:val="en-US" w:eastAsia="en-US"/>
    </w:rPr>
  </w:style>
  <w:style w:type="paragraph" w:styleId="Heading4">
    <w:name w:val="heading 4"/>
    <w:basedOn w:val="Normal"/>
    <w:next w:val="Normal"/>
    <w:link w:val="Heading4Char"/>
    <w:uiPriority w:val="9"/>
    <w:unhideWhenUsed/>
    <w:qFormat/>
    <w:rsid w:val="006926E4"/>
    <w:pPr>
      <w:keepNext/>
      <w:keepLines/>
      <w:spacing w:before="40" w:after="0"/>
      <w:outlineLvl w:val="3"/>
    </w:pPr>
    <w:rPr>
      <w:rFonts w:eastAsiaTheme="majorEastAsia" w:cstheme="majorBidi"/>
      <w:b/>
      <w:i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0CB1"/>
    <w:pPr>
      <w:tabs>
        <w:tab w:val="center" w:pos="4320"/>
        <w:tab w:val="right" w:pos="8640"/>
      </w:tabs>
      <w:spacing w:after="0"/>
    </w:pPr>
  </w:style>
  <w:style w:type="character" w:customStyle="1" w:styleId="HeaderChar">
    <w:name w:val="Header Char"/>
    <w:basedOn w:val="DefaultParagraphFont"/>
    <w:link w:val="Header"/>
    <w:uiPriority w:val="99"/>
    <w:rsid w:val="00990CB1"/>
  </w:style>
  <w:style w:type="paragraph" w:styleId="Footer">
    <w:name w:val="footer"/>
    <w:basedOn w:val="Normal"/>
    <w:link w:val="FooterChar"/>
    <w:uiPriority w:val="99"/>
    <w:unhideWhenUsed/>
    <w:rsid w:val="00990CB1"/>
    <w:pPr>
      <w:tabs>
        <w:tab w:val="center" w:pos="4320"/>
        <w:tab w:val="right" w:pos="8640"/>
      </w:tabs>
      <w:spacing w:after="0"/>
    </w:pPr>
  </w:style>
  <w:style w:type="character" w:customStyle="1" w:styleId="FooterChar">
    <w:name w:val="Footer Char"/>
    <w:basedOn w:val="DefaultParagraphFont"/>
    <w:link w:val="Footer"/>
    <w:uiPriority w:val="99"/>
    <w:rsid w:val="00990CB1"/>
  </w:style>
  <w:style w:type="character" w:customStyle="1" w:styleId="Heading1Char">
    <w:name w:val="Heading 1 Char"/>
    <w:link w:val="Heading1"/>
    <w:uiPriority w:val="9"/>
    <w:rsid w:val="00B42608"/>
    <w:rPr>
      <w:rFonts w:ascii="Arial" w:eastAsia="Times New Roman" w:hAnsi="Arial"/>
      <w:b/>
      <w:bCs/>
      <w:color w:val="404040"/>
      <w:kern w:val="32"/>
      <w:sz w:val="72"/>
      <w:szCs w:val="32"/>
      <w:lang w:val="en-US" w:eastAsia="en-US"/>
    </w:rPr>
  </w:style>
  <w:style w:type="paragraph" w:styleId="Title">
    <w:name w:val="Title"/>
    <w:next w:val="Normal"/>
    <w:link w:val="TitleChar"/>
    <w:uiPriority w:val="10"/>
    <w:qFormat/>
    <w:rsid w:val="00B42608"/>
    <w:pPr>
      <w:spacing w:before="240" w:after="60"/>
      <w:outlineLvl w:val="0"/>
    </w:pPr>
    <w:rPr>
      <w:rFonts w:ascii="Arial" w:eastAsia="Times New Roman" w:hAnsi="Arial"/>
      <w:b/>
      <w:bCs/>
      <w:color w:val="404040"/>
      <w:kern w:val="28"/>
      <w:sz w:val="24"/>
      <w:szCs w:val="32"/>
      <w:lang w:val="en-US" w:eastAsia="en-US"/>
    </w:rPr>
  </w:style>
  <w:style w:type="character" w:customStyle="1" w:styleId="TitleChar">
    <w:name w:val="Title Char"/>
    <w:link w:val="Title"/>
    <w:uiPriority w:val="10"/>
    <w:rsid w:val="00B42608"/>
    <w:rPr>
      <w:rFonts w:ascii="Arial" w:eastAsia="Times New Roman" w:hAnsi="Arial"/>
      <w:b/>
      <w:bCs/>
      <w:color w:val="404040"/>
      <w:kern w:val="28"/>
      <w:sz w:val="24"/>
      <w:szCs w:val="32"/>
      <w:lang w:val="en-US" w:eastAsia="en-US"/>
    </w:rPr>
  </w:style>
  <w:style w:type="table" w:styleId="TableGrid">
    <w:name w:val="Table Grid"/>
    <w:basedOn w:val="TableNormal"/>
    <w:uiPriority w:val="59"/>
    <w:rsid w:val="00A909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ColorfulGrid-Accent1">
    <w:name w:val="Colorful Grid Accent 1"/>
    <w:basedOn w:val="TableNormal"/>
    <w:uiPriority w:val="29"/>
    <w:qFormat/>
    <w:rsid w:val="00A909F3"/>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paragraph" w:styleId="Subtitle">
    <w:name w:val="Subtitle"/>
    <w:basedOn w:val="Normal"/>
    <w:next w:val="Normal"/>
    <w:link w:val="SubtitleChar"/>
    <w:uiPriority w:val="11"/>
    <w:qFormat/>
    <w:rsid w:val="00A42210"/>
    <w:pPr>
      <w:spacing w:after="60"/>
      <w:outlineLvl w:val="1"/>
    </w:pPr>
    <w:rPr>
      <w:rFonts w:eastAsia="Times New Roman"/>
      <w:b/>
      <w:color w:val="262262"/>
      <w:sz w:val="22"/>
    </w:rPr>
  </w:style>
  <w:style w:type="character" w:customStyle="1" w:styleId="SubtitleChar">
    <w:name w:val="Subtitle Char"/>
    <w:link w:val="Subtitle"/>
    <w:uiPriority w:val="11"/>
    <w:rsid w:val="00A42210"/>
    <w:rPr>
      <w:rFonts w:ascii="Gill Sans MT" w:eastAsia="Times New Roman" w:hAnsi="Gill Sans MT" w:cs="Times New Roman"/>
      <w:b/>
      <w:color w:val="262262"/>
      <w:sz w:val="22"/>
      <w:szCs w:val="24"/>
      <w:lang w:val="en-US" w:eastAsia="en-US"/>
    </w:rPr>
  </w:style>
  <w:style w:type="character" w:customStyle="1" w:styleId="Heading2Char">
    <w:name w:val="Heading 2 Char"/>
    <w:link w:val="Heading2"/>
    <w:uiPriority w:val="9"/>
    <w:rsid w:val="00592BFE"/>
    <w:rPr>
      <w:rFonts w:ascii="Arial" w:eastAsia="Times New Roman" w:hAnsi="Arial"/>
      <w:b/>
      <w:bCs/>
      <w:color w:val="00767F"/>
      <w:kern w:val="28"/>
      <w:sz w:val="44"/>
      <w:szCs w:val="44"/>
      <w:lang w:eastAsia="en-US"/>
    </w:rPr>
  </w:style>
  <w:style w:type="character" w:customStyle="1" w:styleId="Heading3Char">
    <w:name w:val="Heading 3 Char"/>
    <w:link w:val="Heading3"/>
    <w:uiPriority w:val="9"/>
    <w:rsid w:val="00C8279C"/>
    <w:rPr>
      <w:rFonts w:ascii="Arial" w:eastAsia="Times New Roman" w:hAnsi="Arial" w:cs="Arial"/>
      <w:b/>
      <w:bCs/>
      <w:color w:val="000000" w:themeColor="text1"/>
      <w:sz w:val="28"/>
      <w:szCs w:val="32"/>
      <w:lang w:val="en-US" w:eastAsia="en-US"/>
    </w:rPr>
  </w:style>
  <w:style w:type="character" w:styleId="Hyperlink">
    <w:name w:val="Hyperlink"/>
    <w:uiPriority w:val="99"/>
    <w:unhideWhenUsed/>
    <w:rsid w:val="00D52945"/>
    <w:rPr>
      <w:color w:val="000000"/>
      <w:u w:val="single"/>
    </w:rPr>
  </w:style>
  <w:style w:type="paragraph" w:styleId="NormalWeb">
    <w:name w:val="Normal (Web)"/>
    <w:basedOn w:val="Normal"/>
    <w:uiPriority w:val="99"/>
    <w:semiHidden/>
    <w:unhideWhenUsed/>
    <w:rsid w:val="00D52945"/>
    <w:pPr>
      <w:spacing w:before="100" w:beforeAutospacing="1" w:after="100" w:afterAutospacing="1"/>
    </w:pPr>
    <w:rPr>
      <w:rFonts w:ascii="Times New Roman" w:eastAsia="Times New Roman" w:hAnsi="Times New Roman"/>
      <w:lang w:val="en-AU" w:eastAsia="en-AU"/>
    </w:rPr>
  </w:style>
  <w:style w:type="character" w:styleId="Strong">
    <w:name w:val="Strong"/>
    <w:uiPriority w:val="22"/>
    <w:qFormat/>
    <w:rsid w:val="004B420D"/>
    <w:rPr>
      <w:b/>
      <w:bCs/>
    </w:rPr>
  </w:style>
  <w:style w:type="character" w:styleId="Emphasis">
    <w:name w:val="Emphasis"/>
    <w:uiPriority w:val="20"/>
    <w:qFormat/>
    <w:rsid w:val="004B420D"/>
    <w:rPr>
      <w:rFonts w:ascii="Arial" w:hAnsi="Arial"/>
      <w:b/>
      <w:i w:val="0"/>
      <w:iCs/>
      <w:color w:val="00767F"/>
      <w:sz w:val="28"/>
    </w:rPr>
  </w:style>
  <w:style w:type="paragraph" w:styleId="BalloonText">
    <w:name w:val="Balloon Text"/>
    <w:basedOn w:val="Normal"/>
    <w:link w:val="BalloonTextChar"/>
    <w:uiPriority w:val="99"/>
    <w:semiHidden/>
    <w:unhideWhenUsed/>
    <w:rsid w:val="009F1A6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1A6D"/>
    <w:rPr>
      <w:rFonts w:ascii="Tahoma" w:hAnsi="Tahoma" w:cs="Tahoma"/>
      <w:sz w:val="16"/>
      <w:szCs w:val="16"/>
      <w:lang w:val="en-US" w:eastAsia="en-US"/>
    </w:rPr>
  </w:style>
  <w:style w:type="paragraph" w:styleId="ListParagraph">
    <w:name w:val="List Paragraph"/>
    <w:aliases w:val="Summary bullet point,L,List Paragraph1,List Paragraph11,Recommendation"/>
    <w:basedOn w:val="Normal"/>
    <w:link w:val="ListParagraphChar"/>
    <w:uiPriority w:val="34"/>
    <w:qFormat/>
    <w:rsid w:val="00592BFE"/>
    <w:pPr>
      <w:spacing w:before="240" w:after="240"/>
      <w:ind w:left="720"/>
      <w:contextualSpacing/>
    </w:pPr>
    <w:rPr>
      <w:rFonts w:eastAsiaTheme="minorHAnsi" w:cstheme="minorBidi"/>
      <w:lang w:val="en-AU"/>
    </w:rPr>
  </w:style>
  <w:style w:type="character" w:styleId="CommentReference">
    <w:name w:val="annotation reference"/>
    <w:basedOn w:val="DefaultParagraphFont"/>
    <w:uiPriority w:val="99"/>
    <w:semiHidden/>
    <w:unhideWhenUsed/>
    <w:rsid w:val="008C21BB"/>
    <w:rPr>
      <w:sz w:val="18"/>
      <w:szCs w:val="18"/>
    </w:rPr>
  </w:style>
  <w:style w:type="paragraph" w:styleId="CommentText">
    <w:name w:val="annotation text"/>
    <w:basedOn w:val="Normal"/>
    <w:link w:val="CommentTextChar"/>
    <w:uiPriority w:val="99"/>
    <w:semiHidden/>
    <w:unhideWhenUsed/>
    <w:rsid w:val="008C21BB"/>
    <w:pPr>
      <w:spacing w:line="240" w:lineRule="auto"/>
    </w:pPr>
  </w:style>
  <w:style w:type="character" w:customStyle="1" w:styleId="CommentTextChar">
    <w:name w:val="Comment Text Char"/>
    <w:basedOn w:val="DefaultParagraphFont"/>
    <w:link w:val="CommentText"/>
    <w:uiPriority w:val="99"/>
    <w:semiHidden/>
    <w:rsid w:val="008C21BB"/>
    <w:rPr>
      <w:rFonts w:ascii="Arial" w:hAnsi="Arial"/>
      <w:kern w:val="24"/>
      <w:sz w:val="24"/>
      <w:szCs w:val="24"/>
      <w:lang w:val="en-US" w:eastAsia="en-US"/>
    </w:rPr>
  </w:style>
  <w:style w:type="paragraph" w:styleId="CommentSubject">
    <w:name w:val="annotation subject"/>
    <w:basedOn w:val="CommentText"/>
    <w:next w:val="CommentText"/>
    <w:link w:val="CommentSubjectChar"/>
    <w:uiPriority w:val="99"/>
    <w:semiHidden/>
    <w:unhideWhenUsed/>
    <w:rsid w:val="008C21BB"/>
    <w:rPr>
      <w:b/>
      <w:bCs/>
      <w:sz w:val="20"/>
      <w:szCs w:val="20"/>
    </w:rPr>
  </w:style>
  <w:style w:type="character" w:customStyle="1" w:styleId="CommentSubjectChar">
    <w:name w:val="Comment Subject Char"/>
    <w:basedOn w:val="CommentTextChar"/>
    <w:link w:val="CommentSubject"/>
    <w:uiPriority w:val="99"/>
    <w:semiHidden/>
    <w:rsid w:val="008C21BB"/>
    <w:rPr>
      <w:rFonts w:ascii="Arial" w:hAnsi="Arial"/>
      <w:b/>
      <w:bCs/>
      <w:kern w:val="24"/>
      <w:sz w:val="24"/>
      <w:szCs w:val="24"/>
      <w:lang w:val="en-US" w:eastAsia="en-US"/>
    </w:rPr>
  </w:style>
  <w:style w:type="paragraph" w:styleId="TOCHeading">
    <w:name w:val="TOC Heading"/>
    <w:basedOn w:val="Heading1"/>
    <w:next w:val="Normal"/>
    <w:uiPriority w:val="39"/>
    <w:semiHidden/>
    <w:unhideWhenUsed/>
    <w:qFormat/>
    <w:rsid w:val="00C90CA2"/>
    <w:pPr>
      <w:keepLines/>
      <w:spacing w:before="480" w:after="0"/>
      <w:outlineLvl w:val="9"/>
    </w:pPr>
    <w:rPr>
      <w:rFonts w:asciiTheme="majorHAnsi" w:eastAsiaTheme="majorEastAsia" w:hAnsiTheme="majorHAnsi" w:cstheme="majorBidi"/>
      <w:color w:val="2E74B5" w:themeColor="accent1" w:themeShade="BF"/>
      <w:kern w:val="0"/>
      <w:sz w:val="28"/>
      <w:szCs w:val="28"/>
      <w:lang w:eastAsia="ja-JP"/>
    </w:rPr>
  </w:style>
  <w:style w:type="paragraph" w:styleId="TOC1">
    <w:name w:val="toc 1"/>
    <w:basedOn w:val="Normal"/>
    <w:next w:val="Normal"/>
    <w:autoRedefine/>
    <w:uiPriority w:val="39"/>
    <w:unhideWhenUsed/>
    <w:rsid w:val="00C90CA2"/>
    <w:pPr>
      <w:spacing w:after="100"/>
    </w:pPr>
  </w:style>
  <w:style w:type="paragraph" w:styleId="TOC2">
    <w:name w:val="toc 2"/>
    <w:basedOn w:val="Normal"/>
    <w:next w:val="Normal"/>
    <w:autoRedefine/>
    <w:uiPriority w:val="39"/>
    <w:unhideWhenUsed/>
    <w:rsid w:val="00C90CA2"/>
    <w:pPr>
      <w:spacing w:after="100"/>
      <w:ind w:left="240"/>
    </w:pPr>
  </w:style>
  <w:style w:type="paragraph" w:styleId="TOC3">
    <w:name w:val="toc 3"/>
    <w:basedOn w:val="Normal"/>
    <w:next w:val="Normal"/>
    <w:autoRedefine/>
    <w:uiPriority w:val="39"/>
    <w:unhideWhenUsed/>
    <w:rsid w:val="00C90CA2"/>
    <w:pPr>
      <w:spacing w:after="100"/>
      <w:ind w:left="480"/>
    </w:pPr>
  </w:style>
  <w:style w:type="paragraph" w:customStyle="1" w:styleId="Rec">
    <w:name w:val="Rec"/>
    <w:basedOn w:val="BodyText"/>
    <w:qFormat/>
    <w:rsid w:val="00592BFE"/>
    <w:pPr>
      <w:keepLines/>
      <w:spacing w:before="120" w:after="0" w:line="280" w:lineRule="atLeast"/>
      <w:jc w:val="both"/>
    </w:pPr>
    <w:rPr>
      <w:rFonts w:eastAsia="Times New Roman"/>
      <w:kern w:val="0"/>
      <w:sz w:val="22"/>
      <w:szCs w:val="20"/>
      <w:lang w:val="en-AU" w:eastAsia="en-AU"/>
    </w:rPr>
  </w:style>
  <w:style w:type="paragraph" w:customStyle="1" w:styleId="RecBullet">
    <w:name w:val="Rec Bullet"/>
    <w:basedOn w:val="Rec"/>
    <w:rsid w:val="00592BFE"/>
    <w:pPr>
      <w:numPr>
        <w:numId w:val="4"/>
      </w:numPr>
      <w:tabs>
        <w:tab w:val="clear" w:pos="340"/>
        <w:tab w:val="num" w:pos="360"/>
      </w:tabs>
      <w:spacing w:before="80"/>
      <w:ind w:left="0" w:firstLine="0"/>
    </w:pPr>
  </w:style>
  <w:style w:type="paragraph" w:styleId="BodyText">
    <w:name w:val="Body Text"/>
    <w:basedOn w:val="Normal"/>
    <w:link w:val="BodyTextChar"/>
    <w:uiPriority w:val="99"/>
    <w:semiHidden/>
    <w:unhideWhenUsed/>
    <w:rsid w:val="00592BFE"/>
    <w:pPr>
      <w:spacing w:after="120"/>
    </w:pPr>
  </w:style>
  <w:style w:type="character" w:customStyle="1" w:styleId="BodyTextChar">
    <w:name w:val="Body Text Char"/>
    <w:basedOn w:val="DefaultParagraphFont"/>
    <w:link w:val="BodyText"/>
    <w:uiPriority w:val="99"/>
    <w:semiHidden/>
    <w:rsid w:val="00592BFE"/>
    <w:rPr>
      <w:rFonts w:ascii="Arial" w:hAnsi="Arial"/>
      <w:kern w:val="24"/>
      <w:sz w:val="24"/>
      <w:szCs w:val="24"/>
      <w:lang w:val="en-US" w:eastAsia="en-US"/>
    </w:rPr>
  </w:style>
  <w:style w:type="paragraph" w:styleId="DocumentMap">
    <w:name w:val="Document Map"/>
    <w:basedOn w:val="Normal"/>
    <w:link w:val="DocumentMapChar"/>
    <w:uiPriority w:val="99"/>
    <w:semiHidden/>
    <w:unhideWhenUsed/>
    <w:rsid w:val="00EC159E"/>
    <w:pPr>
      <w:spacing w:after="0" w:line="240" w:lineRule="auto"/>
    </w:pPr>
    <w:rPr>
      <w:rFonts w:ascii="Lucida Grande" w:hAnsi="Lucida Grande" w:cs="Lucida Grande"/>
    </w:rPr>
  </w:style>
  <w:style w:type="character" w:customStyle="1" w:styleId="DocumentMapChar">
    <w:name w:val="Document Map Char"/>
    <w:basedOn w:val="DefaultParagraphFont"/>
    <w:link w:val="DocumentMap"/>
    <w:uiPriority w:val="99"/>
    <w:semiHidden/>
    <w:rsid w:val="00EC159E"/>
    <w:rPr>
      <w:rFonts w:ascii="Lucida Grande" w:hAnsi="Lucida Grande" w:cs="Lucida Grande"/>
      <w:kern w:val="24"/>
      <w:sz w:val="24"/>
      <w:szCs w:val="24"/>
      <w:lang w:val="en-US" w:eastAsia="en-US"/>
    </w:rPr>
  </w:style>
  <w:style w:type="paragraph" w:styleId="TOC4">
    <w:name w:val="toc 4"/>
    <w:basedOn w:val="Normal"/>
    <w:next w:val="Normal"/>
    <w:autoRedefine/>
    <w:uiPriority w:val="39"/>
    <w:unhideWhenUsed/>
    <w:rsid w:val="00370AFA"/>
    <w:pPr>
      <w:ind w:left="720"/>
    </w:pPr>
  </w:style>
  <w:style w:type="paragraph" w:styleId="TOC5">
    <w:name w:val="toc 5"/>
    <w:basedOn w:val="Normal"/>
    <w:next w:val="Normal"/>
    <w:autoRedefine/>
    <w:uiPriority w:val="39"/>
    <w:unhideWhenUsed/>
    <w:rsid w:val="00370AFA"/>
    <w:pPr>
      <w:ind w:left="960"/>
    </w:pPr>
  </w:style>
  <w:style w:type="paragraph" w:styleId="TOC6">
    <w:name w:val="toc 6"/>
    <w:basedOn w:val="Normal"/>
    <w:next w:val="Normal"/>
    <w:autoRedefine/>
    <w:uiPriority w:val="39"/>
    <w:unhideWhenUsed/>
    <w:rsid w:val="00370AFA"/>
    <w:pPr>
      <w:ind w:left="1200"/>
    </w:pPr>
  </w:style>
  <w:style w:type="paragraph" w:styleId="TOC7">
    <w:name w:val="toc 7"/>
    <w:basedOn w:val="Normal"/>
    <w:next w:val="Normal"/>
    <w:autoRedefine/>
    <w:uiPriority w:val="39"/>
    <w:unhideWhenUsed/>
    <w:rsid w:val="00370AFA"/>
    <w:pPr>
      <w:ind w:left="1440"/>
    </w:pPr>
  </w:style>
  <w:style w:type="paragraph" w:styleId="TOC8">
    <w:name w:val="toc 8"/>
    <w:basedOn w:val="Normal"/>
    <w:next w:val="Normal"/>
    <w:autoRedefine/>
    <w:uiPriority w:val="39"/>
    <w:unhideWhenUsed/>
    <w:rsid w:val="00370AFA"/>
    <w:pPr>
      <w:ind w:left="1680"/>
    </w:pPr>
  </w:style>
  <w:style w:type="paragraph" w:styleId="TOC9">
    <w:name w:val="toc 9"/>
    <w:basedOn w:val="Normal"/>
    <w:next w:val="Normal"/>
    <w:autoRedefine/>
    <w:uiPriority w:val="39"/>
    <w:unhideWhenUsed/>
    <w:rsid w:val="00370AFA"/>
    <w:pPr>
      <w:ind w:left="1920"/>
    </w:pPr>
  </w:style>
  <w:style w:type="character" w:styleId="FollowedHyperlink">
    <w:name w:val="FollowedHyperlink"/>
    <w:basedOn w:val="DefaultParagraphFont"/>
    <w:uiPriority w:val="99"/>
    <w:semiHidden/>
    <w:unhideWhenUsed/>
    <w:rsid w:val="003E7F6E"/>
    <w:rPr>
      <w:color w:val="954F72" w:themeColor="followedHyperlink"/>
      <w:u w:val="single"/>
    </w:rPr>
  </w:style>
  <w:style w:type="character" w:customStyle="1" w:styleId="Heading4Char">
    <w:name w:val="Heading 4 Char"/>
    <w:basedOn w:val="DefaultParagraphFont"/>
    <w:link w:val="Heading4"/>
    <w:uiPriority w:val="9"/>
    <w:rsid w:val="006926E4"/>
    <w:rPr>
      <w:rFonts w:ascii="Arial" w:eastAsiaTheme="majorEastAsia" w:hAnsi="Arial" w:cstheme="majorBidi"/>
      <w:b/>
      <w:iCs/>
      <w:kern w:val="24"/>
      <w:sz w:val="24"/>
      <w:szCs w:val="24"/>
      <w:u w:val="single"/>
      <w:lang w:val="en-US" w:eastAsia="en-US"/>
    </w:rPr>
  </w:style>
  <w:style w:type="character" w:customStyle="1" w:styleId="ListParagraphChar">
    <w:name w:val="List Paragraph Char"/>
    <w:aliases w:val="Summary bullet point Char,L Char,List Paragraph1 Char,List Paragraph11 Char,Recommendation Char"/>
    <w:link w:val="ListParagraph"/>
    <w:uiPriority w:val="34"/>
    <w:locked/>
    <w:rsid w:val="00C8279C"/>
    <w:rPr>
      <w:rFonts w:ascii="Arial" w:eastAsiaTheme="minorHAnsi" w:hAnsi="Arial" w:cstheme="minorBidi"/>
      <w:kern w:val="24"/>
      <w:sz w:val="24"/>
      <w:szCs w:val="24"/>
      <w:lang w:eastAsia="en-US"/>
    </w:rPr>
  </w:style>
  <w:style w:type="character" w:styleId="FootnoteReference">
    <w:name w:val="footnote reference"/>
    <w:aliases w:val="4_G,Odwołanie przypisu,Footnote symbol,Footnote Reference Number,Appel note de bas de p,Appel note de bas de p + (Asian) Batang,Black,(NECG) Footnote Reference,Nota,Footnotes refss"/>
    <w:basedOn w:val="DefaultParagraphFont"/>
    <w:uiPriority w:val="99"/>
    <w:rsid w:val="00C8279C"/>
    <w:rPr>
      <w:vertAlign w:val="superscript"/>
    </w:rPr>
  </w:style>
  <w:style w:type="paragraph" w:styleId="FootnoteText">
    <w:name w:val="footnote text"/>
    <w:aliases w:val="FN,fn,Footnote Text Char1,Footnote Text Char Char,Footnote Text Char1 Char Char,Footnote Text Char Char Char Char,Footnote Text Char Char1,Footnote Text Char1 Char,Footnote Text Char Char Char"/>
    <w:basedOn w:val="Normal"/>
    <w:link w:val="FootnoteTextChar"/>
    <w:uiPriority w:val="99"/>
    <w:unhideWhenUsed/>
    <w:rsid w:val="00C8279C"/>
    <w:pPr>
      <w:spacing w:after="0" w:line="240" w:lineRule="auto"/>
    </w:pPr>
    <w:rPr>
      <w:sz w:val="20"/>
      <w:szCs w:val="20"/>
    </w:rPr>
  </w:style>
  <w:style w:type="character" w:customStyle="1" w:styleId="FootnoteTextChar">
    <w:name w:val="Footnote Text Char"/>
    <w:aliases w:val="FN Char,fn Char,Footnote Text Char1 Char1,Footnote Text Char Char Char1,Footnote Text Char1 Char Char Char,Footnote Text Char Char Char Char Char,Footnote Text Char Char1 Char,Footnote Text Char1 Char Char1"/>
    <w:basedOn w:val="DefaultParagraphFont"/>
    <w:link w:val="FootnoteText"/>
    <w:uiPriority w:val="99"/>
    <w:rsid w:val="00C8279C"/>
    <w:rPr>
      <w:rFonts w:ascii="Arial" w:hAnsi="Arial"/>
      <w:kern w:val="24"/>
      <w:lang w:val="en-US" w:eastAsia="en-US"/>
    </w:rPr>
  </w:style>
  <w:style w:type="paragraph" w:customStyle="1" w:styleId="ColorfulList-Accent11">
    <w:name w:val="Colorful List - Accent 11"/>
    <w:basedOn w:val="Normal"/>
    <w:uiPriority w:val="34"/>
    <w:qFormat/>
    <w:rsid w:val="00C8279C"/>
    <w:pPr>
      <w:ind w:left="720"/>
      <w:contextualSpacing/>
    </w:pPr>
    <w:rPr>
      <w:rFonts w:ascii="Calibri" w:eastAsia="Times New Roman" w:hAnsi="Calibri"/>
      <w:kern w:val="0"/>
      <w:sz w:val="22"/>
      <w:szCs w:val="22"/>
      <w:lang w:val="en-AU"/>
    </w:rPr>
  </w:style>
  <w:style w:type="paragraph" w:styleId="NoSpacing">
    <w:name w:val="No Spacing"/>
    <w:uiPriority w:val="1"/>
    <w:qFormat/>
    <w:rsid w:val="00C8279C"/>
    <w:rPr>
      <w:rFonts w:ascii="Calibri" w:eastAsia="Times New Roman" w:hAnsi="Calibri"/>
      <w:sz w:val="22"/>
      <w:szCs w:val="22"/>
      <w:lang w:val="en-US" w:eastAsia="en-US"/>
    </w:rPr>
  </w:style>
  <w:style w:type="paragraph" w:styleId="EndnoteText">
    <w:name w:val="endnote text"/>
    <w:basedOn w:val="Normal"/>
    <w:link w:val="EndnoteTextChar"/>
    <w:uiPriority w:val="99"/>
    <w:unhideWhenUsed/>
    <w:qFormat/>
    <w:rsid w:val="00C8279C"/>
    <w:pPr>
      <w:spacing w:after="0" w:line="240" w:lineRule="auto"/>
    </w:pPr>
    <w:rPr>
      <w:rFonts w:eastAsia="Calibri"/>
      <w:kern w:val="0"/>
      <w:sz w:val="22"/>
      <w:lang w:val="en-AU"/>
    </w:rPr>
  </w:style>
  <w:style w:type="character" w:customStyle="1" w:styleId="EndnoteTextChar">
    <w:name w:val="Endnote Text Char"/>
    <w:basedOn w:val="DefaultParagraphFont"/>
    <w:link w:val="EndnoteText"/>
    <w:uiPriority w:val="99"/>
    <w:rsid w:val="00C8279C"/>
    <w:rPr>
      <w:rFonts w:ascii="Arial" w:eastAsia="Calibri" w:hAnsi="Arial"/>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833872">
      <w:bodyDiv w:val="1"/>
      <w:marLeft w:val="0"/>
      <w:marRight w:val="0"/>
      <w:marTop w:val="0"/>
      <w:marBottom w:val="0"/>
      <w:divBdr>
        <w:top w:val="none" w:sz="0" w:space="0" w:color="auto"/>
        <w:left w:val="none" w:sz="0" w:space="0" w:color="auto"/>
        <w:bottom w:val="none" w:sz="0" w:space="0" w:color="auto"/>
        <w:right w:val="none" w:sz="0" w:space="0" w:color="auto"/>
      </w:divBdr>
    </w:div>
    <w:div w:id="324208979">
      <w:bodyDiv w:val="1"/>
      <w:marLeft w:val="0"/>
      <w:marRight w:val="0"/>
      <w:marTop w:val="0"/>
      <w:marBottom w:val="0"/>
      <w:divBdr>
        <w:top w:val="none" w:sz="0" w:space="0" w:color="auto"/>
        <w:left w:val="none" w:sz="0" w:space="0" w:color="auto"/>
        <w:bottom w:val="none" w:sz="0" w:space="0" w:color="auto"/>
        <w:right w:val="none" w:sz="0" w:space="0" w:color="auto"/>
      </w:divBdr>
    </w:div>
    <w:div w:id="403063850">
      <w:bodyDiv w:val="1"/>
      <w:marLeft w:val="0"/>
      <w:marRight w:val="0"/>
      <w:marTop w:val="0"/>
      <w:marBottom w:val="0"/>
      <w:divBdr>
        <w:top w:val="none" w:sz="0" w:space="0" w:color="auto"/>
        <w:left w:val="none" w:sz="0" w:space="0" w:color="auto"/>
        <w:bottom w:val="none" w:sz="0" w:space="0" w:color="auto"/>
        <w:right w:val="none" w:sz="0" w:space="0" w:color="auto"/>
      </w:divBdr>
    </w:div>
    <w:div w:id="547646686">
      <w:bodyDiv w:val="1"/>
      <w:marLeft w:val="0"/>
      <w:marRight w:val="0"/>
      <w:marTop w:val="0"/>
      <w:marBottom w:val="0"/>
      <w:divBdr>
        <w:top w:val="none" w:sz="0" w:space="0" w:color="auto"/>
        <w:left w:val="none" w:sz="0" w:space="0" w:color="auto"/>
        <w:bottom w:val="none" w:sz="0" w:space="0" w:color="auto"/>
        <w:right w:val="none" w:sz="0" w:space="0" w:color="auto"/>
      </w:divBdr>
    </w:div>
    <w:div w:id="831793704">
      <w:bodyDiv w:val="1"/>
      <w:marLeft w:val="0"/>
      <w:marRight w:val="0"/>
      <w:marTop w:val="0"/>
      <w:marBottom w:val="0"/>
      <w:divBdr>
        <w:top w:val="none" w:sz="0" w:space="0" w:color="auto"/>
        <w:left w:val="none" w:sz="0" w:space="0" w:color="auto"/>
        <w:bottom w:val="none" w:sz="0" w:space="0" w:color="auto"/>
        <w:right w:val="none" w:sz="0" w:space="0" w:color="auto"/>
      </w:divBdr>
    </w:div>
    <w:div w:id="888881437">
      <w:bodyDiv w:val="1"/>
      <w:marLeft w:val="0"/>
      <w:marRight w:val="0"/>
      <w:marTop w:val="0"/>
      <w:marBottom w:val="0"/>
      <w:divBdr>
        <w:top w:val="none" w:sz="0" w:space="0" w:color="auto"/>
        <w:left w:val="none" w:sz="0" w:space="0" w:color="auto"/>
        <w:bottom w:val="none" w:sz="0" w:space="0" w:color="auto"/>
        <w:right w:val="none" w:sz="0" w:space="0" w:color="auto"/>
      </w:divBdr>
    </w:div>
    <w:div w:id="894509950">
      <w:bodyDiv w:val="1"/>
      <w:marLeft w:val="0"/>
      <w:marRight w:val="0"/>
      <w:marTop w:val="0"/>
      <w:marBottom w:val="0"/>
      <w:divBdr>
        <w:top w:val="none" w:sz="0" w:space="0" w:color="auto"/>
        <w:left w:val="none" w:sz="0" w:space="0" w:color="auto"/>
        <w:bottom w:val="none" w:sz="0" w:space="0" w:color="auto"/>
        <w:right w:val="none" w:sz="0" w:space="0" w:color="auto"/>
      </w:divBdr>
    </w:div>
    <w:div w:id="913012566">
      <w:bodyDiv w:val="1"/>
      <w:marLeft w:val="0"/>
      <w:marRight w:val="0"/>
      <w:marTop w:val="0"/>
      <w:marBottom w:val="0"/>
      <w:divBdr>
        <w:top w:val="none" w:sz="0" w:space="0" w:color="auto"/>
        <w:left w:val="none" w:sz="0" w:space="0" w:color="auto"/>
        <w:bottom w:val="none" w:sz="0" w:space="0" w:color="auto"/>
        <w:right w:val="none" w:sz="0" w:space="0" w:color="auto"/>
      </w:divBdr>
    </w:div>
    <w:div w:id="1328896690">
      <w:bodyDiv w:val="1"/>
      <w:marLeft w:val="0"/>
      <w:marRight w:val="0"/>
      <w:marTop w:val="0"/>
      <w:marBottom w:val="0"/>
      <w:divBdr>
        <w:top w:val="none" w:sz="0" w:space="0" w:color="auto"/>
        <w:left w:val="none" w:sz="0" w:space="0" w:color="auto"/>
        <w:bottom w:val="none" w:sz="0" w:space="0" w:color="auto"/>
        <w:right w:val="none" w:sz="0" w:space="0" w:color="auto"/>
      </w:divBdr>
    </w:div>
    <w:div w:id="1351103631">
      <w:bodyDiv w:val="1"/>
      <w:marLeft w:val="0"/>
      <w:marRight w:val="0"/>
      <w:marTop w:val="0"/>
      <w:marBottom w:val="0"/>
      <w:divBdr>
        <w:top w:val="none" w:sz="0" w:space="0" w:color="auto"/>
        <w:left w:val="none" w:sz="0" w:space="0" w:color="auto"/>
        <w:bottom w:val="none" w:sz="0" w:space="0" w:color="auto"/>
        <w:right w:val="none" w:sz="0" w:space="0" w:color="auto"/>
      </w:divBdr>
    </w:div>
    <w:div w:id="1612586802">
      <w:bodyDiv w:val="1"/>
      <w:marLeft w:val="0"/>
      <w:marRight w:val="0"/>
      <w:marTop w:val="0"/>
      <w:marBottom w:val="0"/>
      <w:divBdr>
        <w:top w:val="none" w:sz="0" w:space="0" w:color="auto"/>
        <w:left w:val="none" w:sz="0" w:space="0" w:color="auto"/>
        <w:bottom w:val="none" w:sz="0" w:space="0" w:color="auto"/>
        <w:right w:val="none" w:sz="0" w:space="0" w:color="auto"/>
      </w:divBdr>
    </w:div>
    <w:div w:id="2000576473">
      <w:bodyDiv w:val="1"/>
      <w:marLeft w:val="0"/>
      <w:marRight w:val="0"/>
      <w:marTop w:val="0"/>
      <w:marBottom w:val="0"/>
      <w:divBdr>
        <w:top w:val="none" w:sz="0" w:space="0" w:color="auto"/>
        <w:left w:val="none" w:sz="0" w:space="0" w:color="auto"/>
        <w:bottom w:val="none" w:sz="0" w:space="0" w:color="auto"/>
        <w:right w:val="none" w:sz="0" w:space="0" w:color="auto"/>
      </w:divBdr>
    </w:div>
    <w:div w:id="207358232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2.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4.png"/><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oter" Target="footer4.xml"/><Relationship Id="rId10" Type="http://schemas.openxmlformats.org/officeDocument/2006/relationships/settings" Target="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jpg"/><Relationship Id="rId22" Type="http://schemas.openxmlformats.org/officeDocument/2006/relationships/header" Target="header5.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Treasury Document" ma:contentTypeID="0x010100348D01E61E107C4DA4B97E380EA20D470058EB9BF65DAD8C42B8B4A94A1D11A674" ma:contentTypeVersion="32371" ma:contentTypeDescription=" " ma:contentTypeScope="" ma:versionID="70c56e58a7efa92f8b1a56e2e4587d53">
  <xsd:schema xmlns:xsd="http://www.w3.org/2001/XMLSchema" xmlns:xs="http://www.w3.org/2001/XMLSchema" xmlns:p="http://schemas.microsoft.com/office/2006/metadata/properties" xmlns:ns1="http://schemas.microsoft.com/sharepoint/v3" xmlns:ns2="0f563589-9cf9-4143-b1eb-fb0534803d38" xmlns:ns3="e544e5cc-ab70-42e1-849e-1a0f8bb1f4ef" xmlns:ns5="http://schemas.microsoft.com/sharepoint/v4" targetNamespace="http://schemas.microsoft.com/office/2006/metadata/properties" ma:root="true" ma:fieldsID="917efd5f203f4d53a891ba4a2dd250dc" ns1:_="" ns2:_="" ns3:_="" ns5:_="">
    <xsd:import namespace="http://schemas.microsoft.com/sharepoint/v3"/>
    <xsd:import namespace="0f563589-9cf9-4143-b1eb-fb0534803d38"/>
    <xsd:import namespace="e544e5cc-ab70-42e1-849e-1a0f8bb1f4ef"/>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1:_dlc_Exempt" minOccurs="0"/>
                <xsd:element ref="ns3:lb508a4dc5e84436a0fe496b536466aa" minOccurs="0"/>
                <xsd:element ref="ns2:TaxCatchAll" minOccurs="0"/>
                <xsd:element ref="ns2:TaxCatchAllLabel" minOccurs="0"/>
                <xsd:element ref="ns5:IconOverlay" minOccurs="0"/>
                <xsd:element ref="ns1:RoutingTargetPath"/>
                <xsd:element ref="ns1:RoutingTargetFolder"/>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1" nillable="true" ma:displayName="Exempt from Policy" ma:hidden="true" ma:internalName="_dlc_Exempt" ma:readOnly="true">
      <xsd:simpleType>
        <xsd:restriction base="dms:Unknown"/>
      </xsd:simpleType>
    </xsd:element>
    <xsd:element name="RoutingTargetPath" ma:index="18" ma:displayName="Target Path" ma:description="" ma:internalName="RoutingTargetPath">
      <xsd:simpleType>
        <xsd:restriction base="dms:Text">
          <xsd:maxLength value="255"/>
        </xsd:restriction>
      </xsd:simpleType>
    </xsd:element>
    <xsd:element name="RoutingTargetFolder" ma:index="19" ma:displayName="Target Folder" ma:internalName="RoutingTargetFolde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3" nillable="true" ma:displayName="Taxonomy Catch All Column" ma:hidden="true" ma:list="{9ae0e000-2bfe-436e-bf3a-a243a28c1c18}" ma:internalName="TaxCatchAll" ma:showField="CatchAllData" ma:web="e544e5cc-ab70-42e1-849e-1a0f8bb1f4ef">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9ae0e000-2bfe-436e-bf3a-a243a28c1c18}" ma:internalName="TaxCatchAllLabel" ma:readOnly="true" ma:showField="CatchAllDataLabel" ma:web="e544e5cc-ab70-42e1-849e-1a0f8bb1f4e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44e5cc-ab70-42e1-849e-1a0f8bb1f4ef" elementFormDefault="qualified">
    <xsd:import namespace="http://schemas.microsoft.com/office/2006/documentManagement/types"/>
    <xsd:import namespace="http://schemas.microsoft.com/office/infopath/2007/PartnerControls"/>
    <xsd:element name="lb508a4dc5e84436a0fe496b536466aa" ma:index="12" nillable="true" ma:taxonomy="true" ma:internalName="lb508a4dc5e84436a0fe496b536466aa" ma:taxonomyFieldName="TSYRecordClass" ma:displayName="Record Class" ma:readOnly="false" ma:default="7;#TSY RA-8730 - Retain as national archives|77f958b9-774b-411f-8853-551bb899336c"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b330c83-4366-417f-afba-a14519698ff5" ContentTypeId="0x010100E726210826AA43828690450C811EB923009CA11FFD1E014DF4B1FA162D0F61129800536EFC5E36A043E99FB960C1AA37427A"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
    <Name>Policy Auditing</Name>
    <Synchronization>Synchronous</Synchronization>
    <Type>10001</Type>
    <SequenceNumber>1100</SequenceNumber>
    <Assembly>Microsoft.Office.Policy, Version=14.0.0.0, Culture=neutral, PublicKeyToken=71e9bce111e9429c</Assembly>
    <Class>Microsoft.Office.RecordsManagement.Internal.AuditHandler</Class>
    <Data/>
    <Filter/>
  </Receiver>
  <Receiver>
    <Name>Policy Auditing</Name>
    <Synchronization>Synchronous</Synchronization>
    <Type>10002</Type>
    <SequenceNumber>1101</SequenceNumber>
    <Assembly>Microsoft.Office.Policy, Version=14.0.0.0, Culture=neutral, PublicKeyToken=71e9bce111e9429c</Assembly>
    <Class>Microsoft.Office.RecordsManagement.Internal.AuditHandler</Class>
    <Data/>
    <Filter/>
  </Receiver>
  <Receiver>
    <Name>Policy Auditing</Name>
    <Synchronization>Synchronous</Synchronization>
    <Type>10004</Type>
    <SequenceNumber>1102</SequenceNumber>
    <Assembly>Microsoft.Office.Policy, Version=14.0.0.0, Culture=neutral, PublicKeyToken=71e9bce111e9429c</Assembly>
    <Class>Microsoft.Office.RecordsManagement.Internal.AuditHandler</Class>
    <Data/>
    <Filter/>
  </Receiver>
  <Receiver>
    <Name>Policy Auditing</Name>
    <Synchronization>Synchronous</Synchronization>
    <Type>10006</Type>
    <SequenceNumber>1103</SequenceNumber>
    <Assembly>Microsoft.Office.Policy, Version=14.0.0.0, Culture=neutral, PublicKeyToken=71e9bce111e9429c</Assembly>
    <Class>Microsoft.Office.RecordsManagement.Internal.AuditHandler</Class>
    <Data/>
    <Filter/>
  </Receiver>
</spe:Receivers>
</file>

<file path=customXml/item4.xml><?xml version="1.0" encoding="utf-8"?>
<?mso-contentType ?>
<p:Policy xmlns:p="office.server.policy" id="" local="true">
  <p:Name>Treasury Document</p:Name>
  <p:Description/>
  <p:Statement/>
  <p:PolicyItems>
    <p:PolicyItem featureId="Microsoft.Office.RecordsManagement.PolicyFeatures.PolicyAudit" staticId="0x010100348D01E61E107C4DA4B97E380EA20D47|1757814118" UniqueId="2079b4ee-6208-4500-a6e7-1bf5637d01b9">
      <p:Name>Auditing</p:Name>
      <p:Description>Audits user actions on documents and list items to the Audit Log.</p:Description>
      <p:CustomData>
        <Audit>
          <Update/>
          <DeleteRestore/>
        </Audit>
      </p:CustomData>
    </p:PolicyItem>
  </p:PolicyItems>
</p:Policy>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TaxCatchAll xmlns="0f563589-9cf9-4143-b1eb-fb0534803d38">
      <Value>7</Value>
    </TaxCatchAll>
    <lb508a4dc5e84436a0fe496b536466aa xmlns="e544e5cc-ab70-42e1-849e-1a0f8bb1f4ef">
      <Terms xmlns="http://schemas.microsoft.com/office/infopath/2007/PartnerControls">
        <TermInfo xmlns="http://schemas.microsoft.com/office/infopath/2007/PartnerControls">
          <TermName xmlns="http://schemas.microsoft.com/office/infopath/2007/PartnerControls">TSY RA-8730 - Retain as national archives</TermName>
          <TermId xmlns="http://schemas.microsoft.com/office/infopath/2007/PartnerControls">77f958b9-774b-411f-8853-551bb899336c</TermId>
        </TermInfo>
      </Terms>
    </lb508a4dc5e84436a0fe496b536466aa>
    <_dlc_DocId xmlns="0f563589-9cf9-4143-b1eb-fb0534803d38">2020FG-108-8808</_dlc_DocId>
    <_dlc_DocIdUrl xmlns="0f563589-9cf9-4143-b1eb-fb0534803d38">
      <Url>http://tweb/sites/fg/bpd/_layouts/15/DocIdRedir.aspx?ID=2020FG-108-8808</Url>
      <Description>2020FG-108-8808</Description>
    </_dlc_DocIdUrl>
    <RoutingTargetPath xmlns="http://schemas.microsoft.com/sharepoint/v3"/>
    <RoutingTargetFolder xmlns="http://schemas.microsoft.com/sharepoint/v3"/>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943564-6228-420A-A6F8-6D77CD33907E}"/>
</file>

<file path=customXml/itemProps2.xml><?xml version="1.0" encoding="utf-8"?>
<ds:datastoreItem xmlns:ds="http://schemas.openxmlformats.org/officeDocument/2006/customXml" ds:itemID="{8632B39A-D959-4767-803C-8566C7C75952}">
  <ds:schemaRefs>
    <ds:schemaRef ds:uri="Microsoft.SharePoint.Taxonomy.ContentTypeSync"/>
  </ds:schemaRefs>
</ds:datastoreItem>
</file>

<file path=customXml/itemProps3.xml><?xml version="1.0" encoding="utf-8"?>
<ds:datastoreItem xmlns:ds="http://schemas.openxmlformats.org/officeDocument/2006/customXml" ds:itemID="{32894C02-A17E-4797-BCF7-630B7495F4FA}">
  <ds:schemaRefs>
    <ds:schemaRef ds:uri="http://schemas.microsoft.com/sharepoint/events"/>
  </ds:schemaRefs>
</ds:datastoreItem>
</file>

<file path=customXml/itemProps4.xml><?xml version="1.0" encoding="utf-8"?>
<ds:datastoreItem xmlns:ds="http://schemas.openxmlformats.org/officeDocument/2006/customXml" ds:itemID="{C95AF7BE-054B-43F3-907E-FD1B0F72D835}">
  <ds:schemaRefs>
    <ds:schemaRef ds:uri="office.server.policy"/>
  </ds:schemaRefs>
</ds:datastoreItem>
</file>

<file path=customXml/itemProps5.xml><?xml version="1.0" encoding="utf-8"?>
<ds:datastoreItem xmlns:ds="http://schemas.openxmlformats.org/officeDocument/2006/customXml" ds:itemID="{272E7061-41A9-4C73-87D4-34D8DA5DAE7A}">
  <ds:schemaRefs>
    <ds:schemaRef ds:uri="http://schemas.microsoft.com/sharepoint/v3/contenttype/forms"/>
  </ds:schemaRefs>
</ds:datastoreItem>
</file>

<file path=customXml/itemProps6.xml><?xml version="1.0" encoding="utf-8"?>
<ds:datastoreItem xmlns:ds="http://schemas.openxmlformats.org/officeDocument/2006/customXml" ds:itemID="{3C0DAFBF-1600-43A2-AA0F-6DC644A8BEAD}">
  <ds:schemaRefs>
    <ds:schemaRef ds:uri="http://purl.org/dc/elements/1.1/"/>
    <ds:schemaRef ds:uri="http://schemas.microsoft.com/office/2006/metadata/properties"/>
    <ds:schemaRef ds:uri="http://schemas.microsoft.com/sharepoint/v3"/>
    <ds:schemaRef ds:uri="http://schemas.microsoft.com/sharepoint/v4"/>
    <ds:schemaRef ds:uri="http://purl.org/dc/terms/"/>
    <ds:schemaRef ds:uri="http://schemas.openxmlformats.org/package/2006/metadata/core-properties"/>
    <ds:schemaRef ds:uri="http://schemas.microsoft.com/office/2006/documentManagement/types"/>
    <ds:schemaRef ds:uri="e544e5cc-ab70-42e1-849e-1a0f8bb1f4ef"/>
    <ds:schemaRef ds:uri="0f563589-9cf9-4143-b1eb-fb0534803d38"/>
    <ds:schemaRef ds:uri="http://schemas.microsoft.com/office/infopath/2007/PartnerControls"/>
    <ds:schemaRef ds:uri="http://www.w3.org/XML/1998/namespace"/>
    <ds:schemaRef ds:uri="http://purl.org/dc/dcmitype/"/>
  </ds:schemaRefs>
</ds:datastoreItem>
</file>

<file path=customXml/itemProps7.xml><?xml version="1.0" encoding="utf-8"?>
<ds:datastoreItem xmlns:ds="http://schemas.openxmlformats.org/officeDocument/2006/customXml" ds:itemID="{CD7BB7AC-F174-40FD-8493-C57BF8645F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2897</Words>
  <Characters>17550</Characters>
  <Application>Microsoft Office Word</Application>
  <DocSecurity>4</DocSecurity>
  <Lines>146</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20407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Australian Federation of Disability Organisations</dc:creator>
  <cp:lastModifiedBy>Denahy, Michael</cp:lastModifiedBy>
  <cp:revision>2</cp:revision>
  <dcterms:created xsi:type="dcterms:W3CDTF">2020-03-11T11:04:00Z</dcterms:created>
  <dcterms:modified xsi:type="dcterms:W3CDTF">2020-03-11T11:04:00Z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0x010100348D01E61E107C4DA4B97E380EA20D470058EB9BF65DAD8C42B8B4A94A1D11A674</vt:lpwstr>
  </property>
  <property fmtid="{D5CDD505-2E9C-101B-9397-08002B2CF9AE}" pid="5" name="RecordPoint_ActiveItemUniqueId">
    <vt:lpwstr>{c9f3e089-3833-4764-9058-fa4d485a3a95}</vt:lpwstr>
  </property>
  <property fmtid="{D5CDD505-2E9C-101B-9397-08002B2CF9AE}" pid="6" name="RecordPoint_SubmissionCompleted">
    <vt:lpwstr>2020-03-11T22:20:07.2201163+11:00</vt:lpwstr>
  </property>
  <property fmtid="{D5CDD505-2E9C-101B-9397-08002B2CF9AE}" pid="8" name="TSYRecordClass">
    <vt:lpwstr>7;#TSY RA-8730 - Retain as national archives|77f958b9-774b-411f-8853-551bb899336c</vt:lpwstr>
  </property>
  <property fmtid="{D5CDD505-2E9C-101B-9397-08002B2CF9AE}" pid="9" name="RecordPoint_WorkflowType">
    <vt:lpwstr>ActiveSubmitStub</vt:lpwstr>
  </property>
  <property fmtid="{D5CDD505-2E9C-101B-9397-08002B2CF9AE}" pid="10" name="_dlc_DocIdItemGuid">
    <vt:lpwstr>c9f3e089-3833-4764-9058-fa4d485a3a95</vt:lpwstr>
  </property>
  <property fmtid="{D5CDD505-2E9C-101B-9397-08002B2CF9AE}" pid="11" name="RecordPoint_ActiveItemSiteId">
    <vt:lpwstr>{a3a280d1-e8f1-4ce7-94f0-aaa2322da0dd}</vt:lpwstr>
  </property>
  <property fmtid="{D5CDD505-2E9C-101B-9397-08002B2CF9AE}" pid="12" name="RecordPoint_ActiveItemListId">
    <vt:lpwstr>{11a07c86-5882-407a-83c1-3607840816f8}</vt:lpwstr>
  </property>
  <property fmtid="{D5CDD505-2E9C-101B-9397-08002B2CF9AE}" pid="13" name="RecordPoint_ActiveItemWebId">
    <vt:lpwstr>{2af1fd9f-9360-4de3-abf2-ccd65f89a90c}</vt:lpwstr>
  </property>
  <property fmtid="{D5CDD505-2E9C-101B-9397-08002B2CF9AE}" pid="14" name="RecordPoint_RecordNumberSubmitted">
    <vt:lpwstr>R0002229922</vt:lpwstr>
  </property>
</Properties>
</file>