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384BEE" w:rsidTr="00384BEE">
        <w:tc>
          <w:tcPr>
            <w:tcW w:w="5000" w:type="pct"/>
            <w:shd w:val="clear" w:color="auto" w:fill="auto"/>
          </w:tcPr>
          <w:p w:rsidR="00384BEE" w:rsidRDefault="00384BEE" w:rsidP="00384BEE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384BEE" w:rsidRPr="00384BEE" w:rsidRDefault="00384BEE" w:rsidP="00384BEE">
            <w:pPr>
              <w:rPr>
                <w:b/>
                <w:sz w:val="20"/>
              </w:rPr>
            </w:pPr>
          </w:p>
        </w:tc>
      </w:tr>
    </w:tbl>
    <w:p w:rsidR="00384BEE" w:rsidRDefault="00384BEE" w:rsidP="007C1E80">
      <w:pPr>
        <w:rPr>
          <w:sz w:val="32"/>
          <w:szCs w:val="32"/>
        </w:rPr>
      </w:pPr>
    </w:p>
    <w:p w:rsidR="00664C63" w:rsidRPr="00932FA3" w:rsidRDefault="00664C63" w:rsidP="007C1E80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:rsidR="00664C63" w:rsidRDefault="00842591" w:rsidP="007C1E80">
      <w:pPr>
        <w:pStyle w:val="ShortT"/>
      </w:pPr>
      <w:r w:rsidRPr="00842591">
        <w:t>Foreign Acquisitions and Takeovers Legislation Amendment Bill 2020</w:t>
      </w:r>
      <w:r w:rsidR="00664C63">
        <w:t xml:space="preserve">: </w:t>
      </w:r>
      <w:r w:rsidR="00380A5C" w:rsidRPr="00380A5C">
        <w:t>A fairer and simpler framew</w:t>
      </w:r>
      <w:r w:rsidR="00380A5C">
        <w:t>ork for foreign investment fees</w:t>
      </w:r>
    </w:p>
    <w:p w:rsidR="00664C63" w:rsidRDefault="00664C63" w:rsidP="007C1E80">
      <w:pPr>
        <w:jc w:val="center"/>
      </w:pPr>
    </w:p>
    <w:p w:rsidR="00664C63" w:rsidRDefault="00664C63" w:rsidP="007C1E8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C00CCA" w:rsidTr="00C00C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Commencement information</w:t>
            </w:r>
          </w:p>
        </w:tc>
      </w:tr>
      <w:tr w:rsidR="00664C63" w:rsidRPr="00C00CCA" w:rsidTr="00C00CC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Column 3</w:t>
            </w:r>
          </w:p>
        </w:tc>
      </w:tr>
      <w:tr w:rsidR="00664C63" w:rsidRPr="00C00CCA" w:rsidTr="00C00CC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C00CCA" w:rsidRDefault="00664C63" w:rsidP="00C00CCA">
            <w:pPr>
              <w:pStyle w:val="TableHeading"/>
            </w:pPr>
            <w:r w:rsidRPr="00C00CCA">
              <w:t>Date/Details</w:t>
            </w:r>
          </w:p>
        </w:tc>
      </w:tr>
      <w:tr w:rsidR="00664C63" w:rsidTr="00C00C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Default="00664C63" w:rsidP="007C1E80">
            <w:pPr>
              <w:pStyle w:val="Tabletext"/>
            </w:pPr>
            <w:r>
              <w:t xml:space="preserve">1.  </w:t>
            </w:r>
            <w:r w:rsidR="009D6673">
              <w:t>Schedule XX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Default="009D6673" w:rsidP="007C1E80">
            <w:pPr>
              <w:pStyle w:val="Tabletext"/>
            </w:pPr>
            <w:r>
              <w:t xml:space="preserve">At the same time as the provisions </w:t>
            </w:r>
            <w:r w:rsidR="00FB6C2D">
              <w:t xml:space="preserve">covered by table item [dealing with </w:t>
            </w:r>
            <w:r w:rsidR="007C1E80">
              <w:t>Schedule 1</w:t>
            </w:r>
            <w:r w:rsidR="00FB6C2D">
              <w:t>]</w:t>
            </w:r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Default="00664C63" w:rsidP="007C1E80">
            <w:pPr>
              <w:pStyle w:val="Tabletext"/>
            </w:pPr>
          </w:p>
        </w:tc>
      </w:tr>
    </w:tbl>
    <w:p w:rsidR="0033411C" w:rsidRDefault="00AC39C2" w:rsidP="007C1E80">
      <w:pPr>
        <w:pStyle w:val="ActHead6"/>
        <w:pageBreakBefore/>
      </w:pPr>
      <w:r w:rsidRPr="00384BEE">
        <w:rPr>
          <w:rStyle w:val="CharAmSchNo"/>
        </w:rPr>
        <w:lastRenderedPageBreak/>
        <w:t>Schedule XX</w:t>
      </w:r>
      <w:r>
        <w:t>—</w:t>
      </w:r>
      <w:r w:rsidR="00380A5C" w:rsidRPr="00384BEE">
        <w:rPr>
          <w:rStyle w:val="CharAmSchText"/>
        </w:rPr>
        <w:t>A fairer and simpler framework for foreign investment fees</w:t>
      </w:r>
    </w:p>
    <w:p w:rsidR="00AC39C2" w:rsidRPr="00396497" w:rsidRDefault="00396497" w:rsidP="00396497">
      <w:pPr>
        <w:pStyle w:val="ActHead7"/>
      </w:pPr>
      <w:r w:rsidRPr="00384BEE">
        <w:rPr>
          <w:rStyle w:val="CharAmPartNo"/>
        </w:rPr>
        <w:t>Part 1</w:t>
      </w:r>
      <w:r>
        <w:t>—</w:t>
      </w:r>
      <w:r w:rsidRPr="00384BEE">
        <w:rPr>
          <w:rStyle w:val="CharAmPartText"/>
        </w:rPr>
        <w:t>Main amendments</w:t>
      </w:r>
    </w:p>
    <w:p w:rsidR="00AC39C2" w:rsidRDefault="00AC39C2" w:rsidP="007C1E80">
      <w:pPr>
        <w:pStyle w:val="ActHead9"/>
      </w:pPr>
      <w:r w:rsidRPr="00AC39C2">
        <w:t>Foreign Acquisitions and Takeovers Act 1975</w:t>
      </w:r>
    </w:p>
    <w:p w:rsidR="007474C0" w:rsidRDefault="002C70B0" w:rsidP="007474C0">
      <w:pPr>
        <w:pStyle w:val="ItemHead"/>
      </w:pPr>
      <w:r>
        <w:t>1</w:t>
      </w:r>
      <w:r w:rsidR="007474C0">
        <w:t xml:space="preserve">  Section 46</w:t>
      </w:r>
    </w:p>
    <w:p w:rsidR="007474C0" w:rsidRDefault="007474C0" w:rsidP="007474C0">
      <w:pPr>
        <w:pStyle w:val="Item"/>
      </w:pPr>
      <w:r>
        <w:t>Omit “a proposed”, substitute “an”.</w:t>
      </w:r>
    </w:p>
    <w:p w:rsidR="00A96CD1" w:rsidRPr="00BA17C5" w:rsidRDefault="002C70B0" w:rsidP="00A96CD1">
      <w:pPr>
        <w:pStyle w:val="ItemHead"/>
      </w:pPr>
      <w:r>
        <w:t>2</w:t>
      </w:r>
      <w:r w:rsidR="00A96CD1" w:rsidRPr="00BA17C5">
        <w:t xml:space="preserve">  Section 112</w:t>
      </w:r>
    </w:p>
    <w:p w:rsidR="00A96CD1" w:rsidRPr="00BA17C5" w:rsidRDefault="00A96CD1" w:rsidP="00A96CD1">
      <w:pPr>
        <w:pStyle w:val="Item"/>
      </w:pPr>
      <w:r w:rsidRPr="00BA17C5">
        <w:t>Omit:</w:t>
      </w:r>
    </w:p>
    <w:p w:rsidR="00A96CD1" w:rsidRPr="00BA17C5" w:rsidRDefault="00A96CD1" w:rsidP="00A96CD1">
      <w:pPr>
        <w:pStyle w:val="SOPara"/>
      </w:pPr>
      <w:r w:rsidRPr="00BA17C5">
        <w:tab/>
        <w:t>(b)</w:t>
      </w:r>
      <w:r w:rsidRPr="00BA17C5">
        <w:tab/>
        <w:t>giving a notice of a notifiable action; and</w:t>
      </w:r>
    </w:p>
    <w:p w:rsidR="00A96CD1" w:rsidRPr="00BA17C5" w:rsidRDefault="00A96CD1" w:rsidP="00A96CD1">
      <w:pPr>
        <w:pStyle w:val="SOPara"/>
      </w:pPr>
      <w:r w:rsidRPr="00BA17C5">
        <w:tab/>
        <w:t>(c)</w:t>
      </w:r>
      <w:r w:rsidRPr="00BA17C5">
        <w:tab/>
        <w:t>giving a notice relating to an action that is not a notifiable action; and</w:t>
      </w:r>
    </w:p>
    <w:p w:rsidR="00A96CD1" w:rsidRPr="00BA17C5" w:rsidRDefault="00A96CD1" w:rsidP="00A96CD1">
      <w:pPr>
        <w:pStyle w:val="Item"/>
      </w:pPr>
      <w:r w:rsidRPr="00BA17C5">
        <w:t>substitute:</w:t>
      </w:r>
    </w:p>
    <w:p w:rsidR="00A96CD1" w:rsidRPr="00BA17C5" w:rsidRDefault="00A96CD1" w:rsidP="00A96CD1">
      <w:pPr>
        <w:pStyle w:val="SOPara"/>
      </w:pPr>
      <w:r w:rsidRPr="00BA17C5">
        <w:tab/>
        <w:t>(b)</w:t>
      </w:r>
      <w:r w:rsidRPr="00BA17C5">
        <w:tab/>
        <w:t>giving a notice of a notifiable action or notifiable national security action; and</w:t>
      </w:r>
    </w:p>
    <w:p w:rsidR="00A96CD1" w:rsidRPr="00BA17C5" w:rsidRDefault="00A96CD1" w:rsidP="00A96CD1">
      <w:pPr>
        <w:pStyle w:val="SOPara"/>
      </w:pPr>
      <w:r w:rsidRPr="00BA17C5">
        <w:tab/>
        <w:t>(c)</w:t>
      </w:r>
      <w:r w:rsidRPr="00BA17C5">
        <w:tab/>
        <w:t xml:space="preserve">giving a notice </w:t>
      </w:r>
      <w:r>
        <w:t xml:space="preserve">relating to </w:t>
      </w:r>
      <w:r w:rsidRPr="00BA17C5">
        <w:t>an action that is not a notifiable action or notifiable national security action; and</w:t>
      </w:r>
    </w:p>
    <w:p w:rsidR="00CA69C0" w:rsidRDefault="002C70B0" w:rsidP="007C1E80">
      <w:pPr>
        <w:pStyle w:val="ItemHead"/>
      </w:pPr>
      <w:r>
        <w:t>3</w:t>
      </w:r>
      <w:r w:rsidR="00CA69C0">
        <w:t xml:space="preserve">  </w:t>
      </w:r>
      <w:r w:rsidR="007C1E80">
        <w:t>Section 1</w:t>
      </w:r>
      <w:r w:rsidR="00CA69C0">
        <w:t>12</w:t>
      </w:r>
    </w:p>
    <w:p w:rsidR="00CA69C0" w:rsidRDefault="00CA69C0" w:rsidP="007C1E80">
      <w:pPr>
        <w:pStyle w:val="Item"/>
      </w:pPr>
      <w:r>
        <w:t>Omit:</w:t>
      </w:r>
    </w:p>
    <w:p w:rsidR="00CA69C0" w:rsidRPr="00CA69C0" w:rsidRDefault="00CA69C0" w:rsidP="007C1E80">
      <w:pPr>
        <w:pStyle w:val="SOText"/>
      </w:pPr>
      <w:r w:rsidRPr="00CA69C0">
        <w:t xml:space="preserve">The amounts of the fees are found in the </w:t>
      </w:r>
      <w:r w:rsidRPr="00CA69C0">
        <w:rPr>
          <w:i/>
        </w:rPr>
        <w:t>Foreign Acquisitions and Takeovers Fees Imposition Act 2015</w:t>
      </w:r>
      <w:r w:rsidRPr="00CA69C0">
        <w:t>.</w:t>
      </w:r>
    </w:p>
    <w:p w:rsidR="00CA69C0" w:rsidRDefault="00CA69C0" w:rsidP="007C1E80">
      <w:pPr>
        <w:pStyle w:val="Item"/>
      </w:pPr>
      <w:r>
        <w:t>substitute:</w:t>
      </w:r>
    </w:p>
    <w:p w:rsidR="005D615B" w:rsidRPr="00CA69C0" w:rsidRDefault="005D615B" w:rsidP="007C1E80">
      <w:pPr>
        <w:pStyle w:val="SOText"/>
      </w:pPr>
      <w:r w:rsidRPr="00CA69C0">
        <w:t>The amounts of the fees are found in</w:t>
      </w:r>
      <w:r>
        <w:t xml:space="preserve"> regulations made </w:t>
      </w:r>
      <w:r w:rsidR="006E09D3">
        <w:t xml:space="preserve">under </w:t>
      </w:r>
      <w:r w:rsidRPr="00CA69C0">
        <w:t xml:space="preserve">the </w:t>
      </w:r>
      <w:r w:rsidRPr="00CA69C0">
        <w:rPr>
          <w:i/>
        </w:rPr>
        <w:t>Foreign Acquisitions and Takeovers Fees Imposition Act 2015</w:t>
      </w:r>
      <w:r w:rsidRPr="00CA69C0">
        <w:t>.</w:t>
      </w:r>
    </w:p>
    <w:p w:rsidR="00A96CD1" w:rsidRPr="00BA17C5" w:rsidRDefault="002C70B0" w:rsidP="00A96CD1">
      <w:pPr>
        <w:pStyle w:val="ItemHead"/>
      </w:pPr>
      <w:r>
        <w:t>4</w:t>
      </w:r>
      <w:r w:rsidR="00A96CD1" w:rsidRPr="00BA17C5">
        <w:t xml:space="preserve">  Subsection 113(1) (table items 3 and 4)</w:t>
      </w:r>
    </w:p>
    <w:p w:rsidR="00A96CD1" w:rsidRPr="00BA17C5" w:rsidRDefault="00A96CD1" w:rsidP="00A96CD1">
      <w:pPr>
        <w:pStyle w:val="Item"/>
      </w:pPr>
      <w:r w:rsidRPr="00BA17C5">
        <w:t>After “notifiable action”, insert “or notifiable national security action”.</w:t>
      </w:r>
    </w:p>
    <w:p w:rsidR="00A96CD1" w:rsidRPr="00BA17C5" w:rsidRDefault="002C70B0" w:rsidP="00A96CD1">
      <w:pPr>
        <w:pStyle w:val="ItemHead"/>
      </w:pPr>
      <w:r>
        <w:lastRenderedPageBreak/>
        <w:t>5</w:t>
      </w:r>
      <w:r w:rsidR="00A96CD1" w:rsidRPr="00BA17C5">
        <w:t xml:space="preserve">  Subsection 113(1) (after table item 4)</w:t>
      </w:r>
    </w:p>
    <w:p w:rsidR="00A96CD1" w:rsidRPr="00BA17C5" w:rsidRDefault="00A96CD1" w:rsidP="00A96CD1">
      <w:pPr>
        <w:pStyle w:val="Item"/>
      </w:pPr>
      <w:r w:rsidRPr="00BA17C5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187"/>
        <w:gridCol w:w="3187"/>
      </w:tblGrid>
      <w:tr w:rsidR="00A96CD1" w:rsidRPr="00BA17C5" w:rsidTr="00746D9E">
        <w:tc>
          <w:tcPr>
            <w:tcW w:w="714" w:type="dxa"/>
            <w:shd w:val="clear" w:color="auto" w:fill="auto"/>
          </w:tcPr>
          <w:p w:rsidR="00A96CD1" w:rsidRPr="00BA17C5" w:rsidRDefault="00A96CD1" w:rsidP="00746D9E">
            <w:pPr>
              <w:pStyle w:val="Tabletext"/>
            </w:pPr>
            <w:r w:rsidRPr="00BA17C5">
              <w:t>4A</w:t>
            </w:r>
          </w:p>
        </w:tc>
        <w:tc>
          <w:tcPr>
            <w:tcW w:w="3187" w:type="dxa"/>
            <w:shd w:val="clear" w:color="auto" w:fill="auto"/>
          </w:tcPr>
          <w:p w:rsidR="00A96CD1" w:rsidRPr="00BA17C5" w:rsidRDefault="00A96CD1" w:rsidP="00746D9E">
            <w:pPr>
              <w:pStyle w:val="Tabletext"/>
            </w:pPr>
            <w:r w:rsidRPr="00BA17C5">
              <w:t>a person to whom a notice is given under subsection 37C(2)</w:t>
            </w:r>
          </w:p>
        </w:tc>
        <w:tc>
          <w:tcPr>
            <w:tcW w:w="3187" w:type="dxa"/>
            <w:shd w:val="clear" w:color="auto" w:fill="auto"/>
          </w:tcPr>
          <w:p w:rsidR="00A96CD1" w:rsidRPr="00BA17C5" w:rsidRDefault="00A96CD1" w:rsidP="00746D9E">
            <w:pPr>
              <w:pStyle w:val="Tabletext"/>
            </w:pPr>
            <w:r w:rsidRPr="00BA17C5">
              <w:t>before the end of 30 days after the notice is given</w:t>
            </w:r>
            <w:r>
              <w:t>.</w:t>
            </w:r>
          </w:p>
        </w:tc>
      </w:tr>
    </w:tbl>
    <w:p w:rsidR="00A96CD1" w:rsidRPr="00BA17C5" w:rsidRDefault="002C70B0" w:rsidP="00A96CD1">
      <w:pPr>
        <w:pStyle w:val="ItemHead"/>
      </w:pPr>
      <w:r>
        <w:t>6</w:t>
      </w:r>
      <w:r w:rsidR="00A96CD1" w:rsidRPr="00BA17C5">
        <w:t xml:space="preserve">  Subsection 113(1) (cell at table item 5, column 1)</w:t>
      </w:r>
    </w:p>
    <w:p w:rsidR="00A96CD1" w:rsidRPr="00BA17C5" w:rsidRDefault="00A96CD1" w:rsidP="00A96CD1">
      <w:pPr>
        <w:pStyle w:val="Item"/>
      </w:pPr>
      <w:r w:rsidRPr="00BA17C5">
        <w:t>Repeal the cell,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187"/>
        <w:gridCol w:w="3187"/>
      </w:tblGrid>
      <w:tr w:rsidR="00A96CD1" w:rsidRPr="00BA17C5" w:rsidTr="00746D9E">
        <w:tc>
          <w:tcPr>
            <w:tcW w:w="714" w:type="dxa"/>
            <w:shd w:val="clear" w:color="auto" w:fill="auto"/>
          </w:tcPr>
          <w:p w:rsidR="00A96CD1" w:rsidRPr="00BA17C5" w:rsidRDefault="00A96CD1" w:rsidP="00746D9E">
            <w:pPr>
              <w:pStyle w:val="Tabletext"/>
            </w:pPr>
          </w:p>
        </w:tc>
        <w:tc>
          <w:tcPr>
            <w:tcW w:w="3187" w:type="dxa"/>
            <w:shd w:val="clear" w:color="auto" w:fill="auto"/>
          </w:tcPr>
          <w:p w:rsidR="00A96CD1" w:rsidRPr="00BA17C5" w:rsidRDefault="00A96CD1" w:rsidP="00746D9E">
            <w:pPr>
              <w:pStyle w:val="Tabletext"/>
            </w:pPr>
            <w:r w:rsidRPr="00BA17C5">
              <w:t>a person:</w:t>
            </w:r>
          </w:p>
          <w:p w:rsidR="00A96CD1" w:rsidRPr="00BA17C5" w:rsidRDefault="00A96CD1" w:rsidP="00746D9E">
            <w:pPr>
              <w:pStyle w:val="Tablea"/>
            </w:pPr>
            <w:r w:rsidRPr="00BA17C5">
              <w:t>(a) in relation to whom an order is made under Division 2 of Part 3; or</w:t>
            </w:r>
          </w:p>
          <w:p w:rsidR="00A96CD1" w:rsidRPr="00BA17C5" w:rsidRDefault="00A96CD1" w:rsidP="00746D9E">
            <w:pPr>
              <w:pStyle w:val="Tablea"/>
            </w:pPr>
            <w:r w:rsidRPr="00BA17C5">
              <w:t>(b) to whom a no objection notification is given;</w:t>
            </w:r>
          </w:p>
          <w:p w:rsidR="002D6508" w:rsidRDefault="00A96CD1" w:rsidP="00746D9E">
            <w:pPr>
              <w:pStyle w:val="Tabletext"/>
            </w:pPr>
            <w:r w:rsidRPr="00BA17C5">
              <w:t>if</w:t>
            </w:r>
            <w:r w:rsidR="002D6508">
              <w:t xml:space="preserve"> both of the following apply:</w:t>
            </w:r>
          </w:p>
          <w:p w:rsidR="007454EB" w:rsidRDefault="002D6508" w:rsidP="002D6508">
            <w:pPr>
              <w:pStyle w:val="Tablea"/>
            </w:pPr>
            <w:r>
              <w:t xml:space="preserve">(c) </w:t>
            </w:r>
            <w:r w:rsidR="007454EB">
              <w:t xml:space="preserve">the person did not give a notice mentioned in item 3 or 4 of this table in relation to the </w:t>
            </w:r>
            <w:r w:rsidR="007454EB" w:rsidRPr="00BA17C5">
              <w:t>action specified in the order or notification</w:t>
            </w:r>
            <w:r w:rsidR="007454EB">
              <w:t>;</w:t>
            </w:r>
          </w:p>
          <w:p w:rsidR="00A96CD1" w:rsidRPr="00BA17C5" w:rsidRDefault="007454EB" w:rsidP="00D60EAE">
            <w:pPr>
              <w:pStyle w:val="Tablea"/>
            </w:pPr>
            <w:r>
              <w:t xml:space="preserve">(d) </w:t>
            </w:r>
            <w:r w:rsidR="002D6508" w:rsidRPr="00BA17C5">
              <w:t>the person was not given a notice under subsection 37C(2)</w:t>
            </w:r>
            <w:r w:rsidR="002D6508">
              <w:t xml:space="preserve"> in relation to </w:t>
            </w:r>
            <w:r>
              <w:t>that action</w:t>
            </w:r>
          </w:p>
        </w:tc>
        <w:tc>
          <w:tcPr>
            <w:tcW w:w="3187" w:type="dxa"/>
            <w:shd w:val="clear" w:color="auto" w:fill="auto"/>
          </w:tcPr>
          <w:p w:rsidR="00A96CD1" w:rsidRPr="00BA17C5" w:rsidRDefault="00A96CD1" w:rsidP="00746D9E">
            <w:pPr>
              <w:pStyle w:val="Tabletext"/>
            </w:pPr>
          </w:p>
        </w:tc>
      </w:tr>
    </w:tbl>
    <w:p w:rsidR="00E640DB" w:rsidRDefault="002C70B0" w:rsidP="007C1E80">
      <w:pPr>
        <w:pStyle w:val="ItemHead"/>
      </w:pPr>
      <w:r>
        <w:t>7</w:t>
      </w:r>
      <w:r w:rsidR="00E640DB">
        <w:t xml:space="preserve">  </w:t>
      </w:r>
      <w:r w:rsidR="007C1E80">
        <w:t>Subsection 1</w:t>
      </w:r>
      <w:r w:rsidR="00E640DB">
        <w:t>13(1) (note)</w:t>
      </w:r>
    </w:p>
    <w:p w:rsidR="00E640DB" w:rsidRDefault="00E640DB" w:rsidP="007C1E80">
      <w:pPr>
        <w:pStyle w:val="Item"/>
      </w:pPr>
      <w:r>
        <w:t>Omit “Part 2</w:t>
      </w:r>
      <w:r w:rsidR="004D0DFB">
        <w:t xml:space="preserve"> of</w:t>
      </w:r>
      <w:r>
        <w:t xml:space="preserve">”, substitute “regulations made </w:t>
      </w:r>
      <w:r w:rsidR="006E09D3">
        <w:t>under</w:t>
      </w:r>
      <w:r>
        <w:t>”.</w:t>
      </w:r>
    </w:p>
    <w:p w:rsidR="00D2709C" w:rsidRPr="00BA17C5" w:rsidRDefault="002C70B0" w:rsidP="00D2709C">
      <w:pPr>
        <w:pStyle w:val="ItemHead"/>
      </w:pPr>
      <w:r>
        <w:t>8</w:t>
      </w:r>
      <w:r w:rsidR="00D2709C" w:rsidRPr="00BA17C5">
        <w:t xml:space="preserve">  Section 114</w:t>
      </w:r>
    </w:p>
    <w:p w:rsidR="00D2709C" w:rsidRPr="00D2709C" w:rsidRDefault="00D2709C" w:rsidP="00D2709C">
      <w:pPr>
        <w:pStyle w:val="Item"/>
      </w:pPr>
      <w:r w:rsidRPr="00BA17C5">
        <w:t>Omit “giving a notice or making an application”, substitute “an application made or a notice given by the person”.</w:t>
      </w:r>
    </w:p>
    <w:p w:rsidR="00292BC5" w:rsidRDefault="002C70B0" w:rsidP="007C1E80">
      <w:pPr>
        <w:pStyle w:val="ItemHead"/>
      </w:pPr>
      <w:r>
        <w:t>9</w:t>
      </w:r>
      <w:r w:rsidR="00292BC5">
        <w:t xml:space="preserve">  </w:t>
      </w:r>
      <w:r w:rsidR="007C1E80">
        <w:t>Section 1</w:t>
      </w:r>
      <w:r w:rsidR="00292BC5">
        <w:t>15A</w:t>
      </w:r>
    </w:p>
    <w:p w:rsidR="00292BC5" w:rsidRDefault="00292BC5" w:rsidP="007C1E80">
      <w:pPr>
        <w:pStyle w:val="Item"/>
      </w:pPr>
      <w:r>
        <w:t xml:space="preserve">After “found in”, insert “regulations made </w:t>
      </w:r>
      <w:r w:rsidR="006E09D3">
        <w:t>under</w:t>
      </w:r>
      <w:r>
        <w:t>”.</w:t>
      </w:r>
    </w:p>
    <w:p w:rsidR="00292BC5" w:rsidRDefault="002C70B0" w:rsidP="007C1E80">
      <w:pPr>
        <w:pStyle w:val="ItemHead"/>
      </w:pPr>
      <w:r>
        <w:t>10</w:t>
      </w:r>
      <w:r w:rsidR="007C440C">
        <w:t xml:space="preserve">  </w:t>
      </w:r>
      <w:r w:rsidR="007C1E80">
        <w:t>Subsection 1</w:t>
      </w:r>
      <w:r w:rsidR="007C440C">
        <w:t>15C(1) (note)</w:t>
      </w:r>
    </w:p>
    <w:p w:rsidR="007C440C" w:rsidRDefault="007C440C" w:rsidP="007C1E80">
      <w:pPr>
        <w:pStyle w:val="Item"/>
      </w:pPr>
      <w:r>
        <w:t>Omit “Part 2</w:t>
      </w:r>
      <w:r w:rsidR="006E09D3">
        <w:t xml:space="preserve"> of</w:t>
      </w:r>
      <w:r>
        <w:t xml:space="preserve">”, substitute “regulations made </w:t>
      </w:r>
      <w:r w:rsidR="006E09D3">
        <w:t>under</w:t>
      </w:r>
      <w:r>
        <w:t>”.</w:t>
      </w:r>
    </w:p>
    <w:p w:rsidR="00D2709C" w:rsidRPr="00BA17C5" w:rsidRDefault="002C70B0" w:rsidP="00D2709C">
      <w:pPr>
        <w:pStyle w:val="ItemHead"/>
      </w:pPr>
      <w:r>
        <w:t>11</w:t>
      </w:r>
      <w:r w:rsidR="00D2709C" w:rsidRPr="00BA17C5">
        <w:t xml:space="preserve">  Paragraph 135(3)(c)</w:t>
      </w:r>
    </w:p>
    <w:p w:rsidR="00D2709C" w:rsidRDefault="00D2709C" w:rsidP="00D2709C">
      <w:pPr>
        <w:pStyle w:val="Item"/>
      </w:pPr>
      <w:r w:rsidRPr="00BA17C5">
        <w:t>After “notifiable actions”, insert “or notifiable national security actions”.</w:t>
      </w:r>
    </w:p>
    <w:p w:rsidR="00561C32" w:rsidRDefault="00396497" w:rsidP="00396497">
      <w:pPr>
        <w:pStyle w:val="ActHead7"/>
        <w:pageBreakBefore/>
      </w:pPr>
      <w:r w:rsidRPr="00384BEE">
        <w:rPr>
          <w:rStyle w:val="CharAmPartNo"/>
        </w:rPr>
        <w:lastRenderedPageBreak/>
        <w:t>Part 2</w:t>
      </w:r>
      <w:r>
        <w:t>—</w:t>
      </w:r>
      <w:r w:rsidRPr="00384BEE">
        <w:rPr>
          <w:rStyle w:val="CharAmPartText"/>
        </w:rPr>
        <w:t>Vacancy fee returns by joint owners</w:t>
      </w:r>
    </w:p>
    <w:p w:rsidR="00396497" w:rsidRDefault="00396497" w:rsidP="00396497">
      <w:pPr>
        <w:pStyle w:val="ActHead9"/>
      </w:pPr>
      <w:r w:rsidRPr="00AC39C2">
        <w:t>Foreign Acquisitions and Takeovers Act 1975</w:t>
      </w:r>
    </w:p>
    <w:p w:rsidR="00D22DA2" w:rsidRDefault="002C70B0" w:rsidP="00D22DA2">
      <w:pPr>
        <w:pStyle w:val="ItemHead"/>
      </w:pPr>
      <w:r>
        <w:t>12</w:t>
      </w:r>
      <w:r w:rsidR="00D22DA2">
        <w:t xml:space="preserve">  At the end of section 115D</w:t>
      </w:r>
    </w:p>
    <w:p w:rsidR="00D22DA2" w:rsidRDefault="00D22DA2" w:rsidP="00D22DA2">
      <w:pPr>
        <w:pStyle w:val="Item"/>
      </w:pPr>
      <w:r>
        <w:t>Add:</w:t>
      </w:r>
    </w:p>
    <w:p w:rsidR="00BF1283" w:rsidRDefault="00BF1283" w:rsidP="00BF1283">
      <w:pPr>
        <w:pStyle w:val="SubsectionHead"/>
      </w:pPr>
      <w:r>
        <w:t xml:space="preserve">Person holds the interest jointly with </w:t>
      </w:r>
      <w:r w:rsidR="00E24710">
        <w:t xml:space="preserve">one or more </w:t>
      </w:r>
      <w:r>
        <w:t>other foreign persons</w:t>
      </w:r>
    </w:p>
    <w:p w:rsidR="00BF1283" w:rsidRDefault="00BF1283" w:rsidP="00BF1283">
      <w:pPr>
        <w:pStyle w:val="subsection"/>
      </w:pPr>
      <w:r>
        <w:tab/>
        <w:t>(4)</w:t>
      </w:r>
      <w:r>
        <w:tab/>
        <w:t>Subsection (1) ceases to apply to the person for the vacancy year and the dwelling on the land if:</w:t>
      </w:r>
    </w:p>
    <w:p w:rsidR="00E24710" w:rsidRPr="00E24710" w:rsidRDefault="00E24710" w:rsidP="00E24710">
      <w:pPr>
        <w:pStyle w:val="paragraph"/>
      </w:pPr>
      <w:r>
        <w:tab/>
        <w:t>(a)</w:t>
      </w:r>
      <w:r>
        <w:tab/>
        <w:t>the person holds the interest in land jointly with one or more other</w:t>
      </w:r>
      <w:r w:rsidR="00526293">
        <w:t xml:space="preserve"> foreign persons (whether or not the first-mentioned person also holds the interest jointly with one or more other persons who are not foreign persons); </w:t>
      </w:r>
      <w:r>
        <w:t>and</w:t>
      </w:r>
    </w:p>
    <w:p w:rsidR="00BF1283" w:rsidRDefault="00E24710" w:rsidP="00BF1283">
      <w:pPr>
        <w:pStyle w:val="paragraph"/>
      </w:pPr>
      <w:r>
        <w:tab/>
        <w:t>(b)</w:t>
      </w:r>
      <w:r>
        <w:tab/>
      </w:r>
      <w:r w:rsidR="00BF1283">
        <w:t xml:space="preserve">this Division also applies </w:t>
      </w:r>
      <w:r w:rsidR="002D52F5">
        <w:t>in relation</w:t>
      </w:r>
      <w:r>
        <w:t xml:space="preserve"> to</w:t>
      </w:r>
      <w:r w:rsidR="002D52F5">
        <w:t xml:space="preserve"> </w:t>
      </w:r>
      <w:r>
        <w:t>that other foreign person, or those other foreign persons,</w:t>
      </w:r>
      <w:r w:rsidR="00BF1283">
        <w:t xml:space="preserve"> </w:t>
      </w:r>
      <w:r w:rsidR="00BF54F4">
        <w:t>for</w:t>
      </w:r>
      <w:r w:rsidR="00BF1283">
        <w:t xml:space="preserve"> the </w:t>
      </w:r>
      <w:r w:rsidR="002D52F5">
        <w:t xml:space="preserve">dwelling </w:t>
      </w:r>
      <w:r w:rsidR="00BF54F4">
        <w:t>on</w:t>
      </w:r>
      <w:r w:rsidR="002D52F5">
        <w:t xml:space="preserve"> the </w:t>
      </w:r>
      <w:r w:rsidR="00BF1283">
        <w:t>land; and</w:t>
      </w:r>
    </w:p>
    <w:p w:rsidR="002D52F5" w:rsidRDefault="00E24710" w:rsidP="002D52F5">
      <w:pPr>
        <w:pStyle w:val="paragraph"/>
      </w:pPr>
      <w:r>
        <w:tab/>
        <w:t>(c)</w:t>
      </w:r>
      <w:r>
        <w:tab/>
        <w:t>that other foreign person, or at</w:t>
      </w:r>
      <w:r w:rsidR="002D52F5">
        <w:t xml:space="preserve"> least one of those other foreign persons</w:t>
      </w:r>
      <w:r>
        <w:t>,</w:t>
      </w:r>
      <w:r w:rsidR="00DD25B3">
        <w:t xml:space="preserve"> both</w:t>
      </w:r>
      <w:r w:rsidR="002D52F5">
        <w:t>:</w:t>
      </w:r>
    </w:p>
    <w:p w:rsidR="002D52F5" w:rsidRDefault="002D52F5" w:rsidP="002D52F5">
      <w:pPr>
        <w:pStyle w:val="paragraphsub"/>
      </w:pPr>
      <w:r>
        <w:tab/>
        <w:t>(i)</w:t>
      </w:r>
      <w:r>
        <w:tab/>
        <w:t>has a vacancy year for the dwelling that is the same as the first-mentioned person’s vacancy year; and</w:t>
      </w:r>
    </w:p>
    <w:p w:rsidR="002D52F5" w:rsidRDefault="002D52F5" w:rsidP="002D52F5">
      <w:pPr>
        <w:pStyle w:val="paragraphsub"/>
      </w:pPr>
      <w:r>
        <w:tab/>
        <w:t>(ii)</w:t>
      </w:r>
      <w:r>
        <w:tab/>
        <w:t>complies with subsect</w:t>
      </w:r>
      <w:r w:rsidR="00BF54F4">
        <w:t>ion (1) for that vacancy year and the dwelling</w:t>
      </w:r>
      <w:r>
        <w:t>.</w:t>
      </w:r>
    </w:p>
    <w:p w:rsidR="00841FFD" w:rsidRDefault="002C70B0" w:rsidP="00396497">
      <w:pPr>
        <w:pStyle w:val="Transitional"/>
      </w:pPr>
      <w:r>
        <w:t>13</w:t>
      </w:r>
      <w:r w:rsidR="00841FFD">
        <w:t xml:space="preserve">  </w:t>
      </w:r>
      <w:r w:rsidR="00F244D3">
        <w:t>Application of amendment</w:t>
      </w:r>
    </w:p>
    <w:p w:rsidR="00396497" w:rsidRPr="00396497" w:rsidRDefault="00396497" w:rsidP="00396497">
      <w:pPr>
        <w:pStyle w:val="Item"/>
      </w:pPr>
      <w:r>
        <w:t>The</w:t>
      </w:r>
      <w:r w:rsidR="00F244D3">
        <w:t xml:space="preserve"> amendment made by this Part applies in relation to vacancy years ending on or after 31 December 2020.</w:t>
      </w:r>
    </w:p>
    <w:sectPr w:rsidR="00396497" w:rsidRPr="00396497" w:rsidSect="007C1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91" w:rsidRDefault="00842591" w:rsidP="00664C63">
      <w:pPr>
        <w:spacing w:line="240" w:lineRule="auto"/>
      </w:pPr>
      <w:r>
        <w:separator/>
      </w:r>
    </w:p>
  </w:endnote>
  <w:endnote w:type="continuationSeparator" w:id="0">
    <w:p w:rsidR="00842591" w:rsidRDefault="0084259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7C1E80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2D" w:rsidRDefault="0095602D" w:rsidP="007C1E80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2906C4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3C6185DB" wp14:editId="0458F10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602D" w:rsidRPr="0033411C" w:rsidRDefault="0095602D" w:rsidP="0095602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906C4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33411C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0;margin-top:793.7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I6XvMpMAwAAywcAAA4AAAAAAAAAAAAAAAAALgIA&#10;AGRycy9lMm9Eb2MueG1sUEsBAi0AFAAGAAgAAAAhADwCUpLfAAAACgEAAA8AAAAAAAAAAAAAAAAA&#10;pgUAAGRycy9kb3ducmV2LnhtbFBLBQYAAAAABAAEAPMAAACyBgAAAAA=&#10;" stroked="f">
                    <v:stroke joinstyle="round"/>
                    <v:path arrowok="t"/>
                    <v:textbox>
                      <w:txbxContent>
                        <w:p w:rsidR="0095602D" w:rsidRPr="0033411C" w:rsidRDefault="0095602D" w:rsidP="0095602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90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33411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22BA62" wp14:editId="46552794">
              <wp:simplePos x="0" y="0"/>
              <wp:positionH relativeFrom="column">
                <wp:posOffset>275590</wp:posOffset>
              </wp:positionH>
              <wp:positionV relativeFrom="page">
                <wp:posOffset>10035540</wp:posOffset>
              </wp:positionV>
              <wp:extent cx="4326255" cy="4343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625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08C" w:rsidRPr="0033411C" w:rsidRDefault="00B3608C" w:rsidP="008E05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90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33411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1.7pt;margin-top:790.2pt;width:340.65pt;height:3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" stroked="f">
              <v:stroke joinstyle="round"/>
              <v:path arrowok="t"/>
              <v:textbox>
                <w:txbxContent>
                  <w:p w:rsidR="00B3608C" w:rsidRPr="0033411C" w:rsidRDefault="00B3608C" w:rsidP="008E05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906C4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33411C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7C1E8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91" w:rsidRDefault="00842591" w:rsidP="00664C63">
      <w:pPr>
        <w:spacing w:line="240" w:lineRule="auto"/>
      </w:pPr>
      <w:r>
        <w:separator/>
      </w:r>
    </w:p>
  </w:footnote>
  <w:footnote w:type="continuationSeparator" w:id="0">
    <w:p w:rsidR="00842591" w:rsidRDefault="0084259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33411C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AFEA9B" wp14:editId="21C815D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411C" w:rsidRPr="0033411C" w:rsidRDefault="0033411C" w:rsidP="0033411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906C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33411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PpSAMAAMQ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" stroked="f">
              <v:stroke joinstyle="round"/>
              <v:path arrowok="t"/>
              <v:textbox>
                <w:txbxContent>
                  <w:p w:rsidR="0033411C" w:rsidRPr="0033411C" w:rsidRDefault="0033411C" w:rsidP="0033411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906C4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33411C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91"/>
    <w:rsid w:val="00010B4E"/>
    <w:rsid w:val="000136AF"/>
    <w:rsid w:val="00014B9A"/>
    <w:rsid w:val="000248FC"/>
    <w:rsid w:val="00032C7B"/>
    <w:rsid w:val="00055D20"/>
    <w:rsid w:val="000614BF"/>
    <w:rsid w:val="00061DFE"/>
    <w:rsid w:val="000726B4"/>
    <w:rsid w:val="00073C5A"/>
    <w:rsid w:val="00087033"/>
    <w:rsid w:val="000C74F9"/>
    <w:rsid w:val="000D05EF"/>
    <w:rsid w:val="000D3899"/>
    <w:rsid w:val="000F1122"/>
    <w:rsid w:val="000F21C1"/>
    <w:rsid w:val="000F4126"/>
    <w:rsid w:val="001016D1"/>
    <w:rsid w:val="0010240E"/>
    <w:rsid w:val="0010745C"/>
    <w:rsid w:val="0011206D"/>
    <w:rsid w:val="001366BF"/>
    <w:rsid w:val="001466C5"/>
    <w:rsid w:val="0015373D"/>
    <w:rsid w:val="001628E9"/>
    <w:rsid w:val="00166C2F"/>
    <w:rsid w:val="00182C9A"/>
    <w:rsid w:val="0018435F"/>
    <w:rsid w:val="001926F7"/>
    <w:rsid w:val="001939E1"/>
    <w:rsid w:val="0019452A"/>
    <w:rsid w:val="00195382"/>
    <w:rsid w:val="001A0293"/>
    <w:rsid w:val="001A1416"/>
    <w:rsid w:val="001B0F61"/>
    <w:rsid w:val="001C182B"/>
    <w:rsid w:val="001C69C4"/>
    <w:rsid w:val="001E3590"/>
    <w:rsid w:val="001E7407"/>
    <w:rsid w:val="001F75B6"/>
    <w:rsid w:val="0021250A"/>
    <w:rsid w:val="00213991"/>
    <w:rsid w:val="002277A0"/>
    <w:rsid w:val="00240749"/>
    <w:rsid w:val="00241522"/>
    <w:rsid w:val="00272B97"/>
    <w:rsid w:val="00287C6B"/>
    <w:rsid w:val="002906C4"/>
    <w:rsid w:val="0029158C"/>
    <w:rsid w:val="00292BC5"/>
    <w:rsid w:val="00296415"/>
    <w:rsid w:val="00296417"/>
    <w:rsid w:val="00297ECB"/>
    <w:rsid w:val="002A0333"/>
    <w:rsid w:val="002B091E"/>
    <w:rsid w:val="002B3738"/>
    <w:rsid w:val="002C085A"/>
    <w:rsid w:val="002C3A0C"/>
    <w:rsid w:val="002C70B0"/>
    <w:rsid w:val="002D043A"/>
    <w:rsid w:val="002D52F5"/>
    <w:rsid w:val="002D6508"/>
    <w:rsid w:val="002F08B3"/>
    <w:rsid w:val="00313C6F"/>
    <w:rsid w:val="00325233"/>
    <w:rsid w:val="003263D3"/>
    <w:rsid w:val="0033411C"/>
    <w:rsid w:val="00334771"/>
    <w:rsid w:val="003415D3"/>
    <w:rsid w:val="00352B0F"/>
    <w:rsid w:val="00380A5C"/>
    <w:rsid w:val="00380FA7"/>
    <w:rsid w:val="0038143D"/>
    <w:rsid w:val="00384BEE"/>
    <w:rsid w:val="0038514C"/>
    <w:rsid w:val="00396497"/>
    <w:rsid w:val="003B03EB"/>
    <w:rsid w:val="003B0F1E"/>
    <w:rsid w:val="003C5D41"/>
    <w:rsid w:val="003D0317"/>
    <w:rsid w:val="003D0BFE"/>
    <w:rsid w:val="003D5700"/>
    <w:rsid w:val="003F60A8"/>
    <w:rsid w:val="003F60D2"/>
    <w:rsid w:val="00402376"/>
    <w:rsid w:val="004043EE"/>
    <w:rsid w:val="0040616D"/>
    <w:rsid w:val="004116CD"/>
    <w:rsid w:val="004168B4"/>
    <w:rsid w:val="00416A98"/>
    <w:rsid w:val="004232BD"/>
    <w:rsid w:val="00424CA9"/>
    <w:rsid w:val="00427D10"/>
    <w:rsid w:val="00437989"/>
    <w:rsid w:val="0044291A"/>
    <w:rsid w:val="00466595"/>
    <w:rsid w:val="004876C4"/>
    <w:rsid w:val="00496F97"/>
    <w:rsid w:val="004A2172"/>
    <w:rsid w:val="004A7331"/>
    <w:rsid w:val="004B4CEE"/>
    <w:rsid w:val="004C01E0"/>
    <w:rsid w:val="004C3A1D"/>
    <w:rsid w:val="004C3A3F"/>
    <w:rsid w:val="004C3E27"/>
    <w:rsid w:val="004D0DFB"/>
    <w:rsid w:val="004E3680"/>
    <w:rsid w:val="004E5FD6"/>
    <w:rsid w:val="0050789F"/>
    <w:rsid w:val="005104CE"/>
    <w:rsid w:val="00516B8D"/>
    <w:rsid w:val="00526293"/>
    <w:rsid w:val="00537FBC"/>
    <w:rsid w:val="0054274D"/>
    <w:rsid w:val="00543850"/>
    <w:rsid w:val="005540AA"/>
    <w:rsid w:val="00555599"/>
    <w:rsid w:val="00561C32"/>
    <w:rsid w:val="00572BD8"/>
    <w:rsid w:val="00584052"/>
    <w:rsid w:val="00584811"/>
    <w:rsid w:val="00593AA6"/>
    <w:rsid w:val="00594161"/>
    <w:rsid w:val="00594749"/>
    <w:rsid w:val="005A6F34"/>
    <w:rsid w:val="005B4067"/>
    <w:rsid w:val="005C3C9B"/>
    <w:rsid w:val="005C3F41"/>
    <w:rsid w:val="005C5800"/>
    <w:rsid w:val="005D4DEA"/>
    <w:rsid w:val="005D615B"/>
    <w:rsid w:val="00600219"/>
    <w:rsid w:val="006016A0"/>
    <w:rsid w:val="00611C2E"/>
    <w:rsid w:val="00625C76"/>
    <w:rsid w:val="006272D2"/>
    <w:rsid w:val="006316AA"/>
    <w:rsid w:val="006444FB"/>
    <w:rsid w:val="0065106B"/>
    <w:rsid w:val="00651CD2"/>
    <w:rsid w:val="006527A6"/>
    <w:rsid w:val="00664C63"/>
    <w:rsid w:val="00677CC2"/>
    <w:rsid w:val="00681A4A"/>
    <w:rsid w:val="0069207B"/>
    <w:rsid w:val="00695062"/>
    <w:rsid w:val="006B51F1"/>
    <w:rsid w:val="006C7575"/>
    <w:rsid w:val="006C7F8C"/>
    <w:rsid w:val="006D3764"/>
    <w:rsid w:val="006E09D3"/>
    <w:rsid w:val="00700B2C"/>
    <w:rsid w:val="00713084"/>
    <w:rsid w:val="007148FD"/>
    <w:rsid w:val="007173B8"/>
    <w:rsid w:val="00731E00"/>
    <w:rsid w:val="00732A85"/>
    <w:rsid w:val="007440B7"/>
    <w:rsid w:val="007454EB"/>
    <w:rsid w:val="007474C0"/>
    <w:rsid w:val="0075226A"/>
    <w:rsid w:val="007522F7"/>
    <w:rsid w:val="007627F4"/>
    <w:rsid w:val="007715C9"/>
    <w:rsid w:val="00774EDD"/>
    <w:rsid w:val="007757EC"/>
    <w:rsid w:val="007845BF"/>
    <w:rsid w:val="00795FCE"/>
    <w:rsid w:val="007A659A"/>
    <w:rsid w:val="007B081F"/>
    <w:rsid w:val="007B50CD"/>
    <w:rsid w:val="007C1E80"/>
    <w:rsid w:val="007C440C"/>
    <w:rsid w:val="007E10C8"/>
    <w:rsid w:val="007E4CC8"/>
    <w:rsid w:val="00812DBF"/>
    <w:rsid w:val="00817B84"/>
    <w:rsid w:val="00827C76"/>
    <w:rsid w:val="00830815"/>
    <w:rsid w:val="00841FFD"/>
    <w:rsid w:val="00842591"/>
    <w:rsid w:val="008525BC"/>
    <w:rsid w:val="00856A31"/>
    <w:rsid w:val="00861926"/>
    <w:rsid w:val="00871A2C"/>
    <w:rsid w:val="008754D0"/>
    <w:rsid w:val="00883892"/>
    <w:rsid w:val="00896AB6"/>
    <w:rsid w:val="008A43AF"/>
    <w:rsid w:val="008A6470"/>
    <w:rsid w:val="008C6C8E"/>
    <w:rsid w:val="008D0EE0"/>
    <w:rsid w:val="008E05CA"/>
    <w:rsid w:val="008F40BD"/>
    <w:rsid w:val="008F72A0"/>
    <w:rsid w:val="00917769"/>
    <w:rsid w:val="00932377"/>
    <w:rsid w:val="00932FA3"/>
    <w:rsid w:val="00934D96"/>
    <w:rsid w:val="0095602D"/>
    <w:rsid w:val="009620C2"/>
    <w:rsid w:val="009815FC"/>
    <w:rsid w:val="00985700"/>
    <w:rsid w:val="00996EA3"/>
    <w:rsid w:val="00997318"/>
    <w:rsid w:val="009A3A6B"/>
    <w:rsid w:val="009D6673"/>
    <w:rsid w:val="009F0216"/>
    <w:rsid w:val="00A120DD"/>
    <w:rsid w:val="00A13867"/>
    <w:rsid w:val="00A231E2"/>
    <w:rsid w:val="00A25627"/>
    <w:rsid w:val="00A415B9"/>
    <w:rsid w:val="00A4273A"/>
    <w:rsid w:val="00A64912"/>
    <w:rsid w:val="00A70A74"/>
    <w:rsid w:val="00A8310A"/>
    <w:rsid w:val="00A96CD1"/>
    <w:rsid w:val="00AA2D28"/>
    <w:rsid w:val="00AA5445"/>
    <w:rsid w:val="00AB5A90"/>
    <w:rsid w:val="00AC043F"/>
    <w:rsid w:val="00AC39C2"/>
    <w:rsid w:val="00AD27B3"/>
    <w:rsid w:val="00AD54D4"/>
    <w:rsid w:val="00AD5641"/>
    <w:rsid w:val="00AE59F7"/>
    <w:rsid w:val="00AE7BD7"/>
    <w:rsid w:val="00B05DED"/>
    <w:rsid w:val="00B228AA"/>
    <w:rsid w:val="00B26413"/>
    <w:rsid w:val="00B30BBF"/>
    <w:rsid w:val="00B33B3C"/>
    <w:rsid w:val="00B340B6"/>
    <w:rsid w:val="00B3608C"/>
    <w:rsid w:val="00B372A6"/>
    <w:rsid w:val="00B429C2"/>
    <w:rsid w:val="00B52D80"/>
    <w:rsid w:val="00B61C25"/>
    <w:rsid w:val="00B70E56"/>
    <w:rsid w:val="00B73989"/>
    <w:rsid w:val="00B8780E"/>
    <w:rsid w:val="00B95C43"/>
    <w:rsid w:val="00BC30F2"/>
    <w:rsid w:val="00BD1655"/>
    <w:rsid w:val="00BD522B"/>
    <w:rsid w:val="00BD587B"/>
    <w:rsid w:val="00BE719A"/>
    <w:rsid w:val="00BE720A"/>
    <w:rsid w:val="00BF1283"/>
    <w:rsid w:val="00BF54F4"/>
    <w:rsid w:val="00C00CCA"/>
    <w:rsid w:val="00C10D70"/>
    <w:rsid w:val="00C1451B"/>
    <w:rsid w:val="00C168A6"/>
    <w:rsid w:val="00C313ED"/>
    <w:rsid w:val="00C42BF8"/>
    <w:rsid w:val="00C50043"/>
    <w:rsid w:val="00C53114"/>
    <w:rsid w:val="00C639D5"/>
    <w:rsid w:val="00C66FAA"/>
    <w:rsid w:val="00C71BC6"/>
    <w:rsid w:val="00C723B9"/>
    <w:rsid w:val="00C7573B"/>
    <w:rsid w:val="00C77D10"/>
    <w:rsid w:val="00CA69C0"/>
    <w:rsid w:val="00CB0EA8"/>
    <w:rsid w:val="00CB3ECF"/>
    <w:rsid w:val="00CC7A09"/>
    <w:rsid w:val="00CD146F"/>
    <w:rsid w:val="00CF0BB2"/>
    <w:rsid w:val="00CF4975"/>
    <w:rsid w:val="00CF5658"/>
    <w:rsid w:val="00D072AB"/>
    <w:rsid w:val="00D125ED"/>
    <w:rsid w:val="00D13441"/>
    <w:rsid w:val="00D22DA2"/>
    <w:rsid w:val="00D2709C"/>
    <w:rsid w:val="00D3213F"/>
    <w:rsid w:val="00D374CE"/>
    <w:rsid w:val="00D40252"/>
    <w:rsid w:val="00D60EAE"/>
    <w:rsid w:val="00D64854"/>
    <w:rsid w:val="00D70DFB"/>
    <w:rsid w:val="00D7186F"/>
    <w:rsid w:val="00D73D2B"/>
    <w:rsid w:val="00D766DF"/>
    <w:rsid w:val="00D87A38"/>
    <w:rsid w:val="00D9284D"/>
    <w:rsid w:val="00DD25B3"/>
    <w:rsid w:val="00DD314D"/>
    <w:rsid w:val="00DD4B55"/>
    <w:rsid w:val="00DE3101"/>
    <w:rsid w:val="00E01FCD"/>
    <w:rsid w:val="00E05704"/>
    <w:rsid w:val="00E1363F"/>
    <w:rsid w:val="00E24710"/>
    <w:rsid w:val="00E337EB"/>
    <w:rsid w:val="00E54CAB"/>
    <w:rsid w:val="00E640DB"/>
    <w:rsid w:val="00E74DC7"/>
    <w:rsid w:val="00E85CB9"/>
    <w:rsid w:val="00E94998"/>
    <w:rsid w:val="00ED1A6C"/>
    <w:rsid w:val="00EE6DCC"/>
    <w:rsid w:val="00EF2E3A"/>
    <w:rsid w:val="00F0132A"/>
    <w:rsid w:val="00F078DC"/>
    <w:rsid w:val="00F244D3"/>
    <w:rsid w:val="00F5076A"/>
    <w:rsid w:val="00F50D6E"/>
    <w:rsid w:val="00F65F8F"/>
    <w:rsid w:val="00F71234"/>
    <w:rsid w:val="00F8103A"/>
    <w:rsid w:val="00FA2618"/>
    <w:rsid w:val="00FA3991"/>
    <w:rsid w:val="00FB55B0"/>
    <w:rsid w:val="00FB6C2D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E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6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6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6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6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6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6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6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6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1E80"/>
  </w:style>
  <w:style w:type="paragraph" w:customStyle="1" w:styleId="OPCParaBase">
    <w:name w:val="OPCParaBase"/>
    <w:qFormat/>
    <w:rsid w:val="007C1E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1E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1E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1E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1E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1E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1E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1E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1E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1E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1E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1E80"/>
  </w:style>
  <w:style w:type="paragraph" w:customStyle="1" w:styleId="Blocks">
    <w:name w:val="Blocks"/>
    <w:aliases w:val="bb"/>
    <w:basedOn w:val="OPCParaBase"/>
    <w:qFormat/>
    <w:rsid w:val="007C1E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1E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1E80"/>
    <w:rPr>
      <w:i/>
    </w:rPr>
  </w:style>
  <w:style w:type="paragraph" w:customStyle="1" w:styleId="BoxList">
    <w:name w:val="BoxList"/>
    <w:aliases w:val="bl"/>
    <w:basedOn w:val="BoxText"/>
    <w:qFormat/>
    <w:rsid w:val="007C1E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1E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1E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1E80"/>
    <w:pPr>
      <w:ind w:left="1985" w:hanging="851"/>
    </w:pPr>
  </w:style>
  <w:style w:type="character" w:customStyle="1" w:styleId="CharAmPartNo">
    <w:name w:val="CharAmPartNo"/>
    <w:basedOn w:val="OPCCharBase"/>
    <w:qFormat/>
    <w:rsid w:val="007C1E80"/>
  </w:style>
  <w:style w:type="character" w:customStyle="1" w:styleId="CharAmPartText">
    <w:name w:val="CharAmPartText"/>
    <w:basedOn w:val="OPCCharBase"/>
    <w:qFormat/>
    <w:rsid w:val="007C1E80"/>
  </w:style>
  <w:style w:type="character" w:customStyle="1" w:styleId="CharAmSchNo">
    <w:name w:val="CharAmSchNo"/>
    <w:basedOn w:val="OPCCharBase"/>
    <w:qFormat/>
    <w:rsid w:val="007C1E80"/>
  </w:style>
  <w:style w:type="character" w:customStyle="1" w:styleId="CharAmSchText">
    <w:name w:val="CharAmSchText"/>
    <w:basedOn w:val="OPCCharBase"/>
    <w:qFormat/>
    <w:rsid w:val="007C1E80"/>
  </w:style>
  <w:style w:type="character" w:customStyle="1" w:styleId="CharBoldItalic">
    <w:name w:val="CharBoldItalic"/>
    <w:basedOn w:val="OPCCharBase"/>
    <w:uiPriority w:val="1"/>
    <w:qFormat/>
    <w:rsid w:val="007C1E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1E80"/>
  </w:style>
  <w:style w:type="character" w:customStyle="1" w:styleId="CharChapText">
    <w:name w:val="CharChapText"/>
    <w:basedOn w:val="OPCCharBase"/>
    <w:uiPriority w:val="1"/>
    <w:qFormat/>
    <w:rsid w:val="007C1E80"/>
  </w:style>
  <w:style w:type="character" w:customStyle="1" w:styleId="CharDivNo">
    <w:name w:val="CharDivNo"/>
    <w:basedOn w:val="OPCCharBase"/>
    <w:uiPriority w:val="1"/>
    <w:qFormat/>
    <w:rsid w:val="007C1E80"/>
  </w:style>
  <w:style w:type="character" w:customStyle="1" w:styleId="CharDivText">
    <w:name w:val="CharDivText"/>
    <w:basedOn w:val="OPCCharBase"/>
    <w:uiPriority w:val="1"/>
    <w:qFormat/>
    <w:rsid w:val="007C1E80"/>
  </w:style>
  <w:style w:type="character" w:customStyle="1" w:styleId="CharItalic">
    <w:name w:val="CharItalic"/>
    <w:basedOn w:val="OPCCharBase"/>
    <w:uiPriority w:val="1"/>
    <w:qFormat/>
    <w:rsid w:val="007C1E80"/>
    <w:rPr>
      <w:i/>
    </w:rPr>
  </w:style>
  <w:style w:type="character" w:customStyle="1" w:styleId="CharPartNo">
    <w:name w:val="CharPartNo"/>
    <w:basedOn w:val="OPCCharBase"/>
    <w:uiPriority w:val="1"/>
    <w:qFormat/>
    <w:rsid w:val="007C1E80"/>
  </w:style>
  <w:style w:type="character" w:customStyle="1" w:styleId="CharPartText">
    <w:name w:val="CharPartText"/>
    <w:basedOn w:val="OPCCharBase"/>
    <w:uiPriority w:val="1"/>
    <w:qFormat/>
    <w:rsid w:val="007C1E80"/>
  </w:style>
  <w:style w:type="character" w:customStyle="1" w:styleId="CharSectno">
    <w:name w:val="CharSectno"/>
    <w:basedOn w:val="OPCCharBase"/>
    <w:qFormat/>
    <w:rsid w:val="007C1E80"/>
  </w:style>
  <w:style w:type="character" w:customStyle="1" w:styleId="CharSubdNo">
    <w:name w:val="CharSubdNo"/>
    <w:basedOn w:val="OPCCharBase"/>
    <w:uiPriority w:val="1"/>
    <w:qFormat/>
    <w:rsid w:val="007C1E80"/>
  </w:style>
  <w:style w:type="character" w:customStyle="1" w:styleId="CharSubdText">
    <w:name w:val="CharSubdText"/>
    <w:basedOn w:val="OPCCharBase"/>
    <w:uiPriority w:val="1"/>
    <w:qFormat/>
    <w:rsid w:val="007C1E80"/>
  </w:style>
  <w:style w:type="paragraph" w:customStyle="1" w:styleId="CTA--">
    <w:name w:val="CTA --"/>
    <w:basedOn w:val="OPCParaBase"/>
    <w:next w:val="Normal"/>
    <w:rsid w:val="007C1E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1E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1E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1E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1E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1E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1E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1E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1E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1E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1E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1E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1E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1E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C1E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1E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1E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1E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1E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1E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1E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1E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1E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1E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1E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1E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1E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1E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1E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1E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1E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1E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1E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1E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1E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C1E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1E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1E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1E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1E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1E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1E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1E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1E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1E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1E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1E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1E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1E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1E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1E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1E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1E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1E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C1E8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1E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1E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1E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1E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1E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1E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1E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1E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1E80"/>
    <w:rPr>
      <w:sz w:val="16"/>
    </w:rPr>
  </w:style>
  <w:style w:type="table" w:customStyle="1" w:styleId="CFlag">
    <w:name w:val="CFlag"/>
    <w:basedOn w:val="TableNormal"/>
    <w:uiPriority w:val="99"/>
    <w:rsid w:val="007C1E8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C1E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1E8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1E8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C1E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C1E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1E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1E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1E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1E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1E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1E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1E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1E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1E80"/>
  </w:style>
  <w:style w:type="character" w:customStyle="1" w:styleId="CharSubPartNoCASA">
    <w:name w:val="CharSubPartNo(CASA)"/>
    <w:basedOn w:val="OPCCharBase"/>
    <w:uiPriority w:val="1"/>
    <w:rsid w:val="007C1E80"/>
  </w:style>
  <w:style w:type="paragraph" w:customStyle="1" w:styleId="ENoteTTIndentHeadingSub">
    <w:name w:val="ENoteTTIndentHeadingSub"/>
    <w:aliases w:val="enTTHis"/>
    <w:basedOn w:val="OPCParaBase"/>
    <w:rsid w:val="007C1E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1E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1E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1E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1E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1E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1E80"/>
    <w:rPr>
      <w:sz w:val="22"/>
    </w:rPr>
  </w:style>
  <w:style w:type="paragraph" w:customStyle="1" w:styleId="SOTextNote">
    <w:name w:val="SO TextNote"/>
    <w:aliases w:val="sont"/>
    <w:basedOn w:val="SOText"/>
    <w:qFormat/>
    <w:rsid w:val="007C1E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1E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1E80"/>
    <w:rPr>
      <w:sz w:val="22"/>
    </w:rPr>
  </w:style>
  <w:style w:type="paragraph" w:customStyle="1" w:styleId="FileName">
    <w:name w:val="FileName"/>
    <w:basedOn w:val="Normal"/>
    <w:rsid w:val="007C1E80"/>
  </w:style>
  <w:style w:type="paragraph" w:customStyle="1" w:styleId="TableHeading">
    <w:name w:val="TableHeading"/>
    <w:aliases w:val="th"/>
    <w:basedOn w:val="OPCParaBase"/>
    <w:next w:val="Tabletext"/>
    <w:rsid w:val="007C1E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1E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1E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1E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1E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1E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1E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1E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1E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1E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1E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C1E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1E8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C1E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1E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C1E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1E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1E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1E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1E8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C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C1E80"/>
  </w:style>
  <w:style w:type="character" w:customStyle="1" w:styleId="Heading1Char">
    <w:name w:val="Heading 1 Char"/>
    <w:basedOn w:val="DefaultParagraphFont"/>
    <w:link w:val="Heading1"/>
    <w:uiPriority w:val="9"/>
    <w:rsid w:val="009D6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6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6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6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6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6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6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6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CD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A733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A7331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E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6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6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6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6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6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6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6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6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1E80"/>
  </w:style>
  <w:style w:type="paragraph" w:customStyle="1" w:styleId="OPCParaBase">
    <w:name w:val="OPCParaBase"/>
    <w:qFormat/>
    <w:rsid w:val="007C1E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1E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1E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1E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1E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1E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1E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1E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1E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1E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1E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1E80"/>
  </w:style>
  <w:style w:type="paragraph" w:customStyle="1" w:styleId="Blocks">
    <w:name w:val="Blocks"/>
    <w:aliases w:val="bb"/>
    <w:basedOn w:val="OPCParaBase"/>
    <w:qFormat/>
    <w:rsid w:val="007C1E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1E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1E80"/>
    <w:rPr>
      <w:i/>
    </w:rPr>
  </w:style>
  <w:style w:type="paragraph" w:customStyle="1" w:styleId="BoxList">
    <w:name w:val="BoxList"/>
    <w:aliases w:val="bl"/>
    <w:basedOn w:val="BoxText"/>
    <w:qFormat/>
    <w:rsid w:val="007C1E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1E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1E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1E80"/>
    <w:pPr>
      <w:ind w:left="1985" w:hanging="851"/>
    </w:pPr>
  </w:style>
  <w:style w:type="character" w:customStyle="1" w:styleId="CharAmPartNo">
    <w:name w:val="CharAmPartNo"/>
    <w:basedOn w:val="OPCCharBase"/>
    <w:qFormat/>
    <w:rsid w:val="007C1E80"/>
  </w:style>
  <w:style w:type="character" w:customStyle="1" w:styleId="CharAmPartText">
    <w:name w:val="CharAmPartText"/>
    <w:basedOn w:val="OPCCharBase"/>
    <w:qFormat/>
    <w:rsid w:val="007C1E80"/>
  </w:style>
  <w:style w:type="character" w:customStyle="1" w:styleId="CharAmSchNo">
    <w:name w:val="CharAmSchNo"/>
    <w:basedOn w:val="OPCCharBase"/>
    <w:qFormat/>
    <w:rsid w:val="007C1E80"/>
  </w:style>
  <w:style w:type="character" w:customStyle="1" w:styleId="CharAmSchText">
    <w:name w:val="CharAmSchText"/>
    <w:basedOn w:val="OPCCharBase"/>
    <w:qFormat/>
    <w:rsid w:val="007C1E80"/>
  </w:style>
  <w:style w:type="character" w:customStyle="1" w:styleId="CharBoldItalic">
    <w:name w:val="CharBoldItalic"/>
    <w:basedOn w:val="OPCCharBase"/>
    <w:uiPriority w:val="1"/>
    <w:qFormat/>
    <w:rsid w:val="007C1E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1E80"/>
  </w:style>
  <w:style w:type="character" w:customStyle="1" w:styleId="CharChapText">
    <w:name w:val="CharChapText"/>
    <w:basedOn w:val="OPCCharBase"/>
    <w:uiPriority w:val="1"/>
    <w:qFormat/>
    <w:rsid w:val="007C1E80"/>
  </w:style>
  <w:style w:type="character" w:customStyle="1" w:styleId="CharDivNo">
    <w:name w:val="CharDivNo"/>
    <w:basedOn w:val="OPCCharBase"/>
    <w:uiPriority w:val="1"/>
    <w:qFormat/>
    <w:rsid w:val="007C1E80"/>
  </w:style>
  <w:style w:type="character" w:customStyle="1" w:styleId="CharDivText">
    <w:name w:val="CharDivText"/>
    <w:basedOn w:val="OPCCharBase"/>
    <w:uiPriority w:val="1"/>
    <w:qFormat/>
    <w:rsid w:val="007C1E80"/>
  </w:style>
  <w:style w:type="character" w:customStyle="1" w:styleId="CharItalic">
    <w:name w:val="CharItalic"/>
    <w:basedOn w:val="OPCCharBase"/>
    <w:uiPriority w:val="1"/>
    <w:qFormat/>
    <w:rsid w:val="007C1E80"/>
    <w:rPr>
      <w:i/>
    </w:rPr>
  </w:style>
  <w:style w:type="character" w:customStyle="1" w:styleId="CharPartNo">
    <w:name w:val="CharPartNo"/>
    <w:basedOn w:val="OPCCharBase"/>
    <w:uiPriority w:val="1"/>
    <w:qFormat/>
    <w:rsid w:val="007C1E80"/>
  </w:style>
  <w:style w:type="character" w:customStyle="1" w:styleId="CharPartText">
    <w:name w:val="CharPartText"/>
    <w:basedOn w:val="OPCCharBase"/>
    <w:uiPriority w:val="1"/>
    <w:qFormat/>
    <w:rsid w:val="007C1E80"/>
  </w:style>
  <w:style w:type="character" w:customStyle="1" w:styleId="CharSectno">
    <w:name w:val="CharSectno"/>
    <w:basedOn w:val="OPCCharBase"/>
    <w:qFormat/>
    <w:rsid w:val="007C1E80"/>
  </w:style>
  <w:style w:type="character" w:customStyle="1" w:styleId="CharSubdNo">
    <w:name w:val="CharSubdNo"/>
    <w:basedOn w:val="OPCCharBase"/>
    <w:uiPriority w:val="1"/>
    <w:qFormat/>
    <w:rsid w:val="007C1E80"/>
  </w:style>
  <w:style w:type="character" w:customStyle="1" w:styleId="CharSubdText">
    <w:name w:val="CharSubdText"/>
    <w:basedOn w:val="OPCCharBase"/>
    <w:uiPriority w:val="1"/>
    <w:qFormat/>
    <w:rsid w:val="007C1E80"/>
  </w:style>
  <w:style w:type="paragraph" w:customStyle="1" w:styleId="CTA--">
    <w:name w:val="CTA --"/>
    <w:basedOn w:val="OPCParaBase"/>
    <w:next w:val="Normal"/>
    <w:rsid w:val="007C1E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1E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1E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1E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1E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1E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1E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1E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1E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1E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1E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1E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1E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1E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C1E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1E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1E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1E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1E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1E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1E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1E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1E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1E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1E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1E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1E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1E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1E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1E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1E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1E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1E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1E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1E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C1E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1E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1E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1E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1E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1E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1E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1E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1E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1E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1E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1E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1E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1E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1E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1E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1E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1E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1E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C1E8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C1E8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1E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1E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1E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1E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1E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1E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1E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1E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1E80"/>
    <w:rPr>
      <w:sz w:val="16"/>
    </w:rPr>
  </w:style>
  <w:style w:type="table" w:customStyle="1" w:styleId="CFlag">
    <w:name w:val="CFlag"/>
    <w:basedOn w:val="TableNormal"/>
    <w:uiPriority w:val="99"/>
    <w:rsid w:val="007C1E8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C1E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1E8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C1E8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C1E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C1E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1E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1E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1E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1E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1E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1E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1E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1E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1E80"/>
  </w:style>
  <w:style w:type="character" w:customStyle="1" w:styleId="CharSubPartNoCASA">
    <w:name w:val="CharSubPartNo(CASA)"/>
    <w:basedOn w:val="OPCCharBase"/>
    <w:uiPriority w:val="1"/>
    <w:rsid w:val="007C1E80"/>
  </w:style>
  <w:style w:type="paragraph" w:customStyle="1" w:styleId="ENoteTTIndentHeadingSub">
    <w:name w:val="ENoteTTIndentHeadingSub"/>
    <w:aliases w:val="enTTHis"/>
    <w:basedOn w:val="OPCParaBase"/>
    <w:rsid w:val="007C1E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1E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1E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1E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1E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1E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1E80"/>
    <w:rPr>
      <w:sz w:val="22"/>
    </w:rPr>
  </w:style>
  <w:style w:type="paragraph" w:customStyle="1" w:styleId="SOTextNote">
    <w:name w:val="SO TextNote"/>
    <w:aliases w:val="sont"/>
    <w:basedOn w:val="SOText"/>
    <w:qFormat/>
    <w:rsid w:val="007C1E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1E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1E80"/>
    <w:rPr>
      <w:sz w:val="22"/>
    </w:rPr>
  </w:style>
  <w:style w:type="paragraph" w:customStyle="1" w:styleId="FileName">
    <w:name w:val="FileName"/>
    <w:basedOn w:val="Normal"/>
    <w:rsid w:val="007C1E80"/>
  </w:style>
  <w:style w:type="paragraph" w:customStyle="1" w:styleId="TableHeading">
    <w:name w:val="TableHeading"/>
    <w:aliases w:val="th"/>
    <w:basedOn w:val="OPCParaBase"/>
    <w:next w:val="Tabletext"/>
    <w:rsid w:val="007C1E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1E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1E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1E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1E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1E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1E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1E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1E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1E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1E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1E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C1E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1E8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C1E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1E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C1E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1E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1E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1E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1E8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C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C1E80"/>
  </w:style>
  <w:style w:type="character" w:customStyle="1" w:styleId="Heading1Char">
    <w:name w:val="Heading 1 Char"/>
    <w:basedOn w:val="DefaultParagraphFont"/>
    <w:link w:val="Heading1"/>
    <w:uiPriority w:val="9"/>
    <w:rsid w:val="009D6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67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6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67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67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67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6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6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0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0CD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A733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A7331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B296F03498E9448202E36B7829D846" ma:contentTypeVersion="30949" ma:contentTypeDescription=" " ma:contentTypeScope="" ma:versionID="ed2537b09aa16d867cd3e308dcd45ea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f75837bff50338e5e9d97543dceb0ca4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16;#TSY RA-8909 - Retain as national archives|783df9f6-6a3b-4626-95aa-7d6467e087f0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82</Value>
    </TaxCatchAll>
    <_dlc_DocId xmlns="0f563589-9cf9-4143-b1eb-fb0534803d38">2020MG-107-17879</_dlc_DocId>
    <_dlc_DocIdUrl xmlns="0f563589-9cf9-4143-b1eb-fb0534803d38">
      <Url>http://tweb/sites/mg/fitpd/_layouts/15/DocIdRedir.aspx?ID=2020MG-107-17879</Url>
      <Description>2020MG-107-17879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RA-8745 - Retain as national archives</TermName>
          <TermId xmlns="http://schemas.microsoft.com/office/infopath/2007/PartnerControls">e7c0cb1f-c7bc-47da-a214-9f543417fceb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C9D55A50-E592-4229-9D22-DA1F3B243BC6}"/>
</file>

<file path=customXml/itemProps2.xml><?xml version="1.0" encoding="utf-8"?>
<ds:datastoreItem xmlns:ds="http://schemas.openxmlformats.org/officeDocument/2006/customXml" ds:itemID="{D7FD88EC-B0DC-495B-B386-43B30037126F}"/>
</file>

<file path=customXml/itemProps3.xml><?xml version="1.0" encoding="utf-8"?>
<ds:datastoreItem xmlns:ds="http://schemas.openxmlformats.org/officeDocument/2006/customXml" ds:itemID="{DE186D2F-4996-47A9-A143-140055F25CAA}"/>
</file>

<file path=customXml/itemProps4.xml><?xml version="1.0" encoding="utf-8"?>
<ds:datastoreItem xmlns:ds="http://schemas.openxmlformats.org/officeDocument/2006/customXml" ds:itemID="{89B3F99B-872F-4DB5-9E7C-D6A7CAEA9EF8}"/>
</file>

<file path=customXml/itemProps5.xml><?xml version="1.0" encoding="utf-8"?>
<ds:datastoreItem xmlns:ds="http://schemas.openxmlformats.org/officeDocument/2006/customXml" ds:itemID="{0A701CDF-2AA6-4C00-B109-7B1D2D5F3190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577</Words>
  <Characters>2865</Characters>
  <Application>Microsoft Office Word</Application>
  <DocSecurity>6</DocSecurity>
  <PresentationFormat/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Acquisitions and Takeovers Legislation Amendment Bill 2020: A fairer and simpler framework for foreign investment fees</vt:lpstr>
    </vt:vector>
  </TitlesOfParts>
  <Manager/>
  <Company/>
  <LinksUpToDate>false</LinksUpToDate>
  <CharactersWithSpaces>3396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B20SK102.v20</dc:title>
  <dc:subject/>
  <dc:creator/>
  <cp:keywords/>
  <dc:description/>
  <cp:lastModifiedBy/>
  <cp:revision>1</cp:revision>
  <cp:lastPrinted>2020-07-08T23:11:00Z</cp:lastPrinted>
  <dcterms:created xsi:type="dcterms:W3CDTF">2020-07-10T05:02:00Z</dcterms:created>
  <dcterms:modified xsi:type="dcterms:W3CDTF">2020-07-10T05:02:00Z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LM">
    <vt:lpwstr>EXPOSURE DRAFT</vt:lpwstr>
  </property>
  <property fmtid="{D5CDD505-2E9C-101B-9397-08002B2CF9AE}" pid="4" name="DocType">
    <vt:lpwstr>INS</vt:lpwstr>
  </property>
  <property fmtid="{D5CDD505-2E9C-101B-9397-08002B2CF9AE}" pid="5" name="ShortT">
    <vt:lpwstr>Foreign Acquisitions and Takeovers Legislation Amendment Bill 2020: A fairer and simpler framework for foreign investment fees</vt:lpwstr>
  </property>
  <property fmtid="{D5CDD505-2E9C-101B-9397-08002B2CF9AE}" pid="6" name="Actno">
    <vt:lpwstr/>
  </property>
  <property fmtid="{D5CDD505-2E9C-101B-9397-08002B2CF9AE}" pid="7" name="ID">
    <vt:lpwstr>OPC7503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PC:D20/9633</vt:lpwstr>
  </property>
  <property fmtid="{D5CDD505-2E9C-101B-9397-08002B2CF9AE}" pid="11" name="ContentTypeId">
    <vt:lpwstr>0x010100E95D40E5DFEA714B90E88DB5CE07A6B500DDB296F03498E9448202E36B7829D846</vt:lpwstr>
  </property>
  <property fmtid="{D5CDD505-2E9C-101B-9397-08002B2CF9AE}" pid="12" name="TSYTopic">
    <vt:lpwstr/>
  </property>
  <property fmtid="{D5CDD505-2E9C-101B-9397-08002B2CF9AE}" pid="13" name="TSYRecordClass">
    <vt:lpwstr>82;#TSY RA-8745 - Retain as national archives|e7c0cb1f-c7bc-47da-a214-9f543417fceb</vt:lpwstr>
  </property>
  <property fmtid="{D5CDD505-2E9C-101B-9397-08002B2CF9AE}" pid="14" name="_dlc_DocIdItemGuid">
    <vt:lpwstr>d4344507-94e2-4735-a920-495fed4c0b37</vt:lpwstr>
  </property>
  <property fmtid="{D5CDD505-2E9C-101B-9397-08002B2CF9AE}" pid="15" name="Order">
    <vt:r8>189500</vt:r8>
  </property>
  <property fmtid="{D5CDD505-2E9C-101B-9397-08002B2CF9AE}" pid="16" name="oae75e2df9d943898d59cb03ca0993c5">
    <vt:lpwstr/>
  </property>
  <property fmtid="{D5CDD505-2E9C-101B-9397-08002B2CF9AE}" pid="17" name="Topics">
    <vt:lpwstr/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{99a7251a-0d79-4dd9-be6d-5b1a18b6c6e8}</vt:lpwstr>
  </property>
  <property fmtid="{D5CDD505-2E9C-101B-9397-08002B2CF9AE}" pid="20" name="RecordPoint_ActiveItemWebId">
    <vt:lpwstr>{09392e0d-4618-463d-b4d2-50a90b9447cf}</vt:lpwstr>
  </property>
  <property fmtid="{D5CDD505-2E9C-101B-9397-08002B2CF9AE}" pid="21" name="RecordPoint_ActiveItemSiteId">
    <vt:lpwstr>{5b52b9a5-e5b2-4521-8814-a1e24ca2869d}</vt:lpwstr>
  </property>
  <property fmtid="{D5CDD505-2E9C-101B-9397-08002B2CF9AE}" pid="22" name="RecordPoint_ActiveItemListId">
    <vt:lpwstr>{30b135ad-fcc1-4fb7-9c42-fc31816c69eb}</vt:lpwstr>
  </property>
  <property fmtid="{D5CDD505-2E9C-101B-9397-08002B2CF9AE}" pid="23" name="RecordPoint_SubmissionDate">
    <vt:lpwstr/>
  </property>
  <property fmtid="{D5CDD505-2E9C-101B-9397-08002B2CF9AE}" pid="24" name="RecordPoint_RecordNumberSubmitted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  <property fmtid="{D5CDD505-2E9C-101B-9397-08002B2CF9AE}" pid="27" name="RecordPoint_SubmissionCompleted">
    <vt:lpwstr/>
  </property>
</Properties>
</file>